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宋体"/>
          <w:b/>
          <w:bCs/>
          <w:sz w:val="48"/>
          <w:u w:val="single"/>
        </w:rPr>
      </w:pPr>
      <w:r>
        <w:rPr>
          <w:rFonts w:hint="eastAsia" w:ascii="宋体"/>
          <w:b/>
          <w:bCs/>
          <w:sz w:val="48"/>
          <w:u w:val="single"/>
        </w:rPr>
        <w:t>★2024-6版</w:t>
      </w:r>
    </w:p>
    <w:p>
      <w:pPr>
        <w:autoSpaceDE w:val="0"/>
        <w:autoSpaceDN w:val="0"/>
        <w:adjustRightInd w:val="0"/>
        <w:snapToGrid w:val="0"/>
        <w:spacing w:line="360" w:lineRule="auto"/>
        <w:jc w:val="center"/>
        <w:rPr>
          <w:rFonts w:ascii="宋体" w:cs="黑体"/>
          <w:b/>
          <w:snapToGrid w:val="0"/>
          <w:kern w:val="0"/>
          <w:sz w:val="44"/>
          <w:szCs w:val="44"/>
          <w:u w:val="single"/>
        </w:rPr>
      </w:pPr>
    </w:p>
    <w:p>
      <w:pPr>
        <w:pStyle w:val="2"/>
      </w:pPr>
      <w:r>
        <w:rPr>
          <w:rFonts w:hint="eastAsia"/>
        </w:rPr>
        <w:t>宁波市烟草公司配送中心全品规备货系统扩容技改项目</w:t>
      </w:r>
    </w:p>
    <w:p>
      <w:pPr>
        <w:autoSpaceDE w:val="0"/>
        <w:autoSpaceDN w:val="0"/>
        <w:adjustRightInd w:val="0"/>
        <w:snapToGrid w:val="0"/>
        <w:spacing w:line="360" w:lineRule="auto"/>
        <w:jc w:val="center"/>
        <w:outlineLvl w:val="0"/>
        <w:rPr>
          <w:rFonts w:ascii="宋体"/>
          <w:b/>
          <w:snapToGrid w:val="0"/>
          <w:kern w:val="0"/>
          <w:sz w:val="32"/>
          <w:szCs w:val="32"/>
          <w:u w:val="single"/>
        </w:rPr>
      </w:pPr>
      <w:bookmarkStart w:id="0" w:name="_Toc26522"/>
      <w:r>
        <w:rPr>
          <w:rFonts w:hint="eastAsia" w:ascii="宋体"/>
          <w:b/>
          <w:snapToGrid w:val="0"/>
          <w:kern w:val="0"/>
          <w:sz w:val="32"/>
          <w:szCs w:val="32"/>
        </w:rPr>
        <w:t>招标编号：</w:t>
      </w:r>
      <w:bookmarkEnd w:id="0"/>
      <w:bookmarkStart w:id="1" w:name="OLE_LINK1"/>
      <w:r>
        <w:rPr>
          <w:rFonts w:hint="eastAsia" w:ascii="宋体"/>
          <w:b/>
          <w:snapToGrid w:val="0"/>
          <w:kern w:val="0"/>
          <w:sz w:val="32"/>
          <w:szCs w:val="32"/>
          <w:u w:val="single"/>
        </w:rPr>
        <w:t>NBYC-CT3302250206*（ZGZB2025-251）</w:t>
      </w:r>
      <w:bookmarkEnd w:id="1"/>
    </w:p>
    <w:p>
      <w:pPr>
        <w:autoSpaceDE w:val="0"/>
        <w:autoSpaceDN w:val="0"/>
        <w:adjustRightInd w:val="0"/>
        <w:snapToGrid w:val="0"/>
        <w:spacing w:line="360" w:lineRule="auto"/>
        <w:jc w:val="center"/>
        <w:rPr>
          <w:rFonts w:ascii="宋体"/>
          <w:snapToGrid w:val="0"/>
          <w:kern w:val="0"/>
          <w:sz w:val="52"/>
          <w:szCs w:val="52"/>
        </w:rPr>
      </w:pPr>
      <w:bookmarkStart w:id="219" w:name="_GoBack"/>
      <w:bookmarkEnd w:id="219"/>
    </w:p>
    <w:p>
      <w:pPr>
        <w:autoSpaceDE w:val="0"/>
        <w:autoSpaceDN w:val="0"/>
        <w:adjustRightInd w:val="0"/>
        <w:snapToGrid w:val="0"/>
        <w:spacing w:line="360" w:lineRule="auto"/>
        <w:jc w:val="center"/>
        <w:rPr>
          <w:rFonts w:ascii="宋体"/>
          <w:b/>
          <w:snapToGrid w:val="0"/>
          <w:kern w:val="0"/>
          <w:sz w:val="72"/>
          <w:szCs w:val="72"/>
        </w:rPr>
      </w:pPr>
      <w:r>
        <w:rPr>
          <w:rFonts w:hint="eastAsia" w:ascii="宋体"/>
          <w:b/>
          <w:snapToGrid w:val="0"/>
          <w:kern w:val="0"/>
          <w:sz w:val="72"/>
          <w:szCs w:val="72"/>
        </w:rPr>
        <w:t>招标文件</w:t>
      </w:r>
    </w:p>
    <w:p>
      <w:pPr>
        <w:autoSpaceDE w:val="0"/>
        <w:autoSpaceDN w:val="0"/>
        <w:adjustRightInd w:val="0"/>
        <w:snapToGrid w:val="0"/>
        <w:spacing w:line="360" w:lineRule="auto"/>
        <w:jc w:val="center"/>
        <w:rPr>
          <w:rFonts w:ascii="宋体"/>
          <w:b/>
          <w:snapToGrid w:val="0"/>
          <w:kern w:val="0"/>
          <w:sz w:val="32"/>
          <w:szCs w:val="32"/>
        </w:rPr>
      </w:pPr>
    </w:p>
    <w:p>
      <w:pPr>
        <w:pStyle w:val="11"/>
        <w:snapToGrid w:val="0"/>
        <w:spacing w:line="360" w:lineRule="auto"/>
        <w:jc w:val="center"/>
        <w:rPr>
          <w:snapToGrid w:val="0"/>
          <w:kern w:val="0"/>
          <w:sz w:val="32"/>
        </w:rPr>
      </w:pPr>
    </w:p>
    <w:p>
      <w:pPr>
        <w:pStyle w:val="11"/>
        <w:snapToGrid w:val="0"/>
        <w:spacing w:line="360" w:lineRule="auto"/>
        <w:jc w:val="center"/>
        <w:rPr>
          <w:snapToGrid w:val="0"/>
          <w:kern w:val="0"/>
          <w:sz w:val="32"/>
        </w:rPr>
      </w:pPr>
    </w:p>
    <w:p>
      <w:pPr>
        <w:pStyle w:val="11"/>
        <w:snapToGrid w:val="0"/>
        <w:spacing w:line="360" w:lineRule="auto"/>
        <w:jc w:val="center"/>
        <w:rPr>
          <w:snapToGrid w:val="0"/>
          <w:kern w:val="0"/>
          <w:sz w:val="32"/>
        </w:rPr>
      </w:pPr>
    </w:p>
    <w:p>
      <w:pPr>
        <w:pStyle w:val="11"/>
        <w:snapToGrid w:val="0"/>
        <w:spacing w:line="360" w:lineRule="auto"/>
        <w:jc w:val="center"/>
        <w:rPr>
          <w:snapToGrid w:val="0"/>
          <w:kern w:val="0"/>
          <w:sz w:val="32"/>
        </w:rPr>
      </w:pPr>
    </w:p>
    <w:p>
      <w:pPr>
        <w:pStyle w:val="11"/>
        <w:snapToGrid w:val="0"/>
        <w:spacing w:line="360" w:lineRule="auto"/>
        <w:jc w:val="center"/>
        <w:rPr>
          <w:snapToGrid w:val="0"/>
          <w:kern w:val="0"/>
          <w:sz w:val="32"/>
        </w:rPr>
      </w:pPr>
    </w:p>
    <w:tbl>
      <w:tblPr>
        <w:tblStyle w:val="24"/>
        <w:tblW w:w="8591" w:type="dxa"/>
        <w:jc w:val="center"/>
        <w:tblLayout w:type="fixed"/>
        <w:tblCellMar>
          <w:top w:w="0" w:type="dxa"/>
          <w:left w:w="108" w:type="dxa"/>
          <w:bottom w:w="0" w:type="dxa"/>
          <w:right w:w="108" w:type="dxa"/>
        </w:tblCellMar>
      </w:tblPr>
      <w:tblGrid>
        <w:gridCol w:w="2376"/>
        <w:gridCol w:w="6215"/>
      </w:tblGrid>
      <w:tr>
        <w:tblPrEx>
          <w:tblCellMar>
            <w:top w:w="0" w:type="dxa"/>
            <w:left w:w="108" w:type="dxa"/>
            <w:bottom w:w="0" w:type="dxa"/>
            <w:right w:w="108" w:type="dxa"/>
          </w:tblCellMar>
        </w:tblPrEx>
        <w:trPr>
          <w:trHeight w:val="567" w:hRule="atLeast"/>
          <w:jc w:val="center"/>
        </w:trPr>
        <w:tc>
          <w:tcPr>
            <w:tcW w:w="2376" w:type="dxa"/>
            <w:tcBorders>
              <w:top w:val="nil"/>
              <w:left w:val="nil"/>
              <w:bottom w:val="nil"/>
              <w:right w:val="nil"/>
            </w:tcBorders>
            <w:vAlign w:val="center"/>
          </w:tcPr>
          <w:p>
            <w:pPr>
              <w:pStyle w:val="11"/>
              <w:snapToGrid w:val="0"/>
              <w:rPr>
                <w:snapToGrid w:val="0"/>
                <w:kern w:val="0"/>
                <w:sz w:val="32"/>
              </w:rPr>
            </w:pPr>
            <w:r>
              <w:rPr>
                <w:rFonts w:hint="eastAsia"/>
                <w:snapToGrid w:val="0"/>
                <w:kern w:val="0"/>
                <w:sz w:val="32"/>
              </w:rPr>
              <w:t>招   标   人：</w:t>
            </w:r>
          </w:p>
        </w:tc>
        <w:tc>
          <w:tcPr>
            <w:tcW w:w="6215" w:type="dxa"/>
            <w:tcBorders>
              <w:top w:val="nil"/>
              <w:left w:val="nil"/>
              <w:bottom w:val="nil"/>
              <w:right w:val="nil"/>
            </w:tcBorders>
            <w:vAlign w:val="center"/>
          </w:tcPr>
          <w:p>
            <w:pPr>
              <w:pStyle w:val="11"/>
              <w:snapToGrid w:val="0"/>
              <w:jc w:val="left"/>
              <w:rPr>
                <w:snapToGrid w:val="0"/>
                <w:kern w:val="0"/>
                <w:sz w:val="32"/>
              </w:rPr>
            </w:pPr>
            <w:r>
              <w:rPr>
                <w:rFonts w:hint="eastAsia"/>
                <w:snapToGrid w:val="0"/>
                <w:kern w:val="0"/>
                <w:sz w:val="32"/>
                <w:u w:val="single"/>
              </w:rPr>
              <w:t>浙江省烟草公司宁波市公司</w:t>
            </w:r>
          </w:p>
        </w:tc>
      </w:tr>
      <w:tr>
        <w:tblPrEx>
          <w:tblCellMar>
            <w:top w:w="0" w:type="dxa"/>
            <w:left w:w="108" w:type="dxa"/>
            <w:bottom w:w="0" w:type="dxa"/>
            <w:right w:w="108" w:type="dxa"/>
          </w:tblCellMar>
        </w:tblPrEx>
        <w:trPr>
          <w:trHeight w:val="567" w:hRule="atLeast"/>
          <w:jc w:val="center"/>
        </w:trPr>
        <w:tc>
          <w:tcPr>
            <w:tcW w:w="2376" w:type="dxa"/>
            <w:tcBorders>
              <w:top w:val="nil"/>
              <w:left w:val="nil"/>
              <w:bottom w:val="nil"/>
              <w:right w:val="nil"/>
            </w:tcBorders>
            <w:vAlign w:val="center"/>
          </w:tcPr>
          <w:p>
            <w:pPr>
              <w:pStyle w:val="11"/>
              <w:snapToGrid w:val="0"/>
              <w:rPr>
                <w:snapToGrid w:val="0"/>
                <w:kern w:val="0"/>
                <w:sz w:val="32"/>
              </w:rPr>
            </w:pPr>
            <w:r>
              <w:rPr>
                <w:rFonts w:hint="eastAsia"/>
                <w:snapToGrid w:val="0"/>
                <w:kern w:val="0"/>
                <w:sz w:val="32"/>
              </w:rPr>
              <w:t>招标代理机构：</w:t>
            </w:r>
          </w:p>
        </w:tc>
        <w:tc>
          <w:tcPr>
            <w:tcW w:w="6215" w:type="dxa"/>
            <w:tcBorders>
              <w:top w:val="nil"/>
              <w:left w:val="nil"/>
              <w:bottom w:val="nil"/>
              <w:right w:val="nil"/>
            </w:tcBorders>
            <w:vAlign w:val="center"/>
          </w:tcPr>
          <w:p>
            <w:pPr>
              <w:pStyle w:val="11"/>
              <w:snapToGrid w:val="0"/>
              <w:jc w:val="left"/>
              <w:rPr>
                <w:snapToGrid w:val="0"/>
                <w:kern w:val="0"/>
                <w:sz w:val="32"/>
              </w:rPr>
            </w:pPr>
            <w:r>
              <w:rPr>
                <w:rFonts w:hint="eastAsia"/>
                <w:snapToGrid w:val="0"/>
                <w:kern w:val="0"/>
                <w:sz w:val="32"/>
                <w:u w:val="single"/>
              </w:rPr>
              <w:t>中冠工程管理咨询有限公司</w:t>
            </w:r>
          </w:p>
        </w:tc>
      </w:tr>
      <w:tr>
        <w:tblPrEx>
          <w:tblCellMar>
            <w:top w:w="0" w:type="dxa"/>
            <w:left w:w="108" w:type="dxa"/>
            <w:bottom w:w="0" w:type="dxa"/>
            <w:right w:w="108" w:type="dxa"/>
          </w:tblCellMar>
        </w:tblPrEx>
        <w:trPr>
          <w:trHeight w:val="567" w:hRule="atLeast"/>
          <w:jc w:val="center"/>
        </w:trPr>
        <w:tc>
          <w:tcPr>
            <w:tcW w:w="8591" w:type="dxa"/>
            <w:gridSpan w:val="2"/>
            <w:tcBorders>
              <w:top w:val="nil"/>
              <w:left w:val="nil"/>
              <w:bottom w:val="nil"/>
              <w:right w:val="nil"/>
            </w:tcBorders>
            <w:vAlign w:val="center"/>
          </w:tcPr>
          <w:p>
            <w:pPr>
              <w:pStyle w:val="11"/>
              <w:snapToGrid w:val="0"/>
              <w:jc w:val="center"/>
              <w:rPr>
                <w:snapToGrid w:val="0"/>
                <w:kern w:val="0"/>
                <w:sz w:val="32"/>
              </w:rPr>
            </w:pPr>
            <w:r>
              <w:rPr>
                <w:rFonts w:hint="eastAsia"/>
                <w:snapToGrid w:val="0"/>
                <w:kern w:val="0"/>
                <w:sz w:val="32"/>
                <w:u w:val="single"/>
              </w:rPr>
              <w:t>2025</w:t>
            </w:r>
            <w:r>
              <w:rPr>
                <w:rFonts w:hint="eastAsia"/>
                <w:snapToGrid w:val="0"/>
                <w:kern w:val="0"/>
                <w:sz w:val="32"/>
              </w:rPr>
              <w:t>年</w:t>
            </w:r>
            <w:r>
              <w:rPr>
                <w:rFonts w:hint="eastAsia"/>
                <w:snapToGrid w:val="0"/>
                <w:kern w:val="0"/>
                <w:sz w:val="32"/>
                <w:u w:val="single"/>
              </w:rPr>
              <w:t xml:space="preserve"> 06 </w:t>
            </w:r>
            <w:r>
              <w:rPr>
                <w:rFonts w:hint="eastAsia"/>
                <w:snapToGrid w:val="0"/>
                <w:kern w:val="0"/>
                <w:sz w:val="32"/>
              </w:rPr>
              <w:t>月</w:t>
            </w:r>
            <w:r>
              <w:rPr>
                <w:rFonts w:hint="eastAsia"/>
                <w:snapToGrid w:val="0"/>
                <w:kern w:val="0"/>
                <w:sz w:val="32"/>
                <w:u w:val="single"/>
              </w:rPr>
              <w:t xml:space="preserve"> </w:t>
            </w:r>
            <w:r>
              <w:rPr>
                <w:rFonts w:hint="eastAsia"/>
                <w:snapToGrid w:val="0"/>
                <w:kern w:val="0"/>
                <w:sz w:val="32"/>
                <w:u w:val="single"/>
                <w:lang w:val="en-US" w:eastAsia="zh-CN"/>
              </w:rPr>
              <w:t>23</w:t>
            </w:r>
            <w:r>
              <w:rPr>
                <w:rFonts w:hint="eastAsia"/>
                <w:snapToGrid w:val="0"/>
                <w:kern w:val="0"/>
                <w:sz w:val="32"/>
                <w:u w:val="single"/>
              </w:rPr>
              <w:t xml:space="preserve"> </w:t>
            </w:r>
            <w:r>
              <w:rPr>
                <w:rFonts w:hint="eastAsia"/>
                <w:snapToGrid w:val="0"/>
                <w:kern w:val="0"/>
                <w:sz w:val="32"/>
              </w:rPr>
              <w:t>日</w:t>
            </w:r>
          </w:p>
        </w:tc>
      </w:tr>
    </w:tbl>
    <w:p>
      <w:pPr>
        <w:spacing w:line="360" w:lineRule="auto"/>
        <w:jc w:val="center"/>
        <w:rPr>
          <w:rFonts w:ascii="宋体" w:cs="宋体"/>
          <w:b/>
          <w:bCs/>
          <w:sz w:val="36"/>
        </w:rPr>
        <w:sectPr>
          <w:footerReference r:id="rId6" w:type="first"/>
          <w:headerReference r:id="rId3" w:type="default"/>
          <w:footerReference r:id="rId4" w:type="default"/>
          <w:footerReference r:id="rId5" w:type="even"/>
          <w:pgSz w:w="11906" w:h="16838"/>
          <w:pgMar w:top="1236" w:right="1134" w:bottom="1134" w:left="1134" w:header="680" w:footer="680" w:gutter="0"/>
          <w:cols w:space="720" w:num="1"/>
          <w:docGrid w:linePitch="312" w:charSpace="0"/>
        </w:sectPr>
      </w:pPr>
    </w:p>
    <w:p>
      <w:pPr>
        <w:pStyle w:val="3"/>
      </w:pPr>
      <w:bookmarkStart w:id="2" w:name="_Toc32174"/>
      <w:bookmarkStart w:id="3" w:name="_Toc105594487"/>
      <w:bookmarkStart w:id="4" w:name="_Toc4356"/>
      <w:r>
        <w:rPr>
          <w:rFonts w:hint="eastAsia"/>
        </w:rPr>
        <w:t>目  录</w:t>
      </w:r>
      <w:bookmarkEnd w:id="2"/>
      <w:bookmarkEnd w:id="3"/>
      <w:bookmarkEnd w:id="4"/>
    </w:p>
    <w:p>
      <w:pPr>
        <w:pStyle w:val="31"/>
        <w:tabs>
          <w:tab w:val="right" w:leader="dot" w:pos="9355"/>
        </w:tabs>
        <w:spacing w:line="360" w:lineRule="auto"/>
        <w:rPr>
          <w:rFonts w:ascii="宋体" w:cs="宋体"/>
          <w:b/>
          <w:bCs/>
          <w:sz w:val="28"/>
          <w:szCs w:val="28"/>
        </w:rPr>
      </w:pPr>
      <w:r>
        <w:rPr>
          <w:rFonts w:hint="eastAsia" w:ascii="宋体" w:cs="宋体"/>
          <w:sz w:val="28"/>
          <w:szCs w:val="28"/>
        </w:rPr>
        <w:fldChar w:fldCharType="begin"/>
      </w:r>
      <w:r>
        <w:rPr>
          <w:rFonts w:hint="eastAsia" w:ascii="宋体" w:cs="宋体"/>
          <w:sz w:val="28"/>
          <w:szCs w:val="28"/>
        </w:rPr>
        <w:instrText xml:space="preserve">TOC \o "1-2" \h \u </w:instrText>
      </w:r>
      <w:r>
        <w:rPr>
          <w:rFonts w:hint="eastAsia" w:ascii="宋体" w:cs="宋体"/>
          <w:sz w:val="28"/>
          <w:szCs w:val="28"/>
        </w:rPr>
        <w:fldChar w:fldCharType="separate"/>
      </w:r>
      <w:r>
        <w:fldChar w:fldCharType="begin"/>
      </w:r>
      <w:r>
        <w:instrText xml:space="preserve"> HYPERLINK \l "_Toc23764" </w:instrText>
      </w:r>
      <w:r>
        <w:fldChar w:fldCharType="separate"/>
      </w:r>
      <w:r>
        <w:rPr>
          <w:rFonts w:hint="eastAsia" w:ascii="宋体" w:cs="宋体"/>
          <w:b/>
          <w:bCs/>
          <w:sz w:val="28"/>
          <w:szCs w:val="28"/>
        </w:rPr>
        <w:t>第一章 招标公告</w:t>
      </w:r>
      <w:r>
        <w:rPr>
          <w:rFonts w:hint="eastAsia" w:ascii="宋体" w:cs="宋体"/>
          <w:b/>
          <w:bCs/>
          <w:sz w:val="28"/>
          <w:szCs w:val="28"/>
        </w:rPr>
        <w:tab/>
      </w:r>
      <w:r>
        <w:rPr>
          <w:rFonts w:hint="eastAsia" w:ascii="宋体" w:cs="宋体"/>
          <w:b/>
          <w:bCs/>
          <w:sz w:val="28"/>
          <w:szCs w:val="28"/>
        </w:rPr>
        <w:fldChar w:fldCharType="begin"/>
      </w:r>
      <w:r>
        <w:rPr>
          <w:rFonts w:hint="eastAsia" w:ascii="宋体" w:cs="宋体"/>
          <w:b/>
          <w:bCs/>
          <w:sz w:val="28"/>
          <w:szCs w:val="28"/>
        </w:rPr>
        <w:instrText xml:space="preserve"> PAGEREF _Toc23764 \h </w:instrText>
      </w:r>
      <w:r>
        <w:rPr>
          <w:rFonts w:hint="eastAsia" w:ascii="宋体" w:cs="宋体"/>
          <w:b/>
          <w:bCs/>
          <w:sz w:val="28"/>
          <w:szCs w:val="28"/>
        </w:rPr>
        <w:fldChar w:fldCharType="separate"/>
      </w:r>
      <w:r>
        <w:rPr>
          <w:rFonts w:hint="eastAsia" w:ascii="宋体" w:cs="宋体"/>
          <w:b/>
          <w:bCs/>
          <w:sz w:val="28"/>
          <w:szCs w:val="28"/>
        </w:rPr>
        <w:t>1</w:t>
      </w:r>
      <w:r>
        <w:rPr>
          <w:rFonts w:hint="eastAsia" w:ascii="宋体" w:cs="宋体"/>
          <w:b/>
          <w:bCs/>
          <w:sz w:val="28"/>
          <w:szCs w:val="28"/>
        </w:rPr>
        <w:fldChar w:fldCharType="end"/>
      </w:r>
      <w:r>
        <w:rPr>
          <w:rFonts w:hint="eastAsia" w:ascii="宋体" w:cs="宋体"/>
          <w:b/>
          <w:bCs/>
          <w:sz w:val="28"/>
          <w:szCs w:val="28"/>
        </w:rPr>
        <w:fldChar w:fldCharType="end"/>
      </w:r>
    </w:p>
    <w:p>
      <w:pPr>
        <w:pStyle w:val="31"/>
        <w:tabs>
          <w:tab w:val="right" w:leader="dot" w:pos="9355"/>
        </w:tabs>
        <w:spacing w:line="360" w:lineRule="auto"/>
        <w:rPr>
          <w:rFonts w:ascii="宋体" w:cs="宋体"/>
          <w:b/>
          <w:bCs/>
          <w:sz w:val="28"/>
          <w:szCs w:val="28"/>
        </w:rPr>
      </w:pPr>
      <w:r>
        <w:fldChar w:fldCharType="begin"/>
      </w:r>
      <w:r>
        <w:instrText xml:space="preserve"> HYPERLINK \l "_Toc14867" </w:instrText>
      </w:r>
      <w:r>
        <w:fldChar w:fldCharType="separate"/>
      </w:r>
      <w:r>
        <w:rPr>
          <w:rFonts w:hint="eastAsia" w:ascii="宋体" w:cs="宋体"/>
          <w:b/>
          <w:bCs/>
          <w:sz w:val="28"/>
          <w:szCs w:val="28"/>
        </w:rPr>
        <w:t>第二章 投标人须知</w:t>
      </w:r>
      <w:r>
        <w:rPr>
          <w:rFonts w:hint="eastAsia" w:ascii="宋体" w:cs="宋体"/>
          <w:b/>
          <w:bCs/>
          <w:sz w:val="28"/>
          <w:szCs w:val="28"/>
        </w:rPr>
        <w:tab/>
      </w:r>
      <w:r>
        <w:rPr>
          <w:rFonts w:hint="eastAsia" w:ascii="宋体" w:cs="宋体"/>
          <w:b/>
          <w:bCs/>
          <w:sz w:val="28"/>
          <w:szCs w:val="28"/>
        </w:rPr>
        <w:fldChar w:fldCharType="begin"/>
      </w:r>
      <w:r>
        <w:rPr>
          <w:rFonts w:hint="eastAsia" w:ascii="宋体" w:cs="宋体"/>
          <w:b/>
          <w:bCs/>
          <w:sz w:val="28"/>
          <w:szCs w:val="28"/>
        </w:rPr>
        <w:instrText xml:space="preserve"> PAGEREF _Toc14867 \h </w:instrText>
      </w:r>
      <w:r>
        <w:rPr>
          <w:rFonts w:hint="eastAsia" w:ascii="宋体" w:cs="宋体"/>
          <w:b/>
          <w:bCs/>
          <w:sz w:val="28"/>
          <w:szCs w:val="28"/>
        </w:rPr>
        <w:fldChar w:fldCharType="separate"/>
      </w:r>
      <w:r>
        <w:rPr>
          <w:rFonts w:hint="eastAsia" w:ascii="宋体" w:cs="宋体"/>
          <w:b/>
          <w:bCs/>
          <w:sz w:val="28"/>
          <w:szCs w:val="28"/>
        </w:rPr>
        <w:t>5</w:t>
      </w:r>
      <w:r>
        <w:rPr>
          <w:rFonts w:hint="eastAsia" w:ascii="宋体" w:cs="宋体"/>
          <w:b/>
          <w:bCs/>
          <w:sz w:val="28"/>
          <w:szCs w:val="28"/>
        </w:rPr>
        <w:fldChar w:fldCharType="end"/>
      </w:r>
      <w:r>
        <w:rPr>
          <w:rFonts w:hint="eastAsia" w:ascii="宋体" w:cs="宋体"/>
          <w:b/>
          <w:bCs/>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"_Toc23371" </w:instrText>
      </w:r>
      <w:r>
        <w:fldChar w:fldCharType="separate"/>
      </w:r>
      <w:r>
        <w:rPr>
          <w:rFonts w:hint="eastAsia" w:ascii="宋体" w:cs="宋体"/>
          <w:sz w:val="28"/>
          <w:szCs w:val="28"/>
          <w:lang w:val="zh-CN"/>
        </w:rPr>
        <w:t>投标</w:t>
      </w:r>
      <w:r>
        <w:rPr>
          <w:rFonts w:hint="eastAsia" w:ascii="宋体" w:cs="宋体"/>
          <w:sz w:val="28"/>
          <w:szCs w:val="28"/>
        </w:rPr>
        <w:t>人</w:t>
      </w:r>
      <w:r>
        <w:rPr>
          <w:rFonts w:hint="eastAsia" w:ascii="宋体" w:cs="宋体"/>
          <w:sz w:val="28"/>
          <w:szCs w:val="28"/>
          <w:lang w:val="zh-CN"/>
        </w:rPr>
        <w:t>须知前附表</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_Toc23371 \h </w:instrText>
      </w:r>
      <w:r>
        <w:rPr>
          <w:rFonts w:hint="eastAsia" w:ascii="宋体" w:cs="宋体"/>
          <w:sz w:val="28"/>
          <w:szCs w:val="28"/>
        </w:rPr>
        <w:fldChar w:fldCharType="separate"/>
      </w:r>
      <w:r>
        <w:rPr>
          <w:rFonts w:hint="eastAsia" w:ascii="宋体" w:cs="宋体"/>
          <w:sz w:val="28"/>
          <w:szCs w:val="28"/>
        </w:rPr>
        <w:t>5</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"_Toc24138" </w:instrText>
      </w:r>
      <w:r>
        <w:fldChar w:fldCharType="separate"/>
      </w:r>
      <w:r>
        <w:rPr>
          <w:rFonts w:hint="eastAsia" w:ascii="宋体" w:cs="宋体"/>
          <w:sz w:val="28"/>
          <w:szCs w:val="28"/>
        </w:rPr>
        <w:t>一、总则</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_Toc24138 \h </w:instrText>
      </w:r>
      <w:r>
        <w:rPr>
          <w:rFonts w:hint="eastAsia" w:ascii="宋体" w:cs="宋体"/>
          <w:sz w:val="28"/>
          <w:szCs w:val="28"/>
        </w:rPr>
        <w:fldChar w:fldCharType="separate"/>
      </w:r>
      <w:r>
        <w:rPr>
          <w:rFonts w:hint="eastAsia" w:ascii="宋体" w:cs="宋体"/>
          <w:sz w:val="28"/>
          <w:szCs w:val="28"/>
        </w:rPr>
        <w:t>11</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"_Toc5324" </w:instrText>
      </w:r>
      <w:r>
        <w:fldChar w:fldCharType="separate"/>
      </w:r>
      <w:r>
        <w:rPr>
          <w:rFonts w:hint="eastAsia" w:ascii="宋体" w:cs="宋体"/>
          <w:sz w:val="28"/>
          <w:szCs w:val="28"/>
        </w:rPr>
        <w:t>二、招标文件</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_Toc5324 \h </w:instrText>
      </w:r>
      <w:r>
        <w:rPr>
          <w:rFonts w:hint="eastAsia" w:ascii="宋体" w:cs="宋体"/>
          <w:sz w:val="28"/>
          <w:szCs w:val="28"/>
        </w:rPr>
        <w:fldChar w:fldCharType="separate"/>
      </w:r>
      <w:r>
        <w:rPr>
          <w:rFonts w:hint="eastAsia" w:ascii="宋体" w:cs="宋体"/>
          <w:sz w:val="28"/>
          <w:szCs w:val="28"/>
        </w:rPr>
        <w:t>12</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"_Toc6268" </w:instrText>
      </w:r>
      <w:r>
        <w:fldChar w:fldCharType="separate"/>
      </w:r>
      <w:r>
        <w:rPr>
          <w:rFonts w:hint="eastAsia" w:ascii="宋体" w:cs="宋体"/>
          <w:sz w:val="28"/>
          <w:szCs w:val="28"/>
        </w:rPr>
        <w:t>三、投标文件</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_Toc6268 \h </w:instrText>
      </w:r>
      <w:r>
        <w:rPr>
          <w:rFonts w:hint="eastAsia" w:ascii="宋体" w:cs="宋体"/>
          <w:sz w:val="28"/>
          <w:szCs w:val="28"/>
        </w:rPr>
        <w:fldChar w:fldCharType="separate"/>
      </w:r>
      <w:r>
        <w:rPr>
          <w:rFonts w:hint="eastAsia" w:ascii="宋体" w:cs="宋体"/>
          <w:sz w:val="28"/>
          <w:szCs w:val="28"/>
        </w:rPr>
        <w:t>13</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"_Toc9909" </w:instrText>
      </w:r>
      <w:r>
        <w:fldChar w:fldCharType="separate"/>
      </w:r>
      <w:r>
        <w:rPr>
          <w:rFonts w:hint="eastAsia" w:ascii="宋体" w:cs="宋体"/>
          <w:sz w:val="28"/>
          <w:szCs w:val="28"/>
        </w:rPr>
        <w:t>四、投标</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_Toc9909 \h </w:instrText>
      </w:r>
      <w:r>
        <w:rPr>
          <w:rFonts w:hint="eastAsia" w:ascii="宋体" w:cs="宋体"/>
          <w:sz w:val="28"/>
          <w:szCs w:val="28"/>
        </w:rPr>
        <w:fldChar w:fldCharType="separate"/>
      </w:r>
      <w:r>
        <w:rPr>
          <w:rFonts w:hint="eastAsia" w:ascii="宋体" w:cs="宋体"/>
          <w:sz w:val="28"/>
          <w:szCs w:val="28"/>
        </w:rPr>
        <w:t>15</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"_Toc17242" </w:instrText>
      </w:r>
      <w:r>
        <w:fldChar w:fldCharType="separate"/>
      </w:r>
      <w:r>
        <w:rPr>
          <w:rFonts w:hint="eastAsia" w:ascii="宋体" w:cs="宋体"/>
          <w:sz w:val="28"/>
          <w:szCs w:val="28"/>
        </w:rPr>
        <w:t>五、开标</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_Toc17242 \h </w:instrText>
      </w:r>
      <w:r>
        <w:rPr>
          <w:rFonts w:hint="eastAsia" w:ascii="宋体" w:cs="宋体"/>
          <w:sz w:val="28"/>
          <w:szCs w:val="28"/>
        </w:rPr>
        <w:fldChar w:fldCharType="separate"/>
      </w:r>
      <w:r>
        <w:rPr>
          <w:rFonts w:hint="eastAsia" w:ascii="宋体" w:cs="宋体"/>
          <w:sz w:val="28"/>
          <w:szCs w:val="28"/>
        </w:rPr>
        <w:t>16</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"_Toc7661" </w:instrText>
      </w:r>
      <w:r>
        <w:fldChar w:fldCharType="separate"/>
      </w:r>
      <w:r>
        <w:rPr>
          <w:rFonts w:hint="eastAsia" w:ascii="宋体" w:cs="宋体"/>
          <w:sz w:val="28"/>
          <w:szCs w:val="28"/>
        </w:rPr>
        <w:t>六、评标</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_Toc7661 \h </w:instrText>
      </w:r>
      <w:r>
        <w:rPr>
          <w:rFonts w:hint="eastAsia" w:ascii="宋体" w:cs="宋体"/>
          <w:sz w:val="28"/>
          <w:szCs w:val="28"/>
        </w:rPr>
        <w:fldChar w:fldCharType="separate"/>
      </w:r>
      <w:r>
        <w:rPr>
          <w:rFonts w:hint="eastAsia" w:ascii="宋体" w:cs="宋体"/>
          <w:sz w:val="28"/>
          <w:szCs w:val="28"/>
        </w:rPr>
        <w:t>16</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"_Toc10587" </w:instrText>
      </w:r>
      <w:r>
        <w:fldChar w:fldCharType="separate"/>
      </w:r>
      <w:r>
        <w:rPr>
          <w:rFonts w:hint="eastAsia" w:ascii="宋体" w:cs="宋体"/>
          <w:sz w:val="28"/>
          <w:szCs w:val="28"/>
        </w:rPr>
        <w:t>七、定标</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_Toc10587 \h </w:instrText>
      </w:r>
      <w:r>
        <w:rPr>
          <w:rFonts w:hint="eastAsia" w:ascii="宋体" w:cs="宋体"/>
          <w:sz w:val="28"/>
          <w:szCs w:val="28"/>
        </w:rPr>
        <w:fldChar w:fldCharType="separate"/>
      </w:r>
      <w:r>
        <w:rPr>
          <w:rFonts w:hint="eastAsia" w:ascii="宋体" w:cs="宋体"/>
          <w:sz w:val="28"/>
          <w:szCs w:val="28"/>
        </w:rPr>
        <w:t>18</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"_Toc28561" </w:instrText>
      </w:r>
      <w:r>
        <w:fldChar w:fldCharType="separate"/>
      </w:r>
      <w:r>
        <w:rPr>
          <w:rFonts w:hint="eastAsia" w:ascii="宋体" w:cs="宋体"/>
          <w:sz w:val="28"/>
          <w:szCs w:val="28"/>
        </w:rPr>
        <w:t>八、合同授予</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_Toc28561 \h </w:instrText>
      </w:r>
      <w:r>
        <w:rPr>
          <w:rFonts w:hint="eastAsia" w:ascii="宋体" w:cs="宋体"/>
          <w:sz w:val="28"/>
          <w:szCs w:val="28"/>
        </w:rPr>
        <w:fldChar w:fldCharType="separate"/>
      </w:r>
      <w:r>
        <w:rPr>
          <w:rFonts w:hint="eastAsia" w:ascii="宋体" w:cs="宋体"/>
          <w:sz w:val="28"/>
          <w:szCs w:val="28"/>
        </w:rPr>
        <w:t>18</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"_Toc30114" </w:instrText>
      </w:r>
      <w:r>
        <w:fldChar w:fldCharType="separate"/>
      </w:r>
      <w:r>
        <w:rPr>
          <w:rFonts w:hint="eastAsia" w:ascii="宋体" w:cs="宋体"/>
          <w:sz w:val="28"/>
          <w:szCs w:val="28"/>
        </w:rPr>
        <w:t>九、招标失败</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_Toc30114 \h </w:instrText>
      </w:r>
      <w:r>
        <w:rPr>
          <w:rFonts w:hint="eastAsia" w:ascii="宋体" w:cs="宋体"/>
          <w:sz w:val="28"/>
          <w:szCs w:val="28"/>
        </w:rPr>
        <w:fldChar w:fldCharType="separate"/>
      </w:r>
      <w:r>
        <w:rPr>
          <w:rFonts w:hint="eastAsia" w:ascii="宋体" w:cs="宋体"/>
          <w:sz w:val="28"/>
          <w:szCs w:val="28"/>
        </w:rPr>
        <w:t>19</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"_Toc25283" </w:instrText>
      </w:r>
      <w:r>
        <w:fldChar w:fldCharType="separate"/>
      </w:r>
      <w:r>
        <w:rPr>
          <w:rFonts w:hint="eastAsia" w:ascii="宋体" w:cs="宋体"/>
          <w:sz w:val="28"/>
          <w:szCs w:val="28"/>
        </w:rPr>
        <w:t>十、质疑和投诉</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_Toc25283 \h </w:instrText>
      </w:r>
      <w:r>
        <w:rPr>
          <w:rFonts w:hint="eastAsia" w:ascii="宋体" w:cs="宋体"/>
          <w:sz w:val="28"/>
          <w:szCs w:val="28"/>
        </w:rPr>
        <w:fldChar w:fldCharType="separate"/>
      </w:r>
      <w:r>
        <w:rPr>
          <w:rFonts w:hint="eastAsia" w:ascii="宋体" w:cs="宋体"/>
          <w:sz w:val="28"/>
          <w:szCs w:val="28"/>
        </w:rPr>
        <w:t>20</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"_Toc16658" </w:instrText>
      </w:r>
      <w:r>
        <w:fldChar w:fldCharType="separate"/>
      </w:r>
      <w:r>
        <w:rPr>
          <w:rFonts w:hint="eastAsia" w:ascii="宋体" w:cs="宋体"/>
          <w:sz w:val="28"/>
          <w:szCs w:val="28"/>
        </w:rPr>
        <w:t>十一、其他需要补充的内容</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_Toc16658 \h </w:instrText>
      </w:r>
      <w:r>
        <w:rPr>
          <w:rFonts w:hint="eastAsia" w:ascii="宋体" w:cs="宋体"/>
          <w:sz w:val="28"/>
          <w:szCs w:val="28"/>
        </w:rPr>
        <w:fldChar w:fldCharType="separate"/>
      </w:r>
      <w:r>
        <w:rPr>
          <w:rFonts w:hint="eastAsia" w:ascii="宋体" w:cs="宋体"/>
          <w:sz w:val="28"/>
          <w:szCs w:val="28"/>
        </w:rPr>
        <w:t>20</w:t>
      </w:r>
      <w:r>
        <w:rPr>
          <w:rFonts w:hint="eastAsia" w:ascii="宋体" w:cs="宋体"/>
          <w:sz w:val="28"/>
          <w:szCs w:val="28"/>
        </w:rPr>
        <w:fldChar w:fldCharType="end"/>
      </w:r>
      <w:r>
        <w:rPr>
          <w:rFonts w:hint="eastAsia" w:ascii="宋体" w:cs="宋体"/>
          <w:sz w:val="28"/>
          <w:szCs w:val="28"/>
        </w:rPr>
        <w:fldChar w:fldCharType="end"/>
      </w:r>
    </w:p>
    <w:p>
      <w:pPr>
        <w:pStyle w:val="31"/>
        <w:tabs>
          <w:tab w:val="right" w:leader="dot" w:pos="9355"/>
        </w:tabs>
        <w:spacing w:line="360" w:lineRule="auto"/>
        <w:rPr>
          <w:rFonts w:ascii="宋体" w:cs="宋体"/>
          <w:b/>
          <w:bCs/>
          <w:sz w:val="28"/>
          <w:szCs w:val="28"/>
        </w:rPr>
      </w:pPr>
      <w:r>
        <w:fldChar w:fldCharType="begin"/>
      </w:r>
      <w:r>
        <w:instrText xml:space="preserve"> HYPERLINK \l "_Toc2562" </w:instrText>
      </w:r>
      <w:r>
        <w:fldChar w:fldCharType="separate"/>
      </w:r>
      <w:r>
        <w:rPr>
          <w:rFonts w:hint="eastAsia" w:ascii="宋体" w:cs="宋体"/>
          <w:b/>
          <w:bCs/>
          <w:sz w:val="28"/>
          <w:szCs w:val="28"/>
        </w:rPr>
        <w:t>第三章 招标内容及要求</w:t>
      </w:r>
      <w:r>
        <w:rPr>
          <w:rFonts w:hint="eastAsia" w:ascii="宋体" w:cs="宋体"/>
          <w:b/>
          <w:bCs/>
          <w:sz w:val="28"/>
          <w:szCs w:val="28"/>
        </w:rPr>
        <w:tab/>
      </w:r>
      <w:r>
        <w:rPr>
          <w:rFonts w:hint="eastAsia" w:ascii="宋体" w:cs="宋体"/>
          <w:b/>
          <w:bCs/>
          <w:sz w:val="28"/>
          <w:szCs w:val="28"/>
        </w:rPr>
        <w:fldChar w:fldCharType="begin"/>
      </w:r>
      <w:r>
        <w:rPr>
          <w:rFonts w:hint="eastAsia" w:ascii="宋体" w:cs="宋体"/>
          <w:b/>
          <w:bCs/>
          <w:sz w:val="28"/>
          <w:szCs w:val="28"/>
        </w:rPr>
        <w:instrText xml:space="preserve"> PAGEREF _Toc2562 \h </w:instrText>
      </w:r>
      <w:r>
        <w:rPr>
          <w:rFonts w:hint="eastAsia" w:ascii="宋体" w:cs="宋体"/>
          <w:b/>
          <w:bCs/>
          <w:sz w:val="28"/>
          <w:szCs w:val="28"/>
        </w:rPr>
        <w:fldChar w:fldCharType="separate"/>
      </w:r>
      <w:r>
        <w:rPr>
          <w:rFonts w:hint="eastAsia" w:ascii="宋体" w:cs="宋体"/>
          <w:b/>
          <w:bCs/>
          <w:sz w:val="28"/>
          <w:szCs w:val="28"/>
        </w:rPr>
        <w:t>21</w:t>
      </w:r>
      <w:r>
        <w:rPr>
          <w:rFonts w:hint="eastAsia" w:ascii="宋体" w:cs="宋体"/>
          <w:b/>
          <w:bCs/>
          <w:sz w:val="28"/>
          <w:szCs w:val="28"/>
        </w:rPr>
        <w:fldChar w:fldCharType="end"/>
      </w:r>
      <w:r>
        <w:rPr>
          <w:rFonts w:hint="eastAsia" w:ascii="宋体" w:cs="宋体"/>
          <w:b/>
          <w:bCs/>
          <w:sz w:val="28"/>
          <w:szCs w:val="28"/>
        </w:rPr>
        <w:fldChar w:fldCharType="end"/>
      </w:r>
    </w:p>
    <w:p>
      <w:pPr>
        <w:pStyle w:val="31"/>
        <w:tabs>
          <w:tab w:val="right" w:leader="dot" w:pos="9355"/>
        </w:tabs>
        <w:spacing w:line="360" w:lineRule="auto"/>
        <w:rPr>
          <w:rFonts w:ascii="宋体" w:cs="宋体"/>
          <w:b/>
          <w:bCs/>
          <w:sz w:val="28"/>
          <w:szCs w:val="28"/>
        </w:rPr>
      </w:pPr>
      <w:r>
        <w:fldChar w:fldCharType="begin"/>
      </w:r>
      <w:r>
        <w:instrText xml:space="preserve"> HYPERLINK \l "_Toc17606" </w:instrText>
      </w:r>
      <w:r>
        <w:fldChar w:fldCharType="separate"/>
      </w:r>
      <w:r>
        <w:rPr>
          <w:rFonts w:hint="eastAsia" w:ascii="宋体" w:cs="宋体"/>
          <w:b/>
          <w:bCs/>
          <w:sz w:val="28"/>
          <w:szCs w:val="28"/>
        </w:rPr>
        <w:t>第四章 评标方法及评分标准</w:t>
      </w:r>
      <w:r>
        <w:rPr>
          <w:rFonts w:hint="eastAsia" w:ascii="宋体" w:cs="宋体"/>
          <w:b/>
          <w:bCs/>
          <w:sz w:val="28"/>
          <w:szCs w:val="28"/>
        </w:rPr>
        <w:tab/>
      </w:r>
      <w:r>
        <w:rPr>
          <w:rFonts w:hint="eastAsia" w:ascii="宋体" w:cs="宋体"/>
          <w:b/>
          <w:bCs/>
          <w:sz w:val="28"/>
          <w:szCs w:val="28"/>
        </w:rPr>
        <w:fldChar w:fldCharType="begin"/>
      </w:r>
      <w:r>
        <w:rPr>
          <w:rFonts w:hint="eastAsia" w:ascii="宋体" w:cs="宋体"/>
          <w:b/>
          <w:bCs/>
          <w:sz w:val="28"/>
          <w:szCs w:val="28"/>
        </w:rPr>
        <w:instrText xml:space="preserve"> PAGEREF _Toc17606 \h </w:instrText>
      </w:r>
      <w:r>
        <w:rPr>
          <w:rFonts w:hint="eastAsia" w:ascii="宋体" w:cs="宋体"/>
          <w:b/>
          <w:bCs/>
          <w:sz w:val="28"/>
          <w:szCs w:val="28"/>
        </w:rPr>
        <w:fldChar w:fldCharType="separate"/>
      </w:r>
      <w:r>
        <w:rPr>
          <w:rFonts w:hint="eastAsia" w:ascii="宋体" w:cs="宋体"/>
          <w:b/>
          <w:bCs/>
          <w:sz w:val="28"/>
          <w:szCs w:val="28"/>
        </w:rPr>
        <w:t>38</w:t>
      </w:r>
      <w:r>
        <w:rPr>
          <w:rFonts w:hint="eastAsia" w:ascii="宋体" w:cs="宋体"/>
          <w:b/>
          <w:bCs/>
          <w:sz w:val="28"/>
          <w:szCs w:val="28"/>
        </w:rPr>
        <w:fldChar w:fldCharType="end"/>
      </w:r>
      <w:r>
        <w:rPr>
          <w:rFonts w:hint="eastAsia" w:ascii="宋体" w:cs="宋体"/>
          <w:b/>
          <w:bCs/>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"_Toc20526" </w:instrText>
      </w:r>
      <w:r>
        <w:fldChar w:fldCharType="separate"/>
      </w:r>
      <w:r>
        <w:rPr>
          <w:rFonts w:hint="eastAsia" w:ascii="宋体" w:cs="宋体"/>
          <w:sz w:val="28"/>
          <w:szCs w:val="28"/>
        </w:rPr>
        <w:t>一、评标办法</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_Toc20526 \h </w:instrText>
      </w:r>
      <w:r>
        <w:rPr>
          <w:rFonts w:hint="eastAsia" w:ascii="宋体" w:cs="宋体"/>
          <w:sz w:val="28"/>
          <w:szCs w:val="28"/>
        </w:rPr>
        <w:fldChar w:fldCharType="separate"/>
      </w:r>
      <w:r>
        <w:rPr>
          <w:rFonts w:hint="eastAsia" w:ascii="宋体" w:cs="宋体"/>
          <w:sz w:val="28"/>
          <w:szCs w:val="28"/>
        </w:rPr>
        <w:t>38</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"_Toc17805" </w:instrText>
      </w:r>
      <w:r>
        <w:fldChar w:fldCharType="separate"/>
      </w:r>
      <w:r>
        <w:rPr>
          <w:rFonts w:hint="eastAsia" w:ascii="宋体" w:cs="宋体"/>
          <w:sz w:val="28"/>
          <w:szCs w:val="28"/>
        </w:rPr>
        <w:t>二、评标程序</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_Toc17805 \h </w:instrText>
      </w:r>
      <w:r>
        <w:rPr>
          <w:rFonts w:hint="eastAsia" w:ascii="宋体" w:cs="宋体"/>
          <w:sz w:val="28"/>
          <w:szCs w:val="28"/>
        </w:rPr>
        <w:fldChar w:fldCharType="separate"/>
      </w:r>
      <w:r>
        <w:rPr>
          <w:rFonts w:hint="eastAsia" w:ascii="宋体" w:cs="宋体"/>
          <w:sz w:val="28"/>
          <w:szCs w:val="28"/>
        </w:rPr>
        <w:t>38</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"_Toc32411" </w:instrText>
      </w:r>
      <w:r>
        <w:fldChar w:fldCharType="separate"/>
      </w:r>
      <w:r>
        <w:rPr>
          <w:rFonts w:hint="eastAsia" w:ascii="宋体" w:cs="宋体"/>
          <w:bCs/>
          <w:sz w:val="28"/>
          <w:szCs w:val="28"/>
          <w:lang w:bidi="ar"/>
        </w:rPr>
        <w:t>三、</w:t>
      </w:r>
      <w:r>
        <w:rPr>
          <w:rFonts w:hint="eastAsia" w:ascii="宋体" w:cs="宋体"/>
          <w:bCs/>
          <w:sz w:val="28"/>
          <w:szCs w:val="28"/>
        </w:rPr>
        <w:t>报价错误修正</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_Toc32411 \h </w:instrText>
      </w:r>
      <w:r>
        <w:rPr>
          <w:rFonts w:hint="eastAsia" w:ascii="宋体" w:cs="宋体"/>
          <w:sz w:val="28"/>
          <w:szCs w:val="28"/>
        </w:rPr>
        <w:fldChar w:fldCharType="separate"/>
      </w:r>
      <w:r>
        <w:rPr>
          <w:rFonts w:hint="eastAsia" w:ascii="宋体" w:cs="宋体"/>
          <w:sz w:val="28"/>
          <w:szCs w:val="28"/>
        </w:rPr>
        <w:t>40</w:t>
      </w:r>
      <w:r>
        <w:rPr>
          <w:rFonts w:hint="eastAsia" w:ascii="宋体" w:cs="宋体"/>
          <w:sz w:val="28"/>
          <w:szCs w:val="28"/>
        </w:rPr>
        <w:fldChar w:fldCharType="end"/>
      </w:r>
      <w:r>
        <w:rPr>
          <w:rFonts w:hint="eastAsia" w:ascii="宋体" w:cs="宋体"/>
          <w:sz w:val="28"/>
          <w:szCs w:val="28"/>
        </w:rPr>
        <w:fldChar w:fldCharType="end"/>
      </w:r>
    </w:p>
    <w:p>
      <w:pPr>
        <w:pStyle w:val="32"/>
        <w:tabs>
          <w:tab w:val="right" w:leader="dot" w:pos="9355"/>
        </w:tabs>
        <w:spacing w:line="360" w:lineRule="auto"/>
        <w:ind w:left="420"/>
        <w:rPr>
          <w:rFonts w:ascii="宋体" w:cs="宋体"/>
          <w:sz w:val="28"/>
          <w:szCs w:val="28"/>
        </w:rPr>
      </w:pPr>
      <w:r>
        <w:fldChar w:fldCharType="begin"/>
      </w:r>
      <w:r>
        <w:instrText xml:space="preserve"> HYPERLINK \l "_Toc10274" </w:instrText>
      </w:r>
      <w:r>
        <w:fldChar w:fldCharType="separate"/>
      </w:r>
      <w:r>
        <w:rPr>
          <w:rFonts w:hint="eastAsia" w:ascii="宋体" w:cs="宋体"/>
          <w:bCs/>
          <w:sz w:val="28"/>
          <w:szCs w:val="28"/>
        </w:rPr>
        <w:t>四、评分细则</w:t>
      </w:r>
      <w:r>
        <w:rPr>
          <w:rFonts w:hint="eastAsia" w:ascii="宋体" w:cs="宋体"/>
          <w:sz w:val="28"/>
          <w:szCs w:val="28"/>
        </w:rPr>
        <w:tab/>
      </w:r>
      <w:r>
        <w:rPr>
          <w:rFonts w:hint="eastAsia" w:ascii="宋体" w:cs="宋体"/>
          <w:sz w:val="28"/>
          <w:szCs w:val="28"/>
        </w:rPr>
        <w:fldChar w:fldCharType="begin"/>
      </w:r>
      <w:r>
        <w:rPr>
          <w:rFonts w:hint="eastAsia" w:ascii="宋体" w:cs="宋体"/>
          <w:sz w:val="28"/>
          <w:szCs w:val="28"/>
        </w:rPr>
        <w:instrText xml:space="preserve"> PAGEREF _Toc10274 \h </w:instrText>
      </w:r>
      <w:r>
        <w:rPr>
          <w:rFonts w:hint="eastAsia" w:ascii="宋体" w:cs="宋体"/>
          <w:sz w:val="28"/>
          <w:szCs w:val="28"/>
        </w:rPr>
        <w:fldChar w:fldCharType="separate"/>
      </w:r>
      <w:r>
        <w:rPr>
          <w:rFonts w:hint="eastAsia" w:ascii="宋体" w:cs="宋体"/>
          <w:sz w:val="28"/>
          <w:szCs w:val="28"/>
        </w:rPr>
        <w:t>40</w:t>
      </w:r>
      <w:r>
        <w:rPr>
          <w:rFonts w:hint="eastAsia" w:ascii="宋体" w:cs="宋体"/>
          <w:sz w:val="28"/>
          <w:szCs w:val="28"/>
        </w:rPr>
        <w:fldChar w:fldCharType="end"/>
      </w:r>
      <w:r>
        <w:rPr>
          <w:rFonts w:hint="eastAsia" w:ascii="宋体" w:cs="宋体"/>
          <w:sz w:val="28"/>
          <w:szCs w:val="28"/>
        </w:rPr>
        <w:fldChar w:fldCharType="end"/>
      </w:r>
    </w:p>
    <w:p>
      <w:pPr>
        <w:pStyle w:val="31"/>
        <w:tabs>
          <w:tab w:val="right" w:leader="dot" w:pos="9355"/>
        </w:tabs>
        <w:spacing w:line="360" w:lineRule="auto"/>
        <w:rPr>
          <w:rFonts w:ascii="宋体" w:cs="宋体"/>
          <w:b/>
          <w:bCs/>
          <w:sz w:val="28"/>
          <w:szCs w:val="28"/>
        </w:rPr>
      </w:pPr>
      <w:r>
        <w:fldChar w:fldCharType="begin"/>
      </w:r>
      <w:r>
        <w:instrText xml:space="preserve"> HYPERLINK \l "_Toc3305" </w:instrText>
      </w:r>
      <w:r>
        <w:fldChar w:fldCharType="separate"/>
      </w:r>
      <w:r>
        <w:rPr>
          <w:rFonts w:hint="eastAsia" w:ascii="宋体" w:cs="宋体"/>
          <w:b/>
          <w:bCs/>
          <w:sz w:val="28"/>
          <w:szCs w:val="28"/>
        </w:rPr>
        <w:t>第五章 合同文本</w:t>
      </w:r>
      <w:r>
        <w:rPr>
          <w:rFonts w:hint="eastAsia" w:ascii="宋体" w:cs="宋体"/>
          <w:b/>
          <w:bCs/>
          <w:sz w:val="28"/>
          <w:szCs w:val="28"/>
        </w:rPr>
        <w:tab/>
      </w:r>
      <w:r>
        <w:rPr>
          <w:rFonts w:hint="eastAsia" w:ascii="宋体" w:cs="宋体"/>
          <w:b/>
          <w:bCs/>
          <w:sz w:val="28"/>
          <w:szCs w:val="28"/>
        </w:rPr>
        <w:fldChar w:fldCharType="begin"/>
      </w:r>
      <w:r>
        <w:rPr>
          <w:rFonts w:hint="eastAsia" w:ascii="宋体" w:cs="宋体"/>
          <w:b/>
          <w:bCs/>
          <w:sz w:val="28"/>
          <w:szCs w:val="28"/>
        </w:rPr>
        <w:instrText xml:space="preserve"> PAGEREF _Toc3305 \h </w:instrText>
      </w:r>
      <w:r>
        <w:rPr>
          <w:rFonts w:hint="eastAsia" w:ascii="宋体" w:cs="宋体"/>
          <w:b/>
          <w:bCs/>
          <w:sz w:val="28"/>
          <w:szCs w:val="28"/>
        </w:rPr>
        <w:fldChar w:fldCharType="separate"/>
      </w:r>
      <w:r>
        <w:rPr>
          <w:rFonts w:hint="eastAsia" w:ascii="宋体" w:cs="宋体"/>
          <w:b/>
          <w:bCs/>
          <w:sz w:val="28"/>
          <w:szCs w:val="28"/>
        </w:rPr>
        <w:t>44</w:t>
      </w:r>
      <w:r>
        <w:rPr>
          <w:rFonts w:hint="eastAsia" w:ascii="宋体" w:cs="宋体"/>
          <w:b/>
          <w:bCs/>
          <w:sz w:val="28"/>
          <w:szCs w:val="28"/>
        </w:rPr>
        <w:fldChar w:fldCharType="end"/>
      </w:r>
      <w:r>
        <w:rPr>
          <w:rFonts w:hint="eastAsia" w:ascii="宋体" w:cs="宋体"/>
          <w:b/>
          <w:bCs/>
          <w:sz w:val="28"/>
          <w:szCs w:val="28"/>
        </w:rPr>
        <w:fldChar w:fldCharType="end"/>
      </w:r>
    </w:p>
    <w:p>
      <w:pPr>
        <w:pStyle w:val="31"/>
        <w:tabs>
          <w:tab w:val="right" w:leader="dot" w:pos="9355"/>
        </w:tabs>
        <w:spacing w:line="360" w:lineRule="auto"/>
        <w:rPr>
          <w:b/>
          <w:bCs/>
          <w:sz w:val="28"/>
          <w:szCs w:val="28"/>
        </w:rPr>
      </w:pPr>
      <w:r>
        <w:fldChar w:fldCharType="begin"/>
      </w:r>
      <w:r>
        <w:instrText xml:space="preserve"> HYPERLINK \l "_Toc7207" </w:instrText>
      </w:r>
      <w:r>
        <w:fldChar w:fldCharType="separate"/>
      </w:r>
      <w:r>
        <w:rPr>
          <w:rFonts w:hint="eastAsia" w:ascii="宋体" w:cs="宋体"/>
          <w:b/>
          <w:bCs/>
          <w:kern w:val="44"/>
          <w:sz w:val="28"/>
          <w:szCs w:val="28"/>
          <w:lang w:bidi="ar"/>
        </w:rPr>
        <w:t>第六章 投标文件格式</w:t>
      </w:r>
      <w:r>
        <w:rPr>
          <w:rFonts w:hint="eastAsia" w:ascii="宋体" w:cs="宋体"/>
          <w:b/>
          <w:bCs/>
          <w:sz w:val="28"/>
          <w:szCs w:val="28"/>
        </w:rPr>
        <w:tab/>
      </w:r>
      <w:r>
        <w:rPr>
          <w:rFonts w:hint="eastAsia" w:ascii="宋体" w:cs="宋体"/>
          <w:b/>
          <w:bCs/>
          <w:sz w:val="28"/>
          <w:szCs w:val="28"/>
        </w:rPr>
        <w:fldChar w:fldCharType="begin"/>
      </w:r>
      <w:r>
        <w:rPr>
          <w:rFonts w:hint="eastAsia" w:ascii="宋体" w:cs="宋体"/>
          <w:b/>
          <w:bCs/>
          <w:sz w:val="28"/>
          <w:szCs w:val="28"/>
        </w:rPr>
        <w:instrText xml:space="preserve"> PAGEREF _Toc7207 \h </w:instrText>
      </w:r>
      <w:r>
        <w:rPr>
          <w:rFonts w:hint="eastAsia" w:ascii="宋体" w:cs="宋体"/>
          <w:b/>
          <w:bCs/>
          <w:sz w:val="28"/>
          <w:szCs w:val="28"/>
        </w:rPr>
        <w:fldChar w:fldCharType="separate"/>
      </w:r>
      <w:r>
        <w:rPr>
          <w:rFonts w:hint="eastAsia" w:ascii="宋体" w:cs="宋体"/>
          <w:b/>
          <w:bCs/>
          <w:sz w:val="28"/>
          <w:szCs w:val="28"/>
        </w:rPr>
        <w:t>62</w:t>
      </w:r>
      <w:r>
        <w:rPr>
          <w:rFonts w:hint="eastAsia" w:ascii="宋体" w:cs="宋体"/>
          <w:b/>
          <w:bCs/>
          <w:sz w:val="28"/>
          <w:szCs w:val="28"/>
        </w:rPr>
        <w:fldChar w:fldCharType="end"/>
      </w:r>
      <w:r>
        <w:rPr>
          <w:rFonts w:hint="eastAsia" w:ascii="宋体" w:cs="宋体"/>
          <w:b/>
          <w:bCs/>
          <w:sz w:val="28"/>
          <w:szCs w:val="28"/>
        </w:rPr>
        <w:fldChar w:fldCharType="end"/>
      </w:r>
    </w:p>
    <w:p>
      <w:pPr>
        <w:pStyle w:val="31"/>
        <w:tabs>
          <w:tab w:val="right" w:leader="dot" w:pos="9355"/>
        </w:tabs>
        <w:spacing w:line="360" w:lineRule="auto"/>
        <w:sectPr>
          <w:footerReference r:id="rId9" w:type="first"/>
          <w:footerReference r:id="rId7" w:type="default"/>
          <w:footerReference r:id="rId8" w:type="even"/>
          <w:pgSz w:w="11907" w:h="16840"/>
          <w:pgMar w:top="1134" w:right="1134" w:bottom="1418" w:left="1418" w:header="737" w:footer="907" w:gutter="0"/>
          <w:pgNumType w:start="1"/>
          <w:cols w:space="720" w:num="1"/>
          <w:docGrid w:linePitch="312" w:charSpace="0"/>
        </w:sectPr>
      </w:pPr>
      <w:r>
        <w:rPr>
          <w:rFonts w:hint="eastAsia" w:ascii="宋体" w:cs="宋体"/>
          <w:sz w:val="28"/>
          <w:szCs w:val="28"/>
        </w:rPr>
        <w:fldChar w:fldCharType="end"/>
      </w:r>
    </w:p>
    <w:p>
      <w:pPr>
        <w:pStyle w:val="2"/>
      </w:pPr>
      <w:bookmarkStart w:id="5" w:name="_Toc23764"/>
      <w:bookmarkStart w:id="6" w:name="_Toc105594488"/>
      <w:r>
        <w:rPr>
          <w:rFonts w:hint="eastAsia"/>
        </w:rPr>
        <w:t>第一章 招标公告</w:t>
      </w:r>
      <w:bookmarkEnd w:id="5"/>
      <w:bookmarkEnd w:id="6"/>
    </w:p>
    <w:p>
      <w:pPr>
        <w:spacing w:line="360" w:lineRule="auto"/>
        <w:ind w:firstLine="480" w:firstLineChars="200"/>
        <w:jc w:val="left"/>
        <w:rPr>
          <w:rFonts w:ascii="宋体"/>
          <w:sz w:val="24"/>
          <w:lang w:val="zh-CN"/>
        </w:rPr>
      </w:pPr>
      <w:r>
        <w:rPr>
          <w:rFonts w:hint="eastAsia" w:ascii="宋体"/>
          <w:sz w:val="24"/>
          <w:u w:val="single"/>
        </w:rPr>
        <w:t>中冠工程管理咨询有限公司</w:t>
      </w:r>
      <w:r>
        <w:rPr>
          <w:rFonts w:hint="eastAsia" w:ascii="宋体"/>
          <w:sz w:val="24"/>
        </w:rPr>
        <w:t>受</w:t>
      </w:r>
      <w:r>
        <w:rPr>
          <w:rFonts w:hint="eastAsia" w:ascii="宋体"/>
          <w:sz w:val="24"/>
          <w:u w:val="single"/>
        </w:rPr>
        <w:t>浙江省烟草公司宁波市公司</w:t>
      </w:r>
      <w:r>
        <w:rPr>
          <w:rFonts w:hint="eastAsia" w:ascii="宋体"/>
          <w:sz w:val="24"/>
        </w:rPr>
        <w:t>委托，对</w:t>
      </w:r>
      <w:r>
        <w:rPr>
          <w:rFonts w:hint="eastAsia" w:ascii="宋体"/>
          <w:sz w:val="24"/>
          <w:u w:val="single"/>
        </w:rPr>
        <w:t>宁波市烟草公司配送中心全品规备货系统扩容技改项目</w:t>
      </w:r>
      <w:r>
        <w:rPr>
          <w:rFonts w:hint="eastAsia" w:ascii="宋体"/>
          <w:sz w:val="24"/>
        </w:rPr>
        <w:t>进行国内公开招标。本项目是非政府采购项目，采用电子招标方式，通过资格后审的方法确定合格投标人。</w:t>
      </w:r>
      <w:r>
        <w:rPr>
          <w:rFonts w:hint="eastAsia" w:ascii="宋体"/>
          <w:sz w:val="24"/>
          <w:lang w:val="zh-CN"/>
        </w:rPr>
        <w:t>欢迎对本项目有兴趣并</w:t>
      </w:r>
      <w:r>
        <w:rPr>
          <w:rFonts w:hint="eastAsia" w:ascii="宋体"/>
          <w:sz w:val="24"/>
        </w:rPr>
        <w:t>符合资格条件</w:t>
      </w:r>
      <w:r>
        <w:rPr>
          <w:rFonts w:hint="eastAsia" w:ascii="宋体"/>
          <w:sz w:val="24"/>
          <w:lang w:val="zh-CN"/>
        </w:rPr>
        <w:t>的投标人参加投标。</w:t>
      </w:r>
    </w:p>
    <w:p>
      <w:pPr>
        <w:pStyle w:val="3"/>
      </w:pPr>
      <w:bookmarkStart w:id="7" w:name="OLE_LINK13"/>
      <w:bookmarkStart w:id="8" w:name="_Toc3684"/>
      <w:bookmarkStart w:id="9" w:name="_Toc27830"/>
      <w:bookmarkStart w:id="10" w:name="_Toc11303"/>
      <w:r>
        <w:rPr>
          <w:rFonts w:hint="eastAsia"/>
        </w:rPr>
        <w:t>一、项目基本情况</w:t>
      </w:r>
      <w:bookmarkEnd w:id="7"/>
      <w:bookmarkEnd w:id="8"/>
      <w:bookmarkEnd w:id="9"/>
      <w:bookmarkEnd w:id="10"/>
    </w:p>
    <w:p>
      <w:pPr>
        <w:spacing w:line="360" w:lineRule="auto"/>
        <w:ind w:firstLine="480" w:firstLineChars="200"/>
        <w:jc w:val="left"/>
        <w:rPr>
          <w:rFonts w:ascii="宋体"/>
          <w:sz w:val="24"/>
          <w:u w:val="single"/>
        </w:rPr>
      </w:pPr>
      <w:r>
        <w:rPr>
          <w:rFonts w:hint="eastAsia" w:ascii="宋体"/>
          <w:sz w:val="24"/>
        </w:rPr>
        <w:t>1.项目名称：</w:t>
      </w:r>
      <w:r>
        <w:rPr>
          <w:rFonts w:hint="eastAsia" w:ascii="宋体"/>
          <w:sz w:val="24"/>
          <w:u w:val="single"/>
        </w:rPr>
        <w:t>宁波市烟草公司配送中心全品规备货系统扩容技改项目</w:t>
      </w:r>
      <w:r>
        <w:rPr>
          <w:rFonts w:hint="eastAsia" w:ascii="宋体"/>
          <w:sz w:val="24"/>
        </w:rPr>
        <w:t>；</w:t>
      </w:r>
    </w:p>
    <w:p>
      <w:pPr>
        <w:spacing w:line="360" w:lineRule="auto"/>
        <w:ind w:firstLine="480" w:firstLineChars="200"/>
        <w:jc w:val="left"/>
        <w:rPr>
          <w:rFonts w:ascii="宋体"/>
          <w:sz w:val="24"/>
          <w:u w:val="single"/>
        </w:rPr>
      </w:pPr>
      <w:r>
        <w:rPr>
          <w:rFonts w:hint="eastAsia" w:ascii="宋体"/>
          <w:sz w:val="24"/>
        </w:rPr>
        <w:t>2.招标编号：</w:t>
      </w:r>
      <w:r>
        <w:rPr>
          <w:rFonts w:hint="eastAsia" w:ascii="宋体"/>
          <w:sz w:val="24"/>
          <w:u w:val="single"/>
        </w:rPr>
        <w:t>NBYC-CT3302250206*（ZGZB2025-251）</w:t>
      </w:r>
      <w:r>
        <w:rPr>
          <w:rFonts w:hint="eastAsia" w:ascii="宋体"/>
          <w:sz w:val="24"/>
        </w:rPr>
        <w:t>；</w:t>
      </w:r>
    </w:p>
    <w:p>
      <w:pPr>
        <w:spacing w:line="360" w:lineRule="auto"/>
        <w:ind w:firstLine="480" w:firstLineChars="200"/>
        <w:jc w:val="left"/>
        <w:rPr>
          <w:rFonts w:ascii="宋体"/>
          <w:sz w:val="24"/>
          <w:u w:val="single"/>
        </w:rPr>
      </w:pPr>
      <w:r>
        <w:rPr>
          <w:rFonts w:hint="eastAsia" w:ascii="宋体"/>
          <w:sz w:val="24"/>
        </w:rPr>
        <w:t>3.项目实施地点：</w:t>
      </w:r>
      <w:r>
        <w:rPr>
          <w:rFonts w:hint="eastAsia" w:ascii="宋体"/>
          <w:sz w:val="24"/>
          <w:u w:val="single"/>
        </w:rPr>
        <w:t>浙江省宁波市海曙区科创南路269号宁波烟草卷烟配送中心</w:t>
      </w:r>
      <w:r>
        <w:rPr>
          <w:rFonts w:hint="eastAsia" w:ascii="宋体"/>
          <w:sz w:val="24"/>
        </w:rPr>
        <w:t>；</w:t>
      </w:r>
    </w:p>
    <w:p>
      <w:pPr>
        <w:spacing w:line="360" w:lineRule="auto"/>
        <w:ind w:firstLine="480" w:firstLineChars="200"/>
        <w:jc w:val="left"/>
        <w:rPr>
          <w:rFonts w:ascii="宋体"/>
          <w:sz w:val="24"/>
          <w:u w:val="single"/>
        </w:rPr>
      </w:pPr>
      <w:r>
        <w:rPr>
          <w:rFonts w:hint="eastAsia" w:ascii="宋体"/>
          <w:sz w:val="24"/>
        </w:rPr>
        <w:t>4.项目概算：</w:t>
      </w:r>
      <w:r>
        <w:rPr>
          <w:rFonts w:hint="eastAsia" w:ascii="宋体"/>
          <w:sz w:val="24"/>
          <w:u w:val="single"/>
        </w:rPr>
        <w:t>人民币60</w:t>
      </w:r>
      <w:r>
        <w:rPr>
          <w:rFonts w:hint="eastAsia" w:ascii="宋体"/>
          <w:sz w:val="24"/>
          <w:u w:val="single"/>
          <w:lang w:val="en-US" w:eastAsia="zh-CN"/>
        </w:rPr>
        <w:t>8</w:t>
      </w:r>
      <w:r>
        <w:rPr>
          <w:rFonts w:hint="eastAsia" w:ascii="宋体"/>
          <w:sz w:val="24"/>
          <w:u w:val="single"/>
        </w:rPr>
        <w:t>万元</w:t>
      </w:r>
      <w:r>
        <w:rPr>
          <w:rFonts w:hint="eastAsia" w:ascii="宋体"/>
          <w:sz w:val="24"/>
        </w:rPr>
        <w:t>；最高限价：</w:t>
      </w:r>
      <w:r>
        <w:rPr>
          <w:rFonts w:hint="eastAsia" w:ascii="宋体"/>
          <w:sz w:val="24"/>
          <w:highlight w:val="none"/>
          <w:u w:val="single"/>
        </w:rPr>
        <w:t>人民币607.664万元</w:t>
      </w:r>
      <w:r>
        <w:rPr>
          <w:rFonts w:hint="eastAsia" w:ascii="宋体"/>
          <w:sz w:val="24"/>
        </w:rPr>
        <w:t>；</w:t>
      </w:r>
    </w:p>
    <w:p>
      <w:pPr>
        <w:spacing w:line="360" w:lineRule="auto"/>
        <w:ind w:firstLine="480" w:firstLineChars="200"/>
        <w:jc w:val="left"/>
        <w:rPr>
          <w:rFonts w:ascii="宋体"/>
          <w:sz w:val="24"/>
        </w:rPr>
      </w:pPr>
      <w:r>
        <w:rPr>
          <w:rFonts w:hint="eastAsia" w:ascii="宋体"/>
          <w:sz w:val="24"/>
        </w:rPr>
        <w:t>5.招标内容：</w:t>
      </w:r>
      <w:r>
        <w:rPr>
          <w:rFonts w:hint="eastAsia" w:cs="宋体"/>
          <w:bCs/>
          <w:sz w:val="24"/>
          <w:u w:val="single"/>
        </w:rPr>
        <w:t>本项目包含多穿库建设、备件库烟道扩增、出入库传输辊柱线改造等</w:t>
      </w:r>
      <w:r>
        <w:rPr>
          <w:rFonts w:hint="eastAsia" w:cs="宋体"/>
          <w:bCs/>
          <w:sz w:val="24"/>
        </w:rPr>
        <w:t>，详见招标文件第三章“招标内容及要求”。工期：合同签订完毕，自接到招标人供货安装通知后90日历天内完成设备供货、安装、调试，并具备基本生产条件。</w:t>
      </w:r>
    </w:p>
    <w:p>
      <w:pPr>
        <w:pStyle w:val="3"/>
      </w:pPr>
      <w:bookmarkStart w:id="11" w:name="_Toc7240"/>
      <w:bookmarkStart w:id="12" w:name="_Toc16568"/>
      <w:bookmarkStart w:id="13" w:name="OLE_LINK14"/>
      <w:bookmarkStart w:id="14" w:name="_Toc16791"/>
      <w:r>
        <w:rPr>
          <w:rFonts w:hint="eastAsia"/>
        </w:rPr>
        <w:t>二、投标人资格条件</w:t>
      </w:r>
      <w:bookmarkEnd w:id="11"/>
      <w:bookmarkEnd w:id="12"/>
      <w:bookmarkEnd w:id="13"/>
      <w:bookmarkEnd w:id="14"/>
    </w:p>
    <w:p>
      <w:pPr>
        <w:spacing w:line="360" w:lineRule="auto"/>
        <w:ind w:firstLine="480" w:firstLineChars="200"/>
        <w:rPr>
          <w:rFonts w:ascii="宋体" w:cs="宋体"/>
          <w:sz w:val="24"/>
        </w:rPr>
      </w:pPr>
      <w:r>
        <w:rPr>
          <w:rFonts w:hint="eastAsia" w:ascii="宋体" w:cs="宋体"/>
          <w:sz w:val="24"/>
        </w:rPr>
        <w:t>1.在中华人民共和国境内注册，</w:t>
      </w:r>
      <w:r>
        <w:rPr>
          <w:rFonts w:hint="eastAsia" w:ascii="宋体" w:cs="宋体"/>
          <w:kern w:val="0"/>
          <w:sz w:val="24"/>
          <w:lang w:bidi="ar"/>
        </w:rPr>
        <w:t>☑具有</w:t>
      </w:r>
      <w:r>
        <w:rPr>
          <w:rStyle w:val="42"/>
          <w:color w:val="auto"/>
          <w:lang w:bidi="ar"/>
        </w:rPr>
        <w:t>法人资格</w:t>
      </w:r>
      <w:r>
        <w:rPr>
          <w:rStyle w:val="43"/>
          <w:color w:val="auto"/>
          <w:lang w:bidi="ar"/>
        </w:rPr>
        <w:t>/</w:t>
      </w:r>
      <w:r>
        <w:rPr>
          <w:rFonts w:hint="eastAsia" w:ascii="Segoe UI Symbol" w:hAnsi="Segoe UI Symbol" w:cs="Segoe UI Symbol"/>
          <w:kern w:val="0"/>
          <w:sz w:val="24"/>
          <w:lang w:bidi="ar"/>
        </w:rPr>
        <w:t>□</w:t>
      </w:r>
      <w:r>
        <w:rPr>
          <w:rStyle w:val="43"/>
          <w:color w:val="auto"/>
          <w:lang w:bidi="ar"/>
        </w:rPr>
        <w:t>具有承担民事责任能力的</w:t>
      </w:r>
      <w:r>
        <w:rPr>
          <w:rStyle w:val="42"/>
          <w:color w:val="auto"/>
          <w:lang w:bidi="ar"/>
        </w:rPr>
        <w:t>法人、非法人组织</w:t>
      </w:r>
      <w:r>
        <w:rPr>
          <w:rStyle w:val="43"/>
          <w:rFonts w:hint="eastAsia"/>
          <w:color w:val="auto"/>
          <w:lang w:bidi="ar"/>
        </w:rPr>
        <w:t>（</w:t>
      </w:r>
      <w:r>
        <w:rPr>
          <w:rStyle w:val="43"/>
          <w:color w:val="auto"/>
          <w:lang w:bidi="ar"/>
        </w:rPr>
        <w:t>包括</w:t>
      </w:r>
      <w:r>
        <w:rPr>
          <w:rStyle w:val="42"/>
          <w:color w:val="auto"/>
          <w:lang w:bidi="ar"/>
        </w:rPr>
        <w:t>个人独资企业、合伙企业、不具有法人资格的专业服务机构</w:t>
      </w:r>
      <w:r>
        <w:rPr>
          <w:rStyle w:val="43"/>
          <w:color w:val="auto"/>
          <w:lang w:bidi="ar"/>
        </w:rPr>
        <w:t>等</w:t>
      </w:r>
      <w:r>
        <w:rPr>
          <w:rStyle w:val="43"/>
          <w:rFonts w:hint="eastAsia"/>
          <w:color w:val="auto"/>
          <w:lang w:bidi="ar"/>
        </w:rPr>
        <w:t>）</w:t>
      </w:r>
      <w:r>
        <w:rPr>
          <w:rStyle w:val="43"/>
          <w:color w:val="auto"/>
          <w:lang w:bidi="ar"/>
        </w:rPr>
        <w:t>；</w:t>
      </w:r>
      <w:r>
        <w:rPr>
          <w:rFonts w:hint="eastAsia" w:ascii="宋体" w:cs="宋体"/>
          <w:sz w:val="24"/>
        </w:rPr>
        <w:t>具备</w:t>
      </w:r>
      <w:r>
        <w:rPr>
          <w:rFonts w:hint="eastAsia" w:cs="宋体"/>
          <w:sz w:val="24"/>
        </w:rPr>
        <w:t>有效营业执照（或者事业单位法人证书、社会团体法人登记证书、其他组织登记证明文件）；</w:t>
      </w:r>
    </w:p>
    <w:p>
      <w:pPr>
        <w:spacing w:line="360" w:lineRule="auto"/>
        <w:ind w:firstLine="480" w:firstLineChars="200"/>
        <w:rPr>
          <w:rFonts w:ascii="宋体" w:cs="宋体"/>
          <w:sz w:val="24"/>
        </w:rPr>
      </w:pPr>
      <w:r>
        <w:rPr>
          <w:rFonts w:hint="eastAsia" w:ascii="宋体" w:cs="宋体"/>
          <w:sz w:val="24"/>
        </w:rPr>
        <w:t>2.</w:t>
      </w:r>
      <w:bookmarkStart w:id="15" w:name="_Hlk105247872"/>
      <w:r>
        <w:rPr>
          <w:rFonts w:hint="eastAsia" w:ascii="宋体" w:cs="宋体"/>
          <w:sz w:val="24"/>
        </w:rPr>
        <w:t>从投标截止之日起前3年（成立不足3年的可从成立之日起算</w:t>
      </w:r>
      <w:bookmarkEnd w:id="15"/>
      <w:r>
        <w:rPr>
          <w:rFonts w:hint="eastAsia" w:ascii="宋体" w:cs="宋体"/>
          <w:sz w:val="24"/>
        </w:rPr>
        <w:t>），投标人、法定代表人</w:t>
      </w:r>
      <w:r>
        <w:rPr>
          <w:rFonts w:hint="eastAsia" w:ascii="宋体" w:cs="宋体"/>
          <w:snapToGrid w:val="0"/>
          <w:sz w:val="24"/>
        </w:rPr>
        <w:t>、</w:t>
      </w:r>
      <w:r>
        <w:rPr>
          <w:rFonts w:ascii="Segoe UI Symbol" w:hAnsi="Segoe UI Symbol" w:cs="Segoe UI Symbol"/>
          <w:snapToGrid w:val="0"/>
          <w:kern w:val="0"/>
          <w:sz w:val="24"/>
        </w:rPr>
        <w:t>☑</w:t>
      </w:r>
      <w:r>
        <w:rPr>
          <w:rFonts w:hint="eastAsia" w:ascii="宋体" w:cs="宋体"/>
          <w:sz w:val="24"/>
        </w:rPr>
        <w:t>项目负责人无行贿行为记录。在本公告发布之日起至投标截止之日前，应通过中国裁判文书网分开、单独查询投标人、法定代表人</w:t>
      </w:r>
      <w:r>
        <w:rPr>
          <w:rFonts w:hint="eastAsia" w:ascii="宋体" w:cs="宋体"/>
          <w:snapToGrid w:val="0"/>
          <w:sz w:val="24"/>
        </w:rPr>
        <w:t>、</w:t>
      </w:r>
      <w:r>
        <w:rPr>
          <w:rFonts w:ascii="Segoe UI Symbol" w:hAnsi="Segoe UI Symbol" w:cs="Segoe UI Symbol"/>
          <w:snapToGrid w:val="0"/>
          <w:kern w:val="0"/>
          <w:sz w:val="24"/>
        </w:rPr>
        <w:t>☑</w:t>
      </w:r>
      <w:r>
        <w:rPr>
          <w:rFonts w:hint="eastAsia" w:ascii="宋体" w:cs="宋体"/>
          <w:sz w:val="24"/>
        </w:rPr>
        <w:t>项目负责人的无行贿行为记录（前款允许其他组织投标时，非法人单位提供单位负责人的无行贿行为记录）；</w:t>
      </w:r>
    </w:p>
    <w:p>
      <w:pPr>
        <w:spacing w:line="360" w:lineRule="auto"/>
        <w:ind w:firstLine="480" w:firstLineChars="200"/>
        <w:rPr>
          <w:rFonts w:ascii="宋体" w:cs="宋体"/>
          <w:kern w:val="0"/>
          <w:sz w:val="24"/>
        </w:rPr>
      </w:pPr>
      <w:r>
        <w:rPr>
          <w:rFonts w:hint="eastAsia" w:ascii="宋体" w:cs="宋体"/>
          <w:sz w:val="24"/>
        </w:rPr>
        <w:t>3.从投标截止日起前3年（成立不足3年的可从成立之日起算），投标人在经营活动中无重大违法记录（</w:t>
      </w:r>
      <w:r>
        <w:rPr>
          <w:rFonts w:hint="eastAsia" w:ascii="宋体" w:cs="宋体"/>
          <w:kern w:val="0"/>
          <w:sz w:val="24"/>
        </w:rPr>
        <w:t>重大违法记录是指投标人因违法经营受到刑事处罚或者责令停产停业、吊销许可证或者执照、较大数额罚款（200万元以上）等行政处罚）；</w:t>
      </w:r>
    </w:p>
    <w:p>
      <w:pPr>
        <w:spacing w:line="360" w:lineRule="auto"/>
        <w:ind w:firstLine="480" w:firstLineChars="200"/>
        <w:rPr>
          <w:rFonts w:ascii="宋体" w:cs="宋体"/>
          <w:bCs/>
          <w:sz w:val="24"/>
        </w:rPr>
      </w:pPr>
      <w:r>
        <w:rPr>
          <w:rFonts w:hint="eastAsia" w:ascii="宋体" w:cs="宋体"/>
          <w:sz w:val="24"/>
        </w:rPr>
        <w:t>4.类似案例要求：</w:t>
      </w:r>
      <w:r>
        <w:rPr>
          <w:rFonts w:hint="eastAsia" w:ascii="Segoe UI Symbol" w:hAnsi="Segoe UI Symbol" w:cs="Segoe UI Symbol"/>
          <w:snapToGrid w:val="0"/>
          <w:kern w:val="0"/>
          <w:sz w:val="24"/>
        </w:rPr>
        <w:t>□</w:t>
      </w:r>
      <w:r>
        <w:rPr>
          <w:rFonts w:hint="eastAsia" w:ascii="宋体" w:cs="宋体"/>
          <w:snapToGrid w:val="0"/>
          <w:sz w:val="24"/>
        </w:rPr>
        <w:t>无</w:t>
      </w:r>
      <w:r>
        <w:rPr>
          <w:rFonts w:hint="eastAsia" w:ascii="宋体" w:cs="宋体"/>
          <w:sz w:val="24"/>
        </w:rPr>
        <w:t>/</w:t>
      </w:r>
      <w:r>
        <w:rPr>
          <w:rFonts w:hint="eastAsia" w:ascii="宋体" w:cs="宋体"/>
          <w:snapToGrid w:val="0"/>
          <w:kern w:val="0"/>
          <w:sz w:val="24"/>
        </w:rPr>
        <w:t>☑</w:t>
      </w:r>
      <w:r>
        <w:rPr>
          <w:rFonts w:hint="eastAsia" w:ascii="宋体" w:cs="宋体"/>
          <w:snapToGrid w:val="0"/>
          <w:sz w:val="24"/>
        </w:rPr>
        <w:t>有，</w:t>
      </w:r>
      <w:r>
        <w:rPr>
          <w:rFonts w:hint="eastAsia" w:ascii="宋体" w:cs="宋体"/>
          <w:sz w:val="24"/>
          <w:u w:val="single"/>
        </w:rPr>
        <w:t xml:space="preserve"> </w:t>
      </w:r>
      <w:r>
        <w:rPr>
          <w:rFonts w:hint="eastAsia" w:ascii="宋体" w:cs="宋体"/>
          <w:sz w:val="24"/>
          <w:highlight w:val="none"/>
          <w:u w:val="single"/>
        </w:rPr>
        <w:t>2020</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01 </w:t>
      </w:r>
      <w:r>
        <w:rPr>
          <w:rFonts w:hint="eastAsia" w:ascii="宋体" w:cs="宋体"/>
          <w:sz w:val="24"/>
        </w:rPr>
        <w:t>月</w:t>
      </w:r>
      <w:r>
        <w:rPr>
          <w:rFonts w:hint="eastAsia" w:ascii="宋体" w:cs="宋体"/>
          <w:sz w:val="24"/>
          <w:u w:val="single"/>
        </w:rPr>
        <w:t xml:space="preserve"> 01 </w:t>
      </w:r>
      <w:r>
        <w:rPr>
          <w:rFonts w:hint="eastAsia" w:ascii="宋体" w:cs="宋体"/>
          <w:sz w:val="24"/>
        </w:rPr>
        <w:t>日以来，投标人具有</w:t>
      </w:r>
      <w:r>
        <w:rPr>
          <w:rFonts w:hint="eastAsia" w:ascii="宋体" w:cs="宋体"/>
          <w:sz w:val="24"/>
          <w:u w:val="single"/>
        </w:rPr>
        <w:t xml:space="preserve"> 含多穿备货</w:t>
      </w:r>
      <w:r>
        <w:rPr>
          <w:rFonts w:hint="eastAsia" w:ascii="宋体" w:cs="宋体"/>
          <w:sz w:val="24"/>
          <w:u w:val="single"/>
          <w:lang w:val="en-US" w:eastAsia="zh-CN"/>
        </w:rPr>
        <w:t>设备</w:t>
      </w:r>
      <w:r>
        <w:rPr>
          <w:rFonts w:hint="eastAsia" w:ascii="宋体" w:cs="宋体"/>
          <w:sz w:val="24"/>
          <w:u w:val="single"/>
        </w:rPr>
        <w:t xml:space="preserve">的 </w:t>
      </w:r>
      <w:r>
        <w:rPr>
          <w:rFonts w:hint="eastAsia" w:ascii="宋体" w:cs="宋体"/>
          <w:sz w:val="24"/>
        </w:rPr>
        <w:t>类似项目案例1例，</w:t>
      </w:r>
      <w:r>
        <w:rPr>
          <w:rFonts w:hint="eastAsia" w:ascii="宋体"/>
          <w:bCs/>
          <w:sz w:val="24"/>
        </w:rPr>
        <w:t>提供合同及对应发票（至少1份）复印件，并在合同及对应发票复印件上加盖投标人公章</w:t>
      </w:r>
      <w:r>
        <w:rPr>
          <w:rFonts w:hint="eastAsia" w:ascii="宋体" w:cs="宋体"/>
          <w:bCs/>
          <w:sz w:val="24"/>
        </w:rPr>
        <w:t>；</w:t>
      </w:r>
    </w:p>
    <w:p>
      <w:pPr>
        <w:spacing w:line="360" w:lineRule="auto"/>
        <w:ind w:firstLine="480" w:firstLineChars="200"/>
        <w:rPr>
          <w:rFonts w:ascii="宋体" w:cs="宋体"/>
          <w:sz w:val="24"/>
        </w:rPr>
      </w:pPr>
      <w:r>
        <w:rPr>
          <w:rFonts w:hint="eastAsia" w:ascii="宋体" w:cs="宋体"/>
          <w:sz w:val="24"/>
        </w:rPr>
        <w:t>5.单位负责人为同一人或者存在直接控股、管理关系的不同单位，不得参加同一标段投标或未划分标段的同一招标项目投标；</w:t>
      </w:r>
    </w:p>
    <w:p>
      <w:pPr>
        <w:spacing w:line="360" w:lineRule="auto"/>
        <w:ind w:firstLine="480" w:firstLineChars="200"/>
        <w:rPr>
          <w:rFonts w:ascii="宋体" w:cs="宋体"/>
          <w:sz w:val="24"/>
        </w:rPr>
      </w:pPr>
      <w:r>
        <w:rPr>
          <w:rFonts w:hint="eastAsia" w:ascii="宋体" w:cs="宋体"/>
          <w:sz w:val="24"/>
        </w:rPr>
        <w:t>6.本项目不接受联合体投标。</w:t>
      </w:r>
    </w:p>
    <w:p>
      <w:pPr>
        <w:pStyle w:val="3"/>
      </w:pPr>
      <w:bookmarkStart w:id="16" w:name="OLE_LINK15"/>
      <w:bookmarkStart w:id="17" w:name="_Toc9755"/>
      <w:bookmarkStart w:id="18" w:name="_Toc24975"/>
      <w:bookmarkStart w:id="19" w:name="_Toc19126"/>
      <w:r>
        <w:rPr>
          <w:rFonts w:hint="eastAsia"/>
        </w:rPr>
        <w:t>三、招标文件获取</w:t>
      </w:r>
      <w:bookmarkEnd w:id="16"/>
      <w:bookmarkEnd w:id="17"/>
      <w:bookmarkEnd w:id="18"/>
      <w:bookmarkEnd w:id="19"/>
    </w:p>
    <w:p>
      <w:pPr>
        <w:spacing w:line="360" w:lineRule="auto"/>
        <w:ind w:firstLine="480" w:firstLineChars="200"/>
        <w:rPr>
          <w:rFonts w:ascii="宋体" w:cs="宋体"/>
          <w:sz w:val="24"/>
        </w:rPr>
      </w:pPr>
      <w:r>
        <w:rPr>
          <w:rFonts w:hint="eastAsia" w:ascii="宋体" w:cs="宋体"/>
          <w:sz w:val="24"/>
        </w:rPr>
        <w:t>1.时间：</w:t>
      </w:r>
      <w:r>
        <w:rPr>
          <w:rFonts w:hint="eastAsia" w:ascii="宋体" w:cs="宋体"/>
          <w:sz w:val="24"/>
          <w:u w:val="single"/>
        </w:rPr>
        <w:t xml:space="preserve"> 2025 </w:t>
      </w:r>
      <w:r>
        <w:rPr>
          <w:rFonts w:hint="eastAsia" w:ascii="宋体" w:cs="宋体"/>
          <w:sz w:val="24"/>
        </w:rPr>
        <w:t>年</w:t>
      </w:r>
      <w:r>
        <w:rPr>
          <w:rFonts w:hint="eastAsia" w:ascii="宋体" w:cs="宋体"/>
          <w:sz w:val="24"/>
          <w:u w:val="single"/>
        </w:rPr>
        <w:t xml:space="preserve"> 06 </w:t>
      </w:r>
      <w:r>
        <w:rPr>
          <w:rFonts w:hint="eastAsia" w:ascii="宋体" w:cs="宋体"/>
          <w:sz w:val="24"/>
        </w:rPr>
        <w:t>月</w:t>
      </w:r>
      <w:r>
        <w:rPr>
          <w:rFonts w:hint="eastAsia" w:ascii="宋体" w:cs="宋体"/>
          <w:sz w:val="24"/>
          <w:u w:val="single"/>
        </w:rPr>
        <w:t xml:space="preserve"> </w:t>
      </w:r>
      <w:r>
        <w:rPr>
          <w:rFonts w:hint="eastAsia" w:ascii="宋体" w:cs="宋体"/>
          <w:sz w:val="24"/>
          <w:u w:val="single"/>
          <w:lang w:val="en-US" w:eastAsia="zh-CN"/>
        </w:rPr>
        <w:t>23</w:t>
      </w:r>
      <w:r>
        <w:rPr>
          <w:rFonts w:hint="eastAsia" w:ascii="宋体" w:cs="宋体"/>
          <w:sz w:val="24"/>
          <w:u w:val="single"/>
        </w:rPr>
        <w:t xml:space="preserve"> </w:t>
      </w:r>
      <w:r>
        <w:rPr>
          <w:rFonts w:hint="eastAsia" w:ascii="宋体" w:cs="宋体"/>
          <w:sz w:val="24"/>
        </w:rPr>
        <w:t>日至</w:t>
      </w:r>
      <w:r>
        <w:rPr>
          <w:rFonts w:hint="eastAsia" w:ascii="宋体" w:cs="宋体"/>
          <w:sz w:val="24"/>
          <w:u w:val="single"/>
        </w:rPr>
        <w:t xml:space="preserve"> 2025 </w:t>
      </w:r>
      <w:r>
        <w:rPr>
          <w:rFonts w:hint="eastAsia" w:ascii="宋体" w:cs="宋体"/>
          <w:sz w:val="24"/>
        </w:rPr>
        <w:t>年</w:t>
      </w:r>
      <w:r>
        <w:rPr>
          <w:rFonts w:hint="eastAsia" w:ascii="宋体" w:cs="宋体"/>
          <w:sz w:val="24"/>
          <w:u w:val="single"/>
        </w:rPr>
        <w:t xml:space="preserve"> 0</w:t>
      </w:r>
      <w:r>
        <w:rPr>
          <w:rFonts w:hint="eastAsia" w:ascii="宋体" w:cs="宋体"/>
          <w:sz w:val="24"/>
          <w:u w:val="single"/>
          <w:lang w:val="en-US" w:eastAsia="zh-CN"/>
        </w:rPr>
        <w:t>7</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u w:val="single"/>
          <w:lang w:val="en-US" w:eastAsia="zh-CN"/>
        </w:rPr>
        <w:t>15</w:t>
      </w:r>
      <w:r>
        <w:rPr>
          <w:rFonts w:hint="eastAsia" w:ascii="宋体" w:cs="宋体"/>
          <w:sz w:val="24"/>
          <w:u w:val="single"/>
        </w:rPr>
        <w:t xml:space="preserve"> </w:t>
      </w:r>
      <w:r>
        <w:rPr>
          <w:rFonts w:hint="eastAsia" w:ascii="宋体" w:cs="宋体"/>
          <w:sz w:val="24"/>
        </w:rPr>
        <w:t>日</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w:t>
      </w:r>
      <w:r>
        <w:rPr>
          <w:rFonts w:hint="eastAsia" w:ascii="宋体" w:hAnsi="宋体" w:cs="宋体"/>
          <w:sz w:val="24"/>
          <w:u w:val="single"/>
        </w:rPr>
        <w:t xml:space="preserve"> 00 </w:t>
      </w:r>
      <w:r>
        <w:rPr>
          <w:rFonts w:hint="eastAsia" w:ascii="宋体" w:hAnsi="宋体" w:cs="宋体"/>
          <w:sz w:val="24"/>
        </w:rPr>
        <w:t>秒</w:t>
      </w:r>
      <w:r>
        <w:rPr>
          <w:rFonts w:hint="eastAsia" w:ascii="宋体" w:cs="宋体"/>
          <w:sz w:val="24"/>
        </w:rPr>
        <w:t>；</w:t>
      </w:r>
    </w:p>
    <w:p>
      <w:pPr>
        <w:spacing w:line="360" w:lineRule="auto"/>
        <w:ind w:firstLine="480" w:firstLineChars="200"/>
        <w:rPr>
          <w:rFonts w:ascii="宋体" w:cs="宋体"/>
          <w:sz w:val="24"/>
        </w:rPr>
      </w:pPr>
      <w:r>
        <w:rPr>
          <w:rFonts w:hint="eastAsia" w:ascii="宋体" w:cs="宋体"/>
          <w:sz w:val="24"/>
        </w:rPr>
        <w:t>2.地点：</w:t>
      </w:r>
      <w:r>
        <w:rPr>
          <w:rFonts w:hint="eastAsia" w:ascii="宋体" w:cs="宋体"/>
          <w:sz w:val="24"/>
          <w:u w:val="single"/>
        </w:rPr>
        <w:t>乐采云平台（https：//www.lecaiyun.com/）；</w:t>
      </w:r>
    </w:p>
    <w:p>
      <w:pPr>
        <w:spacing w:line="360" w:lineRule="auto"/>
        <w:ind w:firstLine="480" w:firstLineChars="200"/>
        <w:rPr>
          <w:rFonts w:ascii="宋体" w:cs="宋体"/>
          <w:sz w:val="24"/>
          <w:u w:val="single"/>
        </w:rPr>
      </w:pPr>
      <w:r>
        <w:rPr>
          <w:rFonts w:hint="eastAsia" w:ascii="宋体" w:cs="宋体"/>
          <w:sz w:val="24"/>
        </w:rPr>
        <w:t>3.获取方式：</w:t>
      </w:r>
      <w:r>
        <w:rPr>
          <w:rFonts w:hint="eastAsia" w:ascii="宋体" w:cs="宋体"/>
          <w:sz w:val="24"/>
          <w:u w:val="single"/>
        </w:rPr>
        <w:t>乐采云平台在线申请获取招标文件（进入“项目采购”应用，在获取采购文件菜单中选择项目，申请获取招标文件）；</w:t>
      </w:r>
    </w:p>
    <w:p>
      <w:pPr>
        <w:spacing w:line="360" w:lineRule="auto"/>
        <w:ind w:firstLine="480" w:firstLineChars="200"/>
        <w:rPr>
          <w:rFonts w:ascii="宋体" w:cs="宋体"/>
          <w:sz w:val="24"/>
          <w:u w:val="single"/>
        </w:rPr>
      </w:pPr>
      <w:r>
        <w:rPr>
          <w:rFonts w:hint="eastAsia" w:ascii="宋体" w:cs="宋体"/>
          <w:sz w:val="24"/>
        </w:rPr>
        <w:t>4.招标文件售价：</w:t>
      </w:r>
      <w:r>
        <w:rPr>
          <w:rFonts w:hint="eastAsia" w:ascii="宋体" w:cs="宋体"/>
          <w:sz w:val="24"/>
          <w:u w:val="single"/>
        </w:rPr>
        <w:t>人民币300元，售后恕不退还。</w:t>
      </w:r>
    </w:p>
    <w:p>
      <w:pPr>
        <w:spacing w:line="360" w:lineRule="auto"/>
        <w:ind w:firstLine="480" w:firstLineChars="200"/>
        <w:rPr>
          <w:rFonts w:ascii="宋体" w:cs="宋体"/>
          <w:sz w:val="24"/>
        </w:rPr>
      </w:pPr>
      <w:r>
        <w:rPr>
          <w:rFonts w:hint="eastAsia" w:ascii="宋体" w:cs="宋体"/>
          <w:sz w:val="24"/>
        </w:rPr>
        <w:t>5.报名费在招标文件获取截止时间前汇入以下指定账户：</w:t>
      </w:r>
    </w:p>
    <w:p>
      <w:pPr>
        <w:spacing w:line="360" w:lineRule="auto"/>
        <w:ind w:firstLine="480" w:firstLineChars="200"/>
        <w:rPr>
          <w:rFonts w:ascii="宋体" w:cs="宋体"/>
          <w:sz w:val="24"/>
          <w:u w:val="single"/>
        </w:rPr>
      </w:pPr>
      <w:r>
        <w:rPr>
          <w:rFonts w:hint="eastAsia" w:ascii="宋体" w:cs="宋体"/>
          <w:sz w:val="24"/>
        </w:rPr>
        <w:t>收款人：</w:t>
      </w:r>
      <w:r>
        <w:rPr>
          <w:rFonts w:hint="eastAsia" w:ascii="宋体" w:cs="宋体"/>
          <w:sz w:val="24"/>
          <w:u w:val="single"/>
        </w:rPr>
        <w:t>中冠工程管理咨询有限公司</w:t>
      </w:r>
      <w:r>
        <w:rPr>
          <w:rFonts w:hint="eastAsia" w:ascii="宋体" w:cs="宋体"/>
          <w:sz w:val="24"/>
        </w:rPr>
        <w:t>；</w:t>
      </w:r>
    </w:p>
    <w:p>
      <w:pPr>
        <w:spacing w:line="360" w:lineRule="auto"/>
        <w:ind w:firstLine="480" w:firstLineChars="200"/>
        <w:rPr>
          <w:rFonts w:ascii="宋体" w:cs="宋体"/>
          <w:sz w:val="24"/>
          <w:u w:val="single"/>
        </w:rPr>
      </w:pPr>
      <w:r>
        <w:rPr>
          <w:rFonts w:hint="eastAsia" w:ascii="宋体" w:cs="宋体"/>
          <w:sz w:val="24"/>
        </w:rPr>
        <w:t>开户银行：</w:t>
      </w:r>
      <w:r>
        <w:rPr>
          <w:rFonts w:hint="eastAsia" w:ascii="宋体" w:cs="宋体"/>
          <w:sz w:val="24"/>
          <w:u w:val="single"/>
        </w:rPr>
        <w:t>温州银行股份有限公司宁波分行营业部</w:t>
      </w:r>
      <w:r>
        <w:rPr>
          <w:rFonts w:hint="eastAsia" w:ascii="宋体" w:cs="宋体"/>
          <w:sz w:val="24"/>
        </w:rPr>
        <w:t>；</w:t>
      </w:r>
    </w:p>
    <w:p>
      <w:pPr>
        <w:spacing w:line="360" w:lineRule="auto"/>
        <w:ind w:firstLine="480" w:firstLineChars="200"/>
        <w:rPr>
          <w:rFonts w:ascii="宋体" w:cs="宋体"/>
          <w:sz w:val="24"/>
          <w:u w:val="single"/>
        </w:rPr>
      </w:pPr>
      <w:r>
        <w:rPr>
          <w:rFonts w:hint="eastAsia" w:ascii="宋体" w:cs="宋体"/>
          <w:sz w:val="24"/>
        </w:rPr>
        <w:t>账号：</w:t>
      </w:r>
      <w:r>
        <w:rPr>
          <w:rFonts w:hint="eastAsia" w:ascii="宋体" w:cs="宋体"/>
          <w:sz w:val="24"/>
          <w:u w:val="single"/>
        </w:rPr>
        <w:t>902000120190005234</w:t>
      </w:r>
      <w:r>
        <w:rPr>
          <w:rFonts w:hint="eastAsia" w:ascii="宋体" w:cs="宋体"/>
          <w:sz w:val="24"/>
        </w:rPr>
        <w:t>；</w:t>
      </w:r>
    </w:p>
    <w:p>
      <w:pPr>
        <w:spacing w:line="360" w:lineRule="auto"/>
        <w:ind w:firstLine="480" w:firstLineChars="200"/>
        <w:rPr>
          <w:rFonts w:ascii="宋体" w:cs="宋体"/>
          <w:sz w:val="24"/>
          <w:u w:val="single"/>
        </w:rPr>
      </w:pPr>
      <w:r>
        <w:rPr>
          <w:rFonts w:hint="eastAsia" w:ascii="宋体" w:cs="宋体"/>
          <w:sz w:val="24"/>
        </w:rPr>
        <w:t>备注：</w:t>
      </w:r>
      <w:r>
        <w:rPr>
          <w:rFonts w:hint="eastAsia" w:ascii="宋体" w:cs="宋体"/>
          <w:sz w:val="24"/>
          <w:u w:val="single"/>
        </w:rPr>
        <w:t>汇款请在用途栏中注明招标编号：</w:t>
      </w:r>
      <w:r>
        <w:rPr>
          <w:rFonts w:hint="eastAsia" w:ascii="宋体"/>
          <w:sz w:val="24"/>
          <w:u w:val="single"/>
        </w:rPr>
        <w:t>NBYC-CT3302250206*（ZGZB2025-251）。</w:t>
      </w:r>
    </w:p>
    <w:p>
      <w:pPr>
        <w:spacing w:line="360" w:lineRule="auto"/>
        <w:ind w:firstLine="480" w:firstLineChars="200"/>
        <w:rPr>
          <w:rFonts w:ascii="宋体" w:cs="宋体"/>
          <w:sz w:val="24"/>
        </w:rPr>
      </w:pPr>
      <w:r>
        <w:rPr>
          <w:rFonts w:hint="eastAsia" w:ascii="宋体" w:cs="宋体"/>
          <w:sz w:val="24"/>
        </w:rPr>
        <w:t>6.参加本项目投标的投标人须将报名费银行回单发送至招标代理机构邮箱（nbzgcg@163.com）。</w:t>
      </w:r>
    </w:p>
    <w:p>
      <w:pPr>
        <w:pStyle w:val="3"/>
      </w:pPr>
      <w:bookmarkStart w:id="20" w:name="_Toc23673"/>
      <w:bookmarkStart w:id="21" w:name="_Toc28155"/>
      <w:bookmarkStart w:id="22" w:name="_Toc9538"/>
      <w:bookmarkStart w:id="23" w:name="OLE_LINK16"/>
      <w:r>
        <w:rPr>
          <w:rFonts w:hint="eastAsia"/>
          <w:bCs/>
        </w:rPr>
        <w:t>四、</w:t>
      </w:r>
      <w:r>
        <w:rPr>
          <w:rFonts w:hint="eastAsia"/>
        </w:rPr>
        <w:t>提交投标文件的地点和截止时间</w:t>
      </w:r>
      <w:bookmarkEnd w:id="20"/>
      <w:bookmarkEnd w:id="21"/>
      <w:bookmarkEnd w:id="22"/>
      <w:bookmarkEnd w:id="23"/>
    </w:p>
    <w:p>
      <w:pPr>
        <w:spacing w:line="360" w:lineRule="auto"/>
        <w:ind w:firstLine="480" w:firstLineChars="200"/>
        <w:rPr>
          <w:rFonts w:ascii="宋体" w:cs="宋体"/>
          <w:sz w:val="24"/>
        </w:rPr>
      </w:pPr>
      <w:r>
        <w:rPr>
          <w:rFonts w:hint="eastAsia" w:ascii="宋体" w:cs="宋体"/>
          <w:sz w:val="24"/>
        </w:rPr>
        <w:t>1.投标地点（网址）：</w:t>
      </w:r>
      <w:r>
        <w:rPr>
          <w:rFonts w:hint="eastAsia" w:ascii="宋体" w:cs="宋体"/>
          <w:sz w:val="24"/>
          <w:u w:val="single"/>
        </w:rPr>
        <w:t>乐采云平台（https：//www.lecaiyun.com/）</w:t>
      </w:r>
      <w:r>
        <w:rPr>
          <w:rFonts w:hint="eastAsia" w:ascii="宋体" w:cs="宋体"/>
          <w:sz w:val="24"/>
        </w:rPr>
        <w:t>；</w:t>
      </w:r>
    </w:p>
    <w:p>
      <w:pPr>
        <w:spacing w:line="360" w:lineRule="auto"/>
        <w:ind w:firstLine="480" w:firstLineChars="200"/>
        <w:jc w:val="left"/>
        <w:rPr>
          <w:rFonts w:ascii="宋体" w:cs="宋体"/>
          <w:b/>
          <w:sz w:val="24"/>
        </w:rPr>
      </w:pPr>
      <w:r>
        <w:rPr>
          <w:rFonts w:hint="eastAsia" w:ascii="宋体" w:cs="宋体"/>
          <w:sz w:val="24"/>
        </w:rPr>
        <w:t>2.投标截止时间：</w:t>
      </w:r>
      <w:r>
        <w:rPr>
          <w:rFonts w:hint="eastAsia" w:ascii="宋体" w:cs="宋体"/>
          <w:sz w:val="24"/>
          <w:u w:val="single"/>
        </w:rPr>
        <w:t xml:space="preserve"> 2025 </w:t>
      </w:r>
      <w:r>
        <w:rPr>
          <w:rFonts w:hint="eastAsia" w:ascii="宋体" w:cs="宋体"/>
          <w:sz w:val="24"/>
        </w:rPr>
        <w:t>年</w:t>
      </w:r>
      <w:r>
        <w:rPr>
          <w:rFonts w:hint="eastAsia" w:ascii="宋体" w:cs="宋体"/>
          <w:sz w:val="24"/>
          <w:u w:val="single"/>
        </w:rPr>
        <w:t xml:space="preserve"> 0</w:t>
      </w:r>
      <w:r>
        <w:rPr>
          <w:rFonts w:hint="eastAsia" w:ascii="宋体" w:cs="宋体"/>
          <w:sz w:val="24"/>
          <w:u w:val="single"/>
          <w:lang w:val="en-US" w:eastAsia="zh-CN"/>
        </w:rPr>
        <w:t>7</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u w:val="single"/>
          <w:lang w:val="en-US" w:eastAsia="zh-CN"/>
        </w:rPr>
        <w:t>15</w:t>
      </w:r>
      <w:r>
        <w:rPr>
          <w:rFonts w:hint="eastAsia" w:ascii="宋体" w:cs="宋体"/>
          <w:sz w:val="24"/>
          <w:u w:val="single"/>
        </w:rPr>
        <w:t xml:space="preserve"> </w:t>
      </w:r>
      <w:r>
        <w:rPr>
          <w:rFonts w:hint="eastAsia" w:ascii="宋体" w:cs="宋体"/>
          <w:sz w:val="24"/>
        </w:rPr>
        <w:t>日</w:t>
      </w:r>
      <w:r>
        <w:rPr>
          <w:rFonts w:hint="eastAsia" w:ascii="宋体" w:cs="宋体"/>
          <w:sz w:val="24"/>
          <w:u w:val="single"/>
        </w:rPr>
        <w:t xml:space="preserve"> 09 </w:t>
      </w:r>
      <w:r>
        <w:rPr>
          <w:rFonts w:hint="eastAsia" w:ascii="宋体" w:cs="宋体"/>
          <w:sz w:val="24"/>
        </w:rPr>
        <w:t>时</w:t>
      </w:r>
      <w:r>
        <w:rPr>
          <w:rFonts w:hint="eastAsia" w:ascii="宋体" w:cs="宋体"/>
          <w:sz w:val="24"/>
          <w:u w:val="single"/>
        </w:rPr>
        <w:t xml:space="preserve"> 00 </w:t>
      </w:r>
      <w:r>
        <w:rPr>
          <w:rFonts w:hint="eastAsia" w:ascii="宋体" w:cs="宋体"/>
          <w:sz w:val="24"/>
        </w:rPr>
        <w:t>分</w:t>
      </w:r>
      <w:r>
        <w:rPr>
          <w:rFonts w:hint="eastAsia" w:ascii="宋体" w:cs="宋体"/>
          <w:sz w:val="24"/>
          <w:u w:val="single"/>
        </w:rPr>
        <w:t xml:space="preserve"> 00 </w:t>
      </w:r>
      <w:r>
        <w:rPr>
          <w:rFonts w:hint="eastAsia" w:ascii="宋体" w:cs="宋体"/>
          <w:sz w:val="24"/>
        </w:rPr>
        <w:t>秒。</w:t>
      </w:r>
    </w:p>
    <w:p>
      <w:pPr>
        <w:pStyle w:val="3"/>
      </w:pPr>
      <w:bookmarkStart w:id="24" w:name="_Toc5089"/>
      <w:bookmarkStart w:id="25" w:name="_Toc25090"/>
      <w:bookmarkStart w:id="26" w:name="OLE_LINK17"/>
      <w:bookmarkStart w:id="27" w:name="_Toc9613"/>
      <w:r>
        <w:rPr>
          <w:rFonts w:hint="eastAsia"/>
        </w:rPr>
        <w:t>五、开标时间和地点</w:t>
      </w:r>
      <w:bookmarkEnd w:id="24"/>
      <w:bookmarkEnd w:id="25"/>
      <w:bookmarkEnd w:id="26"/>
      <w:bookmarkEnd w:id="27"/>
    </w:p>
    <w:p>
      <w:pPr>
        <w:spacing w:line="360" w:lineRule="auto"/>
        <w:ind w:firstLine="480" w:firstLineChars="200"/>
        <w:rPr>
          <w:rFonts w:ascii="宋体" w:cs="宋体"/>
          <w:sz w:val="24"/>
        </w:rPr>
      </w:pPr>
      <w:r>
        <w:rPr>
          <w:rFonts w:hint="eastAsia" w:ascii="宋体" w:cs="宋体"/>
          <w:sz w:val="24"/>
        </w:rPr>
        <w:t>1.开标时间：</w:t>
      </w:r>
      <w:r>
        <w:rPr>
          <w:rFonts w:hint="eastAsia" w:ascii="宋体" w:cs="宋体"/>
          <w:sz w:val="24"/>
          <w:u w:val="single"/>
        </w:rPr>
        <w:t xml:space="preserve"> 2025 </w:t>
      </w:r>
      <w:r>
        <w:rPr>
          <w:rFonts w:hint="eastAsia" w:ascii="宋体" w:cs="宋体"/>
          <w:sz w:val="24"/>
        </w:rPr>
        <w:t>年</w:t>
      </w:r>
      <w:r>
        <w:rPr>
          <w:rFonts w:hint="eastAsia" w:ascii="宋体" w:cs="宋体"/>
          <w:sz w:val="24"/>
          <w:u w:val="single"/>
        </w:rPr>
        <w:t xml:space="preserve"> 0</w:t>
      </w:r>
      <w:r>
        <w:rPr>
          <w:rFonts w:hint="eastAsia" w:ascii="宋体" w:cs="宋体"/>
          <w:sz w:val="24"/>
          <w:u w:val="single"/>
          <w:lang w:val="en-US" w:eastAsia="zh-CN"/>
        </w:rPr>
        <w:t>7</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u w:val="single"/>
          <w:lang w:val="en-US" w:eastAsia="zh-CN"/>
        </w:rPr>
        <w:t>15</w:t>
      </w:r>
      <w:r>
        <w:rPr>
          <w:rFonts w:hint="eastAsia" w:ascii="宋体" w:cs="宋体"/>
          <w:sz w:val="24"/>
          <w:u w:val="single"/>
        </w:rPr>
        <w:t xml:space="preserve"> </w:t>
      </w:r>
      <w:r>
        <w:rPr>
          <w:rFonts w:hint="eastAsia" w:ascii="宋体" w:cs="宋体"/>
          <w:sz w:val="24"/>
        </w:rPr>
        <w:t>日</w:t>
      </w:r>
      <w:r>
        <w:rPr>
          <w:rFonts w:hint="eastAsia" w:ascii="宋体" w:cs="宋体"/>
          <w:sz w:val="24"/>
          <w:u w:val="single"/>
        </w:rPr>
        <w:t xml:space="preserve"> 09 </w:t>
      </w:r>
      <w:r>
        <w:rPr>
          <w:rFonts w:hint="eastAsia" w:ascii="宋体" w:cs="宋体"/>
          <w:sz w:val="24"/>
        </w:rPr>
        <w:t>时</w:t>
      </w:r>
      <w:r>
        <w:rPr>
          <w:rFonts w:hint="eastAsia" w:ascii="宋体" w:cs="宋体"/>
          <w:sz w:val="24"/>
          <w:u w:val="single"/>
        </w:rPr>
        <w:t xml:space="preserve"> 00 </w:t>
      </w:r>
      <w:r>
        <w:rPr>
          <w:rFonts w:hint="eastAsia" w:ascii="宋体" w:cs="宋体"/>
          <w:sz w:val="24"/>
        </w:rPr>
        <w:t>分</w:t>
      </w:r>
      <w:r>
        <w:rPr>
          <w:rFonts w:hint="eastAsia" w:ascii="宋体" w:cs="宋体"/>
          <w:sz w:val="24"/>
          <w:u w:val="single"/>
        </w:rPr>
        <w:t xml:space="preserve"> 00 </w:t>
      </w:r>
      <w:r>
        <w:rPr>
          <w:rFonts w:hint="eastAsia" w:ascii="宋体" w:cs="宋体"/>
          <w:sz w:val="24"/>
        </w:rPr>
        <w:t>秒；</w:t>
      </w:r>
    </w:p>
    <w:p>
      <w:pPr>
        <w:spacing w:line="360" w:lineRule="auto"/>
        <w:ind w:firstLine="480" w:firstLineChars="200"/>
        <w:rPr>
          <w:rFonts w:ascii="宋体" w:cs="宋体"/>
          <w:sz w:val="24"/>
        </w:rPr>
      </w:pPr>
      <w:r>
        <w:rPr>
          <w:rFonts w:hint="eastAsia" w:ascii="宋体" w:cs="宋体"/>
          <w:sz w:val="24"/>
        </w:rPr>
        <w:t>2.开标地点：</w:t>
      </w:r>
      <w:r>
        <w:rPr>
          <w:rFonts w:hint="eastAsia" w:ascii="宋体" w:cs="宋体"/>
          <w:sz w:val="24"/>
          <w:u w:val="single"/>
        </w:rPr>
        <w:t>乐采云平台（https：//www.lecaiyun.com/）</w:t>
      </w:r>
      <w:r>
        <w:rPr>
          <w:rFonts w:hint="eastAsia" w:ascii="宋体" w:cs="宋体"/>
          <w:sz w:val="24"/>
        </w:rPr>
        <w:t>。</w:t>
      </w:r>
    </w:p>
    <w:p>
      <w:pPr>
        <w:pStyle w:val="3"/>
      </w:pPr>
      <w:bookmarkStart w:id="28" w:name="OLE_LINK18"/>
      <w:bookmarkStart w:id="29" w:name="_Toc14526"/>
      <w:bookmarkStart w:id="30" w:name="_Toc31784"/>
      <w:bookmarkStart w:id="31" w:name="_Toc3769"/>
      <w:r>
        <w:rPr>
          <w:rFonts w:hint="eastAsia"/>
        </w:rPr>
        <w:t>六、投标保证金</w:t>
      </w:r>
      <w:bookmarkEnd w:id="28"/>
      <w:bookmarkEnd w:id="29"/>
      <w:bookmarkEnd w:id="30"/>
      <w:bookmarkEnd w:id="31"/>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 xml:space="preserve">本项目 </w:t>
      </w:r>
      <w:r>
        <w:rPr>
          <w:rFonts w:hint="eastAsia" w:ascii="宋体" w:cs="宋体"/>
          <w:snapToGrid w:val="0"/>
          <w:kern w:val="0"/>
          <w:sz w:val="24"/>
        </w:rPr>
        <w:t>□</w:t>
      </w:r>
      <w:r>
        <w:rPr>
          <w:rFonts w:hint="eastAsia" w:ascii="宋体" w:cs="宋体"/>
          <w:sz w:val="24"/>
        </w:rPr>
        <w:t>不需要/</w:t>
      </w:r>
      <w:r>
        <w:rPr>
          <w:rFonts w:ascii="Segoe UI Symbol" w:hAnsi="Segoe UI Symbol" w:cs="Segoe UI Symbol"/>
          <w:snapToGrid w:val="0"/>
          <w:kern w:val="0"/>
          <w:sz w:val="24"/>
        </w:rPr>
        <w:t>☑</w:t>
      </w:r>
      <w:r>
        <w:rPr>
          <w:rFonts w:hint="eastAsia" w:ascii="宋体" w:cs="宋体"/>
          <w:sz w:val="24"/>
        </w:rPr>
        <w:t>需要缴纳投标保证金，缴纳投标保证金的具体要求如下：</w:t>
      </w:r>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1.缴纳金额：</w:t>
      </w:r>
      <w:r>
        <w:rPr>
          <w:rFonts w:hint="eastAsia" w:ascii="宋体" w:cs="宋体"/>
          <w:sz w:val="24"/>
          <w:u w:val="single"/>
        </w:rPr>
        <w:t>人民币120000.00元</w:t>
      </w:r>
      <w:r>
        <w:rPr>
          <w:rFonts w:hint="eastAsia" w:ascii="宋体" w:cs="宋体"/>
          <w:sz w:val="24"/>
        </w:rPr>
        <w:t>；</w:t>
      </w:r>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2.缴纳方式：网上银行、转账支票、电汇、银行保函；（</w:t>
      </w:r>
      <w:r>
        <w:rPr>
          <w:rFonts w:hint="eastAsia" w:ascii="宋体" w:cs="宋体"/>
          <w:b/>
          <w:bCs/>
          <w:sz w:val="24"/>
        </w:rPr>
        <w:t>以银行保函形式缴纳的，需提供以本项目</w:t>
      </w:r>
      <w:r>
        <w:rPr>
          <w:rFonts w:hint="eastAsia" w:ascii="宋体" w:cs="宋体"/>
          <w:b/>
          <w:bCs/>
          <w:sz w:val="24"/>
          <w:u w:val="single"/>
        </w:rPr>
        <w:t xml:space="preserve"> </w:t>
      </w:r>
      <w:r>
        <w:rPr>
          <w:rFonts w:hint="eastAsia" w:ascii="宋体" w:cs="宋体"/>
          <w:sz w:val="24"/>
          <w:u w:val="single"/>
        </w:rPr>
        <w:t>招标代理机构（即中冠工程管理咨询有限公司）</w:t>
      </w:r>
      <w:r>
        <w:rPr>
          <w:rFonts w:hint="eastAsia" w:ascii="宋体" w:cs="宋体"/>
          <w:b/>
          <w:bCs/>
          <w:sz w:val="24"/>
          <w:u w:val="single"/>
        </w:rPr>
        <w:t xml:space="preserve"> </w:t>
      </w:r>
      <w:r>
        <w:rPr>
          <w:rFonts w:hint="eastAsia" w:ascii="宋体" w:cs="宋体"/>
          <w:b/>
          <w:bCs/>
          <w:sz w:val="24"/>
        </w:rPr>
        <w:t>为受益人的无条件且不可撤销国有银行及全国性股份制商业银行的银行保函</w:t>
      </w:r>
      <w:r>
        <w:rPr>
          <w:rFonts w:hint="eastAsia" w:ascii="宋体" w:cs="宋体"/>
          <w:sz w:val="24"/>
        </w:rPr>
        <w:t>）</w:t>
      </w:r>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3.缴纳期限：投标截止时间前；</w:t>
      </w:r>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4.有效期：同投标有效期；</w:t>
      </w:r>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5.收款人（接收人）：</w:t>
      </w:r>
      <w:r>
        <w:rPr>
          <w:rFonts w:hint="eastAsia" w:ascii="宋体" w:cs="宋体"/>
          <w:sz w:val="24"/>
          <w:u w:val="single"/>
        </w:rPr>
        <w:t>中冠工程管理咨询有限公司</w:t>
      </w:r>
      <w:r>
        <w:rPr>
          <w:rFonts w:hint="eastAsia" w:ascii="宋体" w:cs="宋体"/>
          <w:sz w:val="24"/>
        </w:rPr>
        <w:t>；</w:t>
      </w:r>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开户行：</w:t>
      </w:r>
      <w:r>
        <w:rPr>
          <w:rFonts w:hint="eastAsia" w:ascii="宋体" w:cs="宋体"/>
          <w:sz w:val="24"/>
          <w:u w:val="single"/>
        </w:rPr>
        <w:t>中国银行宁波市分行</w:t>
      </w:r>
      <w:r>
        <w:rPr>
          <w:rFonts w:hint="eastAsia" w:ascii="宋体" w:cs="宋体"/>
          <w:sz w:val="24"/>
        </w:rPr>
        <w:t>；</w:t>
      </w:r>
    </w:p>
    <w:p>
      <w:pPr>
        <w:autoSpaceDE w:val="0"/>
        <w:autoSpaceDN w:val="0"/>
        <w:adjustRightInd w:val="0"/>
        <w:snapToGrid w:val="0"/>
        <w:spacing w:line="360" w:lineRule="auto"/>
        <w:ind w:firstLine="480" w:firstLineChars="200"/>
        <w:jc w:val="left"/>
        <w:rPr>
          <w:rFonts w:ascii="宋体" w:cs="宋体"/>
          <w:sz w:val="24"/>
        </w:rPr>
      </w:pPr>
      <w:r>
        <w:rPr>
          <w:rFonts w:hint="eastAsia" w:ascii="宋体" w:cs="宋体"/>
          <w:sz w:val="24"/>
        </w:rPr>
        <w:t>账号：</w:t>
      </w:r>
      <w:r>
        <w:rPr>
          <w:rFonts w:ascii="宋体" w:cs="宋体"/>
          <w:sz w:val="24"/>
          <w:u w:val="single"/>
        </w:rPr>
        <w:t>396174745263</w:t>
      </w:r>
      <w:r>
        <w:rPr>
          <w:rFonts w:hint="eastAsia" w:ascii="宋体" w:cs="宋体"/>
          <w:sz w:val="24"/>
        </w:rPr>
        <w:t>。</w:t>
      </w:r>
    </w:p>
    <w:p>
      <w:pPr>
        <w:pStyle w:val="3"/>
      </w:pPr>
      <w:bookmarkStart w:id="32" w:name="_Toc30058"/>
      <w:bookmarkStart w:id="33" w:name="_Toc17592"/>
      <w:bookmarkStart w:id="34" w:name="OLE_LINK19"/>
      <w:bookmarkStart w:id="35" w:name="_Toc11055"/>
      <w:r>
        <w:rPr>
          <w:rFonts w:hint="eastAsia"/>
        </w:rPr>
        <w:t>七、电子招投标说明</w:t>
      </w:r>
      <w:bookmarkEnd w:id="32"/>
      <w:bookmarkEnd w:id="33"/>
      <w:bookmarkEnd w:id="34"/>
      <w:bookmarkEnd w:id="35"/>
    </w:p>
    <w:p>
      <w:pPr>
        <w:adjustRightInd w:val="0"/>
        <w:snapToGrid w:val="0"/>
        <w:spacing w:line="360" w:lineRule="auto"/>
        <w:ind w:firstLine="480" w:firstLineChars="200"/>
        <w:jc w:val="left"/>
        <w:rPr>
          <w:rFonts w:ascii="宋体" w:cs="宋体"/>
          <w:sz w:val="24"/>
        </w:rPr>
      </w:pPr>
      <w:r>
        <w:rPr>
          <w:rFonts w:hint="eastAsia" w:ascii="宋体" w:cs="宋体"/>
          <w:sz w:val="24"/>
        </w:rPr>
        <w:t>1.电子招投标：本项目以数据电文形式，依托“</w:t>
      </w:r>
      <w:r>
        <w:rPr>
          <w:rFonts w:hint="eastAsia" w:ascii="宋体" w:cs="宋体"/>
          <w:sz w:val="24"/>
          <w:u w:val="single"/>
        </w:rPr>
        <w:t>乐采云平台（https：//www.lecaiyun.com/</w:t>
      </w:r>
      <w:r>
        <w:rPr>
          <w:rFonts w:hint="eastAsia" w:ascii="宋体" w:cs="宋体"/>
          <w:sz w:val="24"/>
        </w:rPr>
        <w:t>）”进行招投标活动，不提供纸质版招标文件；</w:t>
      </w:r>
    </w:p>
    <w:p>
      <w:pPr>
        <w:spacing w:line="360" w:lineRule="auto"/>
        <w:ind w:firstLine="480" w:firstLineChars="200"/>
        <w:rPr>
          <w:rFonts w:ascii="宋体" w:cs="宋体"/>
          <w:sz w:val="24"/>
        </w:rPr>
      </w:pPr>
      <w:r>
        <w:rPr>
          <w:rFonts w:hint="eastAsia" w:ascii="宋体" w:cs="宋体"/>
          <w:sz w:val="24"/>
        </w:rPr>
        <w:t>2.投标准备：注册账号--点击“商家入驻”，进行采购供应商资料填写；申领CA数字证书---申领流程详见“浙江政府采购网-下载专区-电子交易客户端-CA驱动和申领流程”；安装“电子交易客户端”----前往“浙江政府采购网-下载专区-电子交易客户端”进行下载并安装；</w:t>
      </w:r>
    </w:p>
    <w:p>
      <w:pPr>
        <w:spacing w:line="360" w:lineRule="auto"/>
        <w:ind w:firstLine="480" w:firstLineChars="200"/>
        <w:rPr>
          <w:rFonts w:ascii="宋体" w:cs="宋体"/>
          <w:sz w:val="24"/>
        </w:rPr>
      </w:pPr>
      <w:r>
        <w:rPr>
          <w:rFonts w:hint="eastAsia" w:ascii="宋体" w:cs="宋体"/>
          <w:sz w:val="24"/>
        </w:rPr>
        <w:t>3.招标文件的获取：使用账号登录或者使用CA登录乐采云平台；进入“项目采购”应用，在获取采购文件菜单中选择项目，获取招标文件；</w:t>
      </w:r>
    </w:p>
    <w:p>
      <w:pPr>
        <w:spacing w:line="360" w:lineRule="auto"/>
        <w:ind w:firstLine="480" w:firstLineChars="200"/>
        <w:rPr>
          <w:rFonts w:ascii="宋体" w:cs="宋体"/>
          <w:sz w:val="24"/>
        </w:rPr>
      </w:pPr>
      <w:r>
        <w:rPr>
          <w:rFonts w:hint="eastAsia" w:ascii="宋体" w:cs="宋体"/>
          <w:sz w:val="24"/>
        </w:rPr>
        <w:t>4.投标文件的制作：在“电子交易客户端”中完成“填写基本信息”“导入投标文件”“标书关联”“标书检查”“电子签名”“生成电子标书”等操作；</w:t>
      </w:r>
    </w:p>
    <w:p>
      <w:pPr>
        <w:spacing w:line="360" w:lineRule="auto"/>
        <w:ind w:firstLine="480" w:firstLineChars="200"/>
        <w:rPr>
          <w:rFonts w:ascii="宋体" w:cs="宋体"/>
          <w:sz w:val="24"/>
        </w:rPr>
      </w:pPr>
      <w:r>
        <w:rPr>
          <w:rFonts w:hint="eastAsia" w:ascii="宋体" w:cs="宋体"/>
          <w:sz w:val="24"/>
        </w:rPr>
        <w:t>5.招标人或招标代理机构将依托乐采云平台完成本项目的电子交易活动，不接受未按上述方式获取招标文件的供应商进行投标活动；</w:t>
      </w:r>
    </w:p>
    <w:p>
      <w:pPr>
        <w:spacing w:line="360" w:lineRule="auto"/>
        <w:ind w:firstLine="480" w:firstLineChars="200"/>
        <w:rPr>
          <w:rFonts w:ascii="宋体" w:cs="宋体"/>
          <w:sz w:val="24"/>
        </w:rPr>
      </w:pPr>
      <w:r>
        <w:rPr>
          <w:rFonts w:hint="eastAsia" w:ascii="宋体" w:cs="宋体"/>
          <w:sz w:val="24"/>
        </w:rPr>
        <w:t>6.未按上述方式获取招标文件的供应商对该文件提出的质疑，招标人或招标代理机构将不予处理；</w:t>
      </w:r>
    </w:p>
    <w:p>
      <w:pPr>
        <w:spacing w:line="360" w:lineRule="auto"/>
        <w:ind w:firstLine="480" w:firstLineChars="200"/>
        <w:rPr>
          <w:rFonts w:ascii="宋体" w:cs="宋体"/>
          <w:sz w:val="24"/>
        </w:rPr>
      </w:pPr>
      <w:r>
        <w:rPr>
          <w:rFonts w:hint="eastAsia" w:ascii="宋体" w:cs="宋体"/>
          <w:sz w:val="24"/>
        </w:rPr>
        <w:t>7.投标文件的传输递交：投标人应在投标截止时间前将加密的投标文件上传至乐采云平台，投标截止时间以后上传递交的投标文件将被拒收；</w:t>
      </w:r>
    </w:p>
    <w:p>
      <w:pPr>
        <w:spacing w:line="360" w:lineRule="auto"/>
        <w:ind w:firstLine="480" w:firstLineChars="200"/>
      </w:pPr>
      <w:r>
        <w:rPr>
          <w:rFonts w:hint="eastAsia" w:ascii="宋体" w:cs="宋体"/>
          <w:sz w:val="24"/>
        </w:rPr>
        <w:t>8.投标文件的解密：投标人或招标代理机构按照乐采云平台提示和招标文件的规定在30分钟内完成在线解密。投标文件已按时解密的，除招标文件有约定外，备份投标文件自动失效。投标文件未按时解密时，应按照以下方式处理：</w:t>
      </w:r>
      <w:r>
        <w:rPr>
          <w:rFonts w:ascii="Calibri" w:hAnsi="Calibri" w:cs="Calibri"/>
          <w:sz w:val="24"/>
        </w:rPr>
        <w:t>①</w:t>
      </w:r>
      <w:r>
        <w:rPr>
          <w:rFonts w:hint="eastAsia" w:ascii="宋体" w:cs="宋体"/>
          <w:sz w:val="24"/>
        </w:rPr>
        <w:t>因投标人原因造成未解密的，视为撤销其投标文件；</w:t>
      </w:r>
      <w:r>
        <w:rPr>
          <w:rFonts w:ascii="Calibri" w:hAnsi="Calibri" w:cs="Calibri"/>
          <w:sz w:val="24"/>
        </w:rPr>
        <w:t>②</w:t>
      </w:r>
      <w:r>
        <w:rPr>
          <w:rFonts w:hint="eastAsia" w:ascii="宋体" w:cs="宋体"/>
          <w:sz w:val="24"/>
        </w:rPr>
        <w:t>因非投标人原因造成未解密的，在征得招标人相关管理部门同意后，可延长解密时间或延期解密；</w:t>
      </w:r>
      <w:r>
        <w:rPr>
          <w:rFonts w:ascii="Calibri" w:hAnsi="Calibri" w:cs="Calibri"/>
          <w:sz w:val="24"/>
        </w:rPr>
        <w:t>③</w:t>
      </w:r>
      <w:r>
        <w:rPr>
          <w:rFonts w:hint="eastAsia" w:ascii="宋体" w:cs="宋体"/>
          <w:sz w:val="24"/>
        </w:rPr>
        <w:t>因非投标人原因造成未解密或经延长、延期仍无法解密时，投标人提供了备份投标文件的，以备份投标文件作为依据；未提供备份投标文件的，视为撤回投标文件；</w:t>
      </w:r>
    </w:p>
    <w:p>
      <w:pPr>
        <w:spacing w:line="360" w:lineRule="auto"/>
        <w:ind w:firstLine="480" w:firstLineChars="200"/>
        <w:rPr>
          <w:rFonts w:ascii="宋体" w:cs="宋体"/>
          <w:sz w:val="24"/>
        </w:rPr>
      </w:pPr>
      <w:r>
        <w:rPr>
          <w:rFonts w:hint="eastAsia" w:ascii="宋体" w:cs="宋体"/>
          <w:sz w:val="24"/>
        </w:rPr>
        <w:t>9.电子招标的终止：电子招标过程中出现以下情形之一，可终止电子采购活动：</w:t>
      </w:r>
      <w:r>
        <w:rPr>
          <w:rFonts w:ascii="Calibri" w:hAnsi="Calibri" w:cs="Calibri"/>
          <w:sz w:val="24"/>
        </w:rPr>
        <w:t>①</w:t>
      </w:r>
      <w:r>
        <w:rPr>
          <w:rFonts w:hint="eastAsia" w:ascii="Calibri" w:hAnsi="Calibri" w:cs="Calibri"/>
          <w:sz w:val="24"/>
          <w:u w:val="single"/>
        </w:rPr>
        <w:t>乐采云平台</w:t>
      </w:r>
      <w:r>
        <w:rPr>
          <w:rFonts w:hint="eastAsia" w:ascii="宋体" w:cs="宋体"/>
          <w:sz w:val="24"/>
        </w:rPr>
        <w:t>发生故障而无法登录访问的；</w:t>
      </w:r>
      <w:r>
        <w:rPr>
          <w:rFonts w:ascii="Calibri" w:hAnsi="Calibri" w:cs="Calibri"/>
          <w:sz w:val="24"/>
        </w:rPr>
        <w:t>②</w:t>
      </w:r>
      <w:r>
        <w:rPr>
          <w:rFonts w:hint="eastAsia" w:ascii="Calibri" w:hAnsi="Calibri" w:cs="Calibri"/>
          <w:sz w:val="24"/>
          <w:u w:val="single"/>
        </w:rPr>
        <w:t>乐采云平台</w:t>
      </w:r>
      <w:r>
        <w:rPr>
          <w:rFonts w:hint="eastAsia" w:ascii="宋体" w:cs="宋体"/>
          <w:sz w:val="24"/>
        </w:rPr>
        <w:t>功能模块出现错误，不能进行正常操作的；</w:t>
      </w:r>
      <w:r>
        <w:rPr>
          <w:rFonts w:ascii="Calibri" w:hAnsi="Calibri" w:cs="Calibri"/>
          <w:sz w:val="24"/>
        </w:rPr>
        <w:t>③</w:t>
      </w:r>
      <w:r>
        <w:rPr>
          <w:rFonts w:hint="eastAsia" w:ascii="Calibri" w:hAnsi="Calibri" w:cs="Calibri"/>
          <w:sz w:val="24"/>
          <w:u w:val="single"/>
        </w:rPr>
        <w:t>乐采云平台</w:t>
      </w:r>
      <w:r>
        <w:rPr>
          <w:rFonts w:hint="eastAsia" w:ascii="宋体" w:cs="宋体"/>
          <w:sz w:val="24"/>
        </w:rPr>
        <w:t>发现严重安全漏洞，有潜在泄密危险的；</w:t>
      </w:r>
      <w:r>
        <w:rPr>
          <w:rFonts w:hint="eastAsia" w:ascii="Calibri" w:hAnsi="Calibri" w:cs="Calibri"/>
          <w:sz w:val="24"/>
        </w:rPr>
        <w:fldChar w:fldCharType="begin"/>
      </w:r>
      <w:r>
        <w:rPr>
          <w:rFonts w:hint="eastAsia" w:ascii="Calibri" w:hAnsi="Calibri" w:cs="Calibri"/>
          <w:sz w:val="24"/>
        </w:rPr>
        <w:instrText xml:space="preserve"> = 4 \* GB3 \* MERGEFORMAT </w:instrText>
      </w:r>
      <w:r>
        <w:rPr>
          <w:rFonts w:hint="eastAsia" w:ascii="Calibri" w:hAnsi="Calibri" w:cs="Calibri"/>
          <w:sz w:val="24"/>
        </w:rPr>
        <w:fldChar w:fldCharType="separate"/>
      </w:r>
      <w:r>
        <w:rPr>
          <w:rFonts w:ascii="Calibri" w:hAnsi="Calibri" w:cs="Calibri"/>
          <w:sz w:val="24"/>
        </w:rPr>
        <w:t>④</w:t>
      </w:r>
      <w:r>
        <w:rPr>
          <w:rFonts w:hint="eastAsia" w:ascii="Calibri" w:hAnsi="Calibri" w:cs="Calibri"/>
          <w:sz w:val="24"/>
        </w:rPr>
        <w:fldChar w:fldCharType="end"/>
      </w:r>
      <w:r>
        <w:rPr>
          <w:rFonts w:hint="eastAsia" w:ascii="Calibri" w:hAnsi="Calibri" w:cs="Calibri"/>
          <w:sz w:val="24"/>
        </w:rPr>
        <w:t>其</w:t>
      </w:r>
      <w:r>
        <w:rPr>
          <w:rFonts w:hint="eastAsia" w:ascii="宋体" w:cs="宋体"/>
          <w:sz w:val="24"/>
        </w:rPr>
        <w:t>他</w:t>
      </w:r>
      <w:r>
        <w:rPr>
          <w:rFonts w:hint="eastAsia" w:ascii="Calibri" w:hAnsi="Calibri" w:cs="Calibri"/>
          <w:sz w:val="24"/>
          <w:u w:val="single"/>
        </w:rPr>
        <w:t>乐采云平台</w:t>
      </w:r>
      <w:r>
        <w:rPr>
          <w:rFonts w:hint="eastAsia" w:ascii="宋体" w:cs="宋体"/>
          <w:sz w:val="24"/>
        </w:rPr>
        <w:t>无法正常运行，或无法保证电子招标活动的公平、公正和安全的情况。出现上述情形之一，经评标委员会评估不影响采购公平、公正性的，可以待上述情形消除后继续开展电子招标活动，也可以决定某些环节以纸质形式进行，影响或可能影响采购公平、公正性的，应当重新组织采购活动；</w:t>
      </w:r>
    </w:p>
    <w:p>
      <w:pPr>
        <w:spacing w:line="360" w:lineRule="auto"/>
        <w:ind w:firstLine="480" w:firstLineChars="200"/>
        <w:rPr>
          <w:rFonts w:ascii="宋体" w:cs="宋体"/>
          <w:sz w:val="24"/>
        </w:rPr>
      </w:pPr>
      <w:r>
        <w:rPr>
          <w:rFonts w:hint="eastAsia" w:ascii="宋体" w:cs="宋体"/>
          <w:sz w:val="24"/>
        </w:rPr>
        <w:t>10.具体操作指南：详见乐采云平台“服务中心-帮助文档-项目采购-操作流程-电子招投标-采购项目电子交易管理操作指南-供应商”。</w:t>
      </w:r>
    </w:p>
    <w:p>
      <w:pPr>
        <w:pStyle w:val="3"/>
      </w:pPr>
      <w:bookmarkStart w:id="36" w:name="_Toc7759"/>
      <w:bookmarkStart w:id="37" w:name="_Toc12493"/>
      <w:bookmarkStart w:id="38" w:name="_Toc19822"/>
      <w:bookmarkStart w:id="39" w:name="OLE_LINK20"/>
      <w:r>
        <w:rPr>
          <w:rFonts w:hint="eastAsia"/>
        </w:rPr>
        <w:t>八、联系方式</w:t>
      </w:r>
      <w:bookmarkEnd w:id="36"/>
      <w:bookmarkEnd w:id="37"/>
      <w:bookmarkEnd w:id="38"/>
      <w:bookmarkEnd w:id="39"/>
    </w:p>
    <w:tbl>
      <w:tblPr>
        <w:tblStyle w:val="24"/>
        <w:tblW w:w="9900" w:type="dxa"/>
        <w:tblInd w:w="-158" w:type="dxa"/>
        <w:tblLayout w:type="fixed"/>
        <w:tblCellMar>
          <w:top w:w="0" w:type="dxa"/>
          <w:left w:w="108" w:type="dxa"/>
          <w:bottom w:w="0" w:type="dxa"/>
          <w:right w:w="108" w:type="dxa"/>
        </w:tblCellMar>
      </w:tblPr>
      <w:tblGrid>
        <w:gridCol w:w="4932"/>
        <w:gridCol w:w="4968"/>
      </w:tblGrid>
      <w:tr>
        <w:tblPrEx>
          <w:tblCellMar>
            <w:top w:w="0" w:type="dxa"/>
            <w:left w:w="108" w:type="dxa"/>
            <w:bottom w:w="0" w:type="dxa"/>
            <w:right w:w="108" w:type="dxa"/>
          </w:tblCellMar>
        </w:tblPrEx>
        <w:trPr>
          <w:trHeight w:val="454" w:hRule="atLeast"/>
        </w:trPr>
        <w:tc>
          <w:tcPr>
            <w:tcW w:w="4932" w:type="dxa"/>
            <w:tcBorders>
              <w:top w:val="nil"/>
              <w:left w:val="nil"/>
              <w:bottom w:val="nil"/>
              <w:right w:val="nil"/>
            </w:tcBorders>
          </w:tcPr>
          <w:p>
            <w:pPr>
              <w:spacing w:line="360" w:lineRule="exact"/>
              <w:rPr>
                <w:sz w:val="24"/>
              </w:rPr>
            </w:pPr>
            <w:r>
              <w:rPr>
                <w:rFonts w:hint="eastAsia" w:ascii="宋体" w:cs="仿宋"/>
                <w:sz w:val="24"/>
              </w:rPr>
              <w:t>招标人：</w:t>
            </w:r>
            <w:r>
              <w:rPr>
                <w:rFonts w:hint="eastAsia" w:ascii="宋体" w:cs="宋体"/>
                <w:sz w:val="24"/>
                <w:u w:val="single"/>
                <w:lang w:val="zh-CN"/>
              </w:rPr>
              <w:t>浙江省烟草公司宁波市公司</w:t>
            </w:r>
          </w:p>
        </w:tc>
        <w:tc>
          <w:tcPr>
            <w:tcW w:w="4968" w:type="dxa"/>
            <w:tcBorders>
              <w:top w:val="nil"/>
              <w:left w:val="nil"/>
              <w:bottom w:val="nil"/>
              <w:right w:val="nil"/>
            </w:tcBorders>
          </w:tcPr>
          <w:p>
            <w:pPr>
              <w:spacing w:line="360" w:lineRule="exact"/>
              <w:rPr>
                <w:sz w:val="24"/>
              </w:rPr>
            </w:pPr>
            <w:r>
              <w:rPr>
                <w:rFonts w:hint="eastAsia" w:ascii="宋体" w:cs="仿宋"/>
                <w:sz w:val="24"/>
              </w:rPr>
              <w:t>招标代理机构：</w:t>
            </w:r>
            <w:r>
              <w:rPr>
                <w:rFonts w:hint="eastAsia" w:ascii="宋体" w:cs="宋体"/>
                <w:sz w:val="24"/>
                <w:u w:val="single"/>
                <w:lang w:val="zh-CN"/>
              </w:rPr>
              <w:t>中冠工程管理咨询有限公司</w:t>
            </w:r>
          </w:p>
        </w:tc>
      </w:tr>
      <w:tr>
        <w:tblPrEx>
          <w:tblCellMar>
            <w:top w:w="0" w:type="dxa"/>
            <w:left w:w="108" w:type="dxa"/>
            <w:bottom w:w="0" w:type="dxa"/>
            <w:right w:w="108" w:type="dxa"/>
          </w:tblCellMar>
        </w:tblPrEx>
        <w:trPr>
          <w:trHeight w:val="454" w:hRule="atLeast"/>
        </w:trPr>
        <w:tc>
          <w:tcPr>
            <w:tcW w:w="4932" w:type="dxa"/>
            <w:tcBorders>
              <w:top w:val="nil"/>
              <w:left w:val="nil"/>
              <w:bottom w:val="nil"/>
              <w:right w:val="nil"/>
            </w:tcBorders>
          </w:tcPr>
          <w:p>
            <w:pPr>
              <w:spacing w:line="360" w:lineRule="exact"/>
              <w:rPr>
                <w:sz w:val="24"/>
              </w:rPr>
            </w:pPr>
            <w:r>
              <w:rPr>
                <w:rFonts w:hint="eastAsia" w:ascii="宋体" w:cs="仿宋"/>
                <w:sz w:val="24"/>
              </w:rPr>
              <w:t>地  址：</w:t>
            </w:r>
            <w:bookmarkStart w:id="40" w:name="OLE_LINK5"/>
            <w:r>
              <w:rPr>
                <w:rFonts w:hint="eastAsia" w:ascii="宋体" w:cs="仿宋"/>
                <w:sz w:val="24"/>
                <w:u w:val="single"/>
              </w:rPr>
              <w:t>宁波市高新区凌云路75号</w:t>
            </w:r>
            <w:bookmarkEnd w:id="40"/>
          </w:p>
        </w:tc>
        <w:tc>
          <w:tcPr>
            <w:tcW w:w="4968" w:type="dxa"/>
            <w:tcBorders>
              <w:top w:val="nil"/>
              <w:left w:val="nil"/>
              <w:bottom w:val="nil"/>
              <w:right w:val="nil"/>
            </w:tcBorders>
          </w:tcPr>
          <w:p>
            <w:pPr>
              <w:spacing w:line="360" w:lineRule="exact"/>
              <w:rPr>
                <w:sz w:val="24"/>
              </w:rPr>
            </w:pPr>
            <w:r>
              <w:rPr>
                <w:rFonts w:hint="eastAsia" w:ascii="宋体" w:cs="仿宋"/>
                <w:sz w:val="24"/>
              </w:rPr>
              <w:t>地        址：</w:t>
            </w:r>
            <w:r>
              <w:rPr>
                <w:rFonts w:hint="eastAsia" w:ascii="宋体" w:cs="仿宋"/>
                <w:sz w:val="24"/>
                <w:u w:val="single"/>
              </w:rPr>
              <w:t>宁波市高新区新晖路155号东城国贸18楼</w:t>
            </w:r>
          </w:p>
        </w:tc>
      </w:tr>
      <w:tr>
        <w:tblPrEx>
          <w:tblCellMar>
            <w:top w:w="0" w:type="dxa"/>
            <w:left w:w="108" w:type="dxa"/>
            <w:bottom w:w="0" w:type="dxa"/>
            <w:right w:w="108" w:type="dxa"/>
          </w:tblCellMar>
        </w:tblPrEx>
        <w:trPr>
          <w:trHeight w:val="454" w:hRule="atLeast"/>
        </w:trPr>
        <w:tc>
          <w:tcPr>
            <w:tcW w:w="4932" w:type="dxa"/>
            <w:tcBorders>
              <w:top w:val="nil"/>
              <w:left w:val="nil"/>
              <w:bottom w:val="nil"/>
              <w:right w:val="nil"/>
            </w:tcBorders>
            <w:vAlign w:val="center"/>
          </w:tcPr>
          <w:p>
            <w:pPr>
              <w:widowControl/>
              <w:spacing w:line="360" w:lineRule="exact"/>
              <w:jc w:val="left"/>
              <w:rPr>
                <w:rFonts w:ascii="宋体" w:cs="仿宋"/>
                <w:sz w:val="24"/>
              </w:rPr>
            </w:pPr>
            <w:r>
              <w:rPr>
                <w:rFonts w:hint="eastAsia" w:ascii="宋体" w:cs="仿宋"/>
                <w:sz w:val="24"/>
              </w:rPr>
              <w:t>联系人：</w:t>
            </w:r>
            <w:bookmarkStart w:id="41" w:name="OLE_LINK4"/>
            <w:r>
              <w:rPr>
                <w:rFonts w:hint="eastAsia" w:ascii="宋体" w:cs="仿宋"/>
                <w:sz w:val="24"/>
                <w:u w:val="single"/>
              </w:rPr>
              <w:t>林老师</w:t>
            </w:r>
            <w:bookmarkEnd w:id="41"/>
          </w:p>
        </w:tc>
        <w:tc>
          <w:tcPr>
            <w:tcW w:w="4968" w:type="dxa"/>
            <w:tcBorders>
              <w:top w:val="nil"/>
              <w:left w:val="nil"/>
              <w:bottom w:val="nil"/>
              <w:right w:val="nil"/>
            </w:tcBorders>
          </w:tcPr>
          <w:p>
            <w:pPr>
              <w:spacing w:line="360" w:lineRule="exact"/>
              <w:rPr>
                <w:sz w:val="24"/>
              </w:rPr>
            </w:pPr>
            <w:r>
              <w:rPr>
                <w:rFonts w:hint="eastAsia" w:ascii="宋体" w:cs="仿宋"/>
                <w:sz w:val="24"/>
              </w:rPr>
              <w:t>邮        编：</w:t>
            </w:r>
            <w:r>
              <w:rPr>
                <w:rFonts w:hint="eastAsia" w:ascii="宋体" w:cs="仿宋"/>
                <w:sz w:val="24"/>
                <w:u w:val="single"/>
              </w:rPr>
              <w:t>315000</w:t>
            </w:r>
          </w:p>
        </w:tc>
      </w:tr>
      <w:tr>
        <w:tblPrEx>
          <w:tblCellMar>
            <w:top w:w="0" w:type="dxa"/>
            <w:left w:w="108" w:type="dxa"/>
            <w:bottom w:w="0" w:type="dxa"/>
            <w:right w:w="108" w:type="dxa"/>
          </w:tblCellMar>
        </w:tblPrEx>
        <w:trPr>
          <w:trHeight w:val="454" w:hRule="atLeast"/>
        </w:trPr>
        <w:tc>
          <w:tcPr>
            <w:tcW w:w="4932" w:type="dxa"/>
            <w:vMerge w:val="restart"/>
            <w:tcBorders>
              <w:top w:val="nil"/>
              <w:left w:val="nil"/>
              <w:bottom w:val="nil"/>
              <w:right w:val="nil"/>
            </w:tcBorders>
          </w:tcPr>
          <w:p>
            <w:pPr>
              <w:widowControl/>
              <w:spacing w:line="360" w:lineRule="exact"/>
              <w:rPr>
                <w:rFonts w:ascii="宋体" w:cs="仿宋"/>
                <w:sz w:val="24"/>
              </w:rPr>
            </w:pPr>
            <w:r>
              <w:rPr>
                <w:rFonts w:hint="eastAsia" w:ascii="宋体" w:cs="仿宋"/>
                <w:sz w:val="24"/>
              </w:rPr>
              <w:t>电  话：</w:t>
            </w:r>
            <w:r>
              <w:rPr>
                <w:rFonts w:hint="eastAsia" w:ascii="宋体" w:cs="仿宋"/>
                <w:sz w:val="24"/>
                <w:u w:val="single"/>
              </w:rPr>
              <w:t>0574-87849383</w:t>
            </w:r>
          </w:p>
        </w:tc>
        <w:tc>
          <w:tcPr>
            <w:tcW w:w="4968" w:type="dxa"/>
            <w:tcBorders>
              <w:top w:val="nil"/>
              <w:left w:val="nil"/>
              <w:bottom w:val="nil"/>
              <w:right w:val="nil"/>
            </w:tcBorders>
          </w:tcPr>
          <w:p>
            <w:pPr>
              <w:spacing w:line="360" w:lineRule="exact"/>
              <w:rPr>
                <w:sz w:val="24"/>
              </w:rPr>
            </w:pPr>
            <w:r>
              <w:rPr>
                <w:rFonts w:hint="eastAsia" w:ascii="宋体" w:cs="仿宋"/>
                <w:sz w:val="24"/>
              </w:rPr>
              <w:t>联   系   人：</w:t>
            </w:r>
            <w:r>
              <w:rPr>
                <w:rFonts w:hint="eastAsia" w:ascii="宋体" w:cs="仿宋"/>
                <w:sz w:val="24"/>
                <w:u w:val="single"/>
              </w:rPr>
              <w:t>陈傲坤、刘霞</w:t>
            </w:r>
          </w:p>
        </w:tc>
      </w:tr>
      <w:tr>
        <w:tblPrEx>
          <w:tblCellMar>
            <w:top w:w="0" w:type="dxa"/>
            <w:left w:w="108" w:type="dxa"/>
            <w:bottom w:w="0" w:type="dxa"/>
            <w:right w:w="108" w:type="dxa"/>
          </w:tblCellMar>
        </w:tblPrEx>
        <w:trPr>
          <w:trHeight w:val="454" w:hRule="atLeast"/>
        </w:trPr>
        <w:tc>
          <w:tcPr>
            <w:tcW w:w="4932" w:type="dxa"/>
            <w:vMerge w:val="continue"/>
            <w:tcBorders>
              <w:top w:val="nil"/>
              <w:left w:val="nil"/>
              <w:bottom w:val="nil"/>
              <w:right w:val="nil"/>
            </w:tcBorders>
          </w:tcPr>
          <w:p>
            <w:pPr>
              <w:spacing w:line="360" w:lineRule="exact"/>
            </w:pPr>
          </w:p>
        </w:tc>
        <w:tc>
          <w:tcPr>
            <w:tcW w:w="4968" w:type="dxa"/>
            <w:tcBorders>
              <w:top w:val="nil"/>
              <w:left w:val="nil"/>
              <w:bottom w:val="nil"/>
              <w:right w:val="nil"/>
            </w:tcBorders>
          </w:tcPr>
          <w:p>
            <w:pPr>
              <w:spacing w:line="360" w:lineRule="exact"/>
              <w:rPr>
                <w:sz w:val="24"/>
              </w:rPr>
            </w:pPr>
            <w:r>
              <w:rPr>
                <w:rFonts w:hint="eastAsia" w:ascii="宋体" w:cs="仿宋"/>
                <w:sz w:val="24"/>
              </w:rPr>
              <w:t>电        话：</w:t>
            </w:r>
            <w:r>
              <w:rPr>
                <w:rFonts w:ascii="宋体" w:cs="仿宋"/>
                <w:sz w:val="24"/>
                <w:u w:val="single"/>
              </w:rPr>
              <w:t>0574-87731619</w:t>
            </w:r>
          </w:p>
        </w:tc>
      </w:tr>
      <w:tr>
        <w:tblPrEx>
          <w:tblCellMar>
            <w:top w:w="0" w:type="dxa"/>
            <w:left w:w="108" w:type="dxa"/>
            <w:bottom w:w="0" w:type="dxa"/>
            <w:right w:w="108" w:type="dxa"/>
          </w:tblCellMar>
        </w:tblPrEx>
        <w:trPr>
          <w:trHeight w:val="454" w:hRule="atLeast"/>
        </w:trPr>
        <w:tc>
          <w:tcPr>
            <w:tcW w:w="4932" w:type="dxa"/>
            <w:vMerge w:val="continue"/>
            <w:tcBorders>
              <w:top w:val="nil"/>
              <w:left w:val="nil"/>
              <w:bottom w:val="nil"/>
              <w:right w:val="nil"/>
            </w:tcBorders>
          </w:tcPr>
          <w:p>
            <w:pPr>
              <w:spacing w:line="360" w:lineRule="exact"/>
            </w:pPr>
          </w:p>
        </w:tc>
        <w:tc>
          <w:tcPr>
            <w:tcW w:w="4968" w:type="dxa"/>
            <w:tcBorders>
              <w:top w:val="nil"/>
              <w:left w:val="nil"/>
              <w:bottom w:val="nil"/>
              <w:right w:val="nil"/>
            </w:tcBorders>
          </w:tcPr>
          <w:p>
            <w:pPr>
              <w:spacing w:line="360" w:lineRule="exact"/>
              <w:rPr>
                <w:sz w:val="24"/>
              </w:rPr>
            </w:pPr>
            <w:r>
              <w:rPr>
                <w:rFonts w:hint="eastAsia" w:ascii="宋体" w:cs="仿宋"/>
                <w:sz w:val="24"/>
              </w:rPr>
              <w:t>电 子 邮  件：</w:t>
            </w:r>
            <w:r>
              <w:rPr>
                <w:rFonts w:ascii="宋体" w:cs="仿宋"/>
                <w:sz w:val="24"/>
                <w:u w:val="single"/>
              </w:rPr>
              <w:t>nbzgcg@163.com</w:t>
            </w:r>
          </w:p>
        </w:tc>
      </w:tr>
    </w:tbl>
    <w:p>
      <w:pPr>
        <w:spacing w:line="360" w:lineRule="auto"/>
      </w:pPr>
    </w:p>
    <w:p>
      <w:pPr>
        <w:spacing w:line="360" w:lineRule="auto"/>
        <w:ind w:firstLine="5520" w:firstLineChars="2300"/>
        <w:rPr>
          <w:rFonts w:ascii="宋体" w:cs="宋体"/>
          <w:sz w:val="24"/>
          <w:u w:val="single"/>
        </w:rPr>
      </w:pPr>
    </w:p>
    <w:p>
      <w:pPr>
        <w:spacing w:line="360" w:lineRule="auto"/>
        <w:ind w:firstLine="5520" w:firstLineChars="2300"/>
        <w:rPr>
          <w:rFonts w:ascii="宋体" w:cs="宋体"/>
          <w:sz w:val="24"/>
          <w:u w:val="single"/>
          <w:lang w:val="zh-CN"/>
        </w:rPr>
      </w:pPr>
      <w:r>
        <w:rPr>
          <w:rFonts w:hint="eastAsia" w:ascii="宋体" w:cs="宋体"/>
          <w:sz w:val="24"/>
          <w:u w:val="single"/>
          <w:lang w:val="zh-CN"/>
        </w:rPr>
        <w:t>浙江省烟草公司宁波市公司</w:t>
      </w:r>
    </w:p>
    <w:p>
      <w:pPr>
        <w:spacing w:line="360" w:lineRule="auto"/>
        <w:ind w:firstLine="5520" w:firstLineChars="2300"/>
        <w:rPr>
          <w:rFonts w:ascii="宋体" w:cs="宋体"/>
          <w:sz w:val="24"/>
          <w:u w:val="single"/>
          <w:lang w:val="zh-CN"/>
        </w:rPr>
      </w:pPr>
      <w:r>
        <w:rPr>
          <w:rFonts w:hint="eastAsia" w:ascii="宋体" w:cs="宋体"/>
          <w:sz w:val="24"/>
          <w:u w:val="single"/>
          <w:lang w:val="zh-CN"/>
        </w:rPr>
        <w:t>中冠工程管理咨询有限公司</w:t>
      </w:r>
    </w:p>
    <w:p>
      <w:pPr>
        <w:pStyle w:val="6"/>
        <w:ind w:left="281" w:firstLine="5520" w:firstLineChars="2300"/>
        <w:rPr>
          <w:sz w:val="24"/>
        </w:rPr>
      </w:pPr>
      <w:r>
        <w:rPr>
          <w:rFonts w:hint="eastAsia" w:cs="宋体"/>
          <w:sz w:val="24"/>
          <w:u w:val="single"/>
        </w:rPr>
        <w:t xml:space="preserve"> 2025 </w:t>
      </w:r>
      <w:r>
        <w:rPr>
          <w:rFonts w:hint="eastAsia" w:ascii="宋体"/>
          <w:snapToGrid w:val="0"/>
          <w:kern w:val="0"/>
          <w:sz w:val="24"/>
        </w:rPr>
        <w:t>年</w:t>
      </w:r>
      <w:r>
        <w:rPr>
          <w:rFonts w:hint="eastAsia" w:cs="宋体"/>
          <w:sz w:val="24"/>
          <w:u w:val="single"/>
        </w:rPr>
        <w:t xml:space="preserve"> 06 </w:t>
      </w:r>
      <w:r>
        <w:rPr>
          <w:rFonts w:hint="eastAsia" w:ascii="宋体"/>
          <w:snapToGrid w:val="0"/>
          <w:kern w:val="0"/>
          <w:sz w:val="24"/>
        </w:rPr>
        <w:t>月</w:t>
      </w:r>
      <w:r>
        <w:rPr>
          <w:rFonts w:hint="eastAsia" w:cs="宋体"/>
          <w:sz w:val="24"/>
          <w:u w:val="single"/>
        </w:rPr>
        <w:t xml:space="preserve"> </w:t>
      </w:r>
      <w:r>
        <w:rPr>
          <w:rFonts w:hint="eastAsia" w:cs="宋体"/>
          <w:sz w:val="24"/>
          <w:u w:val="single"/>
          <w:lang w:val="en-US" w:eastAsia="zh-CN"/>
        </w:rPr>
        <w:t>23</w:t>
      </w:r>
      <w:r>
        <w:rPr>
          <w:rFonts w:hint="eastAsia" w:cs="宋体"/>
          <w:sz w:val="24"/>
          <w:u w:val="single"/>
        </w:rPr>
        <w:t xml:space="preserve"> </w:t>
      </w:r>
      <w:r>
        <w:rPr>
          <w:rFonts w:hint="eastAsia" w:ascii="宋体"/>
          <w:snapToGrid w:val="0"/>
          <w:kern w:val="0"/>
          <w:sz w:val="24"/>
        </w:rPr>
        <w:t>日</w:t>
      </w:r>
    </w:p>
    <w:p>
      <w:pPr>
        <w:spacing w:before="240" w:after="120" w:line="360" w:lineRule="auto"/>
        <w:rPr>
          <w:rFonts w:ascii="宋体" w:cs="宋体"/>
          <w:b/>
          <w:bCs/>
          <w:sz w:val="36"/>
          <w:szCs w:val="36"/>
        </w:rPr>
      </w:pPr>
      <w:bookmarkStart w:id="42" w:name="_Toc105594489"/>
      <w:bookmarkStart w:id="43" w:name="_Toc21547"/>
      <w:bookmarkStart w:id="44" w:name="_Toc11740"/>
    </w:p>
    <w:p>
      <w:pPr>
        <w:pStyle w:val="30"/>
        <w:sectPr>
          <w:footerReference r:id="rId10" w:type="default"/>
          <w:pgSz w:w="11907" w:h="16840"/>
          <w:pgMar w:top="1134" w:right="1134" w:bottom="1418" w:left="1418" w:header="737" w:footer="907" w:gutter="0"/>
          <w:pgNumType w:start="1"/>
          <w:cols w:space="720" w:num="1"/>
          <w:docGrid w:linePitch="312" w:charSpace="0"/>
        </w:sectPr>
      </w:pPr>
    </w:p>
    <w:p>
      <w:pPr>
        <w:pStyle w:val="2"/>
      </w:pPr>
      <w:bookmarkStart w:id="45" w:name="_Toc14867"/>
      <w:r>
        <w:rPr>
          <w:rFonts w:hint="eastAsia"/>
        </w:rPr>
        <w:t>第二章 投标人须知</w:t>
      </w:r>
      <w:bookmarkEnd w:id="42"/>
      <w:bookmarkEnd w:id="43"/>
      <w:bookmarkEnd w:id="44"/>
      <w:bookmarkEnd w:id="45"/>
      <w:bookmarkStart w:id="46" w:name="_Toc495977854"/>
    </w:p>
    <w:p>
      <w:pPr>
        <w:pStyle w:val="3"/>
      </w:pPr>
      <w:bookmarkStart w:id="47" w:name="_Toc18083"/>
      <w:bookmarkStart w:id="48" w:name="_Toc23371"/>
      <w:r>
        <w:rPr>
          <w:rFonts w:hint="eastAsia"/>
          <w:lang w:val="zh-CN"/>
        </w:rPr>
        <w:t>投标</w:t>
      </w:r>
      <w:r>
        <w:rPr>
          <w:rFonts w:hint="eastAsia"/>
        </w:rPr>
        <w:t>人</w:t>
      </w:r>
      <w:r>
        <w:rPr>
          <w:rFonts w:hint="eastAsia"/>
          <w:lang w:val="zh-CN"/>
        </w:rPr>
        <w:t>须知前附表</w:t>
      </w:r>
      <w:bookmarkEnd w:id="47"/>
      <w:bookmarkEnd w:id="48"/>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071"/>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00" w:type="dxa"/>
            <w:vAlign w:val="center"/>
          </w:tcPr>
          <w:p>
            <w:pPr>
              <w:autoSpaceDE w:val="0"/>
              <w:autoSpaceDN w:val="0"/>
              <w:adjustRightInd w:val="0"/>
              <w:snapToGrid w:val="0"/>
              <w:spacing w:line="360" w:lineRule="exact"/>
              <w:jc w:val="center"/>
              <w:rPr>
                <w:rFonts w:ascii="宋体" w:cs="宋体"/>
                <w:b/>
                <w:snapToGrid w:val="0"/>
                <w:kern w:val="0"/>
                <w:sz w:val="24"/>
              </w:rPr>
            </w:pPr>
            <w:r>
              <w:rPr>
                <w:rFonts w:hint="eastAsia" w:ascii="宋体" w:cs="宋体"/>
                <w:b/>
                <w:snapToGrid w:val="0"/>
                <w:kern w:val="0"/>
                <w:sz w:val="24"/>
              </w:rPr>
              <w:t>条款号</w:t>
            </w:r>
          </w:p>
        </w:tc>
        <w:tc>
          <w:tcPr>
            <w:tcW w:w="2072" w:type="dxa"/>
            <w:vAlign w:val="center"/>
          </w:tcPr>
          <w:p>
            <w:pPr>
              <w:autoSpaceDE w:val="0"/>
              <w:autoSpaceDN w:val="0"/>
              <w:adjustRightInd w:val="0"/>
              <w:snapToGrid w:val="0"/>
              <w:spacing w:line="360" w:lineRule="exact"/>
              <w:jc w:val="center"/>
              <w:rPr>
                <w:rFonts w:ascii="宋体" w:cs="宋体"/>
                <w:b/>
                <w:snapToGrid w:val="0"/>
                <w:kern w:val="0"/>
                <w:sz w:val="24"/>
              </w:rPr>
            </w:pPr>
            <w:r>
              <w:rPr>
                <w:rFonts w:hint="eastAsia" w:ascii="宋体" w:cs="宋体"/>
                <w:b/>
                <w:snapToGrid w:val="0"/>
                <w:kern w:val="0"/>
                <w:sz w:val="24"/>
              </w:rPr>
              <w:t>条 款 名 称</w:t>
            </w:r>
          </w:p>
        </w:tc>
        <w:tc>
          <w:tcPr>
            <w:tcW w:w="6393" w:type="dxa"/>
            <w:vAlign w:val="center"/>
          </w:tcPr>
          <w:p>
            <w:pPr>
              <w:autoSpaceDE w:val="0"/>
              <w:autoSpaceDN w:val="0"/>
              <w:adjustRightInd w:val="0"/>
              <w:snapToGrid w:val="0"/>
              <w:spacing w:line="360" w:lineRule="exact"/>
              <w:jc w:val="center"/>
              <w:rPr>
                <w:rFonts w:ascii="宋体" w:cs="宋体"/>
                <w:b/>
                <w:snapToGrid w:val="0"/>
                <w:kern w:val="0"/>
                <w:sz w:val="24"/>
              </w:rPr>
            </w:pPr>
            <w:r>
              <w:rPr>
                <w:rFonts w:hint="eastAsia" w:ascii="宋体" w:cs="宋体"/>
                <w:b/>
                <w:snapToGrid w:val="0"/>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2.1</w:t>
            </w:r>
          </w:p>
        </w:tc>
        <w:tc>
          <w:tcPr>
            <w:tcW w:w="2072" w:type="dxa"/>
            <w:vAlign w:val="center"/>
          </w:tcPr>
          <w:p>
            <w:pPr>
              <w:autoSpaceDE w:val="0"/>
              <w:autoSpaceDN w:val="0"/>
              <w:adjustRightInd w:val="0"/>
              <w:snapToGrid w:val="0"/>
              <w:spacing w:line="360" w:lineRule="exact"/>
              <w:jc w:val="center"/>
              <w:rPr>
                <w:rFonts w:ascii="宋体" w:cs="宋体"/>
                <w:snapToGrid w:val="0"/>
                <w:kern w:val="0"/>
                <w:sz w:val="24"/>
              </w:rPr>
            </w:pPr>
            <w:r>
              <w:rPr>
                <w:rFonts w:hint="eastAsia" w:ascii="宋体" w:cs="宋体"/>
                <w:snapToGrid w:val="0"/>
                <w:kern w:val="0"/>
                <w:sz w:val="24"/>
              </w:rPr>
              <w:t>招标人</w:t>
            </w:r>
          </w:p>
        </w:tc>
        <w:tc>
          <w:tcPr>
            <w:tcW w:w="6393" w:type="dxa"/>
            <w:vAlign w:val="center"/>
          </w:tcPr>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名    称：</w:t>
            </w:r>
            <w:r>
              <w:rPr>
                <w:rFonts w:hint="eastAsia" w:ascii="宋体"/>
                <w:snapToGrid w:val="0"/>
                <w:kern w:val="0"/>
                <w:sz w:val="24"/>
                <w:u w:val="single"/>
              </w:rPr>
              <w:t>浙江省烟草公司宁波市公司</w:t>
            </w:r>
            <w:r>
              <w:rPr>
                <w:rFonts w:hint="eastAsia" w:ascii="宋体"/>
                <w:snapToGrid w:val="0"/>
                <w:kern w:val="0"/>
                <w:sz w:val="24"/>
              </w:rPr>
              <w:t>。</w:t>
            </w:r>
          </w:p>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地    址：</w:t>
            </w:r>
            <w:r>
              <w:rPr>
                <w:rFonts w:hint="eastAsia" w:ascii="宋体"/>
                <w:snapToGrid w:val="0"/>
                <w:kern w:val="0"/>
                <w:sz w:val="24"/>
                <w:u w:val="single"/>
              </w:rPr>
              <w:t>宁波市高新区凌云路75号</w:t>
            </w:r>
            <w:r>
              <w:rPr>
                <w:rFonts w:hint="eastAsia" w:ascii="宋体"/>
                <w:snapToGrid w:val="0"/>
                <w:kern w:val="0"/>
                <w:sz w:val="24"/>
              </w:rPr>
              <w:t>。</w:t>
            </w:r>
          </w:p>
          <w:p>
            <w:pPr>
              <w:autoSpaceDE w:val="0"/>
              <w:autoSpaceDN w:val="0"/>
              <w:adjustRightInd w:val="0"/>
              <w:snapToGrid w:val="0"/>
              <w:spacing w:line="360" w:lineRule="exact"/>
              <w:jc w:val="left"/>
              <w:rPr>
                <w:rFonts w:ascii="宋体" w:cs="宋体"/>
                <w:kern w:val="0"/>
                <w:sz w:val="24"/>
                <w:lang w:val="zh-CN"/>
              </w:rPr>
            </w:pPr>
            <w:r>
              <w:rPr>
                <w:rFonts w:hint="eastAsia" w:ascii="宋体" w:cs="宋体"/>
                <w:kern w:val="0"/>
                <w:sz w:val="24"/>
                <w:lang w:val="zh-CN"/>
              </w:rPr>
              <w:t>联 系 人：</w:t>
            </w:r>
            <w:r>
              <w:rPr>
                <w:rFonts w:hint="eastAsia" w:ascii="宋体"/>
                <w:snapToGrid w:val="0"/>
                <w:kern w:val="0"/>
                <w:sz w:val="24"/>
                <w:u w:val="single"/>
              </w:rPr>
              <w:t>林老师</w:t>
            </w:r>
          </w:p>
          <w:p>
            <w:pPr>
              <w:autoSpaceDE w:val="0"/>
              <w:autoSpaceDN w:val="0"/>
              <w:adjustRightInd w:val="0"/>
              <w:snapToGrid w:val="0"/>
              <w:spacing w:line="360" w:lineRule="exact"/>
              <w:rPr>
                <w:rFonts w:ascii="宋体" w:cs="宋体"/>
                <w:snapToGrid w:val="0"/>
                <w:kern w:val="0"/>
                <w:sz w:val="24"/>
              </w:rPr>
            </w:pPr>
            <w:r>
              <w:rPr>
                <w:rFonts w:hint="eastAsia" w:ascii="宋体" w:cs="宋体"/>
                <w:kern w:val="0"/>
                <w:sz w:val="24"/>
                <w:lang w:val="zh-CN"/>
              </w:rPr>
              <w:t>联系电话：</w:t>
            </w:r>
            <w:r>
              <w:rPr>
                <w:rFonts w:hint="eastAsia" w:ascii="宋体"/>
                <w:snapToGrid w:val="0"/>
                <w:kern w:val="0"/>
                <w:sz w:val="24"/>
                <w:u w:val="single"/>
              </w:rPr>
              <w:t>0574-</w:t>
            </w:r>
            <w:r>
              <w:rPr>
                <w:rFonts w:hint="eastAsia" w:ascii="宋体" w:cs="仿宋"/>
                <w:sz w:val="24"/>
                <w:u w:val="single"/>
              </w:rPr>
              <w:t>87849383</w:t>
            </w:r>
            <w:r>
              <w:rPr>
                <w:rFonts w:hint="eastAsia" w:ascii="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2.2</w:t>
            </w:r>
          </w:p>
        </w:tc>
        <w:tc>
          <w:tcPr>
            <w:tcW w:w="2072" w:type="dxa"/>
            <w:vAlign w:val="center"/>
          </w:tcPr>
          <w:p>
            <w:pPr>
              <w:autoSpaceDE w:val="0"/>
              <w:autoSpaceDN w:val="0"/>
              <w:adjustRightInd w:val="0"/>
              <w:snapToGrid w:val="0"/>
              <w:spacing w:line="360" w:lineRule="exact"/>
              <w:jc w:val="center"/>
              <w:rPr>
                <w:rFonts w:ascii="宋体" w:cs="宋体"/>
                <w:snapToGrid w:val="0"/>
                <w:kern w:val="0"/>
                <w:sz w:val="24"/>
              </w:rPr>
            </w:pPr>
            <w:r>
              <w:rPr>
                <w:rFonts w:hint="eastAsia" w:ascii="宋体" w:cs="宋体"/>
                <w:snapToGrid w:val="0"/>
                <w:kern w:val="0"/>
                <w:sz w:val="24"/>
              </w:rPr>
              <w:t>招标组织形式</w:t>
            </w:r>
          </w:p>
        </w:tc>
        <w:tc>
          <w:tcPr>
            <w:tcW w:w="6393" w:type="dxa"/>
            <w:vAlign w:val="center"/>
          </w:tcPr>
          <w:p>
            <w:pPr>
              <w:autoSpaceDE w:val="0"/>
              <w:autoSpaceDN w:val="0"/>
              <w:adjustRightInd w:val="0"/>
              <w:snapToGrid w:val="0"/>
              <w:spacing w:line="360" w:lineRule="exact"/>
              <w:rPr>
                <w:rFonts w:ascii="宋体" w:cs="宋体"/>
                <w:kern w:val="0"/>
                <w:sz w:val="24"/>
              </w:rPr>
            </w:pPr>
            <w:r>
              <w:rPr>
                <w:rFonts w:hint="eastAsia" w:ascii="宋体" w:cs="宋体"/>
                <w:kern w:val="0"/>
                <w:sz w:val="24"/>
                <w:lang w:val="zh-CN"/>
              </w:rPr>
              <w:t>本项目采用</w:t>
            </w:r>
            <w:r>
              <w:rPr>
                <w:rFonts w:hint="eastAsia" w:cs="宋体"/>
                <w:sz w:val="24"/>
              </w:rPr>
              <w:t xml:space="preserve"> </w:t>
            </w:r>
            <w:r>
              <w:rPr>
                <w:rFonts w:hint="eastAsia" w:ascii="宋体" w:cs="宋体"/>
                <w:snapToGrid w:val="0"/>
                <w:kern w:val="0"/>
                <w:sz w:val="24"/>
              </w:rPr>
              <w:t>☑</w:t>
            </w:r>
            <w:r>
              <w:rPr>
                <w:rFonts w:hint="eastAsia" w:ascii="宋体" w:cs="宋体"/>
                <w:kern w:val="0"/>
                <w:sz w:val="24"/>
                <w:lang w:val="zh-CN"/>
              </w:rPr>
              <w:t>委托招标</w:t>
            </w:r>
            <w:r>
              <w:rPr>
                <w:rFonts w:hint="eastAsia" w:ascii="宋体" w:cs="宋体"/>
                <w:snapToGrid w:val="0"/>
                <w:kern w:val="0"/>
                <w:sz w:val="24"/>
              </w:rPr>
              <w:t>□</w:t>
            </w:r>
            <w:r>
              <w:rPr>
                <w:rFonts w:hint="eastAsia" w:ascii="宋体" w:cs="宋体"/>
                <w:kern w:val="0"/>
                <w:sz w:val="24"/>
              </w:rPr>
              <w:t>自行招标。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2.3</w:t>
            </w:r>
          </w:p>
        </w:tc>
        <w:tc>
          <w:tcPr>
            <w:tcW w:w="2072" w:type="dxa"/>
            <w:vAlign w:val="center"/>
          </w:tcPr>
          <w:p>
            <w:pPr>
              <w:autoSpaceDE w:val="0"/>
              <w:autoSpaceDN w:val="0"/>
              <w:adjustRightInd w:val="0"/>
              <w:snapToGrid w:val="0"/>
              <w:spacing w:line="360" w:lineRule="exact"/>
              <w:jc w:val="center"/>
              <w:rPr>
                <w:rFonts w:ascii="宋体" w:cs="宋体"/>
                <w:snapToGrid w:val="0"/>
                <w:kern w:val="0"/>
                <w:sz w:val="24"/>
              </w:rPr>
            </w:pPr>
            <w:r>
              <w:rPr>
                <w:rFonts w:hint="eastAsia" w:ascii="宋体" w:cs="宋体"/>
                <w:snapToGrid w:val="0"/>
                <w:kern w:val="0"/>
                <w:sz w:val="24"/>
              </w:rPr>
              <w:t>招标代理机构</w:t>
            </w:r>
          </w:p>
        </w:tc>
        <w:tc>
          <w:tcPr>
            <w:tcW w:w="6393" w:type="dxa"/>
            <w:vAlign w:val="center"/>
          </w:tcPr>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名    称：</w:t>
            </w:r>
            <w:r>
              <w:rPr>
                <w:rFonts w:hint="eastAsia" w:ascii="宋体"/>
                <w:snapToGrid w:val="0"/>
                <w:kern w:val="0"/>
                <w:sz w:val="24"/>
                <w:u w:val="single"/>
              </w:rPr>
              <w:t>中冠工程管理咨询有限公司</w:t>
            </w:r>
            <w:r>
              <w:rPr>
                <w:rFonts w:hint="eastAsia" w:ascii="宋体"/>
                <w:snapToGrid w:val="0"/>
                <w:kern w:val="0"/>
                <w:sz w:val="24"/>
              </w:rPr>
              <w:t>。</w:t>
            </w:r>
          </w:p>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地    址：</w:t>
            </w:r>
            <w:r>
              <w:rPr>
                <w:rFonts w:hint="eastAsia" w:ascii="宋体"/>
                <w:snapToGrid w:val="0"/>
                <w:kern w:val="0"/>
                <w:sz w:val="24"/>
                <w:u w:val="single"/>
              </w:rPr>
              <w:t>宁波市高新区新晖路155号东城国贸18楼</w:t>
            </w:r>
            <w:r>
              <w:rPr>
                <w:rFonts w:hint="eastAsia" w:ascii="宋体"/>
                <w:snapToGrid w:val="0"/>
                <w:kern w:val="0"/>
                <w:sz w:val="24"/>
              </w:rPr>
              <w:t>。</w:t>
            </w:r>
          </w:p>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联 系 人：</w:t>
            </w:r>
            <w:r>
              <w:rPr>
                <w:rFonts w:hint="eastAsia" w:ascii="宋体"/>
                <w:snapToGrid w:val="0"/>
                <w:kern w:val="0"/>
                <w:sz w:val="24"/>
                <w:u w:val="single"/>
              </w:rPr>
              <w:t>陈傲坤、刘霞</w:t>
            </w:r>
            <w:r>
              <w:rPr>
                <w:rFonts w:hint="eastAsia" w:ascii="宋体"/>
                <w:snapToGrid w:val="0"/>
                <w:kern w:val="0"/>
                <w:sz w:val="24"/>
              </w:rPr>
              <w:t>。</w:t>
            </w:r>
          </w:p>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联系电话：</w:t>
            </w:r>
            <w:r>
              <w:rPr>
                <w:rFonts w:ascii="宋体"/>
                <w:snapToGrid w:val="0"/>
                <w:kern w:val="0"/>
                <w:sz w:val="24"/>
                <w:u w:val="single"/>
              </w:rPr>
              <w:t>0574-87731619</w:t>
            </w:r>
            <w:r>
              <w:rPr>
                <w:rFonts w:hint="eastAsia" w:ascii="宋体"/>
                <w:snapToGrid w:val="0"/>
                <w:kern w:val="0"/>
                <w:sz w:val="24"/>
              </w:rPr>
              <w:t>。</w:t>
            </w:r>
          </w:p>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E-mail：</w:t>
            </w:r>
            <w:r>
              <w:rPr>
                <w:rFonts w:ascii="宋体" w:cs="宋体"/>
                <w:snapToGrid w:val="0"/>
                <w:kern w:val="0"/>
                <w:sz w:val="24"/>
                <w:u w:val="single"/>
              </w:rPr>
              <w:t>nbzgcg@163.com</w:t>
            </w:r>
            <w:r>
              <w:rPr>
                <w:rFonts w:hint="eastAsia" w:ascii="宋体"/>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2.4</w:t>
            </w:r>
          </w:p>
        </w:tc>
        <w:tc>
          <w:tcPr>
            <w:tcW w:w="2072" w:type="dxa"/>
            <w:vAlign w:val="center"/>
          </w:tcPr>
          <w:p>
            <w:pPr>
              <w:pStyle w:val="33"/>
              <w:adjustRightInd w:val="0"/>
              <w:snapToGrid w:val="0"/>
              <w:spacing w:line="360" w:lineRule="exact"/>
              <w:jc w:val="center"/>
              <w:rPr>
                <w:snapToGrid w:val="0"/>
                <w:sz w:val="24"/>
                <w:szCs w:val="24"/>
              </w:rPr>
            </w:pPr>
            <w:r>
              <w:rPr>
                <w:snapToGrid w:val="0"/>
                <w:sz w:val="24"/>
                <w:szCs w:val="24"/>
              </w:rPr>
              <w:t>项目</w:t>
            </w:r>
            <w:r>
              <w:rPr>
                <w:rFonts w:hint="eastAsia"/>
                <w:snapToGrid w:val="0"/>
                <w:sz w:val="24"/>
                <w:szCs w:val="24"/>
              </w:rPr>
              <w:t>概况</w:t>
            </w:r>
          </w:p>
        </w:tc>
        <w:tc>
          <w:tcPr>
            <w:tcW w:w="6393" w:type="dxa"/>
            <w:vAlign w:val="center"/>
          </w:tcPr>
          <w:p>
            <w:pPr>
              <w:pStyle w:val="20"/>
              <w:adjustRightInd w:val="0"/>
              <w:snapToGrid w:val="0"/>
              <w:spacing w:before="0" w:beforeAutospacing="0" w:after="0" w:afterAutospacing="0" w:line="360" w:lineRule="exact"/>
              <w:jc w:val="both"/>
              <w:rPr>
                <w:rFonts w:cs="宋体"/>
              </w:rPr>
            </w:pPr>
            <w:r>
              <w:rPr>
                <w:rFonts w:hint="eastAsia" w:cs="宋体"/>
              </w:rPr>
              <w:t>项目名称：</w:t>
            </w:r>
            <w:r>
              <w:rPr>
                <w:rFonts w:hint="eastAsia" w:cs="宋体"/>
                <w:u w:val="single"/>
              </w:rPr>
              <w:t>宁波市烟草公司配送中心全品规备货系统扩容技改项目</w:t>
            </w:r>
            <w:r>
              <w:rPr>
                <w:rFonts w:hint="eastAsia" w:cs="宋体"/>
              </w:rPr>
              <w:t>。</w:t>
            </w:r>
          </w:p>
          <w:p>
            <w:pPr>
              <w:pStyle w:val="20"/>
              <w:tabs>
                <w:tab w:val="left" w:pos="346"/>
              </w:tabs>
              <w:adjustRightInd w:val="0"/>
              <w:snapToGrid w:val="0"/>
              <w:spacing w:before="0" w:beforeAutospacing="0" w:after="0" w:afterAutospacing="0" w:line="360" w:lineRule="exact"/>
              <w:jc w:val="both"/>
              <w:rPr>
                <w:rFonts w:cs="宋体"/>
              </w:rPr>
            </w:pPr>
            <w:r>
              <w:rPr>
                <w:rFonts w:hint="eastAsia" w:cs="宋体"/>
              </w:rPr>
              <w:t>招标编号：</w:t>
            </w:r>
            <w:r>
              <w:rPr>
                <w:rFonts w:hint="eastAsia" w:cs="宋体"/>
                <w:u w:val="single"/>
              </w:rPr>
              <w:t>NBYC-CT3302250206*（ZGZB2025-251）</w:t>
            </w:r>
            <w:r>
              <w:rPr>
                <w:rFonts w:hint="eastAsia" w:cs="宋体"/>
              </w:rPr>
              <w:t>。</w:t>
            </w:r>
          </w:p>
          <w:p>
            <w:pPr>
              <w:pStyle w:val="20"/>
              <w:tabs>
                <w:tab w:val="left" w:pos="346"/>
              </w:tabs>
              <w:adjustRightInd w:val="0"/>
              <w:snapToGrid w:val="0"/>
              <w:spacing w:before="0" w:beforeAutospacing="0" w:after="0" w:afterAutospacing="0" w:line="360" w:lineRule="exact"/>
              <w:jc w:val="both"/>
              <w:rPr>
                <w:rFonts w:cs="宋体"/>
                <w:bCs/>
                <w:u w:val="single"/>
              </w:rPr>
            </w:pPr>
            <w:r>
              <w:rPr>
                <w:rFonts w:hint="eastAsia" w:cs="宋体"/>
              </w:rPr>
              <w:t>项目实施地点：</w:t>
            </w:r>
            <w:r>
              <w:rPr>
                <w:rFonts w:hint="eastAsia"/>
                <w:u w:val="single"/>
              </w:rPr>
              <w:t>浙江省宁波市海曙区科创南路269号宁波烟草卷烟配送中心</w:t>
            </w:r>
            <w:r>
              <w:rPr>
                <w:rFonts w:hint="eastAsia" w:cs="宋体"/>
                <w:bCs/>
              </w:rPr>
              <w:t>。</w:t>
            </w:r>
          </w:p>
          <w:p>
            <w:pPr>
              <w:pStyle w:val="20"/>
              <w:adjustRightInd w:val="0"/>
              <w:snapToGrid w:val="0"/>
              <w:spacing w:before="0" w:beforeAutospacing="0" w:after="0" w:afterAutospacing="0" w:line="360" w:lineRule="exact"/>
              <w:jc w:val="both"/>
              <w:rPr>
                <w:rFonts w:cs="宋体"/>
              </w:rPr>
            </w:pPr>
            <w:r>
              <w:rPr>
                <w:rFonts w:hint="eastAsia" w:cs="宋体"/>
              </w:rPr>
              <w:t>项目概算：</w:t>
            </w:r>
            <w:r>
              <w:rPr>
                <w:rFonts w:hint="eastAsia"/>
                <w:u w:val="single"/>
              </w:rPr>
              <w:t>人民币608万元</w:t>
            </w:r>
            <w:r>
              <w:rPr>
                <w:rFonts w:hint="eastAsia" w:cs="宋体"/>
              </w:rPr>
              <w:t>；最高限价：</w:t>
            </w:r>
            <w:r>
              <w:rPr>
                <w:rFonts w:hint="eastAsia"/>
                <w:highlight w:val="none"/>
                <w:u w:val="single"/>
              </w:rPr>
              <w:t>人民币607.664万元</w:t>
            </w:r>
            <w:r>
              <w:rPr>
                <w:rFonts w:hint="eastAsia" w:cs="宋体"/>
              </w:rPr>
              <w:t>。</w:t>
            </w:r>
          </w:p>
          <w:p>
            <w:pPr>
              <w:pStyle w:val="20"/>
              <w:adjustRightInd w:val="0"/>
              <w:snapToGrid w:val="0"/>
              <w:spacing w:before="0" w:beforeAutospacing="0" w:after="0" w:afterAutospacing="0" w:line="360" w:lineRule="exact"/>
              <w:jc w:val="both"/>
              <w:rPr>
                <w:snapToGrid w:val="0"/>
              </w:rPr>
            </w:pPr>
            <w:r>
              <w:rPr>
                <w:rFonts w:hint="eastAsia" w:cs="宋体"/>
              </w:rPr>
              <w:t>招标内容：</w:t>
            </w:r>
            <w:r>
              <w:rPr>
                <w:rFonts w:hint="eastAsia" w:cs="宋体"/>
                <w:bCs/>
                <w:u w:val="single"/>
              </w:rPr>
              <w:t>本项目包含多穿库建设、备件库烟道扩增、出入库传输辊柱线改造等</w:t>
            </w:r>
            <w:r>
              <w:rPr>
                <w:rFonts w:hint="eastAsia" w:cs="宋体"/>
                <w:bCs/>
              </w:rPr>
              <w:t>，详见招标文件第三章“招标内容及要求”。工期：合同签订完毕，自接到招标人供货安装通知后90日历天内完成设备供货、安装、调试，并具备基本生产条件。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3.1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联合体投标</w:t>
            </w:r>
          </w:p>
        </w:tc>
        <w:tc>
          <w:tcPr>
            <w:tcW w:w="6393" w:type="dxa"/>
            <w:vAlign w:val="center"/>
          </w:tcPr>
          <w:p>
            <w:pPr>
              <w:autoSpaceDE w:val="0"/>
              <w:autoSpaceDN w:val="0"/>
              <w:adjustRightInd w:val="0"/>
              <w:snapToGrid w:val="0"/>
              <w:spacing w:line="360" w:lineRule="exact"/>
              <w:rPr>
                <w:rFonts w:ascii="宋体" w:cs="宋体"/>
                <w:bCs/>
                <w:snapToGrid w:val="0"/>
                <w:kern w:val="0"/>
                <w:sz w:val="24"/>
              </w:rPr>
            </w:pPr>
            <w:r>
              <w:rPr>
                <w:rFonts w:hint="eastAsia" w:ascii="宋体" w:cs="宋体"/>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4</w:t>
            </w:r>
          </w:p>
        </w:tc>
        <w:tc>
          <w:tcPr>
            <w:tcW w:w="2072" w:type="dxa"/>
            <w:vAlign w:val="center"/>
          </w:tcPr>
          <w:p>
            <w:pPr>
              <w:autoSpaceDE w:val="0"/>
              <w:autoSpaceDN w:val="0"/>
              <w:adjustRightInd w:val="0"/>
              <w:snapToGrid w:val="0"/>
              <w:spacing w:line="360" w:lineRule="exact"/>
              <w:jc w:val="center"/>
              <w:rPr>
                <w:rFonts w:ascii="宋体" w:cs="宋体"/>
                <w:snapToGrid w:val="0"/>
                <w:kern w:val="0"/>
                <w:sz w:val="24"/>
              </w:rPr>
            </w:pPr>
            <w:r>
              <w:rPr>
                <w:rFonts w:hint="eastAsia" w:ascii="宋体" w:cs="宋体"/>
                <w:snapToGrid w:val="0"/>
                <w:kern w:val="0"/>
                <w:sz w:val="24"/>
              </w:rPr>
              <w:t>分包、转包</w:t>
            </w:r>
          </w:p>
        </w:tc>
        <w:tc>
          <w:tcPr>
            <w:tcW w:w="6393" w:type="dxa"/>
            <w:vAlign w:val="center"/>
          </w:tcPr>
          <w:p>
            <w:pPr>
              <w:autoSpaceDE w:val="0"/>
              <w:autoSpaceDN w:val="0"/>
              <w:adjustRightInd w:val="0"/>
              <w:snapToGrid w:val="0"/>
              <w:spacing w:line="360" w:lineRule="exact"/>
              <w:rPr>
                <w:rFonts w:ascii="宋体" w:cs="宋体"/>
                <w:snapToGrid w:val="0"/>
                <w:kern w:val="0"/>
                <w:sz w:val="24"/>
              </w:rPr>
            </w:pPr>
            <w:r>
              <w:rPr>
                <w:rFonts w:hint="eastAsia" w:ascii="宋体" w:cs="宋体"/>
                <w:snapToGrid w:val="0"/>
                <w:kern w:val="0"/>
                <w:sz w:val="24"/>
              </w:rPr>
              <w:t>（1）分包：</w:t>
            </w:r>
          </w:p>
          <w:p>
            <w:pPr>
              <w:autoSpaceDE w:val="0"/>
              <w:autoSpaceDN w:val="0"/>
              <w:adjustRightInd w:val="0"/>
              <w:snapToGrid w:val="0"/>
              <w:spacing w:line="360" w:lineRule="exact"/>
              <w:rPr>
                <w:rFonts w:ascii="宋体" w:cs="宋体"/>
                <w:snapToGrid w:val="0"/>
                <w:kern w:val="0"/>
                <w:sz w:val="24"/>
              </w:rPr>
            </w:pPr>
            <w:r>
              <w:rPr>
                <w:rFonts w:ascii="Segoe UI Symbol" w:hAnsi="Segoe UI Symbol" w:cs="Segoe UI Symbol"/>
                <w:snapToGrid w:val="0"/>
                <w:kern w:val="0"/>
                <w:sz w:val="24"/>
              </w:rPr>
              <w:t>☑</w:t>
            </w:r>
            <w:r>
              <w:rPr>
                <w:rFonts w:hint="eastAsia" w:ascii="宋体" w:cs="宋体"/>
                <w:snapToGrid w:val="0"/>
                <w:kern w:val="0"/>
                <w:sz w:val="24"/>
              </w:rPr>
              <w:t>不允许</w:t>
            </w:r>
          </w:p>
          <w:p>
            <w:pPr>
              <w:autoSpaceDE w:val="0"/>
              <w:autoSpaceDN w:val="0"/>
              <w:adjustRightInd w:val="0"/>
              <w:snapToGrid w:val="0"/>
              <w:spacing w:line="360" w:lineRule="exact"/>
              <w:rPr>
                <w:rFonts w:ascii="宋体"/>
                <w:snapToGrid w:val="0"/>
                <w:kern w:val="0"/>
                <w:sz w:val="24"/>
                <w:shd w:val="clear" w:color="FFFFFF" w:fill="D9D9D9"/>
              </w:rPr>
            </w:pPr>
            <w:r>
              <w:rPr>
                <w:rFonts w:hint="eastAsia" w:ascii="宋体" w:cs="宋体"/>
                <w:snapToGrid w:val="0"/>
                <w:kern w:val="0"/>
                <w:sz w:val="24"/>
              </w:rPr>
              <w:t>□允许，分包内容要求：</w:t>
            </w:r>
            <w:r>
              <w:rPr>
                <w:rFonts w:hint="eastAsia" w:ascii="宋体" w:cs="宋体"/>
                <w:snapToGrid w:val="0"/>
                <w:kern w:val="0"/>
                <w:sz w:val="24"/>
                <w:u w:val="single"/>
              </w:rPr>
              <w:t xml:space="preserve"> （非主体、非关键内容） </w:t>
            </w:r>
            <w:r>
              <w:rPr>
                <w:rFonts w:hint="eastAsia" w:ascii="宋体" w:cs="宋体"/>
                <w:snapToGrid w:val="0"/>
                <w:kern w:val="0"/>
                <w:sz w:val="24"/>
              </w:rPr>
              <w:t>，分包金额要求：</w:t>
            </w:r>
            <w:r>
              <w:rPr>
                <w:rFonts w:hint="eastAsia" w:ascii="宋体" w:cs="宋体"/>
                <w:snapToGrid w:val="0"/>
                <w:kern w:val="0"/>
                <w:sz w:val="24"/>
                <w:u w:val="single"/>
              </w:rPr>
              <w:t xml:space="preserve">                        </w:t>
            </w:r>
            <w:r>
              <w:rPr>
                <w:rFonts w:hint="eastAsia" w:ascii="宋体" w:cs="宋体"/>
                <w:snapToGrid w:val="0"/>
                <w:kern w:val="0"/>
                <w:sz w:val="24"/>
              </w:rPr>
              <w:t>；被分包单位资质要求：</w:t>
            </w:r>
            <w:r>
              <w:rPr>
                <w:rFonts w:hint="eastAsia" w:ascii="宋体" w:cs="宋体"/>
                <w:snapToGrid w:val="0"/>
                <w:kern w:val="0"/>
                <w:sz w:val="24"/>
                <w:u w:val="single"/>
              </w:rPr>
              <w:t xml:space="preserve">                  </w:t>
            </w:r>
            <w:r>
              <w:rPr>
                <w:rFonts w:hint="eastAsia" w:ascii="宋体" w:cs="宋体"/>
                <w:snapToGrid w:val="0"/>
                <w:kern w:val="0"/>
                <w:sz w:val="24"/>
              </w:rPr>
              <w:t>。</w:t>
            </w:r>
          </w:p>
          <w:p>
            <w:pPr>
              <w:pStyle w:val="8"/>
              <w:adjustRightInd w:val="0"/>
              <w:snapToGrid w:val="0"/>
              <w:spacing w:line="360" w:lineRule="exact"/>
              <w:jc w:val="left"/>
              <w:rPr>
                <w:rFonts w:hint="eastAsia" w:ascii="宋体" w:hAnsi="宋体" w:cs="宋体"/>
                <w:snapToGrid w:val="0"/>
                <w:kern w:val="0"/>
                <w:sz w:val="24"/>
                <w:szCs w:val="24"/>
                <w:u w:val="single"/>
              </w:rPr>
            </w:pPr>
            <w:r>
              <w:rPr>
                <w:rFonts w:hint="eastAsia" w:ascii="宋体" w:eastAsia="宋体" w:cs="宋体"/>
                <w:b w:val="0"/>
                <w:bCs/>
                <w:snapToGrid w:val="0"/>
                <w:spacing w:val="0"/>
                <w:kern w:val="0"/>
                <w:sz w:val="24"/>
                <w:szCs w:val="24"/>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snapToGrid w:val="0"/>
                <w:kern w:val="0"/>
                <w:sz w:val="24"/>
              </w:rPr>
            </w:pPr>
            <w:r>
              <w:rPr>
                <w:rFonts w:hint="eastAsia" w:ascii="宋体" w:cs="宋体"/>
                <w:snapToGrid w:val="0"/>
                <w:kern w:val="0"/>
                <w:sz w:val="24"/>
              </w:rPr>
              <w:t>12.1</w:t>
            </w:r>
          </w:p>
        </w:tc>
        <w:tc>
          <w:tcPr>
            <w:tcW w:w="2072" w:type="dxa"/>
            <w:vAlign w:val="center"/>
          </w:tcPr>
          <w:p>
            <w:pPr>
              <w:autoSpaceDE w:val="0"/>
              <w:autoSpaceDN w:val="0"/>
              <w:adjustRightInd w:val="0"/>
              <w:snapToGrid w:val="0"/>
              <w:spacing w:line="360" w:lineRule="exact"/>
              <w:jc w:val="center"/>
              <w:rPr>
                <w:rFonts w:ascii="宋体" w:cs="宋体"/>
                <w:snapToGrid w:val="0"/>
                <w:kern w:val="0"/>
                <w:sz w:val="24"/>
              </w:rPr>
            </w:pPr>
            <w:r>
              <w:rPr>
                <w:rFonts w:hint="eastAsia" w:ascii="宋体" w:cs="宋体"/>
                <w:snapToGrid w:val="0"/>
                <w:kern w:val="0"/>
                <w:sz w:val="24"/>
              </w:rPr>
              <w:t>招标文件提出问题截止时间、方式</w:t>
            </w:r>
          </w:p>
        </w:tc>
        <w:tc>
          <w:tcPr>
            <w:tcW w:w="6393" w:type="dxa"/>
            <w:vAlign w:val="center"/>
          </w:tcPr>
          <w:p>
            <w:pPr>
              <w:autoSpaceDE w:val="0"/>
              <w:autoSpaceDN w:val="0"/>
              <w:adjustRightInd w:val="0"/>
              <w:snapToGrid w:val="0"/>
              <w:spacing w:line="360" w:lineRule="exact"/>
              <w:jc w:val="left"/>
              <w:rPr>
                <w:rFonts w:ascii="宋体" w:cs="宋体"/>
                <w:snapToGrid w:val="0"/>
                <w:kern w:val="0"/>
                <w:sz w:val="24"/>
              </w:rPr>
            </w:pPr>
            <w:r>
              <w:rPr>
                <w:rFonts w:hint="eastAsia" w:ascii="宋体" w:cs="宋体"/>
                <w:snapToGrid w:val="0"/>
                <w:kern w:val="0"/>
                <w:sz w:val="24"/>
              </w:rPr>
              <w:t>（1）提出问题截止时间：投标截止时间10日历天前；</w:t>
            </w:r>
          </w:p>
          <w:p>
            <w:pPr>
              <w:autoSpaceDE w:val="0"/>
              <w:autoSpaceDN w:val="0"/>
              <w:adjustRightInd w:val="0"/>
              <w:snapToGrid w:val="0"/>
              <w:spacing w:line="360" w:lineRule="exact"/>
              <w:jc w:val="left"/>
              <w:rPr>
                <w:rFonts w:ascii="宋体" w:cs="宋体"/>
                <w:snapToGrid w:val="0"/>
                <w:kern w:val="0"/>
                <w:sz w:val="24"/>
              </w:rPr>
            </w:pPr>
            <w:r>
              <w:rPr>
                <w:rFonts w:hint="eastAsia" w:ascii="宋体" w:cs="宋体"/>
                <w:snapToGrid w:val="0"/>
                <w:kern w:val="0"/>
                <w:sz w:val="24"/>
              </w:rPr>
              <w:t>（2）提出问题方式：</w:t>
            </w:r>
            <w:r>
              <w:rPr>
                <w:rFonts w:hint="eastAsia" w:ascii="宋体" w:cs="宋体"/>
                <w:snapToGrid w:val="0"/>
                <w:kern w:val="0"/>
                <w:sz w:val="24"/>
                <w:u w:val="single"/>
              </w:rPr>
              <w:t xml:space="preserve"> 通过乐采云平台 </w:t>
            </w:r>
            <w:r>
              <w:rPr>
                <w:rFonts w:hint="eastAsia" w:ascii="宋体" w:cs="宋体"/>
                <w:snapToGrid w:val="0"/>
                <w:kern w:val="0"/>
                <w:sz w:val="24"/>
              </w:rPr>
              <w:t>提出。</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
                <w:bCs/>
                <w:snapToGrid w:val="0"/>
                <w:kern w:val="0"/>
                <w:sz w:val="24"/>
              </w:rPr>
              <w:t>注：未按上述要求提出的问题，将不予答复。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12.2</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snapToGrid w:val="0"/>
                <w:kern w:val="0"/>
                <w:sz w:val="24"/>
              </w:rPr>
              <w:t>招标文件澄清发出的形式</w:t>
            </w:r>
          </w:p>
        </w:tc>
        <w:tc>
          <w:tcPr>
            <w:tcW w:w="6393" w:type="dxa"/>
            <w:vAlign w:val="center"/>
          </w:tcPr>
          <w:p>
            <w:pPr>
              <w:autoSpaceDE w:val="0"/>
              <w:autoSpaceDN w:val="0"/>
              <w:adjustRightInd w:val="0"/>
              <w:snapToGrid w:val="0"/>
              <w:spacing w:line="360" w:lineRule="exact"/>
              <w:jc w:val="left"/>
              <w:rPr>
                <w:rFonts w:ascii="宋体" w:cs="宋体"/>
                <w:snapToGrid w:val="0"/>
                <w:kern w:val="0"/>
                <w:sz w:val="24"/>
              </w:rPr>
            </w:pPr>
            <w:r>
              <w:rPr>
                <w:rFonts w:hint="eastAsia" w:ascii="宋体" w:cs="宋体"/>
                <w:snapToGrid w:val="0"/>
                <w:kern w:val="0"/>
                <w:sz w:val="24"/>
              </w:rPr>
              <w:t>通过和招标公告发布相同的媒介发出，并加载至</w:t>
            </w:r>
            <w:r>
              <w:rPr>
                <w:rFonts w:hint="eastAsia" w:ascii="宋体" w:cs="宋体"/>
                <w:snapToGrid w:val="0"/>
                <w:kern w:val="0"/>
                <w:sz w:val="24"/>
                <w:u w:val="single"/>
              </w:rPr>
              <w:t xml:space="preserve"> 乐采云平台 </w:t>
            </w:r>
            <w:r>
              <w:rPr>
                <w:rFonts w:hint="eastAsia" w:ascii="宋体" w:cs="宋体"/>
                <w:snapToGrid w:val="0"/>
                <w:kern w:val="0"/>
                <w:sz w:val="24"/>
              </w:rPr>
              <w:t>，</w:t>
            </w:r>
            <w:r>
              <w:rPr>
                <w:rFonts w:hint="eastAsia" w:ascii="宋体" w:cs="宋体"/>
                <w:snapToGrid w:val="0"/>
                <w:kern w:val="0"/>
                <w:sz w:val="24"/>
                <w:lang w:val="zh-CN"/>
              </w:rPr>
              <w:t>投标人可自行获取澄清</w:t>
            </w:r>
            <w:r>
              <w:rPr>
                <w:rFonts w:hint="eastAsia" w:ascii="宋体" w:cs="宋体"/>
                <w:snapToGrid w:val="0"/>
                <w:kern w:val="0"/>
                <w:sz w:val="24"/>
              </w:rPr>
              <w:t>文件或澄清信息</w:t>
            </w:r>
            <w:r>
              <w:rPr>
                <w:rFonts w:hint="eastAsia" w:ascii="宋体" w:cs="宋体"/>
                <w:snapToGrid w:val="0"/>
                <w:kern w:val="0"/>
                <w:sz w:val="24"/>
                <w:lang w:val="zh-CN"/>
              </w:rPr>
              <w:t>。</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
                <w:bCs/>
                <w:snapToGrid w:val="0"/>
                <w:kern w:val="0"/>
                <w:sz w:val="24"/>
              </w:rPr>
              <w:t>注：投标截止时间前，请投标人务必关注补充公告。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13.1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snapToGrid w:val="0"/>
                <w:kern w:val="0"/>
                <w:sz w:val="24"/>
              </w:rPr>
              <w:t>招标文件修改发出的形式</w:t>
            </w:r>
          </w:p>
        </w:tc>
        <w:tc>
          <w:tcPr>
            <w:tcW w:w="6393" w:type="dxa"/>
            <w:vAlign w:val="center"/>
          </w:tcPr>
          <w:p>
            <w:pPr>
              <w:autoSpaceDE w:val="0"/>
              <w:autoSpaceDN w:val="0"/>
              <w:adjustRightInd w:val="0"/>
              <w:snapToGrid w:val="0"/>
              <w:spacing w:line="360" w:lineRule="exact"/>
              <w:rPr>
                <w:rFonts w:ascii="宋体" w:cs="宋体"/>
                <w:bCs/>
                <w:snapToGrid w:val="0"/>
                <w:kern w:val="0"/>
                <w:sz w:val="24"/>
              </w:rPr>
            </w:pPr>
            <w:r>
              <w:rPr>
                <w:rFonts w:hint="eastAsia" w:ascii="宋体" w:cs="宋体"/>
                <w:bCs/>
                <w:snapToGrid w:val="0"/>
                <w:kern w:val="0"/>
                <w:sz w:val="24"/>
              </w:rPr>
              <w:t>同“</w:t>
            </w:r>
            <w:r>
              <w:rPr>
                <w:rFonts w:hint="eastAsia" w:ascii="宋体" w:cs="宋体"/>
                <w:snapToGrid w:val="0"/>
                <w:kern w:val="0"/>
                <w:sz w:val="24"/>
              </w:rPr>
              <w:t>招标文件澄清发出的形式</w:t>
            </w:r>
            <w:r>
              <w:rPr>
                <w:rFonts w:hint="eastAsia" w:ascii="宋体" w:cs="宋体"/>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17.1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投标有效期</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snapToGrid w:val="0"/>
                <w:kern w:val="0"/>
                <w:sz w:val="24"/>
                <w:u w:val="single"/>
              </w:rPr>
              <w:t xml:space="preserve"> 90 </w:t>
            </w:r>
            <w:r>
              <w:rPr>
                <w:rFonts w:hint="eastAsia" w:ascii="宋体" w:cs="宋体"/>
                <w:snapToGrid w:val="0"/>
                <w:kern w:val="0"/>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18.1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投标保证金</w:t>
            </w:r>
          </w:p>
        </w:tc>
        <w:tc>
          <w:tcPr>
            <w:tcW w:w="6393" w:type="dxa"/>
            <w:vAlign w:val="center"/>
          </w:tcPr>
          <w:p>
            <w:pPr>
              <w:autoSpaceDE w:val="0"/>
              <w:autoSpaceDN w:val="0"/>
              <w:adjustRightInd w:val="0"/>
              <w:snapToGrid w:val="0"/>
              <w:spacing w:line="360" w:lineRule="exact"/>
              <w:jc w:val="left"/>
              <w:rPr>
                <w:rFonts w:ascii="宋体" w:cs="宋体"/>
                <w:sz w:val="24"/>
              </w:rPr>
            </w:pPr>
            <w:r>
              <w:rPr>
                <w:rFonts w:hint="eastAsia" w:ascii="宋体" w:cs="宋体"/>
                <w:sz w:val="24"/>
              </w:rPr>
              <w:t>本项目</w:t>
            </w:r>
            <w:r>
              <w:rPr>
                <w:rFonts w:hint="eastAsia" w:ascii="宋体" w:cs="宋体"/>
                <w:snapToGrid w:val="0"/>
                <w:kern w:val="0"/>
                <w:sz w:val="24"/>
              </w:rPr>
              <w:t>□</w:t>
            </w:r>
            <w:r>
              <w:rPr>
                <w:rFonts w:hint="eastAsia" w:ascii="宋体" w:cs="宋体"/>
                <w:sz w:val="24"/>
              </w:rPr>
              <w:t>不需要/</w:t>
            </w:r>
            <w:r>
              <w:rPr>
                <w:rFonts w:ascii="Segoe UI Symbol" w:hAnsi="Segoe UI Symbol" w:cs="Segoe UI Symbol"/>
                <w:kern w:val="0"/>
                <w:sz w:val="24"/>
                <w:lang w:bidi="ar"/>
              </w:rPr>
              <w:t>☑</w:t>
            </w:r>
            <w:r>
              <w:rPr>
                <w:rFonts w:hint="eastAsia" w:ascii="宋体" w:cs="宋体"/>
                <w:sz w:val="24"/>
              </w:rPr>
              <w:t>需要缴纳投标保证金，缴纳投标保证金的具体要求如下：</w:t>
            </w:r>
          </w:p>
          <w:p>
            <w:pPr>
              <w:autoSpaceDE w:val="0"/>
              <w:autoSpaceDN w:val="0"/>
              <w:adjustRightInd w:val="0"/>
              <w:snapToGrid w:val="0"/>
              <w:spacing w:line="360" w:lineRule="exact"/>
              <w:jc w:val="left"/>
              <w:rPr>
                <w:rFonts w:ascii="宋体" w:cs="宋体"/>
                <w:sz w:val="24"/>
              </w:rPr>
            </w:pPr>
            <w:r>
              <w:rPr>
                <w:rFonts w:hint="eastAsia" w:ascii="宋体" w:cs="宋体"/>
                <w:sz w:val="24"/>
              </w:rPr>
              <w:t>（1）缴纳金额：</w:t>
            </w:r>
            <w:r>
              <w:rPr>
                <w:rFonts w:hint="eastAsia" w:ascii="宋体" w:cs="宋体"/>
                <w:sz w:val="24"/>
                <w:u w:val="single"/>
              </w:rPr>
              <w:t>人民币120000.00元</w:t>
            </w:r>
            <w:r>
              <w:rPr>
                <w:rFonts w:hint="eastAsia" w:ascii="宋体" w:cs="宋体"/>
                <w:sz w:val="24"/>
              </w:rPr>
              <w:t>；</w:t>
            </w:r>
          </w:p>
          <w:p>
            <w:pPr>
              <w:autoSpaceDE w:val="0"/>
              <w:autoSpaceDN w:val="0"/>
              <w:adjustRightInd w:val="0"/>
              <w:snapToGrid w:val="0"/>
              <w:spacing w:line="360" w:lineRule="exact"/>
              <w:jc w:val="left"/>
              <w:rPr>
                <w:rFonts w:ascii="宋体" w:cs="宋体"/>
                <w:sz w:val="24"/>
              </w:rPr>
            </w:pPr>
            <w:r>
              <w:rPr>
                <w:rFonts w:hint="eastAsia" w:ascii="宋体" w:cs="宋体"/>
                <w:sz w:val="24"/>
              </w:rPr>
              <w:t>（2）缴纳方式：网上银行、转账支票、电汇、银行保函；</w:t>
            </w:r>
          </w:p>
          <w:p>
            <w:pPr>
              <w:autoSpaceDE w:val="0"/>
              <w:autoSpaceDN w:val="0"/>
              <w:adjustRightInd w:val="0"/>
              <w:snapToGrid w:val="0"/>
              <w:spacing w:line="360" w:lineRule="exact"/>
              <w:jc w:val="left"/>
              <w:rPr>
                <w:rFonts w:ascii="宋体" w:cs="宋体"/>
                <w:sz w:val="24"/>
              </w:rPr>
            </w:pPr>
            <w:r>
              <w:rPr>
                <w:rFonts w:hint="eastAsia" w:ascii="宋体" w:cs="宋体"/>
                <w:sz w:val="24"/>
              </w:rPr>
              <w:t>（3）缴纳期限：投标截止时间前；</w:t>
            </w:r>
          </w:p>
          <w:p>
            <w:pPr>
              <w:autoSpaceDE w:val="0"/>
              <w:autoSpaceDN w:val="0"/>
              <w:adjustRightInd w:val="0"/>
              <w:snapToGrid w:val="0"/>
              <w:spacing w:line="360" w:lineRule="exact"/>
              <w:jc w:val="left"/>
              <w:rPr>
                <w:rFonts w:ascii="宋体" w:cs="宋体"/>
                <w:sz w:val="24"/>
              </w:rPr>
            </w:pPr>
            <w:r>
              <w:rPr>
                <w:rFonts w:hint="eastAsia" w:ascii="宋体" w:cs="宋体"/>
                <w:sz w:val="24"/>
              </w:rPr>
              <w:t>（4）有效期：同投标有效期；</w:t>
            </w:r>
          </w:p>
          <w:p>
            <w:pPr>
              <w:autoSpaceDE w:val="0"/>
              <w:autoSpaceDN w:val="0"/>
              <w:adjustRightInd w:val="0"/>
              <w:snapToGrid w:val="0"/>
              <w:spacing w:line="360" w:lineRule="exact"/>
              <w:jc w:val="left"/>
              <w:rPr>
                <w:rFonts w:ascii="宋体" w:cs="宋体"/>
                <w:sz w:val="24"/>
              </w:rPr>
            </w:pPr>
            <w:r>
              <w:rPr>
                <w:rFonts w:hint="eastAsia" w:ascii="宋体" w:cs="宋体"/>
                <w:sz w:val="24"/>
              </w:rPr>
              <w:t>（5）收款人（接收人）：</w:t>
            </w:r>
            <w:r>
              <w:rPr>
                <w:rFonts w:hint="eastAsia" w:ascii="宋体" w:cs="宋体"/>
                <w:sz w:val="24"/>
                <w:u w:val="single"/>
              </w:rPr>
              <w:t>中冠工程管理咨询有限公司</w:t>
            </w:r>
            <w:r>
              <w:rPr>
                <w:rFonts w:hint="eastAsia" w:ascii="宋体" w:cs="宋体"/>
                <w:sz w:val="24"/>
              </w:rPr>
              <w:t>；开户行：</w:t>
            </w:r>
            <w:r>
              <w:rPr>
                <w:rFonts w:hint="eastAsia" w:ascii="宋体" w:cs="宋体"/>
                <w:sz w:val="24"/>
                <w:u w:val="single"/>
              </w:rPr>
              <w:t>中国银行宁波市分行</w:t>
            </w:r>
            <w:r>
              <w:rPr>
                <w:rFonts w:hint="eastAsia" w:ascii="宋体" w:cs="宋体"/>
                <w:sz w:val="24"/>
              </w:rPr>
              <w:t>；账号：</w:t>
            </w:r>
            <w:r>
              <w:rPr>
                <w:rFonts w:ascii="宋体" w:cs="宋体"/>
                <w:sz w:val="24"/>
                <w:u w:val="single"/>
              </w:rPr>
              <w:t>396174745263</w:t>
            </w:r>
            <w:r>
              <w:rPr>
                <w:rFonts w:hint="eastAsia" w:ascii="宋体" w:cs="宋体"/>
                <w:sz w:val="24"/>
              </w:rPr>
              <w:t>；</w:t>
            </w:r>
          </w:p>
          <w:p>
            <w:pPr>
              <w:autoSpaceDE w:val="0"/>
              <w:autoSpaceDN w:val="0"/>
              <w:adjustRightInd w:val="0"/>
              <w:snapToGrid w:val="0"/>
              <w:spacing w:line="360" w:lineRule="exact"/>
              <w:jc w:val="left"/>
              <w:rPr>
                <w:rFonts w:ascii="宋体" w:cs="宋体"/>
                <w:b/>
                <w:bCs/>
                <w:sz w:val="24"/>
              </w:rPr>
            </w:pPr>
            <w:r>
              <w:rPr>
                <w:rFonts w:hint="eastAsia" w:ascii="宋体" w:cs="宋体"/>
                <w:sz w:val="24"/>
              </w:rPr>
              <w:t>（6）退还：</w:t>
            </w:r>
            <w:r>
              <w:rPr>
                <w:rFonts w:hint="eastAsia" w:ascii="宋体" w:cs="宋体"/>
                <w:sz w:val="24"/>
                <w:u w:val="single"/>
              </w:rPr>
              <w:t xml:space="preserve"> 最迟在书面合同签订后5个日历天内，退还中标人和未中标的投标人 </w:t>
            </w:r>
            <w:r>
              <w:rPr>
                <w:rFonts w:hint="eastAsia" w:ascii="宋体" w:cs="宋体"/>
                <w:sz w:val="24"/>
              </w:rPr>
              <w:t>的投标保证金；投标保证金以银行保函以外方式缴纳的，一并退还按央行活期存款基准利率计算的银行同期存款利息。</w:t>
            </w:r>
          </w:p>
          <w:p>
            <w:pPr>
              <w:autoSpaceDE w:val="0"/>
              <w:autoSpaceDN w:val="0"/>
              <w:adjustRightInd w:val="0"/>
              <w:snapToGrid w:val="0"/>
              <w:spacing w:line="360" w:lineRule="exact"/>
              <w:jc w:val="left"/>
            </w:pPr>
            <w:r>
              <w:rPr>
                <w:rFonts w:hint="eastAsia" w:ascii="宋体" w:cs="宋体"/>
                <w:b/>
                <w:bCs/>
                <w:sz w:val="24"/>
              </w:rPr>
              <w:t>注：以银行保函形式缴纳的，需提供以本项目</w:t>
            </w:r>
            <w:r>
              <w:rPr>
                <w:rFonts w:hint="eastAsia" w:ascii="宋体" w:cs="宋体"/>
                <w:b/>
                <w:bCs/>
                <w:sz w:val="24"/>
                <w:u w:val="single"/>
              </w:rPr>
              <w:t>招标代理机构（即中冠工程管理咨询有限公司）</w:t>
            </w:r>
            <w:r>
              <w:rPr>
                <w:rFonts w:hint="eastAsia" w:ascii="宋体" w:cs="宋体"/>
                <w:b/>
                <w:bCs/>
                <w:sz w:val="24"/>
              </w:rPr>
              <w:t>为受益人的无条件且不可撤销国有银行及全国性股份制商业银行的银行保函。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19.1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现场踏勘</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sz w:val="24"/>
              </w:rPr>
              <w:t>本项目</w:t>
            </w:r>
            <w:r>
              <w:rPr>
                <w:rFonts w:ascii="Segoe UI Symbol" w:hAnsi="Segoe UI Symbol" w:cs="Segoe UI Symbol"/>
                <w:kern w:val="0"/>
                <w:sz w:val="24"/>
                <w:lang w:bidi="ar"/>
              </w:rPr>
              <w:t>☑</w:t>
            </w:r>
            <w:r>
              <w:rPr>
                <w:rFonts w:hint="eastAsia" w:ascii="宋体" w:cs="宋体"/>
                <w:sz w:val="24"/>
              </w:rPr>
              <w:t>不组织/□组织踏勘现场，联系人</w:t>
            </w:r>
            <w:r>
              <w:rPr>
                <w:rFonts w:hint="eastAsia" w:ascii="宋体" w:cs="宋体"/>
                <w:sz w:val="24"/>
                <w:u w:val="single"/>
              </w:rPr>
              <w:t xml:space="preserve">              </w:t>
            </w:r>
            <w:r>
              <w:rPr>
                <w:rFonts w:hint="eastAsia" w:ascii="宋体" w:cs="宋体"/>
                <w:sz w:val="24"/>
              </w:rPr>
              <w:t>； 电话：</w:t>
            </w:r>
            <w:r>
              <w:rPr>
                <w:rFonts w:hint="eastAsia" w:ascii="宋体" w:cs="宋体"/>
                <w:sz w:val="24"/>
                <w:u w:val="single"/>
              </w:rPr>
              <w:t xml:space="preserve">                 </w:t>
            </w:r>
            <w:r>
              <w:rPr>
                <w:rFonts w:hint="eastAsia" w:ascii="宋体" w:cs="宋体"/>
                <w:sz w:val="24"/>
              </w:rPr>
              <w:t>；踏勘时间：</w:t>
            </w:r>
            <w:r>
              <w:rPr>
                <w:rFonts w:hint="eastAsia" w:ascii="宋体" w:cs="宋体"/>
                <w:sz w:val="24"/>
                <w:u w:val="single"/>
              </w:rPr>
              <w:t xml:space="preserve">              </w:t>
            </w:r>
            <w:r>
              <w:rPr>
                <w:rFonts w:hint="eastAsia" w:ascii="宋体" w:cs="宋体"/>
                <w:sz w:val="24"/>
              </w:rPr>
              <w:t>；踏勘地点：</w:t>
            </w:r>
            <w:r>
              <w:rPr>
                <w:rFonts w:hint="eastAsia" w:ascii="宋体" w:cs="宋体"/>
                <w:sz w:val="24"/>
                <w:u w:val="single"/>
              </w:rPr>
              <w:t xml:space="preserve">                </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20.1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投标截止时间</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sz w:val="24"/>
                <w:u w:val="single"/>
                <w:lang w:val="zh-CN"/>
              </w:rPr>
              <w:t xml:space="preserve"> </w:t>
            </w:r>
            <w:r>
              <w:rPr>
                <w:rFonts w:hint="eastAsia" w:ascii="宋体" w:cs="宋体"/>
                <w:sz w:val="24"/>
                <w:u w:val="single"/>
              </w:rPr>
              <w:t>2025</w:t>
            </w:r>
            <w:r>
              <w:rPr>
                <w:rFonts w:hint="eastAsia" w:ascii="宋体" w:cs="宋体"/>
                <w:sz w:val="24"/>
                <w:u w:val="single"/>
                <w:lang w:val="zh-CN"/>
              </w:rPr>
              <w:t xml:space="preserve"> </w:t>
            </w:r>
            <w:r>
              <w:rPr>
                <w:rFonts w:hint="eastAsia" w:ascii="宋体" w:cs="宋体"/>
                <w:sz w:val="24"/>
                <w:lang w:val="zh-CN"/>
              </w:rPr>
              <w:t>年</w:t>
            </w:r>
            <w:r>
              <w:rPr>
                <w:rFonts w:hint="eastAsia" w:ascii="宋体" w:cs="宋体"/>
                <w:sz w:val="24"/>
                <w:u w:val="single"/>
                <w:lang w:val="zh-CN"/>
              </w:rPr>
              <w:t xml:space="preserve"> 0</w:t>
            </w:r>
            <w:r>
              <w:rPr>
                <w:rFonts w:hint="eastAsia" w:ascii="宋体" w:cs="宋体"/>
                <w:sz w:val="24"/>
                <w:u w:val="single"/>
                <w:lang w:val="en-US" w:eastAsia="zh-CN"/>
              </w:rPr>
              <w:t>7</w:t>
            </w:r>
            <w:r>
              <w:rPr>
                <w:rFonts w:hint="eastAsia" w:ascii="宋体" w:cs="宋体"/>
                <w:sz w:val="24"/>
                <w:u w:val="single"/>
                <w:lang w:val="zh-CN"/>
              </w:rPr>
              <w:t xml:space="preserve"> </w:t>
            </w:r>
            <w:r>
              <w:rPr>
                <w:rFonts w:hint="eastAsia" w:ascii="宋体" w:cs="宋体"/>
                <w:sz w:val="24"/>
                <w:lang w:val="zh-CN"/>
              </w:rPr>
              <w:t>月</w:t>
            </w:r>
            <w:r>
              <w:rPr>
                <w:rFonts w:hint="eastAsia" w:ascii="宋体" w:cs="宋体"/>
                <w:sz w:val="24"/>
                <w:u w:val="single"/>
                <w:lang w:val="zh-CN"/>
              </w:rPr>
              <w:t xml:space="preserve"> </w:t>
            </w:r>
            <w:r>
              <w:rPr>
                <w:rFonts w:hint="eastAsia" w:ascii="宋体" w:cs="宋体"/>
                <w:sz w:val="24"/>
                <w:u w:val="single"/>
                <w:lang w:val="en-US" w:eastAsia="zh-CN"/>
              </w:rPr>
              <w:t>15</w:t>
            </w:r>
            <w:r>
              <w:rPr>
                <w:rFonts w:hint="eastAsia" w:ascii="宋体" w:cs="宋体"/>
                <w:sz w:val="24"/>
                <w:u w:val="single"/>
                <w:lang w:val="zh-CN"/>
              </w:rPr>
              <w:t xml:space="preserve"> </w:t>
            </w:r>
            <w:r>
              <w:rPr>
                <w:rFonts w:hint="eastAsia" w:ascii="宋体" w:cs="宋体"/>
                <w:sz w:val="24"/>
                <w:lang w:val="zh-CN"/>
              </w:rPr>
              <w:t>日</w:t>
            </w:r>
            <w:r>
              <w:rPr>
                <w:rFonts w:hint="eastAsia" w:ascii="宋体" w:cs="宋体"/>
                <w:sz w:val="24"/>
                <w:u w:val="single"/>
              </w:rPr>
              <w:t xml:space="preserve"> 09 </w:t>
            </w:r>
            <w:r>
              <w:rPr>
                <w:rFonts w:hint="eastAsia" w:ascii="宋体" w:cs="宋体"/>
                <w:sz w:val="24"/>
                <w:lang w:val="zh-CN"/>
              </w:rPr>
              <w:t>时</w:t>
            </w:r>
            <w:r>
              <w:rPr>
                <w:rFonts w:hint="eastAsia" w:ascii="宋体" w:cs="宋体"/>
                <w:sz w:val="24"/>
                <w:u w:val="single"/>
                <w:lang w:val="zh-CN"/>
              </w:rPr>
              <w:t xml:space="preserve"> 00</w:t>
            </w:r>
            <w:r>
              <w:rPr>
                <w:rFonts w:hint="eastAsia" w:ascii="宋体" w:cs="宋体"/>
                <w:sz w:val="24"/>
                <w:u w:val="single"/>
              </w:rPr>
              <w:t xml:space="preserve"> </w:t>
            </w:r>
            <w:r>
              <w:rPr>
                <w:rFonts w:hint="eastAsia" w:ascii="宋体" w:cs="宋体"/>
                <w:sz w:val="24"/>
                <w:lang w:val="zh-CN"/>
              </w:rPr>
              <w:t>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20.2</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投标文件递交</w:t>
            </w:r>
          </w:p>
        </w:tc>
        <w:tc>
          <w:tcPr>
            <w:tcW w:w="6393" w:type="dxa"/>
            <w:vAlign w:val="center"/>
          </w:tcPr>
          <w:p>
            <w:pPr>
              <w:autoSpaceDE w:val="0"/>
              <w:autoSpaceDN w:val="0"/>
              <w:adjustRightInd w:val="0"/>
              <w:snapToGrid w:val="0"/>
              <w:spacing w:line="360" w:lineRule="exact"/>
              <w:rPr>
                <w:rFonts w:ascii="宋体" w:cs="宋体"/>
                <w:sz w:val="24"/>
              </w:rPr>
            </w:pPr>
            <w:r>
              <w:rPr>
                <w:rFonts w:hint="eastAsia" w:ascii="宋体" w:cs="宋体"/>
                <w:sz w:val="24"/>
              </w:rPr>
              <w:t>（1）制作：通过“电子交易客户端”制作的电子投标文件；</w:t>
            </w:r>
          </w:p>
          <w:p>
            <w:pPr>
              <w:autoSpaceDE w:val="0"/>
              <w:autoSpaceDN w:val="0"/>
              <w:adjustRightInd w:val="0"/>
              <w:snapToGrid w:val="0"/>
              <w:spacing w:line="360" w:lineRule="exact"/>
              <w:jc w:val="left"/>
              <w:rPr>
                <w:rFonts w:ascii="宋体" w:cs="宋体"/>
                <w:sz w:val="24"/>
              </w:rPr>
            </w:pPr>
            <w:r>
              <w:rPr>
                <w:rFonts w:hint="eastAsia" w:ascii="宋体" w:cs="宋体"/>
                <w:sz w:val="24"/>
              </w:rPr>
              <w:t>（2）投标文件组成：资格文件、商务技术文件、报价文件；</w:t>
            </w:r>
          </w:p>
          <w:p>
            <w:pPr>
              <w:spacing w:line="360" w:lineRule="exact"/>
              <w:rPr>
                <w:rFonts w:ascii="宋体" w:cs="宋体"/>
                <w:sz w:val="24"/>
                <w:u w:val="single"/>
              </w:rPr>
            </w:pPr>
            <w:r>
              <w:rPr>
                <w:rFonts w:hint="eastAsia" w:ascii="宋体" w:cs="宋体"/>
                <w:sz w:val="24"/>
              </w:rPr>
              <w:t>（3）递交方式及地点：</w:t>
            </w:r>
            <w:r>
              <w:rPr>
                <w:rFonts w:hint="eastAsia" w:ascii="宋体" w:cs="宋体"/>
                <w:sz w:val="24"/>
                <w:u w:val="single"/>
              </w:rPr>
              <w:t xml:space="preserve">  递交至乐采云平台  </w:t>
            </w:r>
            <w:r>
              <w:rPr>
                <w:rFonts w:hint="eastAsia" w:ascii="宋体" w:cs="宋体"/>
                <w:sz w:val="24"/>
              </w:rPr>
              <w:t>；</w:t>
            </w:r>
          </w:p>
          <w:p>
            <w:pPr>
              <w:spacing w:line="360" w:lineRule="exact"/>
              <w:rPr>
                <w:rFonts w:ascii="宋体" w:cs="宋体"/>
                <w:sz w:val="24"/>
              </w:rPr>
            </w:pPr>
            <w:r>
              <w:rPr>
                <w:rFonts w:hint="eastAsia" w:ascii="宋体" w:cs="宋体"/>
                <w:sz w:val="24"/>
              </w:rPr>
              <w:t>（4）截止时间：同投标截止时间。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20.3</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备份投标文件递交</w:t>
            </w:r>
          </w:p>
        </w:tc>
        <w:tc>
          <w:tcPr>
            <w:tcW w:w="6393" w:type="dxa"/>
            <w:vAlign w:val="center"/>
          </w:tcPr>
          <w:p>
            <w:pPr>
              <w:autoSpaceDE w:val="0"/>
              <w:autoSpaceDN w:val="0"/>
              <w:adjustRightInd w:val="0"/>
              <w:snapToGrid w:val="0"/>
              <w:spacing w:line="360" w:lineRule="exact"/>
              <w:jc w:val="left"/>
              <w:rPr>
                <w:rFonts w:ascii="宋体" w:cs="宋体"/>
                <w:sz w:val="24"/>
              </w:rPr>
            </w:pPr>
            <w:r>
              <w:rPr>
                <w:rFonts w:hint="eastAsia" w:ascii="宋体" w:cs="宋体"/>
                <w:sz w:val="24"/>
              </w:rPr>
              <w:t>（1）本项目</w:t>
            </w:r>
            <w:r>
              <w:rPr>
                <w:rFonts w:hint="eastAsia" w:ascii="宋体" w:cs="宋体"/>
                <w:snapToGrid w:val="0"/>
                <w:kern w:val="0"/>
                <w:sz w:val="24"/>
              </w:rPr>
              <w:t>□</w:t>
            </w:r>
            <w:r>
              <w:rPr>
                <w:rFonts w:hint="eastAsia" w:ascii="宋体" w:cs="宋体"/>
                <w:sz w:val="24"/>
              </w:rPr>
              <w:t>不需要/</w:t>
            </w:r>
            <w:r>
              <w:rPr>
                <w:rFonts w:ascii="Segoe UI Symbol" w:hAnsi="Segoe UI Symbol" w:cs="Segoe UI Symbol"/>
                <w:kern w:val="0"/>
                <w:sz w:val="24"/>
                <w:lang w:bidi="ar"/>
              </w:rPr>
              <w:t>☑</w:t>
            </w:r>
            <w:r>
              <w:rPr>
                <w:rFonts w:hint="eastAsia" w:ascii="宋体" w:cs="宋体"/>
                <w:sz w:val="24"/>
              </w:rPr>
              <w:t>需要递交</w:t>
            </w:r>
            <w:r>
              <w:rPr>
                <w:rFonts w:hint="eastAsia"/>
                <w:sz w:val="24"/>
              </w:rPr>
              <w:t>数据电文形式的电子备份投标文件，递交的</w:t>
            </w:r>
            <w:r>
              <w:rPr>
                <w:rFonts w:hint="eastAsia" w:ascii="宋体" w:cs="宋体"/>
                <w:sz w:val="24"/>
              </w:rPr>
              <w:t>具体要求如下：</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1 \* GB3 \* MERGEFORMAT </w:instrText>
            </w:r>
            <w:r>
              <w:rPr>
                <w:rFonts w:hint="eastAsia" w:ascii="宋体" w:cs="宋体"/>
                <w:sz w:val="24"/>
              </w:rPr>
              <w:fldChar w:fldCharType="separate"/>
            </w:r>
            <w:r>
              <w:rPr>
                <w:rFonts w:hint="eastAsia" w:ascii="宋体" w:cs="宋体"/>
                <w:sz w:val="24"/>
              </w:rPr>
              <w:t>①</w:t>
            </w:r>
            <w:r>
              <w:rPr>
                <w:rFonts w:hint="eastAsia" w:ascii="宋体" w:cs="宋体"/>
                <w:sz w:val="24"/>
              </w:rPr>
              <w:fldChar w:fldCharType="end"/>
            </w:r>
            <w:r>
              <w:rPr>
                <w:rFonts w:hint="eastAsia" w:ascii="宋体" w:cs="宋体"/>
                <w:sz w:val="24"/>
              </w:rPr>
              <w:t>制作：通过“电子交易客户端”编制电子投标文件时生成的数据电文形式、后缀格式为.bfbs的投标文件，</w:t>
            </w:r>
            <w:r>
              <w:rPr>
                <w:rFonts w:hint="eastAsia" w:ascii="宋体" w:cs="宋体"/>
                <w:b/>
                <w:bCs/>
                <w:sz w:val="24"/>
              </w:rPr>
              <w:t>用其他方式编制的视为无效电子备份投标文件</w:t>
            </w:r>
            <w:r>
              <w:rPr>
                <w:rFonts w:hint="eastAsia" w:ascii="宋体" w:cs="宋体"/>
                <w:sz w:val="24"/>
              </w:rPr>
              <w:t>；</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2 \* GB3 \* MERGEFORMAT </w:instrText>
            </w:r>
            <w:r>
              <w:rPr>
                <w:rFonts w:hint="eastAsia" w:ascii="宋体" w:cs="宋体"/>
                <w:sz w:val="24"/>
              </w:rPr>
              <w:fldChar w:fldCharType="separate"/>
            </w:r>
            <w:r>
              <w:rPr>
                <w:rFonts w:hint="eastAsia" w:ascii="宋体" w:cs="宋体"/>
                <w:sz w:val="24"/>
              </w:rPr>
              <w:t>②</w:t>
            </w:r>
            <w:r>
              <w:rPr>
                <w:rFonts w:hint="eastAsia" w:ascii="宋体" w:cs="宋体"/>
                <w:sz w:val="24"/>
              </w:rPr>
              <w:fldChar w:fldCharType="end"/>
            </w:r>
            <w:r>
              <w:rPr>
                <w:rFonts w:hint="eastAsia" w:ascii="宋体" w:cs="宋体"/>
                <w:sz w:val="24"/>
              </w:rPr>
              <w:t>存储介质：U盘；</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3 \* GB3 \* MERGEFORMAT </w:instrText>
            </w:r>
            <w:r>
              <w:rPr>
                <w:rFonts w:hint="eastAsia" w:ascii="宋体" w:cs="宋体"/>
                <w:sz w:val="24"/>
              </w:rPr>
              <w:fldChar w:fldCharType="separate"/>
            </w:r>
            <w:r>
              <w:rPr>
                <w:rFonts w:hint="eastAsia" w:ascii="宋体" w:cs="宋体"/>
                <w:sz w:val="24"/>
              </w:rPr>
              <w:t>③</w:t>
            </w:r>
            <w:r>
              <w:rPr>
                <w:rFonts w:hint="eastAsia" w:ascii="宋体" w:cs="宋体"/>
                <w:sz w:val="24"/>
              </w:rPr>
              <w:fldChar w:fldCharType="end"/>
            </w:r>
            <w:r>
              <w:rPr>
                <w:rFonts w:hint="eastAsia" w:ascii="宋体" w:cs="宋体"/>
                <w:sz w:val="24"/>
              </w:rPr>
              <w:t>备份投标文件组成：资格文件、商务技术文件、报价文件；</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4 \* GB3 \* MERGEFORMAT </w:instrText>
            </w:r>
            <w:r>
              <w:rPr>
                <w:rFonts w:hint="eastAsia" w:ascii="宋体" w:cs="宋体"/>
                <w:sz w:val="24"/>
              </w:rPr>
              <w:fldChar w:fldCharType="separate"/>
            </w:r>
            <w:r>
              <w:rPr>
                <w:rFonts w:hint="eastAsia" w:ascii="宋体" w:cs="宋体"/>
                <w:sz w:val="24"/>
              </w:rPr>
              <w:t>④</w:t>
            </w:r>
            <w:r>
              <w:rPr>
                <w:rFonts w:hint="eastAsia" w:ascii="宋体" w:cs="宋体"/>
                <w:sz w:val="24"/>
              </w:rPr>
              <w:fldChar w:fldCharType="end"/>
            </w:r>
            <w:r>
              <w:rPr>
                <w:rFonts w:hint="eastAsia" w:ascii="宋体" w:cs="宋体"/>
                <w:sz w:val="24"/>
              </w:rPr>
              <w:t>封装：单独封装在密封袋中，在密封袋上注明投标项目名称、投标单位名称并加盖投标人公章；</w:t>
            </w:r>
          </w:p>
          <w:p>
            <w:pPr>
              <w:autoSpaceDE w:val="0"/>
              <w:autoSpaceDN w:val="0"/>
              <w:adjustRightInd w:val="0"/>
              <w:snapToGrid w:val="0"/>
              <w:spacing w:line="360" w:lineRule="exact"/>
              <w:jc w:val="left"/>
              <w:rPr>
                <w:rFonts w:ascii="宋体" w:cs="宋体"/>
                <w:sz w:val="24"/>
                <w:u w:val="single"/>
              </w:rPr>
            </w:pPr>
            <w:r>
              <w:rPr>
                <w:rFonts w:hint="eastAsia" w:ascii="宋体" w:cs="宋体"/>
                <w:sz w:val="24"/>
              </w:rPr>
              <w:fldChar w:fldCharType="begin"/>
            </w:r>
            <w:r>
              <w:rPr>
                <w:rFonts w:hint="eastAsia" w:ascii="宋体" w:cs="宋体"/>
                <w:sz w:val="24"/>
              </w:rPr>
              <w:instrText xml:space="preserve"> = 5 \* GB3 \* MERGEFORMAT </w:instrText>
            </w:r>
            <w:r>
              <w:rPr>
                <w:rFonts w:hint="eastAsia" w:ascii="宋体" w:cs="宋体"/>
                <w:sz w:val="24"/>
              </w:rPr>
              <w:fldChar w:fldCharType="separate"/>
            </w:r>
            <w:r>
              <w:rPr>
                <w:rFonts w:hint="eastAsia" w:ascii="宋体" w:cs="宋体"/>
                <w:sz w:val="24"/>
              </w:rPr>
              <w:t>⑤</w:t>
            </w:r>
            <w:r>
              <w:rPr>
                <w:rFonts w:hint="eastAsia" w:ascii="宋体" w:cs="宋体"/>
                <w:sz w:val="24"/>
              </w:rPr>
              <w:fldChar w:fldCharType="end"/>
            </w:r>
            <w:r>
              <w:rPr>
                <w:rFonts w:hint="eastAsia" w:ascii="宋体" w:cs="宋体"/>
                <w:sz w:val="24"/>
              </w:rPr>
              <w:t>递交方式：邮寄或送达，地址：</w:t>
            </w:r>
            <w:r>
              <w:rPr>
                <w:rFonts w:hint="eastAsia" w:ascii="宋体" w:cs="宋体"/>
                <w:sz w:val="24"/>
                <w:u w:val="single"/>
              </w:rPr>
              <w:t>宁波市高新区新晖路155号东城国贸18楼</w:t>
            </w:r>
            <w:r>
              <w:rPr>
                <w:rFonts w:hint="eastAsia" w:ascii="宋体" w:cs="宋体"/>
                <w:sz w:val="24"/>
              </w:rPr>
              <w:t>；邮编：</w:t>
            </w:r>
            <w:r>
              <w:rPr>
                <w:rFonts w:ascii="宋体" w:cs="宋体"/>
                <w:sz w:val="24"/>
                <w:u w:val="single"/>
              </w:rPr>
              <w:t>315000</w:t>
            </w:r>
            <w:r>
              <w:rPr>
                <w:rFonts w:hint="eastAsia" w:ascii="宋体" w:cs="宋体"/>
                <w:sz w:val="24"/>
              </w:rPr>
              <w:t>；接收人：</w:t>
            </w:r>
            <w:r>
              <w:rPr>
                <w:rFonts w:hint="eastAsia" w:ascii="宋体" w:cs="宋体"/>
                <w:sz w:val="24"/>
                <w:u w:val="single"/>
              </w:rPr>
              <w:t>陈傲坤</w:t>
            </w:r>
            <w:r>
              <w:rPr>
                <w:rFonts w:hint="eastAsia" w:ascii="宋体" w:cs="宋体"/>
                <w:sz w:val="24"/>
              </w:rPr>
              <w:t>；电话：</w:t>
            </w:r>
            <w:r>
              <w:rPr>
                <w:rFonts w:ascii="宋体" w:cs="宋体"/>
                <w:sz w:val="24"/>
                <w:u w:val="single"/>
              </w:rPr>
              <w:t>0574-87731619</w:t>
            </w:r>
            <w:r>
              <w:rPr>
                <w:rFonts w:hint="eastAsia" w:ascii="宋体" w:cs="宋体"/>
                <w:sz w:val="24"/>
              </w:rPr>
              <w:t>；</w:t>
            </w:r>
          </w:p>
          <w:p>
            <w:pPr>
              <w:autoSpaceDE w:val="0"/>
              <w:autoSpaceDN w:val="0"/>
              <w:adjustRightInd w:val="0"/>
              <w:snapToGrid w:val="0"/>
              <w:spacing w:line="360" w:lineRule="exact"/>
              <w:jc w:val="left"/>
            </w:pPr>
            <w:r>
              <w:rPr>
                <w:rFonts w:hint="eastAsia" w:ascii="汉仪书宋二S" w:eastAsia="汉仪书宋二S" w:cs="汉仪书宋二S"/>
              </w:rPr>
              <w:t>⑥</w:t>
            </w:r>
            <w:r>
              <w:rPr>
                <w:rFonts w:hint="eastAsia" w:ascii="宋体" w:cs="宋体"/>
                <w:sz w:val="24"/>
              </w:rPr>
              <w:t>截止时间：同投标截止时间。</w:t>
            </w:r>
          </w:p>
          <w:p>
            <w:pPr>
              <w:autoSpaceDE w:val="0"/>
              <w:autoSpaceDN w:val="0"/>
              <w:adjustRightInd w:val="0"/>
              <w:snapToGrid w:val="0"/>
              <w:spacing w:line="360" w:lineRule="exact"/>
              <w:jc w:val="left"/>
              <w:rPr>
                <w:rFonts w:ascii="宋体" w:cs="宋体"/>
                <w:sz w:val="24"/>
              </w:rPr>
            </w:pPr>
            <w:r>
              <w:rPr>
                <w:rFonts w:hint="eastAsia" w:ascii="宋体" w:cs="宋体"/>
                <w:sz w:val="24"/>
              </w:rPr>
              <w:t>（2）本项目</w:t>
            </w:r>
            <w:r>
              <w:rPr>
                <w:rFonts w:ascii="Segoe UI Symbol" w:hAnsi="Segoe UI Symbol" w:cs="Segoe UI Symbol"/>
                <w:kern w:val="0"/>
                <w:sz w:val="24"/>
                <w:lang w:bidi="ar"/>
              </w:rPr>
              <w:t>☑</w:t>
            </w:r>
            <w:r>
              <w:rPr>
                <w:rFonts w:hint="eastAsia" w:ascii="宋体" w:cs="宋体"/>
                <w:sz w:val="24"/>
              </w:rPr>
              <w:t>不需要/</w:t>
            </w:r>
            <w:r>
              <w:rPr>
                <w:rFonts w:hint="eastAsia" w:ascii="宋体" w:cs="宋体"/>
                <w:snapToGrid w:val="0"/>
                <w:kern w:val="0"/>
                <w:sz w:val="24"/>
              </w:rPr>
              <w:t>□</w:t>
            </w:r>
            <w:r>
              <w:rPr>
                <w:rFonts w:hint="eastAsia" w:ascii="宋体" w:cs="宋体"/>
                <w:sz w:val="24"/>
              </w:rPr>
              <w:t>需要递交</w:t>
            </w:r>
            <w:r>
              <w:rPr>
                <w:rFonts w:hint="eastAsia"/>
                <w:sz w:val="24"/>
              </w:rPr>
              <w:t>以纸质为媒介的纸质备份投标文件，递交的</w:t>
            </w:r>
            <w:r>
              <w:rPr>
                <w:rFonts w:hint="eastAsia" w:ascii="宋体" w:cs="宋体"/>
                <w:sz w:val="24"/>
              </w:rPr>
              <w:t>具体要求如下：</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1 \* GB3 \* MERGEFORMAT </w:instrText>
            </w:r>
            <w:r>
              <w:rPr>
                <w:rFonts w:hint="eastAsia" w:ascii="宋体" w:cs="宋体"/>
                <w:sz w:val="24"/>
              </w:rPr>
              <w:fldChar w:fldCharType="separate"/>
            </w:r>
            <w:r>
              <w:rPr>
                <w:rFonts w:hint="eastAsia" w:ascii="宋体" w:cs="宋体"/>
                <w:sz w:val="24"/>
              </w:rPr>
              <w:t>①</w:t>
            </w:r>
            <w:r>
              <w:rPr>
                <w:rFonts w:hint="eastAsia" w:ascii="宋体" w:cs="宋体"/>
                <w:sz w:val="24"/>
              </w:rPr>
              <w:fldChar w:fldCharType="end"/>
            </w:r>
            <w:r>
              <w:rPr>
                <w:rFonts w:hint="eastAsia" w:ascii="宋体" w:cs="宋体"/>
                <w:sz w:val="24"/>
              </w:rPr>
              <w:t>制作：A4幅面、双面打印、卡纸作封面、胶装、加盖投标人公章；</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2 \* GB3 \* MERGEFORMAT </w:instrText>
            </w:r>
            <w:r>
              <w:rPr>
                <w:rFonts w:hint="eastAsia" w:ascii="宋体" w:cs="宋体"/>
                <w:sz w:val="24"/>
              </w:rPr>
              <w:fldChar w:fldCharType="separate"/>
            </w:r>
            <w:r>
              <w:rPr>
                <w:rFonts w:hint="eastAsia" w:ascii="宋体" w:cs="宋体"/>
                <w:sz w:val="24"/>
              </w:rPr>
              <w:t>②</w:t>
            </w:r>
            <w:r>
              <w:rPr>
                <w:rFonts w:hint="eastAsia" w:ascii="宋体" w:cs="宋体"/>
                <w:sz w:val="24"/>
              </w:rPr>
              <w:fldChar w:fldCharType="end"/>
            </w:r>
            <w:r>
              <w:rPr>
                <w:rFonts w:hint="eastAsia" w:ascii="宋体" w:cs="宋体"/>
                <w:sz w:val="24"/>
              </w:rPr>
              <w:t>份数：资格文件、商务技术文件、报价文件各1份正本；</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3 \* GB3 \* MERGEFORMAT </w:instrText>
            </w:r>
            <w:r>
              <w:rPr>
                <w:rFonts w:hint="eastAsia" w:ascii="宋体" w:cs="宋体"/>
                <w:sz w:val="24"/>
              </w:rPr>
              <w:fldChar w:fldCharType="separate"/>
            </w:r>
            <w:r>
              <w:rPr>
                <w:rFonts w:hint="eastAsia" w:ascii="宋体" w:cs="宋体"/>
                <w:sz w:val="24"/>
              </w:rPr>
              <w:t>③</w:t>
            </w:r>
            <w:r>
              <w:rPr>
                <w:rFonts w:hint="eastAsia" w:ascii="宋体" w:cs="宋体"/>
                <w:sz w:val="24"/>
              </w:rPr>
              <w:fldChar w:fldCharType="end"/>
            </w:r>
            <w:r>
              <w:rPr>
                <w:rFonts w:hint="eastAsia" w:ascii="宋体" w:cs="宋体"/>
                <w:sz w:val="24"/>
              </w:rPr>
              <w:t>封装：资格文件、商务技术文件、报价文件分别封装在不同的密封袋中，且密封袋上注明投标项目名称、投标单位名称并加盖投标人公章；</w:t>
            </w:r>
          </w:p>
          <w:p>
            <w:pPr>
              <w:autoSpaceDE w:val="0"/>
              <w:autoSpaceDN w:val="0"/>
              <w:adjustRightInd w:val="0"/>
              <w:snapToGrid w:val="0"/>
              <w:spacing w:line="360" w:lineRule="exact"/>
              <w:jc w:val="left"/>
              <w:rPr>
                <w:rFonts w:ascii="宋体" w:cs="宋体"/>
                <w:sz w:val="24"/>
              </w:rPr>
            </w:pPr>
            <w:r>
              <w:rPr>
                <w:rFonts w:hint="eastAsia" w:ascii="宋体" w:cs="宋体"/>
                <w:sz w:val="24"/>
              </w:rPr>
              <w:fldChar w:fldCharType="begin"/>
            </w:r>
            <w:r>
              <w:rPr>
                <w:rFonts w:hint="eastAsia" w:ascii="宋体" w:cs="宋体"/>
                <w:sz w:val="24"/>
              </w:rPr>
              <w:instrText xml:space="preserve"> = 4 \* GB3 \* MERGEFORMAT </w:instrText>
            </w:r>
            <w:r>
              <w:rPr>
                <w:rFonts w:hint="eastAsia" w:ascii="宋体" w:cs="宋体"/>
                <w:sz w:val="24"/>
              </w:rPr>
              <w:fldChar w:fldCharType="separate"/>
            </w:r>
            <w:r>
              <w:rPr>
                <w:rFonts w:hint="eastAsia" w:ascii="宋体" w:cs="宋体"/>
                <w:sz w:val="24"/>
              </w:rPr>
              <w:t>④</w:t>
            </w:r>
            <w:r>
              <w:rPr>
                <w:rFonts w:hint="eastAsia" w:ascii="宋体" w:cs="宋体"/>
                <w:sz w:val="24"/>
              </w:rPr>
              <w:fldChar w:fldCharType="end"/>
            </w:r>
            <w:r>
              <w:rPr>
                <w:rFonts w:hint="eastAsia" w:ascii="宋体" w:cs="宋体"/>
                <w:sz w:val="24"/>
              </w:rPr>
              <w:t>递交方式：同电子备份递交方式；</w:t>
            </w:r>
          </w:p>
          <w:p>
            <w:pPr>
              <w:autoSpaceDE w:val="0"/>
              <w:autoSpaceDN w:val="0"/>
              <w:adjustRightInd w:val="0"/>
              <w:snapToGrid w:val="0"/>
              <w:spacing w:line="360" w:lineRule="exact"/>
              <w:jc w:val="left"/>
            </w:pPr>
            <w:r>
              <w:rPr>
                <w:rFonts w:hint="eastAsia" w:ascii="宋体" w:cs="宋体"/>
                <w:sz w:val="24"/>
              </w:rPr>
              <w:fldChar w:fldCharType="begin"/>
            </w:r>
            <w:r>
              <w:rPr>
                <w:rFonts w:hint="eastAsia" w:ascii="宋体" w:cs="宋体"/>
                <w:sz w:val="24"/>
              </w:rPr>
              <w:instrText xml:space="preserve"> = 5 \* GB3 \* MERGEFORMAT </w:instrText>
            </w:r>
            <w:r>
              <w:rPr>
                <w:rFonts w:hint="eastAsia" w:ascii="宋体" w:cs="宋体"/>
                <w:sz w:val="24"/>
              </w:rPr>
              <w:fldChar w:fldCharType="separate"/>
            </w:r>
            <w:r>
              <w:rPr>
                <w:rFonts w:hint="eastAsia" w:ascii="宋体" w:cs="宋体"/>
                <w:sz w:val="24"/>
              </w:rPr>
              <w:t>⑤</w:t>
            </w:r>
            <w:r>
              <w:rPr>
                <w:rFonts w:hint="eastAsia" w:ascii="宋体" w:cs="宋体"/>
                <w:sz w:val="24"/>
              </w:rPr>
              <w:fldChar w:fldCharType="end"/>
            </w:r>
            <w:r>
              <w:rPr>
                <w:rFonts w:hint="eastAsia" w:ascii="宋体" w:cs="宋体"/>
                <w:sz w:val="24"/>
              </w:rPr>
              <w:t>截止时间：同投标截止时间。</w:t>
            </w:r>
          </w:p>
          <w:p>
            <w:pPr>
              <w:autoSpaceDE w:val="0"/>
              <w:autoSpaceDN w:val="0"/>
              <w:adjustRightInd w:val="0"/>
              <w:snapToGrid w:val="0"/>
              <w:spacing w:line="360" w:lineRule="exact"/>
              <w:jc w:val="left"/>
              <w:rPr>
                <w:rFonts w:ascii="宋体" w:cs="宋体"/>
                <w:sz w:val="24"/>
              </w:rPr>
            </w:pPr>
            <w:r>
              <w:rPr>
                <w:rFonts w:hint="eastAsia"/>
                <w:b/>
                <w:bCs/>
                <w:sz w:val="24"/>
                <w:szCs w:val="32"/>
              </w:rPr>
              <w:t>注：招标文件规定需递交备份投标文件的，投标人仅递交投标文件或仅递交备份投标文件的，投标无效。需同时使用纸质备份的环节，当出现纸质备份投标文件与电子投标文件不一致情形时，除招标文件特别约定外，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22</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开标时间和地点</w:t>
            </w:r>
          </w:p>
        </w:tc>
        <w:tc>
          <w:tcPr>
            <w:tcW w:w="6393" w:type="dxa"/>
            <w:vAlign w:val="center"/>
          </w:tcPr>
          <w:p>
            <w:pPr>
              <w:autoSpaceDE w:val="0"/>
              <w:autoSpaceDN w:val="0"/>
              <w:adjustRightInd w:val="0"/>
              <w:snapToGrid w:val="0"/>
              <w:spacing w:line="360" w:lineRule="exact"/>
              <w:jc w:val="left"/>
              <w:rPr>
                <w:sz w:val="24"/>
              </w:rPr>
            </w:pPr>
            <w:r>
              <w:rPr>
                <w:rFonts w:hint="eastAsia"/>
                <w:sz w:val="24"/>
              </w:rPr>
              <w:t>开标时间：同投标截止时间。</w:t>
            </w:r>
          </w:p>
          <w:p>
            <w:pPr>
              <w:autoSpaceDE w:val="0"/>
              <w:autoSpaceDN w:val="0"/>
              <w:adjustRightInd w:val="0"/>
              <w:snapToGrid w:val="0"/>
              <w:spacing w:line="360" w:lineRule="exact"/>
              <w:jc w:val="left"/>
              <w:rPr>
                <w:rFonts w:ascii="宋体" w:cs="宋体"/>
                <w:bCs/>
                <w:snapToGrid w:val="0"/>
                <w:kern w:val="0"/>
                <w:sz w:val="24"/>
              </w:rPr>
            </w:pPr>
            <w:r>
              <w:rPr>
                <w:rFonts w:hint="eastAsia"/>
                <w:sz w:val="24"/>
              </w:rPr>
              <w:t>开标地点：</w:t>
            </w:r>
            <w:r>
              <w:rPr>
                <w:rFonts w:hint="eastAsia"/>
                <w:sz w:val="24"/>
                <w:u w:val="single"/>
              </w:rPr>
              <w:t xml:space="preserve">  乐采云平台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23.1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开标和评标方式</w:t>
            </w:r>
          </w:p>
        </w:tc>
        <w:tc>
          <w:tcPr>
            <w:tcW w:w="6393" w:type="dxa"/>
            <w:vAlign w:val="center"/>
          </w:tcPr>
          <w:p>
            <w:pPr>
              <w:autoSpaceDE w:val="0"/>
              <w:autoSpaceDN w:val="0"/>
              <w:adjustRightInd w:val="0"/>
              <w:snapToGrid w:val="0"/>
              <w:spacing w:line="360" w:lineRule="exact"/>
              <w:jc w:val="left"/>
              <w:rPr>
                <w:rFonts w:ascii="宋体" w:cs="宋体"/>
                <w:sz w:val="24"/>
              </w:rPr>
            </w:pPr>
            <w:r>
              <w:rPr>
                <w:rFonts w:hint="eastAsia" w:ascii="宋体" w:cs="宋体"/>
                <w:sz w:val="24"/>
              </w:rPr>
              <w:t>通过</w:t>
            </w:r>
            <w:r>
              <w:rPr>
                <w:rFonts w:hint="eastAsia" w:ascii="宋体" w:cs="宋体"/>
                <w:snapToGrid w:val="0"/>
                <w:kern w:val="0"/>
                <w:sz w:val="24"/>
                <w:u w:val="single"/>
              </w:rPr>
              <w:t xml:space="preserve"> </w:t>
            </w:r>
            <w:r>
              <w:rPr>
                <w:rFonts w:hint="eastAsia" w:ascii="宋体" w:cs="宋体"/>
                <w:sz w:val="24"/>
                <w:u w:val="single"/>
              </w:rPr>
              <w:t>乐采云平台</w:t>
            </w:r>
            <w:r>
              <w:rPr>
                <w:rFonts w:hint="eastAsia" w:ascii="宋体" w:cs="宋体"/>
                <w:snapToGrid w:val="0"/>
                <w:kern w:val="0"/>
                <w:sz w:val="24"/>
                <w:u w:val="single"/>
              </w:rPr>
              <w:t xml:space="preserve"> </w:t>
            </w:r>
            <w:r>
              <w:rPr>
                <w:rFonts w:hint="eastAsia" w:ascii="宋体" w:cs="宋体"/>
                <w:sz w:val="24"/>
              </w:rPr>
              <w:t>在线开标、评标。</w:t>
            </w:r>
          </w:p>
          <w:p>
            <w:pPr>
              <w:autoSpaceDE w:val="0"/>
              <w:autoSpaceDN w:val="0"/>
              <w:adjustRightInd w:val="0"/>
              <w:snapToGrid w:val="0"/>
              <w:spacing w:line="360" w:lineRule="exact"/>
              <w:jc w:val="left"/>
              <w:rPr>
                <w:rFonts w:ascii="宋体" w:cs="宋体"/>
                <w:b/>
                <w:sz w:val="24"/>
              </w:rPr>
            </w:pPr>
            <w:r>
              <w:rPr>
                <w:rFonts w:hint="eastAsia" w:ascii="宋体" w:cs="宋体"/>
                <w:b/>
                <w:sz w:val="24"/>
              </w:rPr>
              <w:t>注：投标人不足3家的，不得开标，本次招标失败。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24.1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投标人在场或在线要求</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在本项目开评标期间，投标人需全程保持</w:t>
            </w:r>
            <w:r>
              <w:rPr>
                <w:rFonts w:hint="eastAsia" w:ascii="宋体" w:cs="宋体"/>
                <w:snapToGrid w:val="0"/>
                <w:kern w:val="0"/>
                <w:sz w:val="24"/>
              </w:rPr>
              <w:t>□</w:t>
            </w:r>
            <w:r>
              <w:rPr>
                <w:rFonts w:hint="eastAsia" w:ascii="宋体" w:cs="宋体"/>
                <w:bCs/>
                <w:snapToGrid w:val="0"/>
                <w:kern w:val="0"/>
                <w:sz w:val="24"/>
              </w:rPr>
              <w:t>在场/</w:t>
            </w:r>
            <w:r>
              <w:rPr>
                <w:rFonts w:hint="eastAsia" w:ascii="宋体" w:cs="宋体"/>
                <w:snapToGrid w:val="0"/>
                <w:kern w:val="0"/>
                <w:sz w:val="24"/>
              </w:rPr>
              <w:t>☑</w:t>
            </w:r>
            <w:r>
              <w:rPr>
                <w:rFonts w:hint="eastAsia" w:ascii="宋体" w:cs="宋体"/>
                <w:bCs/>
                <w:snapToGrid w:val="0"/>
                <w:kern w:val="0"/>
                <w:sz w:val="24"/>
              </w:rPr>
              <w:t>在线。</w:t>
            </w:r>
          </w:p>
          <w:p>
            <w:pPr>
              <w:spacing w:line="360" w:lineRule="exact"/>
            </w:pPr>
            <w:r>
              <w:rPr>
                <w:rFonts w:hint="eastAsia"/>
                <w:b/>
                <w:bCs/>
                <w:sz w:val="24"/>
                <w:szCs w:val="32"/>
              </w:rPr>
              <w:t>注：因投标人迟参加、未参加、中途离开等原因，导致解密、询标等出现问题的，责任由投标人承担；导致需要确认的记录等未确认的，视同认可结果。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25</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开标程序</w:t>
            </w:r>
          </w:p>
        </w:tc>
        <w:tc>
          <w:tcPr>
            <w:tcW w:w="6393" w:type="dxa"/>
            <w:vAlign w:val="center"/>
          </w:tcPr>
          <w:p>
            <w:pPr>
              <w:adjustRightInd w:val="0"/>
              <w:snapToGrid w:val="0"/>
              <w:spacing w:line="360" w:lineRule="exact"/>
              <w:jc w:val="left"/>
              <w:rPr>
                <w:rFonts w:ascii="宋体" w:cs="宋体"/>
                <w:sz w:val="24"/>
              </w:rPr>
            </w:pPr>
            <w:r>
              <w:rPr>
                <w:rFonts w:hint="eastAsia" w:ascii="宋体" w:cs="宋体"/>
                <w:sz w:val="24"/>
              </w:rPr>
              <w:t>招标人或招标代理机构通过</w:t>
            </w:r>
            <w:r>
              <w:rPr>
                <w:rFonts w:hint="eastAsia" w:ascii="宋体" w:cs="宋体"/>
                <w:snapToGrid w:val="0"/>
                <w:kern w:val="0"/>
                <w:sz w:val="24"/>
                <w:u w:val="single"/>
              </w:rPr>
              <w:t xml:space="preserve"> </w:t>
            </w:r>
            <w:r>
              <w:rPr>
                <w:rFonts w:hint="eastAsia" w:ascii="宋体" w:cs="宋体"/>
                <w:sz w:val="24"/>
                <w:u w:val="single"/>
              </w:rPr>
              <w:t>乐采云平台</w:t>
            </w:r>
            <w:r>
              <w:rPr>
                <w:rFonts w:hint="eastAsia" w:ascii="宋体" w:cs="宋体"/>
                <w:snapToGrid w:val="0"/>
                <w:kern w:val="0"/>
                <w:sz w:val="24"/>
                <w:u w:val="single"/>
              </w:rPr>
              <w:t xml:space="preserve"> </w:t>
            </w:r>
            <w:r>
              <w:rPr>
                <w:rFonts w:hint="eastAsia" w:ascii="宋体" w:cs="宋体"/>
                <w:sz w:val="24"/>
              </w:rPr>
              <w:t>按开标时间自动提取所有投标文件，在30分钟内完成在线解密。</w:t>
            </w:r>
          </w:p>
          <w:p>
            <w:pPr>
              <w:adjustRightInd w:val="0"/>
              <w:snapToGrid w:val="0"/>
              <w:spacing w:line="360" w:lineRule="exact"/>
              <w:jc w:val="left"/>
              <w:rPr>
                <w:rFonts w:ascii="宋体" w:cs="宋体"/>
                <w:b/>
                <w:sz w:val="24"/>
              </w:rPr>
            </w:pPr>
            <w:r>
              <w:rPr>
                <w:rFonts w:hint="eastAsia" w:ascii="宋体" w:cs="宋体"/>
                <w:b/>
                <w:sz w:val="24"/>
              </w:rPr>
              <w:t>注：</w:t>
            </w:r>
            <w:r>
              <w:rPr>
                <w:rFonts w:hint="eastAsia" w:ascii="宋体" w:cs="宋体"/>
                <w:snapToGrid w:val="0"/>
                <w:kern w:val="0"/>
                <w:sz w:val="24"/>
                <w:u w:val="single"/>
              </w:rPr>
              <w:t xml:space="preserve"> </w:t>
            </w:r>
            <w:r>
              <w:rPr>
                <w:rFonts w:hint="eastAsia" w:ascii="宋体" w:cs="宋体"/>
                <w:b/>
                <w:sz w:val="24"/>
                <w:u w:val="single"/>
              </w:rPr>
              <w:t>乐采云平台</w:t>
            </w:r>
            <w:r>
              <w:rPr>
                <w:rFonts w:hint="eastAsia" w:ascii="宋体" w:cs="宋体"/>
                <w:snapToGrid w:val="0"/>
                <w:kern w:val="0"/>
                <w:sz w:val="24"/>
                <w:u w:val="single"/>
              </w:rPr>
              <w:t xml:space="preserve"> </w:t>
            </w:r>
            <w:r>
              <w:rPr>
                <w:rFonts w:hint="eastAsia" w:ascii="宋体" w:cs="宋体"/>
                <w:b/>
                <w:sz w:val="24"/>
              </w:rPr>
              <w:t>电子化开标或评审程序调整的，或者</w:t>
            </w:r>
            <w:r>
              <w:rPr>
                <w:rFonts w:hint="eastAsia" w:ascii="宋体" w:cs="宋体"/>
                <w:b/>
                <w:sz w:val="24"/>
                <w:u w:val="single"/>
              </w:rPr>
              <w:t>乐采云平台</w:t>
            </w:r>
            <w:r>
              <w:rPr>
                <w:rFonts w:hint="eastAsia" w:ascii="宋体" w:cs="宋体"/>
                <w:b/>
                <w:sz w:val="24"/>
              </w:rPr>
              <w:t>提供数据电文交互功能的，按其规定执行。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27.1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评标委员会</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评标委员会由</w:t>
            </w:r>
            <w:r>
              <w:rPr>
                <w:rFonts w:hint="eastAsia" w:ascii="宋体" w:cs="宋体"/>
                <w:bCs/>
                <w:snapToGrid w:val="0"/>
                <w:kern w:val="0"/>
                <w:sz w:val="24"/>
                <w:u w:val="single"/>
              </w:rPr>
              <w:t xml:space="preserve"> 5 </w:t>
            </w:r>
            <w:r>
              <w:rPr>
                <w:rFonts w:hint="eastAsia" w:ascii="宋体" w:cs="宋体"/>
                <w:bCs/>
                <w:snapToGrid w:val="0"/>
                <w:kern w:val="0"/>
                <w:sz w:val="24"/>
              </w:rPr>
              <w:t>人组成，其中招标人代表不超过三分之一。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29.1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评标办法</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ascii="Segoe UI Symbol" w:hAnsi="Segoe UI Symbol" w:cs="Segoe UI Symbol"/>
                <w:kern w:val="0"/>
                <w:sz w:val="24"/>
                <w:lang w:bidi="ar"/>
              </w:rPr>
              <w:t>☑</w:t>
            </w:r>
            <w:r>
              <w:rPr>
                <w:rFonts w:hint="eastAsia" w:ascii="宋体" w:cs="宋体"/>
                <w:bCs/>
                <w:snapToGrid w:val="0"/>
                <w:kern w:val="0"/>
                <w:sz w:val="24"/>
              </w:rPr>
              <w:t>综合评分法；</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□经评审最低价法；</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□其他：</w:t>
            </w:r>
            <w:r>
              <w:rPr>
                <w:rFonts w:hint="eastAsia" w:ascii="宋体" w:cs="宋体"/>
                <w:bCs/>
                <w:snapToGrid w:val="0"/>
                <w:kern w:val="0"/>
                <w:sz w:val="24"/>
                <w:u w:val="single"/>
              </w:rPr>
              <w:t xml:space="preserve">                       </w:t>
            </w:r>
            <w:r>
              <w:rPr>
                <w:rFonts w:hint="eastAsia" w:ascii="宋体" w:cs="宋体"/>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30.3</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评标委员会推荐中标候选人的人数</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snapToGrid w:val="0"/>
                <w:sz w:val="24"/>
                <w:u w:val="single"/>
              </w:rPr>
              <w:t xml:space="preserve">  1  </w:t>
            </w:r>
            <w:r>
              <w:rPr>
                <w:rFonts w:hint="eastAsia"/>
                <w:snapToGrid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31.1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述标</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本项目</w:t>
            </w:r>
            <w:r>
              <w:rPr>
                <w:rFonts w:ascii="Segoe UI Symbol" w:hAnsi="Segoe UI Symbol" w:cs="Segoe UI Symbol"/>
                <w:kern w:val="0"/>
                <w:sz w:val="24"/>
                <w:lang w:bidi="ar"/>
              </w:rPr>
              <w:t>☑</w:t>
            </w:r>
            <w:r>
              <w:rPr>
                <w:rFonts w:hint="eastAsia" w:ascii="宋体" w:cs="宋体"/>
                <w:bCs/>
                <w:snapToGrid w:val="0"/>
                <w:kern w:val="0"/>
                <w:sz w:val="24"/>
              </w:rPr>
              <w:t>不需要/</w:t>
            </w:r>
            <w:r>
              <w:rPr>
                <w:rFonts w:hint="eastAsia" w:ascii="宋体" w:cs="宋体"/>
                <w:snapToGrid w:val="0"/>
                <w:kern w:val="0"/>
                <w:sz w:val="24"/>
              </w:rPr>
              <w:t>□</w:t>
            </w:r>
            <w:r>
              <w:rPr>
                <w:rFonts w:hint="eastAsia" w:ascii="宋体" w:cs="宋体"/>
                <w:bCs/>
                <w:snapToGrid w:val="0"/>
                <w:kern w:val="0"/>
                <w:sz w:val="24"/>
              </w:rPr>
              <w:t>需要进行述标，述标要求如下：</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（1）述标时长：不超过</w:t>
            </w:r>
            <w:r>
              <w:rPr>
                <w:rFonts w:hint="eastAsia" w:ascii="宋体" w:cs="宋体"/>
                <w:bCs/>
                <w:snapToGrid w:val="0"/>
                <w:kern w:val="0"/>
                <w:sz w:val="24"/>
                <w:u w:val="single"/>
              </w:rPr>
              <w:t xml:space="preserve">        </w:t>
            </w:r>
            <w:r>
              <w:rPr>
                <w:rFonts w:hint="eastAsia" w:ascii="宋体" w:cs="宋体"/>
                <w:bCs/>
                <w:snapToGrid w:val="0"/>
                <w:kern w:val="0"/>
                <w:sz w:val="24"/>
              </w:rPr>
              <w:t>分钟 ，包括</w:t>
            </w:r>
            <w:r>
              <w:rPr>
                <w:rFonts w:hint="eastAsia" w:ascii="宋体" w:cs="宋体"/>
                <w:bCs/>
                <w:snapToGrid w:val="0"/>
                <w:kern w:val="0"/>
                <w:sz w:val="24"/>
                <w:u w:val="single"/>
              </w:rPr>
              <w:t xml:space="preserve">       </w:t>
            </w:r>
            <w:r>
              <w:rPr>
                <w:rFonts w:hint="eastAsia" w:ascii="宋体" w:cs="宋体"/>
                <w:bCs/>
                <w:snapToGrid w:val="0"/>
                <w:kern w:val="0"/>
                <w:sz w:val="24"/>
              </w:rPr>
              <w:t>分钟讲述和</w:t>
            </w:r>
            <w:r>
              <w:rPr>
                <w:rFonts w:hint="eastAsia" w:ascii="宋体" w:cs="宋体"/>
                <w:bCs/>
                <w:snapToGrid w:val="0"/>
                <w:kern w:val="0"/>
                <w:sz w:val="24"/>
                <w:u w:val="single"/>
              </w:rPr>
              <w:t xml:space="preserve">      </w:t>
            </w:r>
            <w:r>
              <w:rPr>
                <w:rFonts w:hint="eastAsia" w:ascii="宋体" w:cs="宋体"/>
                <w:bCs/>
                <w:snapToGrid w:val="0"/>
                <w:kern w:val="0"/>
                <w:sz w:val="24"/>
              </w:rPr>
              <w:t>分钟答疑；</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（2）述标内容：</w:t>
            </w:r>
            <w:r>
              <w:rPr>
                <w:rFonts w:hint="eastAsia" w:ascii="宋体" w:cs="宋体"/>
                <w:bCs/>
                <w:snapToGrid w:val="0"/>
                <w:kern w:val="0"/>
                <w:sz w:val="24"/>
                <w:u w:val="single"/>
              </w:rPr>
              <w:t xml:space="preserve">                              </w:t>
            </w:r>
            <w:r>
              <w:rPr>
                <w:rFonts w:hint="eastAsia" w:ascii="宋体" w:cs="宋体"/>
                <w:bCs/>
                <w:snapToGrid w:val="0"/>
                <w:kern w:val="0"/>
                <w:sz w:val="24"/>
              </w:rPr>
              <w:t>；</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（3）述标人员：</w:t>
            </w:r>
            <w:r>
              <w:rPr>
                <w:rFonts w:hint="eastAsia" w:ascii="宋体" w:cs="宋体"/>
                <w:snapToGrid w:val="0"/>
                <w:kern w:val="0"/>
                <w:sz w:val="24"/>
              </w:rPr>
              <w:t>□</w:t>
            </w:r>
            <w:r>
              <w:rPr>
                <w:rFonts w:hint="eastAsia" w:ascii="宋体" w:cs="宋体"/>
                <w:bCs/>
                <w:snapToGrid w:val="0"/>
                <w:kern w:val="0"/>
                <w:sz w:val="24"/>
              </w:rPr>
              <w:t xml:space="preserve">法定代表人或其委托代理人 </w:t>
            </w:r>
            <w:r>
              <w:rPr>
                <w:rFonts w:hint="eastAsia" w:ascii="宋体" w:cs="宋体"/>
                <w:snapToGrid w:val="0"/>
                <w:kern w:val="0"/>
                <w:sz w:val="24"/>
              </w:rPr>
              <w:t>□</w:t>
            </w:r>
            <w:r>
              <w:rPr>
                <w:rFonts w:hint="eastAsia" w:ascii="宋体" w:cs="宋体"/>
                <w:bCs/>
                <w:snapToGrid w:val="0"/>
                <w:kern w:val="0"/>
                <w:sz w:val="24"/>
              </w:rPr>
              <w:t xml:space="preserve">拟派项目负责人 </w:t>
            </w:r>
            <w:r>
              <w:rPr>
                <w:rFonts w:hint="eastAsia" w:ascii="宋体" w:cs="宋体"/>
                <w:snapToGrid w:val="0"/>
                <w:kern w:val="0"/>
                <w:sz w:val="24"/>
              </w:rPr>
              <w:t>□</w:t>
            </w:r>
            <w:r>
              <w:rPr>
                <w:rFonts w:hint="eastAsia" w:ascii="宋体" w:cs="宋体"/>
                <w:bCs/>
                <w:snapToGrid w:val="0"/>
                <w:kern w:val="0"/>
                <w:sz w:val="24"/>
              </w:rPr>
              <w:t>项目组成员；</w:t>
            </w:r>
          </w:p>
          <w:p>
            <w:pPr>
              <w:autoSpaceDE w:val="0"/>
              <w:autoSpaceDN w:val="0"/>
              <w:adjustRightInd w:val="0"/>
              <w:snapToGrid w:val="0"/>
              <w:spacing w:line="360" w:lineRule="exact"/>
              <w:ind w:left="240" w:hanging="240" w:hangingChars="100"/>
              <w:jc w:val="left"/>
            </w:pPr>
            <w:r>
              <w:rPr>
                <w:rFonts w:hint="eastAsia" w:ascii="宋体" w:cs="宋体"/>
                <w:bCs/>
                <w:snapToGrid w:val="0"/>
                <w:kern w:val="0"/>
                <w:sz w:val="24"/>
              </w:rPr>
              <w:t>（4）述标方式：</w:t>
            </w:r>
            <w:r>
              <w:rPr>
                <w:rFonts w:hint="eastAsia" w:ascii="宋体" w:cs="宋体"/>
                <w:snapToGrid w:val="0"/>
                <w:kern w:val="0"/>
                <w:sz w:val="24"/>
              </w:rPr>
              <w:t>□</w:t>
            </w:r>
            <w:r>
              <w:rPr>
                <w:rFonts w:hint="eastAsia" w:ascii="宋体" w:cs="宋体"/>
                <w:bCs/>
                <w:snapToGrid w:val="0"/>
                <w:kern w:val="0"/>
                <w:sz w:val="24"/>
              </w:rPr>
              <w:t xml:space="preserve">现场述标 </w:t>
            </w:r>
            <w:r>
              <w:rPr>
                <w:rFonts w:hint="eastAsia" w:ascii="宋体" w:cs="宋体"/>
                <w:snapToGrid w:val="0"/>
                <w:kern w:val="0"/>
                <w:sz w:val="24"/>
              </w:rPr>
              <w:t>□</w:t>
            </w:r>
            <w:r>
              <w:rPr>
                <w:rFonts w:hint="eastAsia" w:ascii="宋体" w:cs="宋体"/>
                <w:bCs/>
                <w:snapToGrid w:val="0"/>
                <w:kern w:val="0"/>
                <w:sz w:val="24"/>
                <w:u w:val="single"/>
              </w:rPr>
              <w:t xml:space="preserve"> 通过乐采云平台述标 </w:t>
            </w:r>
            <w:r>
              <w:rPr>
                <w:rFonts w:hint="eastAsia" w:ascii="宋体" w:cs="宋体"/>
                <w:snapToGrid w:val="0"/>
                <w:kern w:val="0"/>
                <w:sz w:val="24"/>
              </w:rPr>
              <w:t>□</w:t>
            </w:r>
            <w:r>
              <w:rPr>
                <w:rFonts w:hint="eastAsia" w:ascii="宋体" w:cs="宋体"/>
                <w:bCs/>
                <w:snapToGrid w:val="0"/>
                <w:kern w:val="0"/>
                <w:sz w:val="24"/>
              </w:rPr>
              <w:t>其他</w:t>
            </w:r>
            <w:r>
              <w:rPr>
                <w:rFonts w:hint="eastAsia" w:ascii="宋体" w:cs="宋体"/>
                <w:bCs/>
                <w:snapToGrid w:val="0"/>
                <w:kern w:val="0"/>
                <w:sz w:val="24"/>
                <w:u w:val="single"/>
              </w:rPr>
              <w:t xml:space="preserve">              </w:t>
            </w:r>
            <w:r>
              <w:rPr>
                <w:rFonts w:hint="eastAsia" w:ascii="宋体" w:cs="宋体"/>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32.1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投标文件的澄清</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（1）发出澄清要求：评标委员会根据评审工作需要，</w:t>
            </w:r>
            <w:r>
              <w:rPr>
                <w:rFonts w:hint="eastAsia" w:ascii="宋体" w:cs="宋体"/>
                <w:bCs/>
                <w:snapToGrid w:val="0"/>
                <w:kern w:val="0"/>
                <w:sz w:val="24"/>
                <w:u w:val="single"/>
              </w:rPr>
              <w:t xml:space="preserve"> 通过乐采云平台 </w:t>
            </w:r>
            <w:r>
              <w:rPr>
                <w:rFonts w:hint="eastAsia" w:ascii="宋体" w:cs="宋体"/>
                <w:bCs/>
                <w:snapToGrid w:val="0"/>
                <w:kern w:val="0"/>
                <w:sz w:val="24"/>
              </w:rPr>
              <w:t>要求投标人对投标文件含义不明确的内容作必要的澄清或说明；</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（2）回复需澄清事项：投标人根据评标委员会的要求，</w:t>
            </w:r>
            <w:r>
              <w:rPr>
                <w:rFonts w:hint="eastAsia" w:ascii="宋体" w:cs="宋体"/>
                <w:bCs/>
                <w:snapToGrid w:val="0"/>
                <w:kern w:val="0"/>
                <w:sz w:val="24"/>
                <w:u w:val="single"/>
              </w:rPr>
              <w:t xml:space="preserve"> 通过乐采云平台 </w:t>
            </w:r>
            <w:r>
              <w:rPr>
                <w:rFonts w:hint="eastAsia" w:ascii="宋体" w:cs="宋体"/>
                <w:bCs/>
                <w:snapToGrid w:val="0"/>
                <w:kern w:val="0"/>
                <w:sz w:val="24"/>
              </w:rPr>
              <w:t>在30分钟内进行澄清或说明；</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（3）评标委员会对投标人提交的澄清、说明或补正有疑问的，可以要求投标人进一步澄清、说明或补正，直至满足评标委员会的要求。</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
                <w:snapToGrid w:val="0"/>
                <w:kern w:val="0"/>
                <w:sz w:val="24"/>
              </w:rPr>
              <w:t>注：不论何种原因，投标人逾期或未按要求进行澄清回复的，将视为不予回复或确认，产生的后果由投标人承担。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z w:val="24"/>
              </w:rPr>
              <w:t>42.1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z w:val="24"/>
              </w:rPr>
              <w:t>服务期</w:t>
            </w:r>
          </w:p>
        </w:tc>
        <w:tc>
          <w:tcPr>
            <w:tcW w:w="6393" w:type="dxa"/>
            <w:vAlign w:val="center"/>
          </w:tcPr>
          <w:p>
            <w:pPr>
              <w:autoSpaceDE w:val="0"/>
              <w:autoSpaceDN w:val="0"/>
              <w:adjustRightInd w:val="0"/>
              <w:snapToGrid w:val="0"/>
              <w:spacing w:line="360" w:lineRule="exact"/>
              <w:jc w:val="left"/>
              <w:rPr>
                <w:rFonts w:ascii="宋体" w:cs="宋体"/>
                <w:b/>
                <w:bCs/>
                <w:sz w:val="24"/>
              </w:rPr>
            </w:pPr>
            <w:r>
              <w:rPr>
                <w:rFonts w:hint="eastAsia" w:ascii="宋体" w:cs="宋体"/>
                <w:sz w:val="24"/>
              </w:rPr>
              <w:t>工期：合同签订完毕，自接到招标人供货安装通知后90日历天内完成设备供货、安装、调试，并具备基本生产条件。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43.1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质量保证期</w:t>
            </w:r>
          </w:p>
        </w:tc>
        <w:tc>
          <w:tcPr>
            <w:tcW w:w="6393" w:type="dxa"/>
            <w:vAlign w:val="center"/>
          </w:tcPr>
          <w:p>
            <w:pPr>
              <w:autoSpaceDE w:val="0"/>
              <w:autoSpaceDN w:val="0"/>
              <w:adjustRightInd w:val="0"/>
              <w:snapToGrid w:val="0"/>
              <w:spacing w:line="360" w:lineRule="exact"/>
              <w:jc w:val="left"/>
              <w:rPr>
                <w:rFonts w:ascii="宋体" w:cs="宋体"/>
                <w:sz w:val="24"/>
              </w:rPr>
            </w:pPr>
            <w:r>
              <w:rPr>
                <w:rFonts w:hint="eastAsia" w:ascii="宋体" w:cs="宋体"/>
                <w:sz w:val="24"/>
              </w:rPr>
              <w:t>产品质保期不少于两年，时间以项目整体终验合格之日起计。</w:t>
            </w:r>
          </w:p>
          <w:p>
            <w:pPr>
              <w:autoSpaceDE w:val="0"/>
              <w:autoSpaceDN w:val="0"/>
              <w:adjustRightInd w:val="0"/>
              <w:snapToGrid w:val="0"/>
              <w:spacing w:line="360" w:lineRule="exact"/>
              <w:jc w:val="left"/>
              <w:rPr>
                <w:rFonts w:ascii="宋体" w:cs="宋体"/>
                <w:b/>
                <w:bCs/>
                <w:sz w:val="24"/>
              </w:rPr>
            </w:pPr>
            <w:r>
              <w:rPr>
                <w:rFonts w:hint="eastAsia" w:ascii="宋体" w:cs="宋体"/>
                <w:sz w:val="24"/>
              </w:rPr>
              <w:t>系统整体质保期不少于两年，时间以项目整体终验合格之日起计。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44.1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履约保证金</w:t>
            </w:r>
          </w:p>
        </w:tc>
        <w:tc>
          <w:tcPr>
            <w:tcW w:w="6393" w:type="dxa"/>
            <w:vAlign w:val="center"/>
          </w:tcPr>
          <w:p>
            <w:pPr>
              <w:autoSpaceDE w:val="0"/>
              <w:autoSpaceDN w:val="0"/>
              <w:adjustRightInd w:val="0"/>
              <w:snapToGrid w:val="0"/>
              <w:spacing w:line="360" w:lineRule="exact"/>
              <w:jc w:val="left"/>
              <w:rPr>
                <w:rFonts w:ascii="宋体" w:cs="宋体"/>
                <w:sz w:val="24"/>
              </w:rPr>
            </w:pPr>
            <w:r>
              <w:rPr>
                <w:rFonts w:hint="eastAsia" w:ascii="宋体" w:cs="宋体"/>
                <w:sz w:val="24"/>
              </w:rPr>
              <w:t>本项目</w:t>
            </w:r>
            <w:r>
              <w:rPr>
                <w:rFonts w:hint="eastAsia" w:ascii="宋体" w:cs="宋体"/>
                <w:snapToGrid w:val="0"/>
                <w:kern w:val="0"/>
                <w:sz w:val="24"/>
              </w:rPr>
              <w:t>□</w:t>
            </w:r>
            <w:r>
              <w:rPr>
                <w:rFonts w:hint="eastAsia" w:ascii="宋体" w:cs="宋体"/>
                <w:sz w:val="24"/>
              </w:rPr>
              <w:t>不需要/</w:t>
            </w:r>
            <w:r>
              <w:rPr>
                <w:rFonts w:ascii="Segoe UI Symbol" w:hAnsi="Segoe UI Symbol" w:cs="Segoe UI Symbol"/>
                <w:kern w:val="0"/>
                <w:sz w:val="24"/>
                <w:lang w:bidi="ar"/>
              </w:rPr>
              <w:t>☑</w:t>
            </w:r>
            <w:r>
              <w:rPr>
                <w:rFonts w:hint="eastAsia" w:ascii="宋体" w:cs="宋体"/>
                <w:sz w:val="24"/>
              </w:rPr>
              <w:t>需要缴纳履约保证金，缴纳履约保证金的具体要求如下：</w:t>
            </w:r>
          </w:p>
          <w:p>
            <w:pPr>
              <w:autoSpaceDE w:val="0"/>
              <w:autoSpaceDN w:val="0"/>
              <w:adjustRightInd w:val="0"/>
              <w:snapToGrid w:val="0"/>
              <w:spacing w:line="360" w:lineRule="exact"/>
              <w:jc w:val="left"/>
              <w:rPr>
                <w:rFonts w:ascii="宋体" w:cs="宋体"/>
                <w:sz w:val="24"/>
              </w:rPr>
            </w:pPr>
            <w:r>
              <w:rPr>
                <w:rFonts w:hint="eastAsia" w:ascii="宋体" w:cs="宋体"/>
                <w:sz w:val="24"/>
              </w:rPr>
              <w:t>（1）缴纳金额：</w:t>
            </w:r>
            <w:r>
              <w:rPr>
                <w:rFonts w:hint="eastAsia" w:ascii="宋体" w:cs="宋体"/>
                <w:snapToGrid w:val="0"/>
                <w:kern w:val="0"/>
                <w:sz w:val="24"/>
              </w:rPr>
              <w:t>□</w:t>
            </w:r>
            <w:r>
              <w:rPr>
                <w:rFonts w:hint="eastAsia" w:ascii="宋体" w:cs="宋体"/>
                <w:sz w:val="24"/>
                <w:u w:val="single"/>
              </w:rPr>
              <w:t xml:space="preserve">          </w:t>
            </w:r>
            <w:r>
              <w:rPr>
                <w:rFonts w:hint="eastAsia" w:ascii="宋体" w:cs="宋体"/>
                <w:sz w:val="24"/>
              </w:rPr>
              <w:t>元 /</w:t>
            </w:r>
            <w:r>
              <w:rPr>
                <w:rFonts w:ascii="Segoe UI Symbol" w:hAnsi="Segoe UI Symbol" w:cs="Segoe UI Symbol"/>
                <w:kern w:val="0"/>
                <w:sz w:val="24"/>
                <w:lang w:bidi="ar"/>
              </w:rPr>
              <w:t>☑</w:t>
            </w:r>
            <w:r>
              <w:rPr>
                <w:rFonts w:hint="eastAsia" w:ascii="宋体" w:cs="宋体"/>
                <w:sz w:val="24"/>
              </w:rPr>
              <w:t>合同总价的</w:t>
            </w:r>
            <w:r>
              <w:rPr>
                <w:rFonts w:hint="eastAsia" w:ascii="宋体" w:cs="宋体"/>
                <w:sz w:val="24"/>
                <w:u w:val="single"/>
              </w:rPr>
              <w:t xml:space="preserve">  3  </w:t>
            </w:r>
            <w:r>
              <w:rPr>
                <w:rFonts w:hint="eastAsia" w:ascii="宋体" w:cs="宋体"/>
                <w:sz w:val="24"/>
              </w:rPr>
              <w:t>%；</w:t>
            </w:r>
          </w:p>
          <w:p>
            <w:pPr>
              <w:autoSpaceDE w:val="0"/>
              <w:autoSpaceDN w:val="0"/>
              <w:adjustRightInd w:val="0"/>
              <w:snapToGrid w:val="0"/>
              <w:spacing w:line="360" w:lineRule="exact"/>
              <w:jc w:val="left"/>
              <w:rPr>
                <w:rFonts w:ascii="宋体" w:cs="宋体"/>
                <w:sz w:val="24"/>
              </w:rPr>
            </w:pPr>
            <w:r>
              <w:rPr>
                <w:rFonts w:hint="eastAsia" w:ascii="宋体" w:cs="宋体"/>
                <w:sz w:val="24"/>
              </w:rPr>
              <w:t>（2）缴纳方式：网上银行、转账支票、电汇、银行保函；</w:t>
            </w:r>
          </w:p>
          <w:p>
            <w:pPr>
              <w:autoSpaceDE w:val="0"/>
              <w:autoSpaceDN w:val="0"/>
              <w:adjustRightInd w:val="0"/>
              <w:snapToGrid w:val="0"/>
              <w:spacing w:line="360" w:lineRule="exact"/>
              <w:jc w:val="left"/>
              <w:rPr>
                <w:rFonts w:ascii="宋体" w:cs="宋体"/>
                <w:sz w:val="24"/>
              </w:rPr>
            </w:pPr>
            <w:r>
              <w:rPr>
                <w:rFonts w:hint="eastAsia" w:ascii="宋体" w:cs="宋体"/>
                <w:sz w:val="24"/>
              </w:rPr>
              <w:t>（3）缴纳期限：</w:t>
            </w:r>
            <w:r>
              <w:rPr>
                <w:rFonts w:hint="eastAsia" w:ascii="宋体" w:cs="宋体"/>
                <w:sz w:val="24"/>
                <w:u w:val="single"/>
              </w:rPr>
              <w:t>合同签订之日起5个日历天内</w:t>
            </w:r>
            <w:r>
              <w:rPr>
                <w:rFonts w:hint="eastAsia" w:ascii="宋体" w:cs="宋体"/>
                <w:sz w:val="24"/>
              </w:rPr>
              <w:t>；</w:t>
            </w:r>
          </w:p>
          <w:p>
            <w:pPr>
              <w:autoSpaceDE w:val="0"/>
              <w:autoSpaceDN w:val="0"/>
              <w:adjustRightInd w:val="0"/>
              <w:snapToGrid w:val="0"/>
              <w:spacing w:line="360" w:lineRule="exact"/>
              <w:jc w:val="left"/>
              <w:rPr>
                <w:rFonts w:ascii="宋体" w:cs="宋体"/>
                <w:sz w:val="24"/>
              </w:rPr>
            </w:pPr>
            <w:r>
              <w:rPr>
                <w:rFonts w:hint="eastAsia" w:ascii="宋体" w:cs="宋体"/>
                <w:sz w:val="24"/>
              </w:rPr>
              <w:t>（4）收款人（接收人）：</w:t>
            </w:r>
            <w:r>
              <w:rPr>
                <w:rFonts w:hint="eastAsia" w:ascii="宋体" w:cs="宋体"/>
                <w:sz w:val="24"/>
                <w:u w:val="single"/>
              </w:rPr>
              <w:t>浙江省烟草公司宁波市公司</w:t>
            </w:r>
            <w:r>
              <w:rPr>
                <w:rFonts w:hint="eastAsia" w:ascii="宋体" w:cs="宋体"/>
                <w:sz w:val="24"/>
              </w:rPr>
              <w:t>；开户行：</w:t>
            </w:r>
            <w:r>
              <w:rPr>
                <w:rFonts w:hint="eastAsia" w:ascii="宋体" w:cs="宋体"/>
                <w:sz w:val="24"/>
                <w:u w:val="single"/>
              </w:rPr>
              <w:t>工行东门支行</w:t>
            </w:r>
            <w:r>
              <w:rPr>
                <w:rFonts w:hint="eastAsia" w:ascii="宋体" w:cs="宋体"/>
                <w:sz w:val="24"/>
              </w:rPr>
              <w:t>；账号：</w:t>
            </w:r>
            <w:r>
              <w:rPr>
                <w:rFonts w:ascii="宋体" w:cs="宋体"/>
                <w:sz w:val="24"/>
                <w:u w:val="single"/>
              </w:rPr>
              <w:t>3901100009025002840</w:t>
            </w:r>
            <w:r>
              <w:rPr>
                <w:rFonts w:hint="eastAsia" w:ascii="宋体" w:cs="宋体"/>
                <w:sz w:val="24"/>
              </w:rPr>
              <w:t>；</w:t>
            </w:r>
          </w:p>
          <w:p>
            <w:pPr>
              <w:autoSpaceDE w:val="0"/>
              <w:autoSpaceDN w:val="0"/>
              <w:adjustRightInd w:val="0"/>
              <w:snapToGrid w:val="0"/>
              <w:spacing w:line="360" w:lineRule="exact"/>
              <w:jc w:val="left"/>
              <w:rPr>
                <w:rFonts w:ascii="宋体" w:cs="宋体"/>
                <w:b/>
                <w:bCs/>
                <w:sz w:val="24"/>
              </w:rPr>
            </w:pPr>
            <w:r>
              <w:rPr>
                <w:rFonts w:hint="eastAsia" w:ascii="宋体" w:cs="宋体"/>
                <w:sz w:val="24"/>
              </w:rPr>
              <w:t>（5）退还：合同履约完毕，扣除中标人因违约时所需支付的违约金后，</w:t>
            </w:r>
            <w:r>
              <w:rPr>
                <w:rFonts w:hint="eastAsia" w:ascii="宋体" w:cs="宋体"/>
                <w:sz w:val="24"/>
                <w:u w:val="single"/>
              </w:rPr>
              <w:t xml:space="preserve"> 30 </w:t>
            </w:r>
            <w:r>
              <w:rPr>
                <w:rFonts w:hint="eastAsia" w:ascii="宋体" w:cs="宋体"/>
                <w:sz w:val="24"/>
              </w:rPr>
              <w:t>个日历天内退还履约保证金；履约保证金以银行保函以外方式缴纳的，一并退还按央行活期存款基准利率计算的银行同期存款利息。</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
                <w:bCs/>
                <w:sz w:val="24"/>
              </w:rPr>
              <w:t>注：以银行保函形式缴纳的，需提供以本项目招标人为受益人的无条件且不可撤销国有银行及全国性股份制商业银行的银行保函。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45.1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工程质量保证金</w:t>
            </w:r>
          </w:p>
        </w:tc>
        <w:tc>
          <w:tcPr>
            <w:tcW w:w="6393" w:type="dxa"/>
            <w:vAlign w:val="center"/>
          </w:tcPr>
          <w:p>
            <w:pPr>
              <w:autoSpaceDE w:val="0"/>
              <w:autoSpaceDN w:val="0"/>
              <w:adjustRightInd w:val="0"/>
              <w:snapToGrid w:val="0"/>
              <w:spacing w:line="360" w:lineRule="exact"/>
              <w:jc w:val="left"/>
              <w:rPr>
                <w:rFonts w:ascii="宋体" w:cs="宋体"/>
                <w:sz w:val="24"/>
              </w:rPr>
            </w:pPr>
            <w:r>
              <w:rPr>
                <w:rFonts w:hint="eastAsia" w:ascii="宋体" w:cs="宋体"/>
                <w:sz w:val="24"/>
              </w:rPr>
              <w:t>本项目</w:t>
            </w:r>
            <w:r>
              <w:rPr>
                <w:rFonts w:hint="eastAsia" w:ascii="Segoe UI Symbol" w:hAnsi="Segoe UI Symbol" w:cs="Segoe UI Symbol"/>
                <w:kern w:val="0"/>
                <w:sz w:val="24"/>
                <w:lang w:bidi="ar"/>
              </w:rPr>
              <w:t>□</w:t>
            </w:r>
            <w:r>
              <w:rPr>
                <w:rFonts w:hint="eastAsia" w:ascii="宋体" w:cs="宋体"/>
                <w:sz w:val="24"/>
              </w:rPr>
              <w:t>不需要/</w:t>
            </w:r>
            <w:r>
              <w:rPr>
                <w:rFonts w:hint="eastAsia" w:ascii="宋体" w:cs="宋体"/>
                <w:snapToGrid w:val="0"/>
                <w:kern w:val="0"/>
                <w:sz w:val="24"/>
              </w:rPr>
              <w:t>☑</w:t>
            </w:r>
            <w:r>
              <w:rPr>
                <w:rFonts w:hint="eastAsia" w:ascii="宋体" w:cs="宋体"/>
                <w:sz w:val="24"/>
              </w:rPr>
              <w:t>需要缴纳工程质量保证金，缴纳金额：</w:t>
            </w:r>
          </w:p>
          <w:p>
            <w:pPr>
              <w:autoSpaceDE w:val="0"/>
              <w:autoSpaceDN w:val="0"/>
              <w:adjustRightInd w:val="0"/>
              <w:snapToGrid w:val="0"/>
              <w:spacing w:line="360" w:lineRule="exact"/>
              <w:jc w:val="left"/>
              <w:rPr>
                <w:rFonts w:ascii="宋体" w:cs="宋体"/>
                <w:sz w:val="24"/>
              </w:rPr>
            </w:pPr>
            <w:r>
              <w:rPr>
                <w:rFonts w:hint="eastAsia" w:ascii="宋体" w:cs="宋体"/>
                <w:snapToGrid w:val="0"/>
                <w:kern w:val="0"/>
                <w:sz w:val="24"/>
              </w:rPr>
              <w:t>□</w:t>
            </w:r>
            <w:r>
              <w:rPr>
                <w:rFonts w:hint="eastAsia" w:ascii="宋体" w:cs="宋体"/>
                <w:sz w:val="24"/>
                <w:u w:val="single"/>
              </w:rPr>
              <w:t xml:space="preserve">       </w:t>
            </w:r>
            <w:r>
              <w:rPr>
                <w:rFonts w:hint="eastAsia" w:ascii="宋体" w:cs="宋体"/>
                <w:sz w:val="24"/>
              </w:rPr>
              <w:t xml:space="preserve">元/ </w:t>
            </w:r>
            <w:r>
              <w:rPr>
                <w:rFonts w:hint="eastAsia" w:ascii="宋体" w:cs="宋体"/>
                <w:snapToGrid w:val="0"/>
                <w:kern w:val="0"/>
                <w:sz w:val="24"/>
              </w:rPr>
              <w:t>□</w:t>
            </w:r>
            <w:r>
              <w:rPr>
                <w:rFonts w:hint="eastAsia" w:ascii="宋体" w:cs="宋体"/>
                <w:sz w:val="24"/>
              </w:rPr>
              <w:t>合同总价的</w:t>
            </w:r>
            <w:r>
              <w:rPr>
                <w:rFonts w:hint="eastAsia" w:ascii="宋体" w:cs="宋体"/>
                <w:sz w:val="24"/>
                <w:u w:val="single"/>
              </w:rPr>
              <w:t xml:space="preserve">      </w:t>
            </w:r>
            <w:r>
              <w:rPr>
                <w:rFonts w:hint="eastAsia" w:ascii="宋体" w:cs="宋体"/>
                <w:sz w:val="24"/>
              </w:rPr>
              <w:t>%</w:t>
            </w:r>
            <w:r>
              <w:rPr>
                <w:rFonts w:hint="eastAsia" w:ascii="宋体" w:cs="宋体"/>
                <w:snapToGrid w:val="0"/>
                <w:kern w:val="0"/>
                <w:sz w:val="24"/>
              </w:rPr>
              <w:t>☑</w:t>
            </w:r>
            <w:r>
              <w:rPr>
                <w:rFonts w:hint="eastAsia" w:ascii="宋体" w:cs="宋体"/>
                <w:sz w:val="24"/>
              </w:rPr>
              <w:t>审计价的</w:t>
            </w:r>
            <w:r>
              <w:rPr>
                <w:rFonts w:hint="eastAsia" w:ascii="宋体" w:cs="宋体"/>
                <w:sz w:val="24"/>
                <w:u w:val="single"/>
              </w:rPr>
              <w:t xml:space="preserve">  3  </w:t>
            </w:r>
            <w:r>
              <w:rPr>
                <w:rFonts w:hint="eastAsia" w:ascii="宋体" w:cs="宋体"/>
                <w:sz w:val="24"/>
              </w:rPr>
              <w:t>%，缴纳方式、缴纳期限、退还等根据合同约定。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46.1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招标代理服务费</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本项目</w:t>
            </w:r>
            <w:r>
              <w:rPr>
                <w:rFonts w:hint="eastAsia" w:ascii="宋体" w:cs="宋体"/>
                <w:sz w:val="24"/>
              </w:rPr>
              <w:t>招标代理服务费支付的具体要求如下：</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（1）支付人：</w:t>
            </w:r>
            <w:r>
              <w:rPr>
                <w:rFonts w:hint="eastAsia" w:ascii="宋体" w:cs="宋体"/>
                <w:snapToGrid w:val="0"/>
                <w:kern w:val="0"/>
                <w:sz w:val="24"/>
              </w:rPr>
              <w:t>□</w:t>
            </w:r>
            <w:r>
              <w:rPr>
                <w:rFonts w:hint="eastAsia" w:ascii="宋体" w:cs="宋体"/>
                <w:sz w:val="24"/>
              </w:rPr>
              <w:t>招标人/</w:t>
            </w:r>
            <w:r>
              <w:rPr>
                <w:rFonts w:ascii="Segoe UI Symbol" w:hAnsi="Segoe UI Symbol" w:cs="Segoe UI Symbol"/>
                <w:kern w:val="0"/>
                <w:sz w:val="24"/>
                <w:lang w:bidi="ar"/>
              </w:rPr>
              <w:t>☑</w:t>
            </w:r>
            <w:r>
              <w:rPr>
                <w:rFonts w:hint="eastAsia" w:ascii="宋体" w:cs="宋体"/>
                <w:sz w:val="24"/>
              </w:rPr>
              <w:t>中标人；</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（2）计费基数：</w:t>
            </w:r>
            <w:r>
              <w:rPr>
                <w:rFonts w:hint="eastAsia" w:ascii="宋体" w:cs="宋体"/>
                <w:bCs/>
                <w:snapToGrid w:val="0"/>
                <w:kern w:val="0"/>
                <w:sz w:val="24"/>
                <w:u w:val="single"/>
              </w:rPr>
              <w:t>以中标通知书中确定的中标金额作为收费的计算基数</w:t>
            </w:r>
            <w:r>
              <w:rPr>
                <w:rFonts w:hint="eastAsia" w:ascii="宋体" w:cs="宋体"/>
                <w:bCs/>
                <w:snapToGrid w:val="0"/>
                <w:kern w:val="0"/>
                <w:sz w:val="24"/>
              </w:rPr>
              <w:t>；</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（3）计费标准：</w:t>
            </w:r>
            <w:bookmarkStart w:id="49" w:name="OLE_LINK3"/>
            <w:r>
              <w:rPr>
                <w:rFonts w:hint="eastAsia" w:ascii="宋体" w:cs="宋体"/>
                <w:bCs/>
                <w:snapToGrid w:val="0"/>
                <w:kern w:val="0"/>
                <w:sz w:val="24"/>
                <w:u w:val="single"/>
              </w:rPr>
              <w:t>参照《国家计委关于印发〈招标代理服务收费管理暂行办法〉的通知（计价格[2002]1980号文）》规</w:t>
            </w:r>
            <w:r>
              <w:rPr>
                <w:rFonts w:hint="eastAsia" w:ascii="宋体" w:cs="宋体"/>
                <w:bCs/>
                <w:snapToGrid w:val="0"/>
                <w:kern w:val="0"/>
                <w:sz w:val="24"/>
              </w:rPr>
              <w:t>定的</w:t>
            </w:r>
            <w:r>
              <w:rPr>
                <w:rFonts w:hint="eastAsia" w:ascii="宋体" w:cs="宋体"/>
                <w:bCs/>
                <w:snapToGrid w:val="0"/>
                <w:kern w:val="0"/>
                <w:sz w:val="24"/>
                <w:u w:val="single"/>
              </w:rPr>
              <w:t xml:space="preserve">  58  </w:t>
            </w:r>
            <w:r>
              <w:rPr>
                <w:rFonts w:hint="eastAsia" w:ascii="宋体" w:cs="宋体"/>
                <w:bCs/>
                <w:snapToGrid w:val="0"/>
                <w:kern w:val="0"/>
                <w:sz w:val="24"/>
              </w:rPr>
              <w:t>%，按差额定率累进法计算；不足</w:t>
            </w:r>
            <w:r>
              <w:rPr>
                <w:rFonts w:hint="eastAsia" w:ascii="宋体" w:cs="宋体"/>
                <w:bCs/>
                <w:snapToGrid w:val="0"/>
                <w:kern w:val="0"/>
                <w:sz w:val="24"/>
                <w:u w:val="single"/>
              </w:rPr>
              <w:t xml:space="preserve"> 5000元 </w:t>
            </w:r>
            <w:r>
              <w:rPr>
                <w:rFonts w:hint="eastAsia" w:ascii="宋体" w:cs="宋体"/>
                <w:bCs/>
                <w:snapToGrid w:val="0"/>
                <w:kern w:val="0"/>
                <w:sz w:val="24"/>
              </w:rPr>
              <w:t>的，按照</w:t>
            </w:r>
            <w:r>
              <w:rPr>
                <w:rFonts w:hint="eastAsia" w:ascii="宋体" w:cs="宋体"/>
                <w:bCs/>
                <w:snapToGrid w:val="0"/>
                <w:kern w:val="0"/>
                <w:sz w:val="24"/>
                <w:u w:val="single"/>
              </w:rPr>
              <w:t xml:space="preserve"> 5000元 </w:t>
            </w:r>
            <w:r>
              <w:rPr>
                <w:rFonts w:hint="eastAsia" w:ascii="宋体" w:cs="宋体"/>
                <w:bCs/>
                <w:snapToGrid w:val="0"/>
                <w:kern w:val="0"/>
                <w:sz w:val="24"/>
              </w:rPr>
              <w:t>计算；</w:t>
            </w:r>
            <w:bookmarkEnd w:id="49"/>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（4）支付期限：如由中标人支付的，在招标人与中标人签订合同后</w:t>
            </w:r>
            <w:r>
              <w:rPr>
                <w:rFonts w:hint="eastAsia" w:ascii="宋体" w:cs="宋体"/>
                <w:bCs/>
                <w:snapToGrid w:val="0"/>
                <w:kern w:val="0"/>
                <w:sz w:val="24"/>
                <w:u w:val="single"/>
              </w:rPr>
              <w:t xml:space="preserve"> 7 </w:t>
            </w:r>
            <w:r>
              <w:rPr>
                <w:rFonts w:hint="eastAsia" w:ascii="宋体" w:cs="宋体"/>
                <w:bCs/>
                <w:snapToGrid w:val="0"/>
                <w:kern w:val="0"/>
                <w:sz w:val="24"/>
              </w:rPr>
              <w:t>个日历天内一次性支付。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48.1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highlight w:val="red"/>
              </w:rPr>
            </w:pPr>
            <w:r>
              <w:rPr>
                <w:rFonts w:hint="eastAsia" w:ascii="宋体" w:cs="宋体"/>
                <w:bCs/>
                <w:snapToGrid w:val="0"/>
                <w:kern w:val="0"/>
                <w:sz w:val="24"/>
              </w:rPr>
              <w:t>质疑的提出与受理</w:t>
            </w:r>
          </w:p>
        </w:tc>
        <w:tc>
          <w:tcPr>
            <w:tcW w:w="6393" w:type="dxa"/>
            <w:vAlign w:val="center"/>
          </w:tcPr>
          <w:p>
            <w:pPr>
              <w:autoSpaceDE w:val="0"/>
              <w:autoSpaceDN w:val="0"/>
              <w:adjustRightInd w:val="0"/>
              <w:snapToGrid w:val="0"/>
              <w:spacing w:line="360" w:lineRule="exact"/>
              <w:jc w:val="left"/>
              <w:rPr>
                <w:rFonts w:ascii="宋体" w:cs="宋体"/>
                <w:snapToGrid w:val="0"/>
                <w:kern w:val="0"/>
                <w:sz w:val="24"/>
              </w:rPr>
            </w:pPr>
            <w:r>
              <w:rPr>
                <w:rFonts w:hint="eastAsia" w:ascii="宋体" w:cs="宋体"/>
                <w:snapToGrid w:val="0"/>
                <w:kern w:val="0"/>
                <w:sz w:val="24"/>
              </w:rPr>
              <w:t>（1）提出质疑方式：</w:t>
            </w:r>
            <w:r>
              <w:rPr>
                <w:rFonts w:hint="eastAsia" w:ascii="宋体" w:cs="宋体"/>
                <w:snapToGrid w:val="0"/>
                <w:kern w:val="0"/>
                <w:sz w:val="24"/>
                <w:u w:val="single"/>
              </w:rPr>
              <w:t xml:space="preserve"> 通过乐采云平台 </w:t>
            </w:r>
            <w:r>
              <w:rPr>
                <w:rFonts w:hint="eastAsia" w:ascii="宋体" w:cs="宋体"/>
                <w:snapToGrid w:val="0"/>
                <w:kern w:val="0"/>
                <w:sz w:val="24"/>
              </w:rPr>
              <w:t>提出；</w:t>
            </w:r>
          </w:p>
          <w:p>
            <w:pPr>
              <w:autoSpaceDE w:val="0"/>
              <w:autoSpaceDN w:val="0"/>
              <w:adjustRightInd w:val="0"/>
              <w:snapToGrid w:val="0"/>
              <w:spacing w:line="360" w:lineRule="exact"/>
              <w:jc w:val="left"/>
              <w:rPr>
                <w:rFonts w:ascii="宋体" w:cs="宋体"/>
                <w:b/>
                <w:snapToGrid w:val="0"/>
                <w:kern w:val="0"/>
                <w:sz w:val="24"/>
              </w:rPr>
            </w:pPr>
            <w:r>
              <w:rPr>
                <w:rFonts w:hint="eastAsia" w:ascii="宋体" w:cs="宋体"/>
                <w:bCs/>
                <w:snapToGrid w:val="0"/>
                <w:kern w:val="0"/>
                <w:sz w:val="24"/>
              </w:rPr>
              <w:t>（2）招标文件质疑期限：投标截止时间10日历天前提出；</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（3）评标结果质疑期限：3个工作日，自评标结果公示发布之日起计算。</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（4）质疑书主要包括如下内容：</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①质疑人的名称、地址、邮政编码、联系人、联系电话，以及被质疑人名称及联系方式；</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②被质疑采购项目名称、编号及采购内容；</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③具体的质疑事项及事实依据；</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④认为自己合法权益受到损害或可能受到损害的相关证据材料；</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⑤提出质疑的日期。</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rPr>
              <w:t>（5）质疑处理：在收到投标人的质疑后3个日历天内作出答复，并通知质疑投标人和其他与质疑处理结果有利害关系的投标人，但答复的内容不得涉及商业秘密。</w:t>
            </w:r>
          </w:p>
          <w:p>
            <w:pPr>
              <w:autoSpaceDE w:val="0"/>
              <w:autoSpaceDN w:val="0"/>
              <w:adjustRightInd w:val="0"/>
              <w:snapToGrid w:val="0"/>
              <w:spacing w:line="360" w:lineRule="exact"/>
              <w:jc w:val="left"/>
            </w:pPr>
            <w:r>
              <w:rPr>
                <w:rFonts w:hint="eastAsia" w:ascii="宋体" w:cs="宋体"/>
                <w:b/>
                <w:bCs/>
                <w:snapToGrid w:val="0"/>
                <w:kern w:val="0"/>
                <w:sz w:val="24"/>
              </w:rPr>
              <w:t>注：未按上述要求提出的质疑，将不予答复。</w:t>
            </w:r>
            <w:r>
              <w:rPr>
                <w:rFonts w:hint="eastAsia" w:ascii="宋体" w:cs="宋体"/>
                <w:snapToGrid w:val="0"/>
                <w:kern w:val="0"/>
                <w:sz w:val="24"/>
              </w:rPr>
              <w:t>异议答复期起始日期为法定休假日的，以法定休假日结束的次日为起始日；结束日为法定休假日的，顺延至法定休假日结束的次日。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49.1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highlight w:val="red"/>
              </w:rPr>
            </w:pPr>
            <w:r>
              <w:rPr>
                <w:rFonts w:hint="eastAsia" w:ascii="宋体" w:cs="宋体"/>
                <w:bCs/>
                <w:snapToGrid w:val="0"/>
                <w:kern w:val="0"/>
                <w:sz w:val="24"/>
              </w:rPr>
              <w:t>投诉的提出与受理</w:t>
            </w:r>
          </w:p>
        </w:tc>
        <w:tc>
          <w:tcPr>
            <w:tcW w:w="6393" w:type="dxa"/>
            <w:vAlign w:val="center"/>
          </w:tcPr>
          <w:p>
            <w:pPr>
              <w:autoSpaceDE w:val="0"/>
              <w:autoSpaceDN w:val="0"/>
              <w:adjustRightInd w:val="0"/>
              <w:snapToGrid w:val="0"/>
              <w:spacing w:line="360" w:lineRule="exact"/>
              <w:jc w:val="left"/>
              <w:rPr>
                <w:rFonts w:ascii="宋体" w:cs="宋体"/>
                <w:snapToGrid w:val="0"/>
                <w:kern w:val="0"/>
                <w:sz w:val="24"/>
              </w:rPr>
            </w:pPr>
            <w:r>
              <w:rPr>
                <w:rFonts w:hint="eastAsia" w:ascii="宋体" w:cs="宋体"/>
                <w:snapToGrid w:val="0"/>
                <w:kern w:val="0"/>
                <w:sz w:val="24"/>
              </w:rPr>
              <w:t>（1）提出投诉方式：</w:t>
            </w:r>
            <w:r>
              <w:rPr>
                <w:rFonts w:hint="eastAsia" w:ascii="宋体" w:cs="宋体"/>
                <w:snapToGrid w:val="0"/>
                <w:kern w:val="0"/>
                <w:sz w:val="24"/>
                <w:u w:val="single"/>
              </w:rPr>
              <w:t>通过乐采云平台</w:t>
            </w:r>
            <w:r>
              <w:rPr>
                <w:rFonts w:hint="eastAsia" w:ascii="宋体" w:cs="宋体"/>
                <w:snapToGrid w:val="0"/>
                <w:kern w:val="0"/>
                <w:sz w:val="24"/>
              </w:rPr>
              <w:t>提出；</w:t>
            </w:r>
          </w:p>
          <w:p>
            <w:pPr>
              <w:autoSpaceDE w:val="0"/>
              <w:autoSpaceDN w:val="0"/>
              <w:adjustRightInd w:val="0"/>
              <w:snapToGrid w:val="0"/>
              <w:spacing w:line="360" w:lineRule="exact"/>
              <w:rPr>
                <w:rFonts w:ascii="宋体" w:cs="宋体"/>
                <w:bCs/>
                <w:snapToGrid w:val="0"/>
                <w:kern w:val="0"/>
                <w:sz w:val="24"/>
              </w:rPr>
            </w:pPr>
            <w:r>
              <w:rPr>
                <w:rFonts w:hint="eastAsia" w:ascii="宋体" w:cs="宋体"/>
                <w:bCs/>
                <w:snapToGrid w:val="0"/>
                <w:kern w:val="0"/>
                <w:sz w:val="24"/>
              </w:rPr>
              <w:t>（2）投标人对质疑答复不满意或者未在规定时间内收到答复的，可以在答复期满后15个工作日内向烟草监管部门提出投诉。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50.1</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公告网站</w:t>
            </w:r>
          </w:p>
        </w:tc>
        <w:tc>
          <w:tcPr>
            <w:tcW w:w="6393" w:type="dxa"/>
            <w:vAlign w:val="center"/>
          </w:tcPr>
          <w:p>
            <w:pPr>
              <w:autoSpaceDE w:val="0"/>
              <w:autoSpaceDN w:val="0"/>
              <w:adjustRightInd w:val="0"/>
              <w:snapToGrid w:val="0"/>
              <w:spacing w:line="360" w:lineRule="exact"/>
              <w:jc w:val="left"/>
              <w:rPr>
                <w:rFonts w:ascii="宋体" w:cs="宋体"/>
                <w:bCs/>
                <w:snapToGrid w:val="0"/>
                <w:kern w:val="0"/>
                <w:sz w:val="24"/>
              </w:rPr>
            </w:pPr>
            <w:r>
              <w:rPr>
                <w:rFonts w:hint="eastAsia" w:ascii="宋体" w:cs="宋体"/>
                <w:bCs/>
                <w:snapToGrid w:val="0"/>
                <w:kern w:val="0"/>
                <w:sz w:val="24"/>
                <w:u w:val="single"/>
              </w:rPr>
              <w:t>浙江政府采购网（https：//zfcg.czt.zj.gov.cn/）</w:t>
            </w:r>
            <w:r>
              <w:rPr>
                <w:rFonts w:hint="eastAsia" w:ascii="宋体" w:cs="宋体"/>
                <w:bCs/>
                <w:snapToGrid w:val="0"/>
                <w:kern w:val="0"/>
                <w:sz w:val="24"/>
              </w:rPr>
              <w:t>；</w:t>
            </w:r>
            <w:r>
              <w:rPr>
                <w:rFonts w:hint="eastAsia" w:ascii="宋体" w:cs="宋体"/>
                <w:bCs/>
                <w:snapToGrid w:val="0"/>
                <w:kern w:val="0"/>
                <w:sz w:val="24"/>
                <w:u w:val="single"/>
              </w:rPr>
              <w:t>浙江企业采购信息服务网（https：//b.zhengcaiyun.cn/luban/home）</w:t>
            </w:r>
            <w:r>
              <w:rPr>
                <w:rFonts w:hint="eastAsia" w:ascii="宋体" w:cs="宋体"/>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vAlign w:val="center"/>
          </w:tcPr>
          <w:p>
            <w:pPr>
              <w:autoSpaceDE w:val="0"/>
              <w:autoSpaceDN w:val="0"/>
              <w:adjustRightInd w:val="0"/>
              <w:snapToGrid w:val="0"/>
              <w:spacing w:line="360" w:lineRule="exact"/>
              <w:jc w:val="center"/>
              <w:rPr>
                <w:rFonts w:ascii="宋体" w:cs="宋体"/>
                <w:bCs/>
                <w:snapToGrid w:val="0"/>
                <w:kern w:val="0"/>
                <w:sz w:val="24"/>
              </w:rPr>
            </w:pPr>
            <w:r>
              <w:rPr>
                <w:rFonts w:hint="eastAsia" w:ascii="宋体" w:cs="宋体"/>
                <w:bCs/>
                <w:snapToGrid w:val="0"/>
                <w:kern w:val="0"/>
                <w:sz w:val="24"/>
              </w:rPr>
              <w:t>50.2</w:t>
            </w:r>
          </w:p>
        </w:tc>
        <w:tc>
          <w:tcPr>
            <w:tcW w:w="2072" w:type="dxa"/>
            <w:vAlign w:val="center"/>
          </w:tcPr>
          <w:p>
            <w:pPr>
              <w:autoSpaceDE w:val="0"/>
              <w:autoSpaceDN w:val="0"/>
              <w:adjustRightInd w:val="0"/>
              <w:snapToGrid w:val="0"/>
              <w:spacing w:line="360" w:lineRule="exact"/>
              <w:jc w:val="center"/>
              <w:rPr>
                <w:rFonts w:ascii="宋体" w:cs="宋体"/>
                <w:bCs/>
                <w:snapToGrid w:val="0"/>
                <w:kern w:val="0"/>
                <w:sz w:val="24"/>
                <w:highlight w:val="red"/>
              </w:rPr>
            </w:pPr>
            <w:r>
              <w:rPr>
                <w:rFonts w:hint="eastAsia" w:ascii="宋体" w:cs="宋体"/>
                <w:bCs/>
                <w:snapToGrid w:val="0"/>
                <w:kern w:val="0"/>
                <w:sz w:val="24"/>
              </w:rPr>
              <w:t>其他</w:t>
            </w:r>
          </w:p>
        </w:tc>
        <w:tc>
          <w:tcPr>
            <w:tcW w:w="6393" w:type="dxa"/>
            <w:vAlign w:val="center"/>
          </w:tcPr>
          <w:p>
            <w:pPr>
              <w:autoSpaceDE w:val="0"/>
              <w:autoSpaceDN w:val="0"/>
              <w:adjustRightInd w:val="0"/>
              <w:snapToGrid w:val="0"/>
              <w:spacing w:line="360" w:lineRule="exact"/>
              <w:jc w:val="left"/>
              <w:rPr>
                <w:rFonts w:ascii="宋体" w:cs="宋体"/>
                <w:b/>
                <w:bCs/>
                <w:snapToGrid w:val="0"/>
                <w:kern w:val="0"/>
                <w:sz w:val="24"/>
              </w:rPr>
            </w:pPr>
            <w:r>
              <w:rPr>
                <w:rFonts w:hint="eastAsia" w:ascii="宋体" w:cs="宋体"/>
                <w:snapToGrid w:val="0"/>
                <w:kern w:val="0"/>
                <w:sz w:val="24"/>
              </w:rPr>
              <w:t>（1）</w:t>
            </w:r>
            <w:r>
              <w:rPr>
                <w:rFonts w:hint="eastAsia" w:ascii="宋体" w:cs="宋体"/>
                <w:bCs/>
                <w:snapToGrid w:val="0"/>
                <w:kern w:val="0"/>
                <w:sz w:val="24"/>
              </w:rPr>
              <w:t>投标人须知具体内容如与本前附表不一致的，以本前附表为准；</w:t>
            </w:r>
            <w:r>
              <w:rPr>
                <w:rFonts w:hint="eastAsia" w:ascii="宋体" w:cs="宋体"/>
                <w:bCs/>
                <w:snapToGrid w:val="0"/>
                <w:kern w:val="0"/>
                <w:sz w:val="24"/>
              </w:rPr>
              <w:br w:type="textWrapping"/>
            </w:r>
            <w:r>
              <w:rPr>
                <w:rFonts w:hint="eastAsia" w:ascii="宋体" w:cs="宋体"/>
                <w:bCs/>
                <w:snapToGrid w:val="0"/>
                <w:kern w:val="0"/>
                <w:sz w:val="24"/>
              </w:rPr>
              <w:t>（2）投标文件编制时需根据招标文件资格要求和评分细则提供资料，并与投标文件目录或索引对应；</w:t>
            </w:r>
            <w:r>
              <w:rPr>
                <w:rFonts w:hint="eastAsia" w:ascii="宋体" w:cs="宋体"/>
                <w:bCs/>
                <w:snapToGrid w:val="0"/>
                <w:kern w:val="0"/>
                <w:sz w:val="24"/>
              </w:rPr>
              <w:br w:type="textWrapping"/>
            </w:r>
            <w:r>
              <w:rPr>
                <w:rFonts w:hint="eastAsia" w:ascii="宋体" w:cs="宋体"/>
                <w:bCs/>
                <w:snapToGrid w:val="0"/>
                <w:kern w:val="0"/>
                <w:sz w:val="24"/>
              </w:rPr>
              <w:t>（3）</w:t>
            </w:r>
            <w:r>
              <w:rPr>
                <w:rFonts w:hint="eastAsia" w:ascii="宋体" w:cs="宋体"/>
                <w:b/>
                <w:bCs/>
                <w:snapToGrid w:val="0"/>
                <w:kern w:val="0"/>
                <w:sz w:val="24"/>
              </w:rPr>
              <w:t>投标人被列入烟草行业不良行为供应商名录和行贿行为供应商名单，将被否决；</w:t>
            </w:r>
            <w:r>
              <w:rPr>
                <w:rFonts w:hint="eastAsia" w:ascii="宋体" w:cs="宋体"/>
                <w:bCs/>
                <w:snapToGrid w:val="0"/>
                <w:kern w:val="0"/>
                <w:sz w:val="24"/>
              </w:rPr>
              <w:br w:type="textWrapping"/>
            </w:r>
            <w:r>
              <w:rPr>
                <w:rFonts w:hint="eastAsia" w:ascii="宋体" w:cs="宋体"/>
                <w:bCs/>
                <w:snapToGrid w:val="0"/>
                <w:kern w:val="0"/>
                <w:sz w:val="24"/>
              </w:rPr>
              <w:t>（4）</w:t>
            </w:r>
            <w:r>
              <w:rPr>
                <w:rFonts w:hint="eastAsia" w:ascii="宋体" w:cs="宋体"/>
                <w:snapToGrid w:val="0"/>
                <w:kern w:val="0"/>
                <w:sz w:val="24"/>
              </w:rPr>
              <w:t>☑</w:t>
            </w:r>
            <w:r>
              <w:rPr>
                <w:rFonts w:hint="eastAsia" w:ascii="宋体" w:cs="宋体"/>
                <w:b/>
                <w:snapToGrid w:val="0"/>
                <w:kern w:val="0"/>
                <w:sz w:val="24"/>
              </w:rPr>
              <w:t>特别提示：</w:t>
            </w:r>
            <w:r>
              <w:rPr>
                <w:rFonts w:hint="eastAsia" w:ascii="宋体" w:cs="宋体"/>
                <w:b/>
                <w:bCs/>
                <w:snapToGrid w:val="0"/>
                <w:kern w:val="0"/>
                <w:sz w:val="24"/>
              </w:rPr>
              <w:t>评标中，经评审后，投标人技术平均分未达到技术分总值</w:t>
            </w:r>
            <w:r>
              <w:rPr>
                <w:rFonts w:hint="eastAsia" w:ascii="宋体" w:cs="宋体"/>
                <w:b/>
                <w:bCs/>
                <w:snapToGrid w:val="0"/>
                <w:kern w:val="0"/>
                <w:sz w:val="24"/>
                <w:u w:val="single"/>
              </w:rPr>
              <w:t xml:space="preserve"> 60% （3</w:t>
            </w:r>
            <w:r>
              <w:rPr>
                <w:rFonts w:hint="eastAsia" w:ascii="宋体" w:cs="宋体"/>
                <w:b/>
                <w:bCs/>
                <w:snapToGrid w:val="0"/>
                <w:kern w:val="0"/>
                <w:sz w:val="24"/>
                <w:u w:val="single"/>
                <w:lang w:val="en-US" w:eastAsia="zh-CN"/>
              </w:rPr>
              <w:t>3</w:t>
            </w:r>
            <w:r>
              <w:rPr>
                <w:rFonts w:hint="eastAsia" w:ascii="宋体" w:cs="宋体"/>
                <w:b/>
                <w:bCs/>
                <w:snapToGrid w:val="0"/>
                <w:kern w:val="0"/>
                <w:sz w:val="24"/>
                <w:u w:val="single"/>
              </w:rPr>
              <w:t>分）</w:t>
            </w:r>
            <w:r>
              <w:rPr>
                <w:rFonts w:hint="eastAsia" w:ascii="宋体" w:cs="宋体"/>
                <w:b/>
                <w:bCs/>
                <w:snapToGrid w:val="0"/>
                <w:kern w:val="0"/>
                <w:sz w:val="24"/>
              </w:rPr>
              <w:t>的，视为不满足招标文件技术要求，该文件视同未实质性响应，作为无效标处理；</w:t>
            </w:r>
          </w:p>
          <w:p>
            <w:pPr>
              <w:autoSpaceDE w:val="0"/>
              <w:autoSpaceDN w:val="0"/>
              <w:adjustRightInd w:val="0"/>
              <w:snapToGrid w:val="0"/>
              <w:spacing w:line="360" w:lineRule="exact"/>
              <w:jc w:val="left"/>
              <w:rPr>
                <w:rFonts w:ascii="宋体" w:cs="宋体"/>
                <w:bCs/>
                <w:snapToGrid w:val="0"/>
                <w:kern w:val="0"/>
                <w:sz w:val="24"/>
              </w:rPr>
            </w:pPr>
            <w:r>
              <w:rPr>
                <w:rFonts w:hint="eastAsia" w:ascii="宋体" w:cs="宋体"/>
                <w:snapToGrid w:val="0"/>
                <w:kern w:val="0"/>
                <w:sz w:val="24"/>
              </w:rPr>
              <w:t>（5）关于分公司投标：除银行、保险、石油石化、电力、通讯运营商、邮政等特定行业外，法人的分支机构由于不能独立承担民事责任，不能以分支机构的身份参加投标，只能法人身份参加。</w:t>
            </w:r>
            <w:r>
              <w:rPr>
                <w:rFonts w:hint="eastAsia" w:ascii="宋体" w:cs="宋体"/>
                <w:bCs/>
                <w:snapToGrid w:val="0"/>
                <w:kern w:val="0"/>
                <w:sz w:val="24"/>
              </w:rPr>
              <w:br w:type="textWrapping"/>
            </w:r>
            <w:r>
              <w:rPr>
                <w:rFonts w:hint="eastAsia" w:ascii="宋体" w:cs="宋体"/>
                <w:bCs/>
                <w:snapToGrid w:val="0"/>
                <w:kern w:val="0"/>
                <w:sz w:val="24"/>
              </w:rPr>
              <w:t>（6）本招标文件由招标人负责解释。</w:t>
            </w:r>
          </w:p>
        </w:tc>
      </w:tr>
    </w:tbl>
    <w:p>
      <w:pPr>
        <w:spacing w:before="240" w:after="120" w:line="360" w:lineRule="auto"/>
        <w:rPr>
          <w:rFonts w:ascii="宋体" w:cs="宋体"/>
          <w:b/>
          <w:bCs/>
          <w:sz w:val="30"/>
        </w:rPr>
      </w:pPr>
    </w:p>
    <w:p>
      <w:pPr>
        <w:spacing w:before="120" w:line="360" w:lineRule="auto"/>
        <w:jc w:val="center"/>
        <w:rPr>
          <w:rFonts w:ascii="宋体" w:cs="宋体"/>
          <w:b/>
          <w:bCs/>
          <w:sz w:val="30"/>
          <w:szCs w:val="30"/>
        </w:rPr>
        <w:sectPr>
          <w:pgSz w:w="11907" w:h="16840"/>
          <w:pgMar w:top="1134" w:right="1134" w:bottom="1418" w:left="1418" w:header="737" w:footer="907" w:gutter="0"/>
          <w:cols w:space="720" w:num="1"/>
          <w:docGrid w:linePitch="312" w:charSpace="0"/>
        </w:sectPr>
      </w:pPr>
      <w:bookmarkStart w:id="50" w:name="_Toc6473"/>
      <w:bookmarkStart w:id="51" w:name="_Toc3158"/>
      <w:bookmarkStart w:id="52" w:name="_Toc105594490"/>
    </w:p>
    <w:p>
      <w:pPr>
        <w:pStyle w:val="3"/>
        <w:rPr>
          <w:rFonts w:ascii="宋体" w:cs="宋体"/>
          <w:b w:val="0"/>
          <w:bCs/>
          <w:szCs w:val="30"/>
        </w:rPr>
      </w:pPr>
      <w:bookmarkStart w:id="53" w:name="_Toc24138"/>
      <w:bookmarkStart w:id="54" w:name="_Toc15697"/>
      <w:r>
        <w:rPr>
          <w:rFonts w:hint="eastAsia"/>
        </w:rPr>
        <w:t>一、总则</w:t>
      </w:r>
      <w:bookmarkEnd w:id="46"/>
      <w:bookmarkEnd w:id="50"/>
      <w:bookmarkEnd w:id="51"/>
      <w:bookmarkEnd w:id="52"/>
      <w:bookmarkEnd w:id="53"/>
      <w:bookmarkEnd w:id="54"/>
    </w:p>
    <w:p>
      <w:pPr>
        <w:snapToGrid w:val="0"/>
        <w:spacing w:line="360" w:lineRule="auto"/>
        <w:ind w:firstLine="482" w:firstLineChars="200"/>
        <w:rPr>
          <w:rFonts w:ascii="宋体" w:cs="宋体"/>
          <w:b/>
          <w:sz w:val="24"/>
        </w:rPr>
      </w:pPr>
      <w:r>
        <w:rPr>
          <w:rFonts w:hint="eastAsia" w:ascii="宋体" w:cs="宋体"/>
          <w:b/>
          <w:sz w:val="24"/>
        </w:rPr>
        <w:t>1.适用范围</w:t>
      </w:r>
    </w:p>
    <w:p>
      <w:pPr>
        <w:snapToGrid w:val="0"/>
        <w:spacing w:line="360" w:lineRule="auto"/>
        <w:ind w:firstLine="480" w:firstLineChars="200"/>
        <w:rPr>
          <w:rFonts w:ascii="宋体" w:cs="宋体"/>
          <w:sz w:val="24"/>
        </w:rPr>
      </w:pPr>
      <w:r>
        <w:rPr>
          <w:rFonts w:hint="eastAsia" w:ascii="宋体" w:cs="宋体"/>
          <w:sz w:val="24"/>
        </w:rPr>
        <w:t>1.1本招标文件适用于该项目的招标、投标、开标、资格审查及信用信息查询、评审、定标、签约、履约、验收等行为；法律、法规另有规定的，从其规定。</w:t>
      </w:r>
    </w:p>
    <w:p>
      <w:pPr>
        <w:snapToGrid w:val="0"/>
        <w:spacing w:line="360" w:lineRule="auto"/>
        <w:ind w:firstLine="482" w:firstLineChars="200"/>
        <w:rPr>
          <w:rFonts w:ascii="宋体" w:cs="宋体"/>
          <w:b/>
          <w:bCs/>
          <w:sz w:val="24"/>
        </w:rPr>
      </w:pPr>
      <w:r>
        <w:rPr>
          <w:rFonts w:hint="eastAsia" w:ascii="宋体" w:cs="宋体"/>
          <w:b/>
          <w:bCs/>
          <w:sz w:val="24"/>
        </w:rPr>
        <w:t>2.项目说明</w:t>
      </w:r>
    </w:p>
    <w:p>
      <w:pPr>
        <w:snapToGrid w:val="0"/>
        <w:spacing w:line="360" w:lineRule="auto"/>
        <w:ind w:firstLine="480" w:firstLineChars="200"/>
        <w:rPr>
          <w:rFonts w:ascii="宋体" w:cs="宋体"/>
          <w:sz w:val="24"/>
        </w:rPr>
      </w:pPr>
      <w:r>
        <w:rPr>
          <w:rFonts w:hint="eastAsia" w:ascii="宋体" w:cs="宋体"/>
          <w:sz w:val="24"/>
        </w:rPr>
        <w:t>2.1招标人：见投标人须知前附表。</w:t>
      </w:r>
    </w:p>
    <w:p>
      <w:pPr>
        <w:snapToGrid w:val="0"/>
        <w:spacing w:line="360" w:lineRule="auto"/>
        <w:ind w:firstLine="480" w:firstLineChars="200"/>
        <w:rPr>
          <w:rFonts w:ascii="宋体" w:cs="宋体"/>
          <w:sz w:val="24"/>
        </w:rPr>
      </w:pPr>
      <w:r>
        <w:rPr>
          <w:rFonts w:hint="eastAsia" w:ascii="宋体" w:cs="宋体"/>
          <w:sz w:val="24"/>
        </w:rPr>
        <w:t>2.2招标组织形式：见投标人须知前附表。</w:t>
      </w:r>
    </w:p>
    <w:p>
      <w:pPr>
        <w:snapToGrid w:val="0"/>
        <w:spacing w:line="360" w:lineRule="auto"/>
        <w:ind w:firstLine="480" w:firstLineChars="200"/>
        <w:rPr>
          <w:rFonts w:ascii="宋体" w:cs="宋体"/>
          <w:sz w:val="24"/>
        </w:rPr>
      </w:pPr>
      <w:r>
        <w:rPr>
          <w:rFonts w:hint="eastAsia" w:ascii="宋体" w:cs="宋体"/>
          <w:sz w:val="24"/>
        </w:rPr>
        <w:t>2.3招标代理机构：见投标人须知前附表。</w:t>
      </w:r>
    </w:p>
    <w:p>
      <w:pPr>
        <w:snapToGrid w:val="0"/>
        <w:spacing w:line="360" w:lineRule="auto"/>
        <w:ind w:firstLine="480" w:firstLineChars="200"/>
        <w:rPr>
          <w:rFonts w:ascii="宋体" w:cs="宋体"/>
          <w:sz w:val="24"/>
        </w:rPr>
      </w:pPr>
      <w:r>
        <w:rPr>
          <w:rFonts w:hint="eastAsia" w:ascii="宋体" w:cs="宋体"/>
          <w:sz w:val="24"/>
        </w:rPr>
        <w:t>2.4项目概况：见投标人须知前附表。</w:t>
      </w:r>
    </w:p>
    <w:p>
      <w:pPr>
        <w:snapToGrid w:val="0"/>
        <w:spacing w:line="360" w:lineRule="auto"/>
        <w:ind w:firstLine="482" w:firstLineChars="200"/>
        <w:rPr>
          <w:rFonts w:ascii="宋体" w:cs="宋体"/>
          <w:b/>
          <w:bCs/>
          <w:sz w:val="24"/>
        </w:rPr>
      </w:pPr>
      <w:r>
        <w:rPr>
          <w:rFonts w:hint="eastAsia" w:ascii="宋体" w:cs="宋体"/>
          <w:b/>
          <w:bCs/>
          <w:sz w:val="24"/>
        </w:rPr>
        <w:t>3.联合体投标</w:t>
      </w:r>
    </w:p>
    <w:p>
      <w:pPr>
        <w:snapToGrid w:val="0"/>
        <w:spacing w:line="360" w:lineRule="auto"/>
        <w:ind w:firstLine="480" w:firstLineChars="200"/>
        <w:rPr>
          <w:rFonts w:ascii="宋体" w:cs="宋体"/>
          <w:sz w:val="24"/>
        </w:rPr>
      </w:pPr>
      <w:r>
        <w:rPr>
          <w:rFonts w:hint="eastAsia" w:ascii="宋体" w:cs="宋体"/>
          <w:sz w:val="24"/>
        </w:rPr>
        <w:t>3.1本项目不接受联合体投标。</w:t>
      </w:r>
    </w:p>
    <w:p>
      <w:pPr>
        <w:snapToGrid w:val="0"/>
        <w:spacing w:line="360" w:lineRule="auto"/>
        <w:ind w:firstLine="482" w:firstLineChars="200"/>
        <w:rPr>
          <w:rFonts w:ascii="宋体" w:cs="宋体"/>
          <w:b/>
          <w:sz w:val="24"/>
        </w:rPr>
      </w:pPr>
      <w:r>
        <w:rPr>
          <w:rFonts w:hint="eastAsia" w:ascii="宋体" w:cs="宋体"/>
          <w:b/>
          <w:sz w:val="24"/>
        </w:rPr>
        <w:t>4.分包、转包</w:t>
      </w:r>
    </w:p>
    <w:p>
      <w:pPr>
        <w:snapToGrid w:val="0"/>
        <w:spacing w:line="360" w:lineRule="auto"/>
        <w:ind w:firstLine="480" w:firstLineChars="200"/>
        <w:rPr>
          <w:rFonts w:ascii="宋体" w:cs="宋体"/>
          <w:sz w:val="24"/>
        </w:rPr>
      </w:pPr>
      <w:r>
        <w:rPr>
          <w:rFonts w:hint="eastAsia" w:ascii="宋体" w:cs="宋体"/>
          <w:sz w:val="24"/>
        </w:rPr>
        <w:t>4.1本项目是否允许分包、转包：见投标人须知前附表。</w:t>
      </w:r>
    </w:p>
    <w:p>
      <w:pPr>
        <w:snapToGrid w:val="0"/>
        <w:spacing w:line="360" w:lineRule="auto"/>
        <w:ind w:firstLine="480" w:firstLineChars="200"/>
        <w:rPr>
          <w:rFonts w:ascii="宋体" w:cs="宋体"/>
          <w:sz w:val="24"/>
        </w:rPr>
      </w:pPr>
      <w:r>
        <w:rPr>
          <w:rFonts w:hint="eastAsia" w:ascii="宋体" w:cs="宋体"/>
          <w:sz w:val="24"/>
        </w:rPr>
        <w:t>4.2投标人拟在中标后将中标项目的非主体、非关键部分工作进行分包的，应满足以下要求：</w:t>
      </w:r>
    </w:p>
    <w:p>
      <w:pPr>
        <w:snapToGrid w:val="0"/>
        <w:spacing w:line="360" w:lineRule="auto"/>
        <w:ind w:firstLine="480" w:firstLineChars="200"/>
        <w:rPr>
          <w:rFonts w:ascii="宋体" w:cs="宋体"/>
          <w:sz w:val="24"/>
        </w:rPr>
      </w:pPr>
      <w:r>
        <w:rPr>
          <w:rFonts w:hint="eastAsia" w:ascii="宋体" w:cs="宋体"/>
          <w:sz w:val="24"/>
        </w:rPr>
        <w:t>4.2.1符合投标人须知前附表规定的分包内容、分包金额要求，除投标人须知前附表规定的非主体、非关键部分工作外，其他工作不得分包；</w:t>
      </w:r>
    </w:p>
    <w:p>
      <w:pPr>
        <w:snapToGrid w:val="0"/>
        <w:spacing w:line="360" w:lineRule="auto"/>
        <w:ind w:firstLine="480" w:firstLineChars="200"/>
        <w:rPr>
          <w:rFonts w:ascii="宋体" w:cs="宋体"/>
          <w:sz w:val="24"/>
        </w:rPr>
      </w:pPr>
      <w:r>
        <w:rPr>
          <w:rFonts w:hint="eastAsia" w:ascii="宋体" w:cs="宋体"/>
          <w:sz w:val="24"/>
        </w:rPr>
        <w:t>4.2.2接受分包一方应当具备相应的资格条件，并不得再次分包；中标人应当就分包内容向招标人负责，接受分包一方就分包内容承担连带责任。</w:t>
      </w:r>
    </w:p>
    <w:p>
      <w:pPr>
        <w:snapToGrid w:val="0"/>
        <w:spacing w:line="360" w:lineRule="auto"/>
        <w:ind w:firstLine="482" w:firstLineChars="200"/>
        <w:rPr>
          <w:rFonts w:ascii="宋体" w:cs="宋体"/>
          <w:b/>
          <w:bCs/>
          <w:sz w:val="24"/>
        </w:rPr>
      </w:pPr>
      <w:r>
        <w:rPr>
          <w:rFonts w:hint="eastAsia" w:ascii="宋体" w:cs="宋体"/>
          <w:b/>
          <w:bCs/>
          <w:sz w:val="24"/>
        </w:rPr>
        <w:t>5.投标费用</w:t>
      </w:r>
    </w:p>
    <w:p>
      <w:pPr>
        <w:snapToGrid w:val="0"/>
        <w:spacing w:line="360" w:lineRule="auto"/>
        <w:ind w:firstLine="480" w:firstLineChars="200"/>
        <w:rPr>
          <w:rFonts w:ascii="宋体" w:cs="宋体"/>
          <w:sz w:val="24"/>
        </w:rPr>
      </w:pPr>
      <w:r>
        <w:rPr>
          <w:rFonts w:hint="eastAsia" w:ascii="宋体" w:cs="宋体"/>
          <w:sz w:val="24"/>
        </w:rPr>
        <w:t>5.1投标人在投标过程中的一切费用，不论中标与否，均由投标人自理。</w:t>
      </w:r>
    </w:p>
    <w:p>
      <w:pPr>
        <w:snapToGrid w:val="0"/>
        <w:spacing w:line="360" w:lineRule="auto"/>
        <w:ind w:firstLine="482" w:firstLineChars="200"/>
        <w:rPr>
          <w:rFonts w:ascii="宋体" w:cs="宋体"/>
          <w:b/>
          <w:bCs/>
          <w:sz w:val="24"/>
        </w:rPr>
      </w:pPr>
      <w:r>
        <w:rPr>
          <w:rFonts w:hint="eastAsia" w:ascii="宋体" w:cs="宋体"/>
          <w:b/>
          <w:bCs/>
          <w:sz w:val="24"/>
        </w:rPr>
        <w:t>6.保密</w:t>
      </w:r>
    </w:p>
    <w:p>
      <w:pPr>
        <w:snapToGrid w:val="0"/>
        <w:spacing w:line="360" w:lineRule="auto"/>
        <w:ind w:firstLine="480" w:firstLineChars="200"/>
      </w:pPr>
      <w:r>
        <w:rPr>
          <w:rFonts w:hint="eastAsia" w:ascii="宋体" w:cs="宋体"/>
          <w:sz w:val="24"/>
        </w:rPr>
        <w:t>6.1参加招标投标活动的各方应对招投标过程中商业和技术等秘密保密，否则应承担相应的法律责任。</w:t>
      </w:r>
    </w:p>
    <w:p>
      <w:pPr>
        <w:snapToGrid w:val="0"/>
        <w:spacing w:line="360" w:lineRule="auto"/>
        <w:ind w:firstLine="482" w:firstLineChars="200"/>
        <w:rPr>
          <w:rFonts w:ascii="宋体" w:cs="宋体"/>
          <w:b/>
          <w:bCs/>
          <w:sz w:val="24"/>
        </w:rPr>
      </w:pPr>
      <w:r>
        <w:rPr>
          <w:rFonts w:hint="eastAsia" w:ascii="宋体" w:cs="宋体"/>
          <w:b/>
          <w:bCs/>
          <w:sz w:val="24"/>
        </w:rPr>
        <w:t>7.语言文字</w:t>
      </w:r>
    </w:p>
    <w:p>
      <w:pPr>
        <w:snapToGrid w:val="0"/>
        <w:spacing w:line="360" w:lineRule="auto"/>
        <w:ind w:firstLine="480" w:firstLineChars="200"/>
        <w:rPr>
          <w:rFonts w:ascii="宋体" w:cs="宋体"/>
          <w:sz w:val="24"/>
        </w:rPr>
      </w:pPr>
      <w:r>
        <w:rPr>
          <w:rFonts w:hint="eastAsia" w:ascii="宋体" w:cs="宋体"/>
          <w:sz w:val="24"/>
        </w:rPr>
        <w:t>7.1招标投标文件使用的语言文字为中文。专用术语使用外文的，应附有中文注释。</w:t>
      </w:r>
    </w:p>
    <w:p>
      <w:pPr>
        <w:snapToGrid w:val="0"/>
        <w:spacing w:line="360" w:lineRule="auto"/>
        <w:ind w:firstLine="482" w:firstLineChars="200"/>
        <w:rPr>
          <w:rFonts w:ascii="宋体" w:cs="宋体"/>
          <w:b/>
          <w:bCs/>
          <w:sz w:val="24"/>
        </w:rPr>
      </w:pPr>
      <w:r>
        <w:rPr>
          <w:rFonts w:hint="eastAsia" w:ascii="宋体" w:cs="宋体"/>
          <w:b/>
          <w:bCs/>
          <w:sz w:val="24"/>
        </w:rPr>
        <w:t>8.计量单位</w:t>
      </w:r>
    </w:p>
    <w:p>
      <w:pPr>
        <w:snapToGrid w:val="0"/>
        <w:spacing w:line="360" w:lineRule="auto"/>
        <w:ind w:firstLine="480" w:firstLineChars="200"/>
        <w:rPr>
          <w:rFonts w:ascii="宋体" w:cs="宋体"/>
          <w:sz w:val="24"/>
        </w:rPr>
      </w:pPr>
      <w:r>
        <w:rPr>
          <w:rFonts w:hint="eastAsia" w:ascii="宋体" w:cs="宋体"/>
          <w:sz w:val="24"/>
        </w:rPr>
        <w:t>8.1所有计量均采用中华人民共和国法定计量单位。</w:t>
      </w:r>
    </w:p>
    <w:p>
      <w:pPr>
        <w:snapToGrid w:val="0"/>
        <w:spacing w:line="360" w:lineRule="auto"/>
        <w:ind w:firstLine="482" w:firstLineChars="200"/>
        <w:rPr>
          <w:rFonts w:ascii="宋体" w:cs="宋体"/>
          <w:b/>
          <w:bCs/>
          <w:sz w:val="24"/>
        </w:rPr>
      </w:pPr>
      <w:r>
        <w:rPr>
          <w:rFonts w:hint="eastAsia" w:ascii="宋体" w:cs="宋体"/>
          <w:b/>
          <w:bCs/>
          <w:sz w:val="24"/>
        </w:rPr>
        <w:t>9.标准时间</w:t>
      </w:r>
    </w:p>
    <w:p>
      <w:pPr>
        <w:snapToGrid w:val="0"/>
        <w:spacing w:line="360" w:lineRule="auto"/>
        <w:ind w:firstLine="480" w:firstLineChars="200"/>
        <w:rPr>
          <w:rFonts w:ascii="宋体" w:cs="宋体"/>
          <w:b/>
          <w:sz w:val="24"/>
        </w:rPr>
      </w:pPr>
      <w:r>
        <w:rPr>
          <w:rFonts w:hint="eastAsia" w:ascii="宋体" w:cs="宋体"/>
          <w:sz w:val="24"/>
        </w:rPr>
        <w:t>9.1本招标文件中出现的时间均指北京时间。</w:t>
      </w:r>
    </w:p>
    <w:p>
      <w:pPr>
        <w:snapToGrid w:val="0"/>
        <w:spacing w:line="360" w:lineRule="auto"/>
        <w:ind w:firstLine="482" w:firstLineChars="200"/>
        <w:rPr>
          <w:rFonts w:ascii="宋体" w:cs="宋体"/>
          <w:b/>
          <w:sz w:val="24"/>
        </w:rPr>
      </w:pPr>
      <w:r>
        <w:rPr>
          <w:rFonts w:hint="eastAsia" w:ascii="宋体" w:cs="宋体"/>
          <w:b/>
          <w:sz w:val="24"/>
        </w:rPr>
        <w:t>10.定义</w:t>
      </w:r>
    </w:p>
    <w:p>
      <w:pPr>
        <w:snapToGrid w:val="0"/>
        <w:spacing w:line="360" w:lineRule="auto"/>
        <w:ind w:firstLine="480" w:firstLineChars="200"/>
        <w:rPr>
          <w:rFonts w:ascii="宋体" w:cs="宋体"/>
          <w:sz w:val="24"/>
        </w:rPr>
      </w:pPr>
      <w:r>
        <w:rPr>
          <w:rFonts w:hint="eastAsia" w:ascii="宋体" w:cs="宋体"/>
          <w:sz w:val="24"/>
        </w:rPr>
        <w:t>10.1“投标人”系指响应招标、参加投标竞争的法人或非法人组织。</w:t>
      </w:r>
    </w:p>
    <w:p>
      <w:pPr>
        <w:snapToGrid w:val="0"/>
        <w:spacing w:line="360" w:lineRule="auto"/>
        <w:ind w:firstLine="480" w:firstLineChars="200"/>
      </w:pPr>
      <w:r>
        <w:rPr>
          <w:rFonts w:hint="eastAsia" w:ascii="宋体" w:cs="宋体"/>
          <w:sz w:val="24"/>
        </w:rPr>
        <w:t>10.2“法定代表人”系指法人企业的法定负责人；“负责人”系指其他组织中由法律、行政法规规定代表单位行使职权的主要负责人。</w:t>
      </w:r>
    </w:p>
    <w:p>
      <w:pPr>
        <w:snapToGrid w:val="0"/>
        <w:spacing w:line="360" w:lineRule="auto"/>
        <w:ind w:firstLine="480" w:firstLineChars="200"/>
        <w:rPr>
          <w:rFonts w:ascii="宋体" w:cs="宋体"/>
          <w:sz w:val="24"/>
        </w:rPr>
      </w:pPr>
      <w:r>
        <w:rPr>
          <w:rFonts w:hint="eastAsia" w:ascii="宋体" w:cs="宋体"/>
          <w:sz w:val="24"/>
        </w:rPr>
        <w:t>10.3“投标人代表”系指代表投标人全权参加投标活动的法人单位的法定代表人或其他组织的负责人，及法定代表人或负责人的授权人。</w:t>
      </w:r>
    </w:p>
    <w:p>
      <w:pPr>
        <w:snapToGrid w:val="0"/>
        <w:spacing w:line="360" w:lineRule="auto"/>
        <w:ind w:firstLine="482" w:firstLineChars="200"/>
        <w:rPr>
          <w:rFonts w:ascii="宋体" w:cs="宋体"/>
          <w:b/>
          <w:bCs/>
          <w:sz w:val="24"/>
        </w:rPr>
      </w:pPr>
      <w:r>
        <w:rPr>
          <w:rFonts w:hint="eastAsia" w:ascii="宋体" w:cs="宋体"/>
          <w:b/>
          <w:bCs/>
          <w:sz w:val="24"/>
        </w:rPr>
        <w:t>10.4“备份投标文件”系指以介质存储的数据电文形式的电子备份和以纸质为媒介的纸质备份。</w:t>
      </w:r>
    </w:p>
    <w:p>
      <w:pPr>
        <w:snapToGrid w:val="0"/>
        <w:spacing w:line="360" w:lineRule="auto"/>
        <w:ind w:firstLine="480" w:firstLineChars="200"/>
        <w:rPr>
          <w:rFonts w:ascii="宋体" w:cs="宋体"/>
          <w:sz w:val="24"/>
        </w:rPr>
      </w:pPr>
      <w:r>
        <w:rPr>
          <w:rFonts w:hint="eastAsia" w:ascii="宋体" w:cs="宋体"/>
          <w:sz w:val="24"/>
        </w:rPr>
        <w:t>10.5“货物”系指投标人按招标文件规定，须向招标人提供的一切产品，及其它有关技术资料和材料。</w:t>
      </w:r>
    </w:p>
    <w:p>
      <w:pPr>
        <w:snapToGrid w:val="0"/>
        <w:spacing w:line="360" w:lineRule="auto"/>
        <w:ind w:firstLine="480" w:firstLineChars="200"/>
        <w:rPr>
          <w:rFonts w:ascii="宋体" w:cs="宋体"/>
          <w:sz w:val="24"/>
        </w:rPr>
      </w:pPr>
      <w:r>
        <w:rPr>
          <w:rFonts w:hint="eastAsia" w:ascii="宋体" w:cs="宋体"/>
          <w:sz w:val="24"/>
        </w:rPr>
        <w:t>10.6“服务”系指招标文件规定投标人为完成全部合同义务须承担的、有形货物除外的所有工作，包括但不限于：使用培训、售后服务以及其他类似的义务。</w:t>
      </w:r>
    </w:p>
    <w:p>
      <w:pPr>
        <w:snapToGrid w:val="0"/>
        <w:spacing w:line="360" w:lineRule="auto"/>
        <w:ind w:firstLine="480" w:firstLineChars="200"/>
        <w:rPr>
          <w:rFonts w:ascii="宋体" w:cs="宋体"/>
          <w:sz w:val="24"/>
        </w:rPr>
      </w:pPr>
      <w:r>
        <w:rPr>
          <w:rFonts w:hint="eastAsia" w:ascii="宋体" w:cs="宋体"/>
          <w:sz w:val="24"/>
        </w:rPr>
        <w:t>10.7折扣、折扣率及相关计算公式</w:t>
      </w:r>
    </w:p>
    <w:p>
      <w:pPr>
        <w:snapToGrid w:val="0"/>
        <w:spacing w:line="360" w:lineRule="auto"/>
        <w:ind w:firstLine="480" w:firstLineChars="200"/>
        <w:rPr>
          <w:rFonts w:ascii="宋体" w:cs="宋体"/>
          <w:sz w:val="24"/>
        </w:rPr>
      </w:pPr>
      <w:r>
        <w:rPr>
          <w:rFonts w:hint="eastAsia" w:ascii="宋体" w:cs="宋体"/>
          <w:sz w:val="24"/>
        </w:rPr>
        <w:t>10.7.1折扣系指扣除，计算公式：折扣=控制价（原价）-投标报价；</w:t>
      </w:r>
    </w:p>
    <w:p>
      <w:pPr>
        <w:snapToGrid w:val="0"/>
        <w:spacing w:line="360" w:lineRule="auto"/>
        <w:ind w:firstLine="480" w:firstLineChars="200"/>
        <w:rPr>
          <w:rFonts w:ascii="宋体" w:cs="宋体"/>
          <w:sz w:val="24"/>
        </w:rPr>
      </w:pPr>
      <w:r>
        <w:rPr>
          <w:rFonts w:hint="eastAsia" w:ascii="宋体" w:cs="宋体"/>
          <w:sz w:val="24"/>
        </w:rPr>
        <w:t>10.7.2折扣金额系指扣除的金额部分，计算公式：折扣金额=控制价（或原价）×折扣率或控制价（原价）-投标报价；</w:t>
      </w:r>
    </w:p>
    <w:p>
      <w:pPr>
        <w:pStyle w:val="6"/>
        <w:spacing w:line="360" w:lineRule="auto"/>
        <w:ind w:left="281" w:firstLine="240" w:firstLineChars="100"/>
        <w:rPr>
          <w:rFonts w:ascii="宋体" w:cs="宋体"/>
          <w:sz w:val="24"/>
        </w:rPr>
      </w:pPr>
      <w:r>
        <w:rPr>
          <w:rFonts w:hint="eastAsia" w:ascii="宋体" w:cs="宋体"/>
          <w:sz w:val="24"/>
        </w:rPr>
        <w:t>10.7.3折扣率（下浮率）系指折扣（扣除）金额与原价的比率，计算公式：折扣率（下浮率）=折扣（扣除）金额÷控制价（或原价）×100%。</w:t>
      </w:r>
    </w:p>
    <w:p>
      <w:pPr>
        <w:snapToGrid w:val="0"/>
        <w:spacing w:line="360" w:lineRule="auto"/>
        <w:ind w:firstLine="482" w:firstLineChars="200"/>
        <w:rPr>
          <w:rFonts w:ascii="宋体" w:cs="宋体"/>
          <w:b/>
          <w:bCs/>
          <w:sz w:val="24"/>
        </w:rPr>
      </w:pPr>
      <w:r>
        <w:rPr>
          <w:rFonts w:hint="eastAsia" w:ascii="宋体" w:cs="宋体"/>
          <w:b/>
          <w:bCs/>
          <w:sz w:val="24"/>
        </w:rPr>
        <w:t>10.8符号：指标、参数或条款前标注“▲”系指招标文件的实质性要求和条件；指标、参数或条款前标注“</w:t>
      </w:r>
      <w:r>
        <w:rPr>
          <w:rFonts w:hint="eastAsia" w:ascii="宋体" w:cs="宋体"/>
          <w:snapToGrid w:val="0"/>
          <w:kern w:val="0"/>
          <w:sz w:val="24"/>
        </w:rPr>
        <w:t>☑</w:t>
      </w:r>
      <w:r>
        <w:rPr>
          <w:rFonts w:hint="eastAsia" w:ascii="宋体" w:cs="宋体"/>
          <w:b/>
          <w:bCs/>
          <w:sz w:val="24"/>
        </w:rPr>
        <w:t>”系指适用本项目的要求；指标、参数或条款前标注“</w:t>
      </w:r>
      <w:r>
        <w:rPr>
          <w:rFonts w:hint="eastAsia" w:ascii="MS Gothic" w:hAnsi="MS Gothic" w:cs="宋体"/>
          <w:b/>
          <w:bCs/>
          <w:sz w:val="24"/>
        </w:rPr>
        <w:t>☐</w:t>
      </w:r>
      <w:r>
        <w:rPr>
          <w:rFonts w:hint="eastAsia" w:ascii="宋体" w:cs="宋体"/>
          <w:b/>
          <w:bCs/>
          <w:sz w:val="24"/>
        </w:rPr>
        <w:t>”系指不适用本项目的要求。</w:t>
      </w:r>
    </w:p>
    <w:p>
      <w:pPr>
        <w:pStyle w:val="3"/>
      </w:pPr>
      <w:bookmarkStart w:id="55" w:name="_Toc916"/>
      <w:bookmarkStart w:id="56" w:name="_Toc22048"/>
      <w:bookmarkStart w:id="57" w:name="_Toc25208"/>
      <w:bookmarkStart w:id="58" w:name="_Toc5324"/>
      <w:bookmarkStart w:id="59" w:name="_Toc495977855"/>
      <w:bookmarkStart w:id="60" w:name="_Toc105594491"/>
      <w:r>
        <w:rPr>
          <w:rFonts w:hint="eastAsia"/>
        </w:rPr>
        <w:t>二、招标文件</w:t>
      </w:r>
      <w:bookmarkEnd w:id="55"/>
      <w:bookmarkEnd w:id="56"/>
      <w:bookmarkEnd w:id="57"/>
      <w:bookmarkEnd w:id="58"/>
      <w:bookmarkEnd w:id="59"/>
      <w:bookmarkEnd w:id="60"/>
    </w:p>
    <w:p>
      <w:pPr>
        <w:snapToGrid w:val="0"/>
        <w:spacing w:line="360" w:lineRule="auto"/>
        <w:ind w:firstLine="482" w:firstLineChars="200"/>
        <w:rPr>
          <w:rFonts w:ascii="宋体" w:cs="宋体"/>
          <w:b/>
          <w:sz w:val="24"/>
        </w:rPr>
      </w:pPr>
      <w:r>
        <w:rPr>
          <w:rFonts w:hint="eastAsia" w:ascii="宋体" w:cs="宋体"/>
          <w:b/>
          <w:sz w:val="24"/>
        </w:rPr>
        <w:t>11.招标文件</w:t>
      </w:r>
      <w:bookmarkStart w:id="61" w:name="_Hlt509038174"/>
      <w:bookmarkEnd w:id="61"/>
      <w:r>
        <w:rPr>
          <w:rFonts w:hint="eastAsia" w:ascii="宋体" w:cs="宋体"/>
          <w:b/>
          <w:sz w:val="24"/>
        </w:rPr>
        <w:t>组成</w:t>
      </w:r>
    </w:p>
    <w:p>
      <w:pPr>
        <w:snapToGrid w:val="0"/>
        <w:spacing w:line="360" w:lineRule="auto"/>
        <w:ind w:firstLine="480" w:firstLineChars="200"/>
        <w:rPr>
          <w:rFonts w:ascii="宋体" w:cs="宋体"/>
          <w:bCs/>
          <w:sz w:val="24"/>
        </w:rPr>
      </w:pPr>
      <w:r>
        <w:rPr>
          <w:rFonts w:hint="eastAsia" w:ascii="宋体" w:cs="宋体"/>
          <w:sz w:val="24"/>
        </w:rPr>
        <w:t>11.1本</w:t>
      </w:r>
      <w:r>
        <w:rPr>
          <w:rFonts w:hint="eastAsia" w:ascii="宋体" w:cs="宋体"/>
          <w:bCs/>
          <w:sz w:val="24"/>
        </w:rPr>
        <w:t>招标文件由下述部分组成：</w:t>
      </w:r>
    </w:p>
    <w:p>
      <w:pPr>
        <w:snapToGrid w:val="0"/>
        <w:spacing w:line="360" w:lineRule="auto"/>
        <w:ind w:firstLine="480" w:firstLineChars="200"/>
        <w:rPr>
          <w:rFonts w:ascii="宋体" w:cs="宋体"/>
          <w:bCs/>
          <w:sz w:val="24"/>
        </w:rPr>
      </w:pPr>
      <w:r>
        <w:rPr>
          <w:rFonts w:hint="eastAsia" w:ascii="宋体" w:cs="宋体"/>
          <w:bCs/>
          <w:sz w:val="24"/>
        </w:rPr>
        <w:t>第一章 招标公告</w:t>
      </w:r>
    </w:p>
    <w:p>
      <w:pPr>
        <w:snapToGrid w:val="0"/>
        <w:spacing w:line="360" w:lineRule="auto"/>
        <w:ind w:firstLine="480" w:firstLineChars="200"/>
        <w:rPr>
          <w:rFonts w:ascii="宋体" w:cs="宋体"/>
          <w:bCs/>
          <w:sz w:val="24"/>
        </w:rPr>
      </w:pPr>
      <w:r>
        <w:rPr>
          <w:rFonts w:hint="eastAsia" w:ascii="宋体" w:cs="宋体"/>
          <w:bCs/>
          <w:sz w:val="24"/>
        </w:rPr>
        <w:t>第二章 投标人须知</w:t>
      </w:r>
    </w:p>
    <w:p>
      <w:pPr>
        <w:snapToGrid w:val="0"/>
        <w:spacing w:line="360" w:lineRule="auto"/>
        <w:ind w:firstLine="480" w:firstLineChars="200"/>
        <w:rPr>
          <w:rFonts w:ascii="宋体" w:cs="宋体"/>
          <w:bCs/>
          <w:sz w:val="24"/>
        </w:rPr>
      </w:pPr>
      <w:r>
        <w:rPr>
          <w:rFonts w:hint="eastAsia" w:ascii="宋体" w:cs="宋体"/>
          <w:bCs/>
          <w:sz w:val="24"/>
        </w:rPr>
        <w:t>第三章 招标内容及要求</w:t>
      </w:r>
    </w:p>
    <w:p>
      <w:pPr>
        <w:snapToGrid w:val="0"/>
        <w:spacing w:line="360" w:lineRule="auto"/>
        <w:ind w:firstLine="480" w:firstLineChars="200"/>
        <w:rPr>
          <w:rFonts w:ascii="宋体" w:cs="宋体"/>
          <w:bCs/>
          <w:sz w:val="24"/>
        </w:rPr>
      </w:pPr>
      <w:r>
        <w:rPr>
          <w:rFonts w:hint="eastAsia" w:ascii="宋体" w:cs="宋体"/>
          <w:bCs/>
          <w:sz w:val="24"/>
        </w:rPr>
        <w:t>第四章 评标方法及评分标准</w:t>
      </w:r>
    </w:p>
    <w:p>
      <w:pPr>
        <w:snapToGrid w:val="0"/>
        <w:spacing w:line="360" w:lineRule="auto"/>
        <w:ind w:firstLine="480" w:firstLineChars="200"/>
        <w:rPr>
          <w:rFonts w:ascii="宋体" w:cs="宋体"/>
          <w:bCs/>
          <w:sz w:val="24"/>
        </w:rPr>
      </w:pPr>
      <w:r>
        <w:rPr>
          <w:rFonts w:hint="eastAsia" w:ascii="宋体" w:cs="宋体"/>
          <w:bCs/>
          <w:sz w:val="24"/>
        </w:rPr>
        <w:t>第五章 合同文本</w:t>
      </w:r>
    </w:p>
    <w:p>
      <w:pPr>
        <w:snapToGrid w:val="0"/>
        <w:spacing w:line="360" w:lineRule="auto"/>
        <w:ind w:firstLine="480" w:firstLineChars="200"/>
      </w:pPr>
      <w:r>
        <w:rPr>
          <w:rFonts w:hint="eastAsia" w:ascii="宋体" w:cs="宋体"/>
          <w:bCs/>
          <w:sz w:val="24"/>
        </w:rPr>
        <w:t>第六章 投标文件格式</w:t>
      </w:r>
    </w:p>
    <w:p>
      <w:pPr>
        <w:snapToGrid w:val="0"/>
        <w:spacing w:line="360" w:lineRule="auto"/>
        <w:ind w:firstLine="480" w:firstLineChars="200"/>
        <w:rPr>
          <w:rFonts w:ascii="宋体" w:cs="宋体"/>
          <w:bCs/>
          <w:sz w:val="24"/>
        </w:rPr>
      </w:pPr>
      <w:r>
        <w:rPr>
          <w:rFonts w:hint="eastAsia" w:ascii="宋体" w:cs="宋体"/>
          <w:bCs/>
          <w:sz w:val="24"/>
        </w:rPr>
        <w:t>11.2根据本须知第12款、第13款对招标文件做出的澄清、修改、答复内容，共同构成招标文件的组成部分，具有约束作用。</w:t>
      </w:r>
    </w:p>
    <w:p>
      <w:pPr>
        <w:spacing w:line="360" w:lineRule="auto"/>
        <w:ind w:firstLine="480" w:firstLineChars="200"/>
        <w:rPr>
          <w:rFonts w:ascii="宋体" w:cs="宋体"/>
          <w:bCs/>
          <w:sz w:val="24"/>
          <w:lang w:val="zh-CN"/>
        </w:rPr>
      </w:pPr>
      <w:r>
        <w:rPr>
          <w:rFonts w:hint="eastAsia" w:ascii="宋体" w:cs="宋体"/>
          <w:bCs/>
          <w:sz w:val="24"/>
        </w:rPr>
        <w:t>11.3</w:t>
      </w:r>
      <w:r>
        <w:rPr>
          <w:rFonts w:hint="eastAsia" w:ascii="宋体" w:cs="宋体"/>
          <w:bCs/>
          <w:sz w:val="24"/>
          <w:lang w:val="zh-CN"/>
        </w:rPr>
        <w:t>除上述所列内容外，招标人</w:t>
      </w:r>
      <w:r>
        <w:rPr>
          <w:rFonts w:hint="eastAsia" w:ascii="宋体" w:cs="宋体"/>
          <w:bCs/>
          <w:sz w:val="24"/>
        </w:rPr>
        <w:t>或招标代理机构</w:t>
      </w:r>
      <w:r>
        <w:rPr>
          <w:rFonts w:hint="eastAsia" w:ascii="宋体" w:cs="宋体"/>
          <w:bCs/>
          <w:sz w:val="24"/>
          <w:lang w:val="zh-CN"/>
        </w:rPr>
        <w:t>的任何工作人员对投标人所作的任何口头解释、介绍、答复，只能供投标人参考，</w:t>
      </w:r>
      <w:r>
        <w:rPr>
          <w:rFonts w:hint="eastAsia" w:ascii="宋体" w:cs="宋体"/>
          <w:bCs/>
          <w:sz w:val="24"/>
        </w:rPr>
        <w:t>无</w:t>
      </w:r>
      <w:r>
        <w:rPr>
          <w:rFonts w:hint="eastAsia" w:ascii="宋体" w:cs="宋体"/>
          <w:bCs/>
          <w:sz w:val="24"/>
          <w:lang w:val="zh-CN"/>
        </w:rPr>
        <w:t>约束</w:t>
      </w:r>
      <w:r>
        <w:rPr>
          <w:rFonts w:hint="eastAsia" w:ascii="宋体" w:cs="宋体"/>
          <w:bCs/>
          <w:sz w:val="24"/>
        </w:rPr>
        <w:t>作用</w:t>
      </w:r>
      <w:r>
        <w:rPr>
          <w:rFonts w:hint="eastAsia" w:ascii="宋体" w:cs="宋体"/>
          <w:bCs/>
          <w:sz w:val="24"/>
          <w:lang w:val="zh-CN"/>
        </w:rPr>
        <w:t>。</w:t>
      </w:r>
    </w:p>
    <w:p>
      <w:pPr>
        <w:snapToGrid w:val="0"/>
        <w:spacing w:line="360" w:lineRule="auto"/>
        <w:ind w:firstLine="482" w:firstLineChars="200"/>
        <w:rPr>
          <w:rFonts w:ascii="宋体" w:cs="宋体"/>
          <w:b/>
          <w:sz w:val="24"/>
        </w:rPr>
      </w:pPr>
      <w:r>
        <w:rPr>
          <w:rFonts w:hint="eastAsia" w:ascii="宋体" w:cs="宋体"/>
          <w:b/>
          <w:sz w:val="24"/>
        </w:rPr>
        <w:t>12.招标文件的澄清</w:t>
      </w:r>
    </w:p>
    <w:p>
      <w:pPr>
        <w:snapToGrid w:val="0"/>
        <w:spacing w:line="360" w:lineRule="auto"/>
        <w:ind w:firstLine="480" w:firstLineChars="200"/>
        <w:rPr>
          <w:rFonts w:ascii="宋体" w:cs="宋体"/>
          <w:bCs/>
          <w:sz w:val="24"/>
          <w:lang w:val="zh-CN"/>
        </w:rPr>
      </w:pPr>
      <w:r>
        <w:rPr>
          <w:rFonts w:hint="eastAsia" w:ascii="宋体" w:cs="宋体"/>
          <w:bCs/>
          <w:sz w:val="24"/>
        </w:rPr>
        <w:t>12.1</w:t>
      </w:r>
      <w:r>
        <w:rPr>
          <w:rFonts w:hint="eastAsia" w:ascii="宋体" w:cs="宋体"/>
          <w:bCs/>
          <w:sz w:val="24"/>
          <w:lang w:val="zh-CN"/>
        </w:rPr>
        <w:t>投标人在获取招标文件后，对招标文件任何部分若有任何疑问，应按投标人须</w:t>
      </w:r>
      <w:r>
        <w:rPr>
          <w:rFonts w:hint="eastAsia" w:ascii="宋体" w:cs="宋体"/>
          <w:bCs/>
          <w:sz w:val="24"/>
        </w:rPr>
        <w:t>知</w:t>
      </w:r>
      <w:r>
        <w:rPr>
          <w:rFonts w:hint="eastAsia" w:ascii="宋体" w:cs="宋体"/>
          <w:bCs/>
          <w:sz w:val="24"/>
          <w:lang w:val="zh-CN"/>
        </w:rPr>
        <w:t>前附表</w:t>
      </w:r>
      <w:r>
        <w:rPr>
          <w:rFonts w:hint="eastAsia" w:ascii="宋体" w:cs="宋体"/>
          <w:bCs/>
          <w:sz w:val="24"/>
        </w:rPr>
        <w:t>的规定“招标文件提出问题截止时间、方式”提出，</w:t>
      </w:r>
      <w:r>
        <w:rPr>
          <w:rFonts w:hint="eastAsia" w:ascii="宋体" w:cs="宋体"/>
          <w:bCs/>
          <w:sz w:val="24"/>
          <w:lang w:val="zh-CN"/>
        </w:rPr>
        <w:t>要求招标人对招标文件予以澄清。</w:t>
      </w:r>
    </w:p>
    <w:p>
      <w:pPr>
        <w:snapToGrid w:val="0"/>
        <w:spacing w:line="360" w:lineRule="auto"/>
        <w:ind w:firstLine="480" w:firstLineChars="200"/>
      </w:pPr>
      <w:r>
        <w:rPr>
          <w:rFonts w:hint="eastAsia" w:ascii="宋体" w:cs="宋体"/>
          <w:bCs/>
          <w:sz w:val="24"/>
        </w:rPr>
        <w:t>12.2招标文件的澄清将按投标人须知前附表的规定“招标文件澄清发出的形式”发给所有获取招标文件的投标人，但不指明澄清问题的来源。如澄清的内容可能影响投标文件编制的，且澄清发出的时间距投标截止时间不足15</w:t>
      </w:r>
      <w:r>
        <w:rPr>
          <w:rFonts w:hint="eastAsia" w:ascii="宋体" w:cs="宋体"/>
          <w:sz w:val="24"/>
        </w:rPr>
        <w:t>个日历天的</w:t>
      </w:r>
      <w:r>
        <w:rPr>
          <w:rFonts w:hint="eastAsia" w:ascii="宋体" w:cs="宋体"/>
          <w:bCs/>
          <w:sz w:val="24"/>
        </w:rPr>
        <w:t>，将顺延提交投标文件的截止时间。</w:t>
      </w:r>
    </w:p>
    <w:p>
      <w:pPr>
        <w:snapToGrid w:val="0"/>
        <w:spacing w:line="360" w:lineRule="auto"/>
        <w:ind w:firstLine="482" w:firstLineChars="200"/>
        <w:rPr>
          <w:rFonts w:ascii="宋体" w:cs="宋体"/>
          <w:b/>
          <w:sz w:val="24"/>
        </w:rPr>
      </w:pPr>
      <w:r>
        <w:rPr>
          <w:rFonts w:hint="eastAsia" w:ascii="宋体" w:cs="宋体"/>
          <w:b/>
          <w:sz w:val="24"/>
        </w:rPr>
        <w:t>13.招标文件的修改</w:t>
      </w:r>
    </w:p>
    <w:p>
      <w:pPr>
        <w:snapToGrid w:val="0"/>
        <w:spacing w:line="360" w:lineRule="auto"/>
        <w:ind w:firstLine="480" w:firstLineChars="200"/>
      </w:pPr>
      <w:r>
        <w:rPr>
          <w:rFonts w:hint="eastAsia" w:ascii="宋体" w:cs="宋体"/>
          <w:bCs/>
          <w:sz w:val="24"/>
        </w:rPr>
        <w:t>13.1招标文件发出后，招标人可主动地或依据投标人要求澄清的问题，按照</w:t>
      </w:r>
      <w:r>
        <w:rPr>
          <w:rFonts w:hint="eastAsia" w:ascii="宋体" w:cs="宋体"/>
          <w:bCs/>
          <w:sz w:val="24"/>
          <w:lang w:val="zh-CN"/>
        </w:rPr>
        <w:t>投标人须</w:t>
      </w:r>
      <w:r>
        <w:rPr>
          <w:rFonts w:hint="eastAsia" w:ascii="宋体" w:cs="宋体"/>
          <w:bCs/>
          <w:sz w:val="24"/>
        </w:rPr>
        <w:t>知</w:t>
      </w:r>
      <w:r>
        <w:rPr>
          <w:rFonts w:hint="eastAsia" w:ascii="宋体" w:cs="宋体"/>
          <w:bCs/>
          <w:sz w:val="24"/>
          <w:lang w:val="zh-CN"/>
        </w:rPr>
        <w:t>前附表</w:t>
      </w:r>
      <w:r>
        <w:rPr>
          <w:rFonts w:hint="eastAsia" w:ascii="宋体" w:cs="宋体"/>
          <w:bCs/>
          <w:sz w:val="24"/>
        </w:rPr>
        <w:t>的规定“</w:t>
      </w:r>
      <w:r>
        <w:rPr>
          <w:rFonts w:hint="eastAsia" w:ascii="宋体" w:cs="宋体"/>
          <w:snapToGrid w:val="0"/>
          <w:kern w:val="0"/>
          <w:sz w:val="24"/>
        </w:rPr>
        <w:t>招标文件修改发出的形式</w:t>
      </w:r>
      <w:r>
        <w:rPr>
          <w:rFonts w:hint="eastAsia" w:ascii="宋体" w:cs="宋体"/>
          <w:bCs/>
          <w:sz w:val="24"/>
        </w:rPr>
        <w:t>”修改招标文件。如修改的内容可能影响投标文件编制的，且修改发出的时间距投标截止时间不足15</w:t>
      </w:r>
      <w:r>
        <w:rPr>
          <w:rFonts w:hint="eastAsia" w:ascii="宋体" w:cs="宋体"/>
          <w:sz w:val="24"/>
        </w:rPr>
        <w:t>个日历天的</w:t>
      </w:r>
      <w:r>
        <w:rPr>
          <w:rFonts w:hint="eastAsia" w:ascii="宋体" w:cs="宋体"/>
          <w:bCs/>
          <w:sz w:val="24"/>
        </w:rPr>
        <w:t>，将顺延提交投标文件的截止时间。</w:t>
      </w:r>
    </w:p>
    <w:p>
      <w:pPr>
        <w:adjustRightInd w:val="0"/>
        <w:snapToGrid w:val="0"/>
        <w:spacing w:line="360" w:lineRule="auto"/>
        <w:ind w:firstLine="480" w:firstLineChars="200"/>
        <w:rPr>
          <w:b/>
        </w:rPr>
      </w:pPr>
      <w:r>
        <w:rPr>
          <w:rFonts w:hint="eastAsia" w:ascii="宋体" w:cs="宋体"/>
          <w:bCs/>
          <w:sz w:val="24"/>
        </w:rPr>
        <w:t>13.2招标文件的</w:t>
      </w:r>
      <w:r>
        <w:rPr>
          <w:rFonts w:hint="eastAsia" w:ascii="宋体" w:cs="宋体"/>
          <w:sz w:val="24"/>
        </w:rPr>
        <w:t>补充、修改的内容与招标文件不一致的，以补充、修改的内容为准。</w:t>
      </w:r>
    </w:p>
    <w:p>
      <w:pPr>
        <w:pStyle w:val="3"/>
      </w:pPr>
      <w:bookmarkStart w:id="62" w:name="_Toc105594492"/>
      <w:bookmarkStart w:id="63" w:name="_Toc5110"/>
      <w:bookmarkStart w:id="64" w:name="_Toc7000"/>
      <w:bookmarkStart w:id="65" w:name="_Toc6268"/>
      <w:bookmarkStart w:id="66" w:name="_Toc3278"/>
      <w:r>
        <w:rPr>
          <w:rFonts w:hint="eastAsia"/>
        </w:rPr>
        <w:t>三、投标文件</w:t>
      </w:r>
      <w:bookmarkEnd w:id="62"/>
      <w:bookmarkEnd w:id="63"/>
      <w:bookmarkEnd w:id="64"/>
      <w:bookmarkEnd w:id="65"/>
      <w:bookmarkEnd w:id="66"/>
    </w:p>
    <w:p>
      <w:pPr>
        <w:snapToGrid w:val="0"/>
        <w:spacing w:line="360" w:lineRule="auto"/>
        <w:ind w:firstLine="482" w:firstLineChars="200"/>
        <w:rPr>
          <w:rFonts w:ascii="宋体" w:cs="宋体"/>
          <w:b/>
          <w:sz w:val="24"/>
        </w:rPr>
      </w:pPr>
      <w:bookmarkStart w:id="67" w:name="_Toc52592037"/>
      <w:bookmarkStart w:id="68" w:name="_Toc24336358"/>
      <w:r>
        <w:rPr>
          <w:rFonts w:hint="eastAsia" w:ascii="宋体" w:cs="宋体"/>
          <w:b/>
          <w:sz w:val="24"/>
        </w:rPr>
        <w:t>14.投标文件的组成</w:t>
      </w:r>
    </w:p>
    <w:p>
      <w:pPr>
        <w:snapToGrid w:val="0"/>
        <w:spacing w:line="360" w:lineRule="auto"/>
        <w:ind w:firstLine="480" w:firstLineChars="200"/>
        <w:rPr>
          <w:rFonts w:ascii="宋体" w:cs="宋体"/>
          <w:bCs/>
          <w:sz w:val="24"/>
        </w:rPr>
      </w:pPr>
      <w:r>
        <w:rPr>
          <w:rFonts w:hint="eastAsia" w:ascii="宋体" w:cs="宋体"/>
          <w:bCs/>
          <w:sz w:val="24"/>
        </w:rPr>
        <w:t>14.1投标文件由资格文件、商务技术文件、报价文件三个部分组成。</w:t>
      </w:r>
    </w:p>
    <w:p>
      <w:pPr>
        <w:snapToGrid w:val="0"/>
        <w:spacing w:line="360" w:lineRule="auto"/>
        <w:ind w:firstLine="482" w:firstLineChars="200"/>
        <w:rPr>
          <w:rFonts w:ascii="宋体" w:cs="宋体"/>
          <w:b/>
          <w:sz w:val="24"/>
        </w:rPr>
      </w:pPr>
      <w:r>
        <w:rPr>
          <w:rFonts w:hint="eastAsia" w:ascii="宋体" w:cs="宋体"/>
          <w:b/>
          <w:sz w:val="24"/>
        </w:rPr>
        <w:t>14.2资格文件内容包括如下部分：</w:t>
      </w:r>
    </w:p>
    <w:p>
      <w:pPr>
        <w:snapToGrid w:val="0"/>
        <w:spacing w:line="360" w:lineRule="auto"/>
        <w:ind w:firstLine="480" w:firstLineChars="200"/>
        <w:rPr>
          <w:rFonts w:ascii="宋体" w:cs="宋体"/>
          <w:bCs/>
          <w:sz w:val="24"/>
        </w:rPr>
      </w:pPr>
      <w:r>
        <w:rPr>
          <w:rFonts w:hint="eastAsia" w:ascii="宋体" w:cs="宋体"/>
          <w:bCs/>
          <w:sz w:val="24"/>
        </w:rPr>
        <w:t>（1）</w:t>
      </w:r>
      <w:r>
        <w:rPr>
          <w:rFonts w:hint="eastAsia" w:cs="宋体"/>
          <w:bCs/>
          <w:sz w:val="24"/>
        </w:rPr>
        <w:t>有效营业执照（或者事业单位法人证书、社会团体法人登记证书、其他组织登记</w:t>
      </w:r>
      <w:r>
        <w:rPr>
          <w:rFonts w:hint="eastAsia" w:ascii="宋体" w:cs="宋体"/>
          <w:bCs/>
          <w:sz w:val="24"/>
        </w:rPr>
        <w:t>证明文件）复印件；</w:t>
      </w:r>
    </w:p>
    <w:p>
      <w:pPr>
        <w:snapToGrid w:val="0"/>
        <w:spacing w:line="360" w:lineRule="auto"/>
        <w:ind w:firstLine="480" w:firstLineChars="200"/>
        <w:rPr>
          <w:rFonts w:ascii="宋体" w:cs="宋体"/>
          <w:bCs/>
          <w:sz w:val="24"/>
        </w:rPr>
      </w:pPr>
      <w:r>
        <w:rPr>
          <w:rFonts w:hint="eastAsia" w:ascii="宋体" w:cs="宋体"/>
          <w:bCs/>
          <w:sz w:val="24"/>
        </w:rPr>
        <w:t>（2）投标人、法定代表人、</w:t>
      </w:r>
      <w:r>
        <w:rPr>
          <w:rFonts w:ascii="Segoe UI Symbol" w:hAnsi="Segoe UI Symbol" w:cs="Segoe UI Symbol"/>
          <w:snapToGrid w:val="0"/>
          <w:kern w:val="0"/>
          <w:sz w:val="24"/>
        </w:rPr>
        <w:t>☑</w:t>
      </w:r>
      <w:r>
        <w:rPr>
          <w:rFonts w:hint="eastAsia" w:ascii="宋体" w:cs="宋体"/>
          <w:bCs/>
          <w:sz w:val="24"/>
        </w:rPr>
        <w:t>项目负责人无行贿行为记录（格式见附件）；</w:t>
      </w:r>
    </w:p>
    <w:p>
      <w:pPr>
        <w:snapToGrid w:val="0"/>
        <w:spacing w:line="360" w:lineRule="auto"/>
        <w:ind w:firstLine="480" w:firstLineChars="200"/>
        <w:rPr>
          <w:rFonts w:ascii="宋体" w:cs="宋体"/>
          <w:bCs/>
          <w:sz w:val="24"/>
        </w:rPr>
      </w:pPr>
      <w:r>
        <w:rPr>
          <w:rFonts w:hint="eastAsia" w:ascii="宋体" w:cs="宋体"/>
          <w:bCs/>
          <w:sz w:val="24"/>
        </w:rPr>
        <w:t>（3）</w:t>
      </w:r>
      <w:bookmarkStart w:id="69" w:name="OLE_LINK9"/>
      <w:r>
        <w:rPr>
          <w:rFonts w:hint="eastAsia" w:ascii="宋体" w:cs="宋体"/>
          <w:bCs/>
          <w:sz w:val="24"/>
        </w:rPr>
        <w:t>投标人在经营活动中无重大违法记录（格式见附件）</w:t>
      </w:r>
      <w:bookmarkEnd w:id="69"/>
      <w:r>
        <w:rPr>
          <w:rFonts w:hint="eastAsia" w:ascii="宋体" w:cs="宋体"/>
          <w:bCs/>
          <w:sz w:val="24"/>
        </w:rPr>
        <w:t>；</w:t>
      </w:r>
    </w:p>
    <w:p>
      <w:pPr>
        <w:snapToGrid w:val="0"/>
        <w:spacing w:line="360" w:lineRule="auto"/>
        <w:ind w:firstLine="480" w:firstLineChars="200"/>
        <w:rPr>
          <w:rFonts w:ascii="宋体" w:cs="宋体"/>
          <w:bCs/>
          <w:sz w:val="24"/>
        </w:rPr>
      </w:pPr>
      <w:r>
        <w:rPr>
          <w:rFonts w:hint="eastAsia" w:ascii="宋体" w:cs="宋体"/>
          <w:bCs/>
          <w:sz w:val="24"/>
        </w:rPr>
        <w:t>（4）</w:t>
      </w:r>
      <w:r>
        <w:rPr>
          <w:rFonts w:hint="eastAsia" w:ascii="宋体" w:cs="宋体"/>
          <w:snapToGrid w:val="0"/>
          <w:kern w:val="0"/>
          <w:sz w:val="24"/>
        </w:rPr>
        <w:t>☑</w:t>
      </w:r>
      <w:r>
        <w:rPr>
          <w:rFonts w:hint="eastAsia" w:ascii="宋体" w:cs="宋体"/>
          <w:bCs/>
          <w:sz w:val="24"/>
        </w:rPr>
        <w:t>投标人类似项目业绩案例证明；</w:t>
      </w:r>
    </w:p>
    <w:p>
      <w:pPr>
        <w:snapToGrid w:val="0"/>
        <w:spacing w:line="360" w:lineRule="auto"/>
        <w:ind w:firstLine="480" w:firstLineChars="200"/>
        <w:rPr>
          <w:rFonts w:ascii="宋体" w:cs="宋体"/>
          <w:bCs/>
          <w:sz w:val="24"/>
        </w:rPr>
      </w:pPr>
      <w:r>
        <w:rPr>
          <w:rFonts w:hint="eastAsia" w:ascii="宋体" w:cs="宋体"/>
          <w:bCs/>
          <w:sz w:val="24"/>
        </w:rPr>
        <w:t>（5）投标人声明函（格式见附件）；</w:t>
      </w:r>
    </w:p>
    <w:p>
      <w:pPr>
        <w:snapToGrid w:val="0"/>
        <w:spacing w:line="360" w:lineRule="auto"/>
        <w:ind w:firstLine="480" w:firstLineChars="200"/>
        <w:rPr>
          <w:rFonts w:ascii="宋体" w:cs="宋体"/>
          <w:bCs/>
          <w:sz w:val="24"/>
        </w:rPr>
      </w:pPr>
      <w:r>
        <w:rPr>
          <w:rFonts w:hint="eastAsia" w:ascii="宋体" w:cs="宋体"/>
          <w:bCs/>
          <w:sz w:val="24"/>
        </w:rPr>
        <w:t>（6）招标公告“二、投标人资格条件”所要求的其他资格证明。</w:t>
      </w:r>
    </w:p>
    <w:p>
      <w:pPr>
        <w:snapToGrid w:val="0"/>
        <w:spacing w:line="360" w:lineRule="auto"/>
        <w:ind w:firstLine="482" w:firstLineChars="200"/>
        <w:rPr>
          <w:rFonts w:ascii="宋体" w:cs="宋体"/>
          <w:b/>
          <w:sz w:val="24"/>
        </w:rPr>
      </w:pPr>
      <w:r>
        <w:rPr>
          <w:rFonts w:hint="eastAsia" w:ascii="宋体" w:cs="宋体"/>
          <w:b/>
          <w:sz w:val="24"/>
        </w:rPr>
        <w:t>14.3商务技术文件主要包括如下内容：</w:t>
      </w:r>
    </w:p>
    <w:p>
      <w:pPr>
        <w:snapToGrid w:val="0"/>
        <w:spacing w:line="360" w:lineRule="auto"/>
        <w:ind w:firstLine="482" w:firstLineChars="200"/>
        <w:rPr>
          <w:rFonts w:ascii="宋体" w:cs="宋体"/>
          <w:b/>
          <w:bCs/>
          <w:sz w:val="24"/>
        </w:rPr>
      </w:pPr>
      <w:r>
        <w:rPr>
          <w:rFonts w:hint="eastAsia" w:ascii="宋体" w:cs="宋体"/>
          <w:b/>
          <w:bCs/>
          <w:sz w:val="24"/>
        </w:rPr>
        <w:t>商务及资信业绩部分：</w:t>
      </w:r>
    </w:p>
    <w:p>
      <w:pPr>
        <w:tabs>
          <w:tab w:val="left" w:pos="1418"/>
        </w:tabs>
        <w:snapToGrid w:val="0"/>
        <w:spacing w:line="360" w:lineRule="auto"/>
        <w:ind w:firstLine="480" w:firstLineChars="200"/>
        <w:rPr>
          <w:bCs/>
        </w:rPr>
      </w:pPr>
      <w:r>
        <w:rPr>
          <w:rFonts w:hint="eastAsia" w:ascii="宋体" w:cs="宋体"/>
          <w:bCs/>
          <w:sz w:val="24"/>
        </w:rPr>
        <w:t>（1）投标函；</w:t>
      </w:r>
    </w:p>
    <w:p>
      <w:pPr>
        <w:snapToGrid w:val="0"/>
        <w:spacing w:line="360" w:lineRule="auto"/>
        <w:ind w:firstLine="480" w:firstLineChars="200"/>
        <w:rPr>
          <w:rFonts w:ascii="宋体" w:cs="宋体"/>
          <w:bCs/>
          <w:sz w:val="24"/>
        </w:rPr>
      </w:pPr>
      <w:r>
        <w:rPr>
          <w:rFonts w:hint="eastAsia" w:ascii="宋体" w:cs="宋体"/>
          <w:bCs/>
          <w:sz w:val="24"/>
        </w:rPr>
        <w:t>（2）法定代表人（单位负责人）身份证明书或授权委托书（格式见附件）；</w:t>
      </w:r>
    </w:p>
    <w:p>
      <w:pPr>
        <w:spacing w:line="360" w:lineRule="auto"/>
        <w:ind w:firstLine="480" w:firstLineChars="200"/>
        <w:rPr>
          <w:rFonts w:ascii="宋体" w:cs="宋体"/>
          <w:bCs/>
          <w:sz w:val="24"/>
          <w:highlight w:val="red"/>
        </w:rPr>
      </w:pPr>
      <w:r>
        <w:rPr>
          <w:rFonts w:hint="eastAsia" w:ascii="宋体" w:cs="宋体"/>
          <w:bCs/>
          <w:sz w:val="24"/>
        </w:rPr>
        <w:t>（3）</w:t>
      </w:r>
      <w:r>
        <w:rPr>
          <w:rFonts w:hint="eastAsia" w:ascii="宋体" w:cs="宋体"/>
          <w:bCs/>
          <w:kern w:val="0"/>
          <w:sz w:val="24"/>
        </w:rPr>
        <w:t>投标人情况表</w:t>
      </w:r>
      <w:r>
        <w:rPr>
          <w:rFonts w:hint="eastAsia" w:ascii="宋体" w:cs="宋体"/>
          <w:bCs/>
          <w:sz w:val="24"/>
        </w:rPr>
        <w:t>（格式见附件）</w:t>
      </w:r>
      <w:r>
        <w:rPr>
          <w:rFonts w:hint="eastAsia" w:ascii="宋体" w:cs="宋体"/>
          <w:bCs/>
          <w:kern w:val="0"/>
          <w:sz w:val="24"/>
        </w:rPr>
        <w:t>；</w:t>
      </w:r>
    </w:p>
    <w:p>
      <w:pPr>
        <w:snapToGrid w:val="0"/>
        <w:spacing w:line="360" w:lineRule="auto"/>
        <w:ind w:firstLine="480" w:firstLineChars="200"/>
        <w:rPr>
          <w:rFonts w:ascii="宋体" w:cs="宋体"/>
          <w:bCs/>
          <w:sz w:val="24"/>
        </w:rPr>
      </w:pPr>
      <w:r>
        <w:rPr>
          <w:rFonts w:hint="eastAsia" w:ascii="宋体" w:cs="宋体"/>
          <w:bCs/>
          <w:sz w:val="24"/>
        </w:rPr>
        <w:t>（4）无重大违法行为、无行贿行为记录承诺书（格式见附件）；</w:t>
      </w:r>
    </w:p>
    <w:p>
      <w:pPr>
        <w:snapToGrid w:val="0"/>
        <w:spacing w:line="360" w:lineRule="auto"/>
        <w:ind w:firstLine="480" w:firstLineChars="200"/>
        <w:rPr>
          <w:rFonts w:ascii="宋体" w:cs="宋体"/>
          <w:bCs/>
          <w:sz w:val="24"/>
        </w:rPr>
      </w:pPr>
      <w:r>
        <w:rPr>
          <w:rFonts w:hint="eastAsia" w:ascii="宋体" w:cs="宋体"/>
          <w:bCs/>
          <w:sz w:val="24"/>
        </w:rPr>
        <w:t>（5）招标公告“二、投标人资格条件”所要求的资格证明（具体内容详见14.2资格文件内容）；</w:t>
      </w:r>
    </w:p>
    <w:p>
      <w:pPr>
        <w:snapToGrid w:val="0"/>
        <w:spacing w:line="360" w:lineRule="auto"/>
        <w:ind w:firstLine="480" w:firstLineChars="200"/>
        <w:rPr>
          <w:rFonts w:ascii="宋体" w:cs="宋体"/>
          <w:bCs/>
          <w:sz w:val="24"/>
        </w:rPr>
      </w:pPr>
      <w:r>
        <w:rPr>
          <w:rFonts w:hint="eastAsia" w:ascii="宋体" w:cs="宋体"/>
          <w:bCs/>
          <w:sz w:val="24"/>
        </w:rPr>
        <w:t>（6）第四章评标方法及评分标准“资信业绩部分”所列的各项资信业绩证明文件。</w:t>
      </w:r>
    </w:p>
    <w:p>
      <w:pPr>
        <w:snapToGrid w:val="0"/>
        <w:spacing w:line="360" w:lineRule="auto"/>
        <w:ind w:firstLine="482" w:firstLineChars="200"/>
        <w:rPr>
          <w:rFonts w:ascii="宋体" w:cs="宋体"/>
          <w:b/>
          <w:sz w:val="24"/>
        </w:rPr>
      </w:pPr>
      <w:r>
        <w:rPr>
          <w:rFonts w:hint="eastAsia" w:ascii="宋体" w:cs="宋体"/>
          <w:b/>
          <w:bCs/>
          <w:sz w:val="24"/>
        </w:rPr>
        <w:t>技术部分：</w:t>
      </w:r>
    </w:p>
    <w:p>
      <w:pPr>
        <w:snapToGrid w:val="0"/>
        <w:spacing w:line="360" w:lineRule="auto"/>
        <w:ind w:firstLine="480" w:firstLineChars="200"/>
        <w:rPr>
          <w:rFonts w:ascii="宋体" w:cs="宋体"/>
          <w:bCs/>
          <w:sz w:val="24"/>
        </w:rPr>
      </w:pPr>
      <w:r>
        <w:rPr>
          <w:rFonts w:hint="eastAsia" w:ascii="宋体" w:cs="宋体"/>
          <w:bCs/>
          <w:sz w:val="24"/>
        </w:rPr>
        <w:t>（1）商务条款偏离表（格式见附件）；</w:t>
      </w:r>
    </w:p>
    <w:p>
      <w:pPr>
        <w:snapToGrid w:val="0"/>
        <w:spacing w:line="360" w:lineRule="auto"/>
        <w:ind w:firstLine="480" w:firstLineChars="200"/>
      </w:pPr>
      <w:r>
        <w:rPr>
          <w:rFonts w:hint="eastAsia" w:ascii="宋体" w:cs="宋体"/>
          <w:bCs/>
          <w:sz w:val="24"/>
        </w:rPr>
        <w:t>（2）</w:t>
      </w:r>
      <w:r>
        <w:rPr>
          <w:rFonts w:hint="eastAsia" w:ascii="宋体" w:cs="宋体"/>
          <w:bCs/>
          <w:sz w:val="24"/>
          <w:lang w:eastAsia="zh-CN"/>
        </w:rPr>
        <w:t>技术指标响应情况表</w:t>
      </w:r>
      <w:r>
        <w:rPr>
          <w:rFonts w:hint="eastAsia" w:ascii="宋体" w:cs="宋体"/>
          <w:bCs/>
          <w:sz w:val="24"/>
        </w:rPr>
        <w:t>（格式见附件）；</w:t>
      </w:r>
    </w:p>
    <w:p>
      <w:pPr>
        <w:snapToGrid w:val="0"/>
        <w:spacing w:line="360" w:lineRule="auto"/>
        <w:ind w:firstLine="480" w:firstLineChars="200"/>
        <w:rPr>
          <w:rFonts w:ascii="宋体" w:cs="宋体"/>
          <w:bCs/>
          <w:sz w:val="24"/>
        </w:rPr>
      </w:pPr>
      <w:r>
        <w:rPr>
          <w:rFonts w:hint="eastAsia" w:ascii="宋体" w:cs="宋体"/>
          <w:bCs/>
          <w:sz w:val="24"/>
        </w:rPr>
        <w:t>（3）第四章评标方法及评分标准“技术部分”各评分内容所需提供的材料；</w:t>
      </w:r>
    </w:p>
    <w:p>
      <w:pPr>
        <w:snapToGrid w:val="0"/>
        <w:spacing w:line="360" w:lineRule="auto"/>
        <w:ind w:firstLine="480" w:firstLineChars="200"/>
        <w:rPr>
          <w:rFonts w:ascii="宋体" w:cs="宋体"/>
          <w:bCs/>
          <w:sz w:val="24"/>
        </w:rPr>
      </w:pPr>
      <w:r>
        <w:rPr>
          <w:rFonts w:hint="eastAsia" w:ascii="宋体" w:cs="宋体"/>
          <w:bCs/>
          <w:sz w:val="24"/>
        </w:rPr>
        <w:t>（4）</w:t>
      </w:r>
      <w:r>
        <w:rPr>
          <w:rFonts w:hint="eastAsia" w:ascii="宋体" w:cs="宋体"/>
          <w:bCs/>
          <w:sz w:val="24"/>
          <w:lang w:val="zh-CN"/>
        </w:rPr>
        <w:t>服务承诺及</w:t>
      </w:r>
      <w:r>
        <w:rPr>
          <w:rFonts w:hint="eastAsia" w:ascii="宋体" w:cs="宋体"/>
          <w:bCs/>
          <w:sz w:val="24"/>
        </w:rPr>
        <w:t>优惠承诺（条件）；</w:t>
      </w:r>
    </w:p>
    <w:p>
      <w:pPr>
        <w:snapToGrid w:val="0"/>
        <w:spacing w:line="360" w:lineRule="auto"/>
        <w:ind w:firstLine="480" w:firstLineChars="200"/>
        <w:rPr>
          <w:rFonts w:ascii="宋体" w:cs="宋体"/>
          <w:bCs/>
          <w:sz w:val="24"/>
        </w:rPr>
      </w:pPr>
      <w:r>
        <w:rPr>
          <w:rFonts w:hint="eastAsia" w:ascii="宋体" w:cs="宋体"/>
          <w:bCs/>
          <w:sz w:val="24"/>
        </w:rPr>
        <w:t>（</w:t>
      </w:r>
      <w:r>
        <w:rPr>
          <w:rFonts w:hint="eastAsia" w:ascii="宋体" w:cs="宋体"/>
          <w:bCs/>
          <w:sz w:val="24"/>
          <w:lang w:val="en-US" w:eastAsia="zh-CN"/>
        </w:rPr>
        <w:t>5</w:t>
      </w:r>
      <w:r>
        <w:rPr>
          <w:rFonts w:hint="eastAsia" w:ascii="宋体" w:cs="宋体"/>
          <w:bCs/>
          <w:sz w:val="24"/>
        </w:rPr>
        <w:t>）关键器件品牌响应表（格式见附件）；</w:t>
      </w:r>
    </w:p>
    <w:p>
      <w:pPr>
        <w:snapToGrid w:val="0"/>
        <w:spacing w:line="360" w:lineRule="auto"/>
        <w:ind w:firstLine="480" w:firstLineChars="200"/>
        <w:rPr>
          <w:rFonts w:ascii="宋体" w:cs="宋体"/>
          <w:bCs/>
          <w:sz w:val="24"/>
          <w:lang w:val="zh-CN"/>
        </w:rPr>
      </w:pPr>
      <w:r>
        <w:rPr>
          <w:rFonts w:hint="eastAsia" w:ascii="宋体" w:cs="宋体"/>
          <w:bCs/>
          <w:sz w:val="24"/>
        </w:rPr>
        <w:t>（</w:t>
      </w:r>
      <w:r>
        <w:rPr>
          <w:rFonts w:hint="eastAsia" w:ascii="宋体" w:cs="宋体"/>
          <w:bCs/>
          <w:sz w:val="24"/>
          <w:lang w:val="en-US" w:eastAsia="zh-CN"/>
        </w:rPr>
        <w:t>6</w:t>
      </w:r>
      <w:r>
        <w:rPr>
          <w:rFonts w:hint="eastAsia" w:ascii="宋体" w:cs="宋体"/>
          <w:bCs/>
          <w:sz w:val="24"/>
        </w:rPr>
        <w:t>）</w:t>
      </w:r>
      <w:r>
        <w:rPr>
          <w:rFonts w:hint="eastAsia" w:ascii="宋体" w:cs="宋体"/>
          <w:bCs/>
          <w:sz w:val="24"/>
          <w:lang w:val="zh-CN"/>
        </w:rPr>
        <w:t>投标人认为需要提供的其他技术资料。</w:t>
      </w:r>
    </w:p>
    <w:p>
      <w:pPr>
        <w:snapToGrid w:val="0"/>
        <w:spacing w:line="360" w:lineRule="auto"/>
        <w:ind w:firstLine="482" w:firstLineChars="200"/>
        <w:rPr>
          <w:rFonts w:ascii="宋体" w:cs="宋体"/>
          <w:b/>
          <w:sz w:val="24"/>
        </w:rPr>
      </w:pPr>
      <w:r>
        <w:rPr>
          <w:rFonts w:hint="eastAsia" w:ascii="宋体" w:cs="宋体"/>
          <w:b/>
          <w:sz w:val="24"/>
        </w:rPr>
        <w:t>14.4报价文件主要包括如下内容：</w:t>
      </w:r>
    </w:p>
    <w:p>
      <w:pPr>
        <w:tabs>
          <w:tab w:val="left" w:pos="1418"/>
        </w:tabs>
        <w:snapToGrid w:val="0"/>
        <w:spacing w:line="360" w:lineRule="auto"/>
        <w:ind w:firstLine="480" w:firstLineChars="200"/>
        <w:rPr>
          <w:rFonts w:ascii="宋体" w:cs="宋体"/>
          <w:sz w:val="24"/>
        </w:rPr>
      </w:pPr>
      <w:r>
        <w:rPr>
          <w:rFonts w:hint="eastAsia" w:ascii="宋体" w:cs="宋体"/>
          <w:sz w:val="24"/>
        </w:rPr>
        <w:t>（1）开标一览表</w:t>
      </w:r>
      <w:r>
        <w:rPr>
          <w:rFonts w:hint="eastAsia" w:ascii="宋体" w:cs="宋体"/>
          <w:bCs/>
          <w:sz w:val="24"/>
        </w:rPr>
        <w:t>（格式见附件）</w:t>
      </w:r>
      <w:r>
        <w:rPr>
          <w:rFonts w:hint="eastAsia" w:ascii="宋体" w:cs="宋体"/>
          <w:sz w:val="24"/>
        </w:rPr>
        <w:t>；</w:t>
      </w:r>
    </w:p>
    <w:p>
      <w:pPr>
        <w:tabs>
          <w:tab w:val="left" w:pos="1418"/>
        </w:tabs>
        <w:snapToGrid w:val="0"/>
        <w:spacing w:line="360" w:lineRule="auto"/>
        <w:ind w:firstLine="480" w:firstLineChars="200"/>
        <w:rPr>
          <w:rFonts w:ascii="宋体" w:cs="宋体"/>
          <w:sz w:val="24"/>
        </w:rPr>
      </w:pPr>
      <w:r>
        <w:rPr>
          <w:rFonts w:hint="eastAsia" w:ascii="宋体" w:cs="宋体"/>
          <w:sz w:val="24"/>
        </w:rPr>
        <w:t>（2）投标分项报价表</w:t>
      </w:r>
      <w:r>
        <w:rPr>
          <w:rFonts w:hint="eastAsia" w:ascii="宋体" w:cs="宋体"/>
          <w:bCs/>
          <w:sz w:val="24"/>
        </w:rPr>
        <w:t>（格式见附件）。</w:t>
      </w:r>
    </w:p>
    <w:p>
      <w:pPr>
        <w:snapToGrid w:val="0"/>
        <w:spacing w:line="360" w:lineRule="auto"/>
        <w:ind w:firstLine="482" w:firstLineChars="200"/>
        <w:rPr>
          <w:rFonts w:ascii="宋体" w:cs="宋体"/>
          <w:b/>
          <w:sz w:val="24"/>
        </w:rPr>
      </w:pPr>
      <w:r>
        <w:rPr>
          <w:rFonts w:hint="eastAsia" w:ascii="宋体" w:cs="宋体"/>
          <w:b/>
          <w:sz w:val="24"/>
        </w:rPr>
        <w:t>15.投标文件编制</w:t>
      </w:r>
    </w:p>
    <w:p>
      <w:pPr>
        <w:snapToGrid w:val="0"/>
        <w:spacing w:line="360" w:lineRule="auto"/>
        <w:ind w:firstLine="480" w:firstLineChars="200"/>
        <w:rPr>
          <w:rFonts w:ascii="宋体" w:cs="宋体"/>
          <w:bCs/>
          <w:sz w:val="24"/>
        </w:rPr>
      </w:pPr>
      <w:r>
        <w:rPr>
          <w:rFonts w:hint="eastAsia" w:ascii="宋体" w:cs="宋体"/>
          <w:sz w:val="24"/>
        </w:rPr>
        <w:t>15.1投标人应仔细阅读招标文件的所有内容，任何对招标文件的忽略或误解不能作为投标文件没有完全响应招标文件的有效理由。</w:t>
      </w:r>
    </w:p>
    <w:p>
      <w:pPr>
        <w:snapToGrid w:val="0"/>
        <w:spacing w:line="360" w:lineRule="auto"/>
        <w:ind w:firstLine="480" w:firstLineChars="200"/>
        <w:rPr>
          <w:rFonts w:ascii="宋体" w:cs="宋体"/>
          <w:b/>
          <w:sz w:val="24"/>
        </w:rPr>
      </w:pPr>
      <w:r>
        <w:rPr>
          <w:rFonts w:hint="eastAsia" w:ascii="宋体" w:cs="宋体"/>
          <w:bCs/>
          <w:sz w:val="24"/>
        </w:rPr>
        <w:t>15.2</w:t>
      </w:r>
      <w:r>
        <w:rPr>
          <w:rFonts w:hint="eastAsia" w:ascii="宋体" w:cs="宋体"/>
          <w:b/>
          <w:sz w:val="24"/>
        </w:rPr>
        <w:t>投标人需根据本须知“投标文件的组成”的组成内容及顺序编制投标文件，并与投标文件目录或索引对应，具体格式要求详见第六章“投标文件格式”，混乱的编排导致投标文件被误读或评标委员会查找不到有效文件是投标人的风险。</w:t>
      </w:r>
    </w:p>
    <w:p>
      <w:pPr>
        <w:snapToGrid w:val="0"/>
        <w:spacing w:line="360" w:lineRule="auto"/>
        <w:ind w:firstLine="480" w:firstLineChars="200"/>
        <w:rPr>
          <w:rFonts w:ascii="宋体" w:cs="宋体"/>
          <w:sz w:val="24"/>
        </w:rPr>
      </w:pPr>
      <w:r>
        <w:rPr>
          <w:rFonts w:hint="eastAsia" w:ascii="宋体" w:cs="宋体"/>
          <w:sz w:val="24"/>
        </w:rPr>
        <w:t>15.3投标人进行电子投标应安装客户端软件—“电子交易客户端”，并按照招标文件和乐采云平台的要求编制并加密投标文件。投标人未按规定加密的投标文件，乐采云平台将拒收并提示。</w:t>
      </w:r>
    </w:p>
    <w:p>
      <w:pPr>
        <w:snapToGrid w:val="0"/>
        <w:spacing w:line="360" w:lineRule="auto"/>
        <w:ind w:firstLine="482" w:firstLineChars="200"/>
        <w:rPr>
          <w:rFonts w:ascii="宋体" w:cs="宋体"/>
          <w:b/>
          <w:sz w:val="24"/>
        </w:rPr>
      </w:pPr>
      <w:r>
        <w:rPr>
          <w:rFonts w:hint="eastAsia" w:ascii="宋体" w:cs="宋体"/>
          <w:b/>
          <w:sz w:val="24"/>
        </w:rPr>
        <w:t>16.投标报价</w:t>
      </w:r>
    </w:p>
    <w:p>
      <w:pPr>
        <w:snapToGrid w:val="0"/>
        <w:spacing w:line="360" w:lineRule="auto"/>
        <w:ind w:firstLine="480" w:firstLineChars="200"/>
        <w:rPr>
          <w:rFonts w:ascii="宋体" w:cs="宋体"/>
          <w:iCs/>
          <w:sz w:val="24"/>
        </w:rPr>
      </w:pPr>
      <w:r>
        <w:rPr>
          <w:rFonts w:hint="eastAsia" w:ascii="宋体" w:cs="宋体"/>
          <w:bCs/>
          <w:sz w:val="24"/>
        </w:rPr>
        <w:t>16.1投标人应按本招标文件第六章“投标文件格式”的要求在“开标一览表”和“分项报价表”中进行报价，</w:t>
      </w:r>
      <w:r>
        <w:rPr>
          <w:rFonts w:hint="eastAsia" w:ascii="宋体" w:cs="宋体"/>
          <w:iCs/>
          <w:sz w:val="24"/>
        </w:rPr>
        <w:t>报价应包括完成本项目的全部费用。</w:t>
      </w:r>
    </w:p>
    <w:p>
      <w:pPr>
        <w:snapToGrid w:val="0"/>
        <w:spacing w:line="360" w:lineRule="auto"/>
        <w:ind w:firstLine="480" w:firstLineChars="200"/>
        <w:rPr>
          <w:rFonts w:ascii="宋体" w:cs="宋体"/>
          <w:iCs/>
          <w:sz w:val="24"/>
        </w:rPr>
      </w:pPr>
      <w:r>
        <w:rPr>
          <w:rFonts w:hint="eastAsia" w:ascii="宋体" w:cs="宋体"/>
          <w:iCs/>
          <w:sz w:val="24"/>
        </w:rPr>
        <w:t>16.2投标人对报价的准确性负责，任何漏报、错报等均是投标人的风险。</w:t>
      </w:r>
    </w:p>
    <w:p>
      <w:pPr>
        <w:snapToGrid w:val="0"/>
        <w:spacing w:line="360" w:lineRule="auto"/>
        <w:ind w:firstLine="480" w:firstLineChars="200"/>
        <w:rPr>
          <w:rFonts w:ascii="宋体" w:cs="宋体"/>
          <w:bCs/>
          <w:sz w:val="24"/>
        </w:rPr>
      </w:pPr>
      <w:r>
        <w:rPr>
          <w:rFonts w:hint="eastAsia" w:ascii="宋体" w:cs="宋体"/>
          <w:iCs/>
          <w:sz w:val="24"/>
        </w:rPr>
        <w:t>16.3</w:t>
      </w:r>
      <w:r>
        <w:rPr>
          <w:rFonts w:hint="eastAsia" w:ascii="宋体" w:cs="宋体"/>
          <w:b/>
          <w:sz w:val="24"/>
        </w:rPr>
        <w:t>招标人设有最高投标限价的，投标人的投标报价不得超过最高投标限价，否则投标无效</w:t>
      </w:r>
      <w:r>
        <w:rPr>
          <w:rFonts w:hint="eastAsia" w:ascii="宋体" w:cs="宋体"/>
          <w:bCs/>
          <w:sz w:val="24"/>
        </w:rPr>
        <w:t>。</w:t>
      </w:r>
    </w:p>
    <w:p>
      <w:pPr>
        <w:snapToGrid w:val="0"/>
        <w:spacing w:line="360" w:lineRule="auto"/>
        <w:ind w:left="420" w:leftChars="200"/>
        <w:rPr>
          <w:rFonts w:ascii="宋体" w:cs="宋体"/>
          <w:b/>
          <w:sz w:val="24"/>
        </w:rPr>
      </w:pPr>
      <w:r>
        <w:rPr>
          <w:rFonts w:hint="eastAsia" w:ascii="宋体" w:cs="宋体"/>
          <w:b/>
          <w:sz w:val="24"/>
        </w:rPr>
        <w:t>17.投标有效期</w:t>
      </w:r>
    </w:p>
    <w:p>
      <w:pPr>
        <w:snapToGrid w:val="0"/>
        <w:spacing w:line="360" w:lineRule="auto"/>
        <w:ind w:firstLine="480" w:firstLineChars="200"/>
        <w:rPr>
          <w:rFonts w:ascii="宋体" w:cs="宋体"/>
          <w:b/>
          <w:bCs/>
          <w:iCs/>
          <w:sz w:val="24"/>
        </w:rPr>
      </w:pPr>
      <w:r>
        <w:rPr>
          <w:rFonts w:hint="eastAsia" w:ascii="宋体" w:cs="宋体"/>
          <w:iCs/>
          <w:sz w:val="24"/>
        </w:rPr>
        <w:t>17.1投标有效期从递交投标文件截止日起计算。投标有效期的具体时间见投标人须知前附表。在此期间，投标人不得要求撤销或者修改其投标文件。</w:t>
      </w:r>
      <w:r>
        <w:rPr>
          <w:rFonts w:hint="eastAsia" w:ascii="宋体" w:cs="宋体"/>
          <w:b/>
          <w:bCs/>
          <w:kern w:val="0"/>
          <w:sz w:val="24"/>
          <w:lang w:bidi="ar"/>
        </w:rPr>
        <w:t>投标有效期少于招标文件要求的，</w:t>
      </w:r>
      <w:r>
        <w:rPr>
          <w:rFonts w:hint="eastAsia" w:ascii="宋体" w:cs="宋体"/>
          <w:b/>
          <w:bCs/>
          <w:iCs/>
          <w:sz w:val="24"/>
        </w:rPr>
        <w:t>投标无效。</w:t>
      </w:r>
    </w:p>
    <w:p>
      <w:pPr>
        <w:snapToGrid w:val="0"/>
        <w:spacing w:line="360" w:lineRule="auto"/>
        <w:ind w:firstLine="480" w:firstLineChars="200"/>
      </w:pPr>
      <w:r>
        <w:rPr>
          <w:rFonts w:hint="eastAsia" w:ascii="宋体" w:cs="宋体"/>
          <w:iCs/>
          <w:sz w:val="24"/>
        </w:rPr>
        <w:t>17.2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pPr>
        <w:snapToGrid w:val="0"/>
        <w:spacing w:line="360" w:lineRule="auto"/>
        <w:ind w:firstLine="482" w:firstLineChars="200"/>
        <w:rPr>
          <w:rFonts w:ascii="宋体" w:cs="宋体"/>
          <w:b/>
          <w:sz w:val="24"/>
        </w:rPr>
      </w:pPr>
      <w:r>
        <w:rPr>
          <w:rFonts w:hint="eastAsia" w:ascii="宋体" w:cs="宋体"/>
          <w:b/>
          <w:sz w:val="24"/>
        </w:rPr>
        <w:t>18.投标保证金</w:t>
      </w:r>
    </w:p>
    <w:p>
      <w:pPr>
        <w:snapToGrid w:val="0"/>
        <w:spacing w:line="360" w:lineRule="auto"/>
        <w:ind w:firstLine="480" w:firstLineChars="200"/>
        <w:rPr>
          <w:rFonts w:ascii="宋体" w:cs="宋体"/>
          <w:sz w:val="24"/>
        </w:rPr>
      </w:pPr>
      <w:r>
        <w:rPr>
          <w:rFonts w:hint="eastAsia" w:ascii="宋体" w:cs="宋体"/>
          <w:sz w:val="24"/>
        </w:rPr>
        <w:t>18.1招标人要求投标人递交投标保证金的，投标人应按投标人须知前附表规定的方式、数额提交投标保证金；</w:t>
      </w:r>
      <w:r>
        <w:rPr>
          <w:rFonts w:hint="eastAsia" w:ascii="宋体" w:cs="宋体"/>
          <w:b/>
          <w:bCs/>
          <w:sz w:val="24"/>
        </w:rPr>
        <w:t xml:space="preserve">未按要求递交投标保证金的，其投标无效。 </w:t>
      </w:r>
    </w:p>
    <w:p>
      <w:pPr>
        <w:snapToGrid w:val="0"/>
        <w:spacing w:line="360" w:lineRule="auto"/>
        <w:ind w:firstLine="480" w:firstLineChars="200"/>
        <w:rPr>
          <w:rFonts w:ascii="宋体" w:cs="宋体"/>
          <w:sz w:val="24"/>
        </w:rPr>
      </w:pPr>
      <w:r>
        <w:rPr>
          <w:rFonts w:hint="eastAsia" w:ascii="宋体" w:cs="宋体"/>
          <w:sz w:val="24"/>
        </w:rPr>
        <w:t>18.2投标保证金有效期应该与投标有效期保持一致。</w:t>
      </w:r>
    </w:p>
    <w:p>
      <w:pPr>
        <w:snapToGrid w:val="0"/>
        <w:spacing w:line="360" w:lineRule="auto"/>
        <w:ind w:firstLine="480" w:firstLineChars="200"/>
        <w:rPr>
          <w:rFonts w:ascii="宋体" w:cs="宋体"/>
          <w:sz w:val="24"/>
        </w:rPr>
      </w:pPr>
      <w:r>
        <w:rPr>
          <w:rFonts w:hint="eastAsia" w:ascii="宋体" w:cs="宋体"/>
          <w:sz w:val="24"/>
        </w:rPr>
        <w:t>18.3发生下列情况之一时，投标保证金将不予退还：</w:t>
      </w:r>
    </w:p>
    <w:p>
      <w:pPr>
        <w:snapToGrid w:val="0"/>
        <w:spacing w:line="360" w:lineRule="auto"/>
        <w:ind w:firstLine="480" w:firstLineChars="200"/>
        <w:rPr>
          <w:rFonts w:ascii="宋体" w:cs="宋体"/>
          <w:sz w:val="24"/>
        </w:rPr>
      </w:pPr>
      <w:r>
        <w:rPr>
          <w:rFonts w:hint="eastAsia" w:ascii="宋体" w:cs="宋体"/>
          <w:sz w:val="24"/>
        </w:rPr>
        <w:t>（1）投标人在招标文件规定的投标有效期内撤销其投标文件的；</w:t>
      </w:r>
    </w:p>
    <w:p>
      <w:pPr>
        <w:snapToGrid w:val="0"/>
        <w:spacing w:line="360" w:lineRule="auto"/>
        <w:ind w:firstLine="480" w:firstLineChars="200"/>
        <w:rPr>
          <w:rFonts w:ascii="宋体" w:cs="宋体"/>
          <w:sz w:val="24"/>
        </w:rPr>
      </w:pPr>
      <w:r>
        <w:rPr>
          <w:rFonts w:hint="eastAsia" w:ascii="宋体" w:cs="宋体"/>
          <w:sz w:val="24"/>
        </w:rPr>
        <w:t>（2）排名第一的中标候选人或中标人放弃中标或被查实存在影响中标结果的违法行为等情形，不符合中标条件的；</w:t>
      </w:r>
    </w:p>
    <w:p>
      <w:pPr>
        <w:snapToGrid w:val="0"/>
        <w:spacing w:line="360" w:lineRule="auto"/>
        <w:ind w:firstLine="480" w:firstLineChars="200"/>
        <w:rPr>
          <w:rFonts w:ascii="宋体" w:cs="宋体"/>
          <w:sz w:val="24"/>
        </w:rPr>
      </w:pPr>
      <w:r>
        <w:rPr>
          <w:rFonts w:hint="eastAsia" w:ascii="宋体" w:cs="宋体"/>
          <w:sz w:val="24"/>
        </w:rPr>
        <w:t>（3）中标人未在规定期限内订立合同或在签订合同时向招标人提出附加条件的；</w:t>
      </w:r>
    </w:p>
    <w:p>
      <w:pPr>
        <w:snapToGrid w:val="0"/>
        <w:spacing w:line="360" w:lineRule="auto"/>
        <w:ind w:firstLine="480" w:firstLineChars="200"/>
        <w:rPr>
          <w:rFonts w:ascii="宋体" w:cs="宋体"/>
          <w:sz w:val="24"/>
        </w:rPr>
      </w:pPr>
      <w:r>
        <w:rPr>
          <w:rFonts w:hint="eastAsia" w:ascii="宋体" w:cs="宋体"/>
          <w:sz w:val="24"/>
        </w:rPr>
        <w:t>（4）中标人拒绝缴纳履约保证金的；</w:t>
      </w:r>
    </w:p>
    <w:p>
      <w:pPr>
        <w:snapToGrid w:val="0"/>
        <w:spacing w:line="360" w:lineRule="auto"/>
        <w:ind w:firstLine="480" w:firstLineChars="200"/>
        <w:rPr>
          <w:rFonts w:ascii="宋体" w:cs="宋体"/>
          <w:sz w:val="24"/>
        </w:rPr>
      </w:pPr>
      <w:r>
        <w:rPr>
          <w:rFonts w:hint="eastAsia" w:ascii="宋体" w:cs="宋体"/>
          <w:sz w:val="24"/>
        </w:rPr>
        <w:t>（5）投标人有串通投标、弄虚作假等行为的。</w:t>
      </w:r>
    </w:p>
    <w:bookmarkEnd w:id="67"/>
    <w:bookmarkEnd w:id="68"/>
    <w:p>
      <w:pPr>
        <w:pStyle w:val="3"/>
      </w:pPr>
      <w:bookmarkStart w:id="70" w:name="_Toc6164"/>
      <w:bookmarkStart w:id="71" w:name="_Toc495977857"/>
      <w:bookmarkStart w:id="72" w:name="_Toc9909"/>
      <w:bookmarkStart w:id="73" w:name="_Toc17227"/>
      <w:bookmarkStart w:id="74" w:name="_Toc29331"/>
      <w:bookmarkStart w:id="75" w:name="_Toc105594493"/>
      <w:r>
        <w:rPr>
          <w:rFonts w:hint="eastAsia"/>
        </w:rPr>
        <w:t>四、投标</w:t>
      </w:r>
      <w:bookmarkEnd w:id="70"/>
      <w:bookmarkEnd w:id="71"/>
      <w:bookmarkEnd w:id="72"/>
      <w:bookmarkEnd w:id="73"/>
      <w:bookmarkEnd w:id="74"/>
      <w:bookmarkEnd w:id="75"/>
    </w:p>
    <w:p>
      <w:pPr>
        <w:snapToGrid w:val="0"/>
        <w:spacing w:line="360" w:lineRule="auto"/>
        <w:ind w:firstLine="482" w:firstLineChars="200"/>
        <w:rPr>
          <w:rFonts w:ascii="宋体" w:cs="宋体"/>
          <w:b/>
          <w:sz w:val="24"/>
        </w:rPr>
      </w:pPr>
      <w:r>
        <w:rPr>
          <w:rFonts w:hint="eastAsia" w:ascii="宋体" w:cs="宋体"/>
          <w:b/>
          <w:sz w:val="24"/>
        </w:rPr>
        <w:t>19.现场踏勘</w:t>
      </w:r>
    </w:p>
    <w:p>
      <w:pPr>
        <w:snapToGrid w:val="0"/>
        <w:spacing w:line="360" w:lineRule="auto"/>
        <w:ind w:firstLine="480" w:firstLineChars="200"/>
      </w:pPr>
      <w:r>
        <w:rPr>
          <w:rFonts w:hint="eastAsia" w:ascii="宋体" w:cs="宋体"/>
          <w:bCs/>
          <w:sz w:val="24"/>
        </w:rPr>
        <w:t>19.1投标人须知前附表规定组织踏勘现场的，招标人按投标人须知前附表规定的时间、地点组织投标人踏勘项目现场。未参加现场踏勘不作为否定投标人资格的理由。</w:t>
      </w:r>
    </w:p>
    <w:p>
      <w:pPr>
        <w:snapToGrid w:val="0"/>
        <w:spacing w:line="360" w:lineRule="auto"/>
        <w:ind w:firstLine="482" w:firstLineChars="200"/>
        <w:rPr>
          <w:rFonts w:ascii="宋体" w:cs="宋体"/>
          <w:b/>
          <w:sz w:val="24"/>
        </w:rPr>
      </w:pPr>
      <w:r>
        <w:rPr>
          <w:rFonts w:hint="eastAsia" w:ascii="宋体" w:cs="宋体"/>
          <w:b/>
          <w:sz w:val="24"/>
        </w:rPr>
        <w:t>20.投标文件的递交</w:t>
      </w:r>
    </w:p>
    <w:p>
      <w:pPr>
        <w:spacing w:line="360" w:lineRule="auto"/>
        <w:ind w:firstLine="480" w:firstLineChars="200"/>
        <w:rPr>
          <w:rFonts w:ascii="宋体" w:cs="宋体"/>
          <w:bCs/>
          <w:sz w:val="24"/>
        </w:rPr>
      </w:pPr>
      <w:r>
        <w:rPr>
          <w:rFonts w:hint="eastAsia" w:ascii="宋体" w:cs="宋体"/>
          <w:bCs/>
          <w:sz w:val="24"/>
        </w:rPr>
        <w:t>20.1投标截止时间：见投标人须知前附表。</w:t>
      </w:r>
    </w:p>
    <w:p>
      <w:pPr>
        <w:snapToGrid w:val="0"/>
        <w:spacing w:line="360" w:lineRule="auto"/>
        <w:ind w:firstLine="480" w:firstLineChars="200"/>
        <w:rPr>
          <w:rFonts w:ascii="宋体" w:cs="宋体"/>
          <w:bCs/>
          <w:sz w:val="24"/>
        </w:rPr>
      </w:pPr>
      <w:r>
        <w:rPr>
          <w:rFonts w:hint="eastAsia" w:ascii="宋体" w:cs="宋体"/>
          <w:bCs/>
          <w:sz w:val="24"/>
        </w:rPr>
        <w:t>20.2投标人应按照招标文件的要求递交投标文件，具体要求见投标人须知前附表。</w:t>
      </w:r>
    </w:p>
    <w:p>
      <w:pPr>
        <w:spacing w:line="360" w:lineRule="auto"/>
        <w:ind w:firstLine="480" w:firstLineChars="200"/>
      </w:pPr>
      <w:r>
        <w:rPr>
          <w:rFonts w:hint="eastAsia" w:ascii="宋体" w:cs="宋体"/>
          <w:bCs/>
          <w:sz w:val="24"/>
        </w:rPr>
        <w:t>20.3投标人应按照招标文件的要求递交备份投标文件，具体要求见投标人须知前附表。</w:t>
      </w:r>
    </w:p>
    <w:p>
      <w:pPr>
        <w:spacing w:line="360" w:lineRule="auto"/>
        <w:ind w:firstLine="480" w:firstLineChars="200"/>
        <w:rPr>
          <w:rFonts w:ascii="宋体" w:cs="宋体"/>
          <w:bCs/>
          <w:sz w:val="24"/>
        </w:rPr>
      </w:pPr>
      <w:r>
        <w:rPr>
          <w:rFonts w:hint="eastAsia" w:ascii="宋体" w:cs="宋体"/>
          <w:bCs/>
          <w:sz w:val="24"/>
        </w:rPr>
        <w:t>20.4投标人所递交的投标文件及备份投标文件均不予退还。</w:t>
      </w:r>
    </w:p>
    <w:p>
      <w:pPr>
        <w:snapToGrid w:val="0"/>
        <w:spacing w:line="360" w:lineRule="auto"/>
        <w:ind w:firstLine="482" w:firstLineChars="200"/>
        <w:rPr>
          <w:rFonts w:ascii="宋体" w:cs="宋体"/>
          <w:b/>
          <w:sz w:val="24"/>
        </w:rPr>
      </w:pPr>
      <w:r>
        <w:rPr>
          <w:rFonts w:hint="eastAsia" w:ascii="宋体" w:cs="宋体"/>
          <w:b/>
          <w:sz w:val="24"/>
        </w:rPr>
        <w:t>21.投标文件的补充、修改与撤回、撤销</w:t>
      </w:r>
    </w:p>
    <w:p>
      <w:pPr>
        <w:snapToGrid w:val="0"/>
        <w:spacing w:line="360" w:lineRule="auto"/>
        <w:ind w:firstLine="480" w:firstLineChars="200"/>
        <w:rPr>
          <w:rFonts w:ascii="宋体" w:cs="宋体"/>
          <w:sz w:val="24"/>
        </w:rPr>
      </w:pPr>
      <w:r>
        <w:rPr>
          <w:rFonts w:hint="eastAsia" w:ascii="宋体" w:cs="宋体"/>
          <w:sz w:val="24"/>
        </w:rPr>
        <w:t>21.1投标人在递交投标文件后，在规定的投标截止时间之前，可以补充、修改或撤回其投标。补充或者修改投标文件的，应当先行撤回原文件，补充、修改后重新传输递交，重新传输递交要求同本须知“投标文件的递交”规定。</w:t>
      </w:r>
    </w:p>
    <w:p>
      <w:pPr>
        <w:snapToGrid w:val="0"/>
        <w:spacing w:line="360" w:lineRule="auto"/>
        <w:ind w:firstLine="480" w:firstLineChars="200"/>
        <w:rPr>
          <w:rFonts w:ascii="宋体"/>
          <w:b/>
          <w:bCs/>
          <w:snapToGrid w:val="0"/>
          <w:kern w:val="0"/>
          <w:sz w:val="24"/>
        </w:rPr>
      </w:pPr>
      <w:r>
        <w:rPr>
          <w:rFonts w:hint="eastAsia" w:ascii="宋体"/>
          <w:snapToGrid w:val="0"/>
          <w:kern w:val="0"/>
          <w:sz w:val="24"/>
        </w:rPr>
        <w:t>21.2投标截止时间前未完成上传、递交的，视为撤回投标文件。</w:t>
      </w:r>
      <w:r>
        <w:rPr>
          <w:rFonts w:hint="eastAsia" w:ascii="宋体"/>
          <w:b/>
          <w:snapToGrid w:val="0"/>
          <w:kern w:val="0"/>
          <w:sz w:val="24"/>
        </w:rPr>
        <w:t>逾期递交的，</w:t>
      </w:r>
      <w:r>
        <w:rPr>
          <w:rFonts w:hint="eastAsia" w:ascii="宋体"/>
          <w:b/>
          <w:bCs/>
          <w:snapToGrid w:val="0"/>
          <w:kern w:val="0"/>
          <w:sz w:val="24"/>
        </w:rPr>
        <w:t>投标无效。</w:t>
      </w:r>
    </w:p>
    <w:p>
      <w:pPr>
        <w:snapToGrid w:val="0"/>
        <w:spacing w:line="360" w:lineRule="auto"/>
        <w:ind w:firstLine="480" w:firstLineChars="200"/>
        <w:rPr>
          <w:rFonts w:ascii="宋体"/>
          <w:b/>
          <w:bCs/>
          <w:snapToGrid w:val="0"/>
          <w:kern w:val="0"/>
          <w:sz w:val="24"/>
        </w:rPr>
      </w:pPr>
      <w:r>
        <w:rPr>
          <w:rFonts w:hint="eastAsia" w:ascii="宋体"/>
          <w:snapToGrid w:val="0"/>
          <w:kern w:val="0"/>
          <w:sz w:val="24"/>
        </w:rPr>
        <w:t>21.3</w:t>
      </w:r>
      <w:r>
        <w:rPr>
          <w:rFonts w:hint="eastAsia" w:ascii="宋体" w:cs="宋体"/>
          <w:sz w:val="24"/>
        </w:rPr>
        <w:t>补充、修改的内容为投标文件的组成部分，补充、修改的内容与投标文件不一致的，以补充、修改的内容为准。</w:t>
      </w:r>
    </w:p>
    <w:p>
      <w:pPr>
        <w:snapToGrid w:val="0"/>
        <w:spacing w:line="360" w:lineRule="auto"/>
        <w:ind w:firstLine="480" w:firstLineChars="200"/>
        <w:rPr>
          <w:rFonts w:ascii="宋体"/>
          <w:b/>
          <w:bCs/>
          <w:snapToGrid w:val="0"/>
          <w:kern w:val="0"/>
          <w:sz w:val="24"/>
        </w:rPr>
      </w:pPr>
      <w:r>
        <w:rPr>
          <w:rFonts w:hint="eastAsia" w:ascii="宋体" w:cs="宋体"/>
          <w:sz w:val="24"/>
        </w:rPr>
        <w:t>21.4在投标截止时间以后，不能补充、修改投标文件。</w:t>
      </w:r>
    </w:p>
    <w:p>
      <w:pPr>
        <w:snapToGrid w:val="0"/>
        <w:spacing w:line="360" w:lineRule="auto"/>
        <w:ind w:firstLine="480" w:firstLineChars="200"/>
        <w:rPr>
          <w:rFonts w:ascii="宋体"/>
          <w:b/>
          <w:bCs/>
          <w:snapToGrid w:val="0"/>
          <w:kern w:val="0"/>
          <w:sz w:val="24"/>
        </w:rPr>
      </w:pPr>
      <w:r>
        <w:rPr>
          <w:rFonts w:hint="eastAsia" w:ascii="宋体" w:cs="宋体"/>
          <w:sz w:val="24"/>
        </w:rPr>
        <w:t>21.5</w:t>
      </w:r>
      <w:r>
        <w:rPr>
          <w:rFonts w:hint="eastAsia" w:ascii="宋体" w:cs="Arial"/>
          <w:sz w:val="24"/>
        </w:rPr>
        <w:t>在投标截止时间至投标有效期满之前，投标人不得撤销其投标文件，否则其投标保证金不予退还。</w:t>
      </w:r>
      <w:bookmarkStart w:id="76" w:name="_Hlk105348725"/>
    </w:p>
    <w:bookmarkEnd w:id="76"/>
    <w:p>
      <w:pPr>
        <w:pStyle w:val="3"/>
      </w:pPr>
      <w:bookmarkStart w:id="77" w:name="_Toc28371"/>
      <w:bookmarkStart w:id="78" w:name="_Toc495977858"/>
      <w:bookmarkStart w:id="79" w:name="_Toc3145"/>
      <w:bookmarkStart w:id="80" w:name="_Toc2742"/>
      <w:bookmarkStart w:id="81" w:name="_Toc17242"/>
      <w:bookmarkStart w:id="82" w:name="_Toc105594494"/>
      <w:r>
        <w:rPr>
          <w:rFonts w:hint="eastAsia"/>
        </w:rPr>
        <w:t>五、开标</w:t>
      </w:r>
      <w:bookmarkEnd w:id="77"/>
      <w:bookmarkEnd w:id="78"/>
      <w:bookmarkEnd w:id="79"/>
      <w:bookmarkEnd w:id="80"/>
      <w:bookmarkEnd w:id="81"/>
      <w:bookmarkEnd w:id="82"/>
    </w:p>
    <w:p>
      <w:pPr>
        <w:snapToGrid w:val="0"/>
        <w:spacing w:line="360" w:lineRule="auto"/>
        <w:ind w:firstLine="482" w:firstLineChars="200"/>
        <w:rPr>
          <w:rFonts w:ascii="宋体" w:cs="宋体"/>
          <w:b/>
          <w:sz w:val="24"/>
        </w:rPr>
      </w:pPr>
      <w:r>
        <w:rPr>
          <w:rFonts w:hint="eastAsia" w:ascii="宋体" w:cs="宋体"/>
          <w:b/>
          <w:sz w:val="24"/>
        </w:rPr>
        <w:t>22.开标时间和地点</w:t>
      </w:r>
    </w:p>
    <w:p>
      <w:pPr>
        <w:snapToGrid w:val="0"/>
        <w:spacing w:line="360" w:lineRule="auto"/>
        <w:ind w:firstLine="480" w:firstLineChars="200"/>
        <w:rPr>
          <w:rFonts w:ascii="宋体" w:cs="宋体"/>
          <w:bCs/>
          <w:sz w:val="24"/>
        </w:rPr>
      </w:pPr>
      <w:r>
        <w:rPr>
          <w:rFonts w:hint="eastAsia" w:ascii="宋体" w:cs="宋体"/>
          <w:bCs/>
          <w:sz w:val="24"/>
        </w:rPr>
        <w:t>22.1开标时间同投标截止时间，见投标人须知前附表。</w:t>
      </w:r>
    </w:p>
    <w:p>
      <w:pPr>
        <w:snapToGrid w:val="0"/>
        <w:spacing w:line="360" w:lineRule="auto"/>
        <w:ind w:firstLine="480" w:firstLineChars="200"/>
        <w:rPr>
          <w:rFonts w:ascii="宋体" w:cs="宋体"/>
          <w:bCs/>
          <w:sz w:val="24"/>
        </w:rPr>
      </w:pPr>
      <w:r>
        <w:rPr>
          <w:rFonts w:hint="eastAsia" w:ascii="宋体" w:cs="宋体"/>
          <w:bCs/>
          <w:sz w:val="24"/>
        </w:rPr>
        <w:t>22.2开标地点：见投标人须知前附表。</w:t>
      </w:r>
    </w:p>
    <w:p>
      <w:pPr>
        <w:snapToGrid w:val="0"/>
        <w:spacing w:line="360" w:lineRule="auto"/>
        <w:ind w:firstLine="482" w:firstLineChars="200"/>
        <w:rPr>
          <w:rFonts w:ascii="宋体" w:cs="宋体"/>
          <w:b/>
          <w:sz w:val="24"/>
        </w:rPr>
      </w:pPr>
      <w:r>
        <w:rPr>
          <w:rFonts w:hint="eastAsia" w:ascii="宋体" w:cs="宋体"/>
          <w:b/>
          <w:sz w:val="24"/>
        </w:rPr>
        <w:t>23.开标和评标方式</w:t>
      </w:r>
    </w:p>
    <w:p>
      <w:pPr>
        <w:snapToGrid w:val="0"/>
        <w:spacing w:line="360" w:lineRule="auto"/>
        <w:ind w:firstLine="480" w:firstLineChars="200"/>
        <w:rPr>
          <w:rFonts w:ascii="宋体" w:cs="宋体"/>
          <w:b/>
          <w:sz w:val="24"/>
        </w:rPr>
      </w:pPr>
      <w:r>
        <w:rPr>
          <w:rFonts w:hint="eastAsia" w:ascii="宋体" w:cs="宋体"/>
          <w:bCs/>
          <w:sz w:val="24"/>
        </w:rPr>
        <w:t>23.1开标方式：见投标人须知前附表。</w:t>
      </w:r>
    </w:p>
    <w:p>
      <w:pPr>
        <w:snapToGrid w:val="0"/>
        <w:spacing w:line="360" w:lineRule="auto"/>
        <w:ind w:firstLine="482" w:firstLineChars="200"/>
        <w:rPr>
          <w:rFonts w:ascii="宋体" w:cs="宋体"/>
          <w:b/>
          <w:sz w:val="24"/>
        </w:rPr>
      </w:pPr>
      <w:r>
        <w:rPr>
          <w:rFonts w:hint="eastAsia" w:ascii="宋体" w:cs="宋体"/>
          <w:b/>
          <w:sz w:val="24"/>
        </w:rPr>
        <w:t>24.投标人在场或在线要求</w:t>
      </w:r>
    </w:p>
    <w:p>
      <w:pPr>
        <w:snapToGrid w:val="0"/>
        <w:spacing w:line="360" w:lineRule="auto"/>
        <w:ind w:firstLine="480" w:firstLineChars="200"/>
        <w:rPr>
          <w:rFonts w:ascii="宋体" w:cs="宋体"/>
          <w:bCs/>
          <w:sz w:val="24"/>
        </w:rPr>
      </w:pPr>
      <w:r>
        <w:rPr>
          <w:rFonts w:hint="eastAsia" w:ascii="宋体" w:cs="宋体"/>
          <w:bCs/>
          <w:sz w:val="24"/>
        </w:rPr>
        <w:t>24.1投标人在场或在线要求：见投标人须知前附表。</w:t>
      </w:r>
    </w:p>
    <w:p>
      <w:pPr>
        <w:adjustRightInd w:val="0"/>
        <w:snapToGrid w:val="0"/>
        <w:spacing w:line="360" w:lineRule="auto"/>
        <w:ind w:firstLine="482" w:firstLineChars="200"/>
        <w:jc w:val="left"/>
        <w:rPr>
          <w:rFonts w:ascii="宋体" w:cs="宋体"/>
          <w:b/>
          <w:bCs/>
          <w:sz w:val="24"/>
        </w:rPr>
      </w:pPr>
      <w:r>
        <w:rPr>
          <w:rFonts w:hint="eastAsia" w:ascii="宋体" w:cs="宋体"/>
          <w:b/>
          <w:bCs/>
          <w:sz w:val="24"/>
        </w:rPr>
        <w:t>25.开标程序</w:t>
      </w:r>
    </w:p>
    <w:p>
      <w:pPr>
        <w:adjustRightInd w:val="0"/>
        <w:snapToGrid w:val="0"/>
        <w:spacing w:line="360" w:lineRule="auto"/>
        <w:ind w:firstLine="480" w:firstLineChars="200"/>
        <w:jc w:val="left"/>
        <w:rPr>
          <w:rFonts w:ascii="宋体" w:cs="宋体"/>
          <w:bCs/>
          <w:sz w:val="24"/>
        </w:rPr>
      </w:pPr>
      <w:r>
        <w:rPr>
          <w:rFonts w:hint="eastAsia" w:ascii="宋体" w:cs="宋体"/>
          <w:sz w:val="24"/>
        </w:rPr>
        <w:t>25.1</w:t>
      </w:r>
      <w:r>
        <w:rPr>
          <w:rFonts w:hint="eastAsia" w:ascii="宋体" w:cs="宋体"/>
          <w:bCs/>
          <w:sz w:val="24"/>
        </w:rPr>
        <w:t>开标程序：见投标人须知前附表。</w:t>
      </w:r>
    </w:p>
    <w:p>
      <w:pPr>
        <w:adjustRightInd w:val="0"/>
        <w:snapToGrid w:val="0"/>
        <w:spacing w:line="360" w:lineRule="auto"/>
        <w:ind w:firstLine="482" w:firstLineChars="200"/>
        <w:jc w:val="left"/>
        <w:rPr>
          <w:rFonts w:ascii="宋体" w:cs="宋体"/>
          <w:b/>
          <w:bCs/>
          <w:sz w:val="24"/>
        </w:rPr>
      </w:pPr>
      <w:r>
        <w:rPr>
          <w:rFonts w:hint="eastAsia" w:ascii="宋体" w:cs="宋体"/>
          <w:b/>
          <w:bCs/>
          <w:sz w:val="24"/>
        </w:rPr>
        <w:t>26.开标异议</w:t>
      </w:r>
    </w:p>
    <w:p>
      <w:pPr>
        <w:adjustRightInd w:val="0"/>
        <w:snapToGrid w:val="0"/>
        <w:spacing w:line="360" w:lineRule="auto"/>
        <w:ind w:firstLine="480" w:firstLineChars="200"/>
        <w:jc w:val="left"/>
        <w:rPr>
          <w:rFonts w:ascii="宋体" w:cs="宋体"/>
          <w:sz w:val="24"/>
        </w:rPr>
      </w:pPr>
      <w:r>
        <w:rPr>
          <w:rFonts w:hint="eastAsia" w:ascii="宋体" w:cs="宋体"/>
          <w:sz w:val="24"/>
        </w:rPr>
        <w:t>26.1投标人对开标有异议的，应当在开标时提出，否则视为认同开标结果。</w:t>
      </w:r>
    </w:p>
    <w:p>
      <w:pPr>
        <w:pStyle w:val="3"/>
      </w:pPr>
      <w:bookmarkStart w:id="83" w:name="_Toc7661"/>
      <w:bookmarkStart w:id="84" w:name="_Toc6525"/>
      <w:bookmarkStart w:id="85" w:name="_Toc1312"/>
      <w:bookmarkStart w:id="86" w:name="_Toc20604"/>
      <w:bookmarkStart w:id="87" w:name="_Toc105594495"/>
      <w:r>
        <w:rPr>
          <w:rFonts w:hint="eastAsia"/>
        </w:rPr>
        <w:t>六、评标</w:t>
      </w:r>
      <w:bookmarkEnd w:id="83"/>
      <w:bookmarkEnd w:id="84"/>
      <w:bookmarkEnd w:id="85"/>
      <w:bookmarkEnd w:id="86"/>
      <w:bookmarkEnd w:id="87"/>
    </w:p>
    <w:p>
      <w:pPr>
        <w:spacing w:line="360" w:lineRule="auto"/>
        <w:ind w:firstLine="482" w:firstLineChars="200"/>
        <w:rPr>
          <w:rFonts w:ascii="宋体" w:cs="宋体"/>
          <w:b/>
          <w:sz w:val="24"/>
        </w:rPr>
      </w:pPr>
      <w:r>
        <w:rPr>
          <w:rFonts w:hint="eastAsia" w:ascii="宋体" w:cs="宋体"/>
          <w:b/>
          <w:sz w:val="24"/>
        </w:rPr>
        <w:t>27.评标委员会</w:t>
      </w:r>
    </w:p>
    <w:p>
      <w:pPr>
        <w:adjustRightInd w:val="0"/>
        <w:snapToGrid w:val="0"/>
        <w:spacing w:line="360" w:lineRule="auto"/>
        <w:ind w:firstLine="480" w:firstLineChars="200"/>
        <w:jc w:val="left"/>
        <w:rPr>
          <w:rFonts w:ascii="宋体" w:cs="宋体"/>
          <w:sz w:val="24"/>
        </w:rPr>
      </w:pPr>
      <w:r>
        <w:rPr>
          <w:rFonts w:hint="eastAsia" w:ascii="宋体" w:cs="宋体"/>
          <w:sz w:val="24"/>
        </w:rPr>
        <w:t>27.1评标委员会由招标人依法组建，评标委员会成员由招标人的代表和有关技术、经济等方面的专家组成，具体人数见投标人须知前附表。评标委员会根据招标文件和有关规定，履行评标工作职责。</w:t>
      </w:r>
    </w:p>
    <w:p>
      <w:pPr>
        <w:adjustRightInd w:val="0"/>
        <w:snapToGrid w:val="0"/>
        <w:spacing w:line="360" w:lineRule="auto"/>
        <w:ind w:firstLine="480" w:firstLineChars="200"/>
        <w:jc w:val="left"/>
        <w:rPr>
          <w:rFonts w:ascii="宋体" w:cs="宋体"/>
          <w:sz w:val="24"/>
        </w:rPr>
      </w:pPr>
      <w:r>
        <w:rPr>
          <w:rFonts w:hint="eastAsia" w:ascii="宋体" w:cs="宋体"/>
          <w:sz w:val="24"/>
        </w:rPr>
        <w:t>27.2评标委员会组成成员与投标人有下列利害关系之一的，应当回避：</w:t>
      </w:r>
    </w:p>
    <w:p>
      <w:pPr>
        <w:adjustRightInd w:val="0"/>
        <w:snapToGrid w:val="0"/>
        <w:spacing w:line="360" w:lineRule="auto"/>
        <w:ind w:firstLine="480" w:firstLineChars="200"/>
        <w:jc w:val="left"/>
        <w:rPr>
          <w:rFonts w:ascii="宋体" w:cs="宋体"/>
          <w:sz w:val="24"/>
        </w:rPr>
      </w:pPr>
      <w:r>
        <w:rPr>
          <w:rFonts w:hint="eastAsia" w:ascii="宋体" w:cs="宋体"/>
          <w:sz w:val="24"/>
        </w:rPr>
        <w:t>（1）参加项目评标前3年内与投标人存在劳动关系；</w:t>
      </w:r>
    </w:p>
    <w:p>
      <w:pPr>
        <w:adjustRightInd w:val="0"/>
        <w:snapToGrid w:val="0"/>
        <w:spacing w:line="360" w:lineRule="auto"/>
        <w:ind w:firstLine="480" w:firstLineChars="200"/>
        <w:jc w:val="left"/>
        <w:rPr>
          <w:rFonts w:ascii="宋体" w:cs="宋体"/>
          <w:sz w:val="24"/>
        </w:rPr>
      </w:pPr>
      <w:r>
        <w:rPr>
          <w:rFonts w:hint="eastAsia" w:ascii="宋体" w:cs="宋体"/>
          <w:sz w:val="24"/>
        </w:rPr>
        <w:t>（2）参加项目评标前3年内担任投标人的董事、监事；</w:t>
      </w:r>
    </w:p>
    <w:p>
      <w:pPr>
        <w:adjustRightInd w:val="0"/>
        <w:snapToGrid w:val="0"/>
        <w:spacing w:line="360" w:lineRule="auto"/>
        <w:ind w:firstLine="480" w:firstLineChars="200"/>
        <w:jc w:val="left"/>
        <w:rPr>
          <w:rFonts w:ascii="宋体" w:cs="宋体"/>
          <w:sz w:val="24"/>
        </w:rPr>
      </w:pPr>
      <w:r>
        <w:rPr>
          <w:rFonts w:hint="eastAsia" w:ascii="宋体" w:cs="宋体"/>
          <w:sz w:val="24"/>
        </w:rPr>
        <w:t>（3）参加项目评标前3年内是投标人的控股股东或者实际控制人；</w:t>
      </w:r>
    </w:p>
    <w:p>
      <w:pPr>
        <w:adjustRightInd w:val="0"/>
        <w:snapToGrid w:val="0"/>
        <w:spacing w:line="360" w:lineRule="auto"/>
        <w:ind w:firstLine="480" w:firstLineChars="200"/>
        <w:jc w:val="left"/>
        <w:rPr>
          <w:rFonts w:ascii="宋体" w:cs="宋体"/>
          <w:sz w:val="24"/>
        </w:rPr>
      </w:pPr>
      <w:r>
        <w:rPr>
          <w:rFonts w:hint="eastAsia" w:ascii="宋体" w:cs="宋体"/>
          <w:sz w:val="24"/>
        </w:rPr>
        <w:t>（4）参加项目论证、项目主管部门或者行政监督部门的人员；</w:t>
      </w:r>
    </w:p>
    <w:p>
      <w:pPr>
        <w:adjustRightInd w:val="0"/>
        <w:snapToGrid w:val="0"/>
        <w:spacing w:line="360" w:lineRule="auto"/>
        <w:ind w:firstLine="480" w:firstLineChars="200"/>
        <w:jc w:val="left"/>
        <w:rPr>
          <w:rFonts w:ascii="宋体" w:cs="宋体"/>
          <w:sz w:val="24"/>
        </w:rPr>
      </w:pPr>
      <w:r>
        <w:rPr>
          <w:rFonts w:hint="eastAsia" w:ascii="宋体" w:cs="宋体"/>
          <w:sz w:val="24"/>
        </w:rPr>
        <w:t>（5）与投标人的法定代表人或者负责人有夫妻、直系血亲、三代以内旁系血亲或者近姻亲关系；</w:t>
      </w:r>
    </w:p>
    <w:p>
      <w:pPr>
        <w:adjustRightInd w:val="0"/>
        <w:snapToGrid w:val="0"/>
        <w:spacing w:line="360" w:lineRule="auto"/>
        <w:ind w:firstLine="480" w:firstLineChars="200"/>
        <w:jc w:val="left"/>
        <w:rPr>
          <w:rFonts w:ascii="宋体" w:cs="宋体"/>
          <w:sz w:val="24"/>
        </w:rPr>
      </w:pPr>
      <w:r>
        <w:rPr>
          <w:rFonts w:hint="eastAsia" w:ascii="宋体" w:cs="宋体"/>
          <w:sz w:val="24"/>
        </w:rPr>
        <w:t>（6）与投标人有其他可能影响招标活动公平、公正进行的关系。</w:t>
      </w:r>
    </w:p>
    <w:p>
      <w:pPr>
        <w:adjustRightInd w:val="0"/>
        <w:snapToGrid w:val="0"/>
        <w:spacing w:line="360" w:lineRule="auto"/>
        <w:ind w:firstLine="480" w:firstLineChars="200"/>
        <w:jc w:val="left"/>
        <w:rPr>
          <w:rFonts w:ascii="宋体" w:cs="宋体"/>
          <w:sz w:val="24"/>
        </w:rPr>
      </w:pPr>
      <w:r>
        <w:rPr>
          <w:rFonts w:hint="eastAsia" w:ascii="宋体" w:cs="宋体"/>
          <w:sz w:val="24"/>
        </w:rPr>
        <w:t>27.3评标过程中，评标委员会成员有回避事由、擅离职守或者因健康原因不能继续评审的，应当及时更换。被更换的评标委员会成员作出的评审结论无效，由更换后的评标委员会成员重新进行评审。</w:t>
      </w:r>
    </w:p>
    <w:p>
      <w:pPr>
        <w:spacing w:line="360" w:lineRule="auto"/>
        <w:ind w:firstLine="482" w:firstLineChars="200"/>
        <w:rPr>
          <w:rFonts w:ascii="宋体" w:cs="宋体"/>
          <w:b/>
          <w:sz w:val="24"/>
        </w:rPr>
      </w:pPr>
      <w:r>
        <w:rPr>
          <w:rFonts w:hint="eastAsia" w:ascii="宋体" w:cs="宋体"/>
          <w:b/>
          <w:sz w:val="24"/>
        </w:rPr>
        <w:t>28.评标原则</w:t>
      </w:r>
    </w:p>
    <w:p>
      <w:pPr>
        <w:adjustRightInd w:val="0"/>
        <w:snapToGrid w:val="0"/>
        <w:spacing w:line="360" w:lineRule="auto"/>
        <w:ind w:firstLine="480" w:firstLineChars="200"/>
        <w:jc w:val="left"/>
        <w:rPr>
          <w:rFonts w:ascii="宋体" w:cs="宋体"/>
          <w:sz w:val="24"/>
        </w:rPr>
      </w:pPr>
      <w:r>
        <w:rPr>
          <w:rFonts w:hint="eastAsia" w:ascii="宋体" w:cs="宋体"/>
          <w:sz w:val="24"/>
        </w:rPr>
        <w:t>28.1评标活动遵循公平、公正、科学和择优的原则。</w:t>
      </w:r>
    </w:p>
    <w:p>
      <w:pPr>
        <w:spacing w:line="360" w:lineRule="auto"/>
        <w:ind w:firstLine="482" w:firstLineChars="200"/>
        <w:rPr>
          <w:rFonts w:ascii="宋体" w:cs="宋体"/>
          <w:b/>
          <w:sz w:val="24"/>
        </w:rPr>
      </w:pPr>
      <w:r>
        <w:rPr>
          <w:rFonts w:hint="eastAsia" w:ascii="宋体" w:cs="宋体"/>
          <w:b/>
          <w:sz w:val="24"/>
        </w:rPr>
        <w:t>29.评标办法</w:t>
      </w:r>
    </w:p>
    <w:p>
      <w:pPr>
        <w:spacing w:line="360" w:lineRule="auto"/>
        <w:ind w:firstLine="480" w:firstLineChars="200"/>
        <w:rPr>
          <w:rFonts w:ascii="宋体" w:cs="宋体"/>
          <w:b/>
          <w:sz w:val="24"/>
        </w:rPr>
      </w:pPr>
      <w:r>
        <w:rPr>
          <w:rFonts w:hint="eastAsia" w:ascii="宋体" w:cs="宋体"/>
          <w:bCs/>
          <w:sz w:val="24"/>
        </w:rPr>
        <w:t>29.1评标办法：见投标人须知前附表。</w:t>
      </w:r>
    </w:p>
    <w:p>
      <w:pPr>
        <w:spacing w:line="360" w:lineRule="auto"/>
        <w:ind w:firstLine="482" w:firstLineChars="200"/>
        <w:rPr>
          <w:rFonts w:ascii="宋体" w:cs="宋体"/>
          <w:b/>
          <w:sz w:val="24"/>
        </w:rPr>
      </w:pPr>
      <w:r>
        <w:rPr>
          <w:rFonts w:hint="eastAsia" w:ascii="宋体" w:cs="宋体"/>
          <w:b/>
          <w:sz w:val="24"/>
        </w:rPr>
        <w:t>30.评标</w:t>
      </w:r>
    </w:p>
    <w:p>
      <w:pPr>
        <w:spacing w:line="360" w:lineRule="auto"/>
        <w:ind w:firstLine="480" w:firstLineChars="200"/>
        <w:rPr>
          <w:rFonts w:ascii="宋体" w:cs="宋体"/>
          <w:bCs/>
          <w:sz w:val="24"/>
        </w:rPr>
      </w:pPr>
      <w:r>
        <w:rPr>
          <w:rFonts w:hint="eastAsia" w:ascii="宋体" w:cs="宋体"/>
          <w:bCs/>
          <w:sz w:val="24"/>
        </w:rPr>
        <w:t>30.1评标委员会按照第四章“评标方法及评分标准”规定的办法、程序等对投标文件进行评审。第四章“评标方法及评分标准”没有规定的内容，不作为评审依据。</w:t>
      </w:r>
    </w:p>
    <w:p>
      <w:pPr>
        <w:spacing w:line="360" w:lineRule="auto"/>
        <w:ind w:firstLine="480" w:firstLineChars="200"/>
        <w:rPr>
          <w:rFonts w:ascii="宋体" w:cs="宋体"/>
          <w:bCs/>
          <w:sz w:val="24"/>
        </w:rPr>
      </w:pPr>
      <w:r>
        <w:rPr>
          <w:rFonts w:hint="eastAsia" w:ascii="宋体" w:cs="宋体"/>
          <w:sz w:val="24"/>
        </w:rPr>
        <w:t>30.2在投标文件的评审和比较、候选中标人推荐以及授予合同的过程中，投标人向招标人和评标委员会施加影响的任何行为，都将会导致其投标被拒绝。</w:t>
      </w:r>
    </w:p>
    <w:p>
      <w:pPr>
        <w:spacing w:line="360" w:lineRule="auto"/>
        <w:ind w:firstLine="480" w:firstLineChars="200"/>
        <w:rPr>
          <w:rFonts w:ascii="宋体" w:cs="宋体"/>
          <w:bCs/>
          <w:sz w:val="24"/>
        </w:rPr>
      </w:pPr>
      <w:r>
        <w:rPr>
          <w:rFonts w:hint="eastAsia" w:ascii="宋体" w:cs="宋体"/>
          <w:bCs/>
          <w:sz w:val="24"/>
        </w:rPr>
        <w:t>30.3评标完成后，评标委员会应当向招标人提交书面评标报告，</w:t>
      </w:r>
      <w:r>
        <w:rPr>
          <w:rFonts w:hint="eastAsia" w:ascii="宋体" w:cs="宋体"/>
          <w:sz w:val="24"/>
        </w:rPr>
        <w:t>标明中标候选人综合得分排列顺序。</w:t>
      </w:r>
      <w:r>
        <w:rPr>
          <w:rFonts w:hint="eastAsia" w:ascii="宋体" w:cs="宋体"/>
          <w:bCs/>
          <w:sz w:val="24"/>
        </w:rPr>
        <w:t>评标委员会推荐中标候选人的人数见投标人须知前附表。</w:t>
      </w:r>
    </w:p>
    <w:p>
      <w:pPr>
        <w:spacing w:line="360" w:lineRule="auto"/>
        <w:ind w:firstLine="480" w:firstLineChars="200"/>
        <w:rPr>
          <w:rFonts w:ascii="宋体" w:cs="宋体"/>
          <w:bCs/>
          <w:sz w:val="24"/>
        </w:rPr>
      </w:pPr>
      <w:r>
        <w:rPr>
          <w:rFonts w:hint="eastAsia" w:ascii="宋体" w:cs="宋体"/>
          <w:bCs/>
          <w:sz w:val="24"/>
        </w:rPr>
        <w:t>30.4评标委员会对投标文件作出的评审结论，应当符合有关法律、法规、规章和招标文件的规定。</w:t>
      </w:r>
    </w:p>
    <w:p>
      <w:pPr>
        <w:spacing w:line="360" w:lineRule="auto"/>
        <w:ind w:firstLine="482" w:firstLineChars="200"/>
        <w:rPr>
          <w:rFonts w:ascii="宋体" w:cs="宋体"/>
          <w:b/>
          <w:sz w:val="24"/>
        </w:rPr>
      </w:pPr>
      <w:r>
        <w:rPr>
          <w:rFonts w:hint="eastAsia" w:ascii="宋体" w:cs="宋体"/>
          <w:b/>
          <w:sz w:val="24"/>
        </w:rPr>
        <w:t>31.述标</w:t>
      </w:r>
    </w:p>
    <w:p>
      <w:pPr>
        <w:spacing w:line="360" w:lineRule="auto"/>
        <w:ind w:firstLine="480" w:firstLineChars="200"/>
        <w:rPr>
          <w:rFonts w:ascii="宋体" w:cs="宋体"/>
          <w:bCs/>
          <w:sz w:val="24"/>
        </w:rPr>
      </w:pPr>
      <w:r>
        <w:rPr>
          <w:rFonts w:hint="eastAsia" w:ascii="宋体" w:cs="宋体"/>
          <w:bCs/>
          <w:sz w:val="24"/>
        </w:rPr>
        <w:t>31.1述标：见投标人须知前附表。</w:t>
      </w:r>
    </w:p>
    <w:p>
      <w:pPr>
        <w:spacing w:line="360" w:lineRule="auto"/>
        <w:ind w:firstLine="482" w:firstLineChars="200"/>
        <w:rPr>
          <w:rFonts w:ascii="宋体" w:cs="宋体"/>
          <w:sz w:val="24"/>
        </w:rPr>
      </w:pPr>
      <w:r>
        <w:rPr>
          <w:rFonts w:hint="eastAsia" w:ascii="宋体" w:cs="宋体"/>
          <w:b/>
          <w:sz w:val="24"/>
        </w:rPr>
        <w:t>32.投标文件的澄清</w:t>
      </w:r>
    </w:p>
    <w:p>
      <w:pPr>
        <w:spacing w:line="360" w:lineRule="auto"/>
        <w:ind w:firstLine="480"/>
        <w:rPr>
          <w:rFonts w:ascii="宋体" w:cs="宋体"/>
          <w:sz w:val="24"/>
        </w:rPr>
      </w:pPr>
      <w:r>
        <w:rPr>
          <w:rFonts w:hint="eastAsia" w:ascii="宋体" w:cs="宋体"/>
          <w:sz w:val="24"/>
        </w:rPr>
        <w:t>32.1为有助于投标文件的审查、评价和比较，评标委员会可</w:t>
      </w:r>
      <w:r>
        <w:rPr>
          <w:rFonts w:hint="eastAsia" w:ascii="宋体" w:cs="宋体"/>
          <w:bCs/>
          <w:sz w:val="24"/>
          <w:lang w:val="zh-CN"/>
        </w:rPr>
        <w:t>按投标人须</w:t>
      </w:r>
      <w:r>
        <w:rPr>
          <w:rFonts w:hint="eastAsia" w:ascii="宋体" w:cs="宋体"/>
          <w:bCs/>
          <w:sz w:val="24"/>
        </w:rPr>
        <w:t>知</w:t>
      </w:r>
      <w:r>
        <w:rPr>
          <w:rFonts w:hint="eastAsia" w:ascii="宋体" w:cs="宋体"/>
          <w:bCs/>
          <w:sz w:val="24"/>
          <w:lang w:val="zh-CN"/>
        </w:rPr>
        <w:t>前附表</w:t>
      </w:r>
      <w:r>
        <w:rPr>
          <w:rFonts w:hint="eastAsia" w:ascii="宋体" w:cs="宋体"/>
          <w:bCs/>
          <w:sz w:val="24"/>
        </w:rPr>
        <w:t>的规定，</w:t>
      </w:r>
      <w:r>
        <w:rPr>
          <w:rFonts w:hint="eastAsia" w:ascii="宋体" w:cs="宋体"/>
          <w:sz w:val="24"/>
        </w:rPr>
        <w:t>要求投标人对投标文件含义不明确的内容作必要的澄清或说明，投标人应按照</w:t>
      </w:r>
      <w:r>
        <w:rPr>
          <w:rFonts w:hint="eastAsia" w:ascii="宋体" w:cs="宋体"/>
          <w:bCs/>
          <w:sz w:val="24"/>
          <w:lang w:val="zh-CN"/>
        </w:rPr>
        <w:t>投标人须</w:t>
      </w:r>
      <w:r>
        <w:rPr>
          <w:rFonts w:hint="eastAsia" w:ascii="宋体" w:cs="宋体"/>
          <w:bCs/>
          <w:sz w:val="24"/>
        </w:rPr>
        <w:t>知</w:t>
      </w:r>
      <w:r>
        <w:rPr>
          <w:rFonts w:hint="eastAsia" w:ascii="宋体" w:cs="宋体"/>
          <w:bCs/>
          <w:sz w:val="24"/>
          <w:lang w:val="zh-CN"/>
        </w:rPr>
        <w:t>前附表</w:t>
      </w:r>
      <w:r>
        <w:rPr>
          <w:rFonts w:hint="eastAsia" w:ascii="宋体" w:cs="宋体"/>
          <w:sz w:val="24"/>
        </w:rPr>
        <w:t>规定的方式进行澄清或说明，但不得超出投标文件的范围或改变投标文件的实质性内容。</w:t>
      </w:r>
    </w:p>
    <w:p>
      <w:pPr>
        <w:spacing w:line="360" w:lineRule="auto"/>
        <w:ind w:firstLine="482" w:firstLineChars="200"/>
        <w:rPr>
          <w:rFonts w:ascii="宋体" w:cs="宋体"/>
          <w:b/>
          <w:sz w:val="24"/>
        </w:rPr>
      </w:pPr>
      <w:r>
        <w:rPr>
          <w:rFonts w:hint="eastAsia" w:ascii="宋体" w:cs="宋体"/>
          <w:b/>
          <w:sz w:val="24"/>
        </w:rPr>
        <w:t>33.评标过程的保密</w:t>
      </w:r>
    </w:p>
    <w:p>
      <w:pPr>
        <w:spacing w:line="360" w:lineRule="auto"/>
        <w:ind w:firstLine="480" w:firstLineChars="200"/>
        <w:rPr>
          <w:rFonts w:ascii="宋体" w:cs="宋体"/>
          <w:sz w:val="24"/>
        </w:rPr>
      </w:pPr>
      <w:r>
        <w:rPr>
          <w:rFonts w:hint="eastAsia" w:ascii="宋体" w:cs="宋体"/>
          <w:sz w:val="24"/>
        </w:rPr>
        <w:t>33.1评标采用保密方式进行。开标后，直至授予中标人合同为止，凡属于对投标文件的审查、澄清、评价和比较的有关资料、中标候选人推荐情况、涉及的国家秘密和商业秘密信息及与评标有关的其他任何情况，均应严格保密。</w:t>
      </w:r>
    </w:p>
    <w:p>
      <w:pPr>
        <w:spacing w:line="360" w:lineRule="auto"/>
        <w:ind w:firstLine="480" w:firstLineChars="200"/>
        <w:rPr>
          <w:rFonts w:ascii="宋体" w:cs="宋体"/>
          <w:sz w:val="24"/>
        </w:rPr>
      </w:pPr>
      <w:r>
        <w:rPr>
          <w:rFonts w:hint="eastAsia" w:ascii="宋体" w:cs="宋体"/>
          <w:sz w:val="24"/>
        </w:rPr>
        <w:t>33.2中标人确定后，招标人不对未中标人就评标过程以及未能中标原因作出任何解释。未中标人不得向评标委员会组成人员或其他有关人员索问评标过程的情况和材料。</w:t>
      </w:r>
    </w:p>
    <w:p>
      <w:pPr>
        <w:pStyle w:val="3"/>
      </w:pPr>
      <w:bookmarkStart w:id="88" w:name="_Toc10587"/>
      <w:bookmarkStart w:id="89" w:name="_Toc5522"/>
      <w:r>
        <w:rPr>
          <w:rFonts w:hint="eastAsia"/>
        </w:rPr>
        <w:t>七、定标</w:t>
      </w:r>
      <w:bookmarkEnd w:id="88"/>
      <w:bookmarkEnd w:id="89"/>
    </w:p>
    <w:p>
      <w:pPr>
        <w:widowControl/>
        <w:snapToGrid w:val="0"/>
        <w:spacing w:line="360" w:lineRule="auto"/>
        <w:ind w:firstLine="482" w:firstLineChars="200"/>
        <w:rPr>
          <w:rFonts w:ascii="宋体" w:cs="宋体"/>
          <w:b/>
          <w:bCs/>
          <w:sz w:val="24"/>
        </w:rPr>
      </w:pPr>
      <w:r>
        <w:rPr>
          <w:rFonts w:hint="eastAsia" w:ascii="宋体" w:cs="宋体"/>
          <w:b/>
          <w:bCs/>
          <w:sz w:val="24"/>
        </w:rPr>
        <w:t>34.评标结果公示</w:t>
      </w:r>
    </w:p>
    <w:p>
      <w:pPr>
        <w:spacing w:line="360" w:lineRule="auto"/>
        <w:ind w:firstLine="480" w:firstLineChars="200"/>
        <w:rPr>
          <w:rFonts w:ascii="宋体" w:cs="宋体"/>
          <w:sz w:val="24"/>
        </w:rPr>
      </w:pPr>
      <w:r>
        <w:rPr>
          <w:rFonts w:hint="eastAsia" w:ascii="宋体" w:cs="宋体"/>
          <w:sz w:val="24"/>
        </w:rPr>
        <w:t>34.1招标人或其委托的招标代理机构根据评标委员会推荐的中标候选人情况，发布标明中标候选人顺序的《评标结果公示》，公示期不少于3个工作日，发布媒介同招标公告发布媒介。</w:t>
      </w:r>
    </w:p>
    <w:p>
      <w:pPr>
        <w:widowControl/>
        <w:snapToGrid w:val="0"/>
        <w:spacing w:line="360" w:lineRule="auto"/>
        <w:ind w:firstLine="435"/>
        <w:rPr>
          <w:rFonts w:ascii="宋体" w:cs="宋体"/>
          <w:b/>
          <w:bCs/>
          <w:sz w:val="24"/>
        </w:rPr>
      </w:pPr>
      <w:r>
        <w:rPr>
          <w:rFonts w:hint="eastAsia" w:ascii="宋体" w:cs="宋体"/>
          <w:b/>
          <w:bCs/>
          <w:sz w:val="24"/>
        </w:rPr>
        <w:t>35.定标原则</w:t>
      </w:r>
    </w:p>
    <w:p>
      <w:pPr>
        <w:widowControl/>
        <w:snapToGrid w:val="0"/>
        <w:spacing w:line="360" w:lineRule="auto"/>
        <w:ind w:firstLine="435"/>
        <w:rPr>
          <w:rFonts w:ascii="宋体" w:cs="宋体"/>
          <w:sz w:val="24"/>
          <w:u w:val="single"/>
        </w:rPr>
      </w:pPr>
      <w:r>
        <w:rPr>
          <w:rFonts w:hint="eastAsia" w:ascii="宋体" w:cs="宋体"/>
          <w:sz w:val="24"/>
        </w:rPr>
        <w:t>35.1招标人坚持最终得分排名第一的中标候选人为中标人的定标原则。</w:t>
      </w:r>
      <w:r>
        <w:rPr>
          <w:rFonts w:hint="eastAsia" w:ascii="宋体" w:cs="宋体"/>
          <w:sz w:val="24"/>
          <w:u w:val="single"/>
        </w:rPr>
        <w:t>供应商入围项目将最终得分排名在入围范围的中标候选人作为中标人。</w:t>
      </w:r>
    </w:p>
    <w:p>
      <w:pPr>
        <w:widowControl/>
        <w:snapToGrid w:val="0"/>
        <w:spacing w:line="360" w:lineRule="auto"/>
        <w:ind w:firstLine="435"/>
        <w:rPr>
          <w:rFonts w:ascii="宋体" w:cs="宋体"/>
          <w:b/>
          <w:bCs/>
          <w:sz w:val="24"/>
        </w:rPr>
      </w:pPr>
      <w:r>
        <w:rPr>
          <w:rFonts w:hint="eastAsia" w:ascii="宋体" w:cs="宋体"/>
          <w:b/>
          <w:bCs/>
          <w:sz w:val="24"/>
        </w:rPr>
        <w:t>36.定标办法</w:t>
      </w:r>
    </w:p>
    <w:p>
      <w:pPr>
        <w:widowControl/>
        <w:snapToGrid w:val="0"/>
        <w:spacing w:line="360" w:lineRule="auto"/>
        <w:ind w:firstLine="435"/>
        <w:rPr>
          <w:rFonts w:ascii="宋体" w:cs="宋体"/>
          <w:sz w:val="24"/>
        </w:rPr>
      </w:pPr>
      <w:r>
        <w:rPr>
          <w:rFonts w:hint="eastAsia" w:ascii="宋体" w:cs="宋体"/>
          <w:sz w:val="24"/>
        </w:rPr>
        <w:t>36.1排名在前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widowControl/>
        <w:snapToGrid w:val="0"/>
        <w:spacing w:line="360" w:lineRule="auto"/>
        <w:ind w:firstLine="435"/>
        <w:rPr>
          <w:rFonts w:ascii="宋体" w:cs="宋体"/>
          <w:b/>
          <w:sz w:val="24"/>
        </w:rPr>
      </w:pPr>
      <w:r>
        <w:rPr>
          <w:rFonts w:hint="eastAsia" w:ascii="宋体" w:cs="宋体"/>
          <w:sz w:val="24"/>
        </w:rPr>
        <w:t>36.2中标候选人因不可抗力之外的原因放弃中标权的，其投标保证金不予退还，投标保证金不能弥补由于其放弃中标权而给招标人造成报价得差额损失的，由放弃中标权的中标候选人承担。</w:t>
      </w:r>
    </w:p>
    <w:p>
      <w:pPr>
        <w:widowControl/>
        <w:snapToGrid w:val="0"/>
        <w:spacing w:line="360" w:lineRule="auto"/>
        <w:ind w:firstLine="435"/>
        <w:rPr>
          <w:rFonts w:ascii="宋体" w:cs="宋体"/>
          <w:b/>
          <w:sz w:val="24"/>
        </w:rPr>
      </w:pPr>
      <w:r>
        <w:rPr>
          <w:rFonts w:hint="eastAsia" w:ascii="宋体" w:cs="宋体"/>
          <w:b/>
          <w:sz w:val="24"/>
        </w:rPr>
        <w:t>37.中标通知</w:t>
      </w:r>
    </w:p>
    <w:p>
      <w:pPr>
        <w:widowControl/>
        <w:snapToGrid w:val="0"/>
        <w:spacing w:line="360" w:lineRule="auto"/>
        <w:ind w:firstLine="435"/>
        <w:rPr>
          <w:rFonts w:ascii="宋体" w:cs="宋体"/>
          <w:sz w:val="24"/>
        </w:rPr>
      </w:pPr>
      <w:r>
        <w:rPr>
          <w:rFonts w:hint="eastAsia" w:ascii="宋体" w:cs="宋体"/>
          <w:sz w:val="24"/>
        </w:rPr>
        <w:t>37.1评标结果公示期满不影响结果的，招标人或其委托的招标代理机构在与招标公告相同的发布媒介发布《中标结果公告》，并向中标人发出《中标通知书》，但发出时间不超过投标有效期。</w:t>
      </w:r>
    </w:p>
    <w:p>
      <w:pPr>
        <w:pStyle w:val="3"/>
      </w:pPr>
      <w:bookmarkStart w:id="90" w:name="_Toc28561"/>
      <w:bookmarkStart w:id="91" w:name="_Toc105594496"/>
      <w:bookmarkStart w:id="92" w:name="_Toc21187"/>
      <w:bookmarkStart w:id="93" w:name="_Toc3127"/>
      <w:bookmarkStart w:id="94" w:name="_Toc5014"/>
      <w:r>
        <w:rPr>
          <w:rFonts w:hint="eastAsia"/>
        </w:rPr>
        <w:t>八、合同授予</w:t>
      </w:r>
      <w:bookmarkEnd w:id="90"/>
      <w:bookmarkEnd w:id="91"/>
      <w:bookmarkEnd w:id="92"/>
      <w:bookmarkEnd w:id="93"/>
      <w:bookmarkEnd w:id="94"/>
    </w:p>
    <w:p>
      <w:pPr>
        <w:snapToGrid w:val="0"/>
        <w:spacing w:line="360" w:lineRule="auto"/>
        <w:ind w:right="-21" w:rightChars="-10" w:firstLine="482" w:firstLineChars="200"/>
        <w:rPr>
          <w:rFonts w:ascii="宋体" w:cs="宋体"/>
          <w:b/>
          <w:sz w:val="24"/>
        </w:rPr>
      </w:pPr>
      <w:r>
        <w:rPr>
          <w:rFonts w:hint="eastAsia" w:ascii="宋体" w:cs="宋体"/>
          <w:b/>
          <w:sz w:val="24"/>
        </w:rPr>
        <w:t>38.最终资格审查</w:t>
      </w:r>
    </w:p>
    <w:p>
      <w:pPr>
        <w:snapToGrid w:val="0"/>
        <w:spacing w:line="360" w:lineRule="auto"/>
        <w:ind w:right="-21" w:rightChars="-10" w:firstLine="480" w:firstLineChars="200"/>
        <w:rPr>
          <w:rFonts w:ascii="宋体" w:cs="宋体"/>
          <w:sz w:val="24"/>
        </w:rPr>
      </w:pPr>
      <w:r>
        <w:rPr>
          <w:rFonts w:hint="eastAsia" w:ascii="宋体" w:cs="宋体"/>
          <w:sz w:val="24"/>
        </w:rPr>
        <w:t>38.1招标人可以审查中标人的资质、服务、能力及信誉等，确定其是否能圆满地履行合同。</w:t>
      </w:r>
    </w:p>
    <w:p>
      <w:pPr>
        <w:snapToGrid w:val="0"/>
        <w:spacing w:line="360" w:lineRule="auto"/>
        <w:ind w:right="-21" w:rightChars="-10" w:firstLine="480"/>
        <w:rPr>
          <w:rFonts w:ascii="宋体" w:cs="宋体"/>
          <w:b/>
          <w:sz w:val="24"/>
        </w:rPr>
      </w:pPr>
      <w:r>
        <w:rPr>
          <w:rFonts w:hint="eastAsia" w:ascii="宋体" w:cs="宋体"/>
          <w:b/>
          <w:sz w:val="24"/>
        </w:rPr>
        <w:t>39.接受和拒绝任何或所有投标的权利</w:t>
      </w:r>
    </w:p>
    <w:p>
      <w:pPr>
        <w:spacing w:line="360" w:lineRule="auto"/>
        <w:ind w:right="-21" w:rightChars="-10" w:firstLine="480" w:firstLineChars="200"/>
        <w:rPr>
          <w:rFonts w:ascii="宋体" w:cs="宋体"/>
          <w:sz w:val="24"/>
        </w:rPr>
      </w:pPr>
      <w:r>
        <w:rPr>
          <w:rFonts w:hint="eastAsia" w:ascii="宋体" w:cs="宋体"/>
          <w:sz w:val="24"/>
        </w:rPr>
        <w:t>39.1为维护国家利益，招标人在授予合同之前仍有选择或拒绝任何或全部投标的权利，并对所采取的行为不作任何解释。</w:t>
      </w:r>
    </w:p>
    <w:p>
      <w:pPr>
        <w:spacing w:line="360" w:lineRule="auto"/>
        <w:ind w:right="-21" w:rightChars="-10" w:firstLine="482" w:firstLineChars="200"/>
        <w:rPr>
          <w:rFonts w:ascii="宋体" w:cs="宋体"/>
          <w:b/>
          <w:sz w:val="24"/>
        </w:rPr>
      </w:pPr>
      <w:r>
        <w:rPr>
          <w:rFonts w:hint="eastAsia" w:ascii="宋体" w:cs="宋体"/>
          <w:b/>
          <w:sz w:val="24"/>
        </w:rPr>
        <w:t>40.授予中标协议时变更数量的权利</w:t>
      </w:r>
    </w:p>
    <w:p>
      <w:pPr>
        <w:spacing w:line="360" w:lineRule="auto"/>
        <w:ind w:firstLine="480" w:firstLineChars="200"/>
        <w:rPr>
          <w:rFonts w:ascii="宋体" w:cs="宋体"/>
          <w:sz w:val="24"/>
        </w:rPr>
      </w:pPr>
      <w:r>
        <w:rPr>
          <w:rFonts w:hint="eastAsia" w:ascii="宋体" w:cs="宋体"/>
          <w:sz w:val="24"/>
        </w:rPr>
        <w:t>40.1招标人在授予合同时有权对“招标内容及要求”中的货物数量和服务予以增加或减少。</w:t>
      </w:r>
    </w:p>
    <w:p>
      <w:pPr>
        <w:spacing w:line="360" w:lineRule="auto"/>
        <w:ind w:firstLine="482" w:firstLineChars="200"/>
        <w:rPr>
          <w:rFonts w:ascii="宋体" w:cs="宋体"/>
          <w:b/>
          <w:sz w:val="24"/>
        </w:rPr>
      </w:pPr>
      <w:r>
        <w:rPr>
          <w:rFonts w:hint="eastAsia" w:ascii="宋体" w:cs="宋体"/>
          <w:b/>
          <w:sz w:val="24"/>
        </w:rPr>
        <w:t>41.合同签订</w:t>
      </w:r>
    </w:p>
    <w:p>
      <w:pPr>
        <w:adjustRightInd w:val="0"/>
        <w:spacing w:line="360" w:lineRule="auto"/>
        <w:ind w:firstLine="480" w:firstLineChars="200"/>
        <w:rPr>
          <w:rFonts w:ascii="宋体" w:cs="宋体"/>
          <w:sz w:val="24"/>
        </w:rPr>
      </w:pPr>
      <w:r>
        <w:rPr>
          <w:rFonts w:hint="eastAsia" w:ascii="宋体" w:cs="宋体"/>
          <w:sz w:val="24"/>
        </w:rPr>
        <w:t>41.1招标人和中标人应当自《中标通知书》发出之日起30日历天内，按照招标文件和中标人的投标文件签订合同，所签订的合同不得对招标文件和中标人投标文件作实质性修改。</w:t>
      </w:r>
    </w:p>
    <w:p>
      <w:pPr>
        <w:spacing w:line="360" w:lineRule="auto"/>
        <w:ind w:firstLine="480" w:firstLineChars="200"/>
        <w:rPr>
          <w:rFonts w:ascii="宋体" w:cs="宋体"/>
          <w:sz w:val="24"/>
        </w:rPr>
      </w:pPr>
      <w:r>
        <w:rPr>
          <w:rFonts w:hint="eastAsia" w:ascii="宋体" w:cs="宋体"/>
          <w:sz w:val="24"/>
        </w:rPr>
        <w:t>41.2招标文件、中标人的投标文件及其澄清文件、补充文件等，均为</w:t>
      </w:r>
      <w:r>
        <w:rPr>
          <w:rFonts w:hint="eastAsia" w:ascii="宋体" w:cs="宋体"/>
          <w:bCs/>
          <w:sz w:val="24"/>
        </w:rPr>
        <w:t>合同</w:t>
      </w:r>
      <w:r>
        <w:rPr>
          <w:rFonts w:hint="eastAsia" w:ascii="宋体" w:cs="宋体"/>
          <w:sz w:val="24"/>
        </w:rPr>
        <w:t>签订的依据。</w:t>
      </w:r>
    </w:p>
    <w:p>
      <w:pPr>
        <w:spacing w:line="360" w:lineRule="auto"/>
        <w:ind w:firstLine="480" w:firstLineChars="200"/>
        <w:rPr>
          <w:rFonts w:ascii="宋体" w:cs="宋体"/>
          <w:sz w:val="24"/>
        </w:rPr>
      </w:pPr>
      <w:r>
        <w:rPr>
          <w:rFonts w:hint="eastAsia" w:ascii="宋体" w:cs="宋体"/>
          <w:sz w:val="24"/>
        </w:rPr>
        <w:t>41.3中标人不遵守招标文件或投标文件的要约、承诺，擅自修改报价，或在《中标通知书》发出后30日历天内借故拖延、拒签协议的，招标人将取消其中标资格，并将依法另选其他中标候选人中标或重新组织招标。</w:t>
      </w:r>
    </w:p>
    <w:p>
      <w:pPr>
        <w:snapToGrid w:val="0"/>
        <w:spacing w:line="360" w:lineRule="auto"/>
        <w:ind w:firstLine="480" w:firstLineChars="200"/>
        <w:rPr>
          <w:rFonts w:ascii="宋体" w:cs="宋体"/>
          <w:sz w:val="24"/>
        </w:rPr>
      </w:pPr>
      <w:r>
        <w:rPr>
          <w:rFonts w:hint="eastAsia" w:ascii="宋体" w:cs="宋体"/>
          <w:sz w:val="24"/>
        </w:rPr>
        <w:t>41.4</w:t>
      </w:r>
      <w:r>
        <w:rPr>
          <w:rFonts w:hint="eastAsia" w:ascii="宋体" w:cs="宋体"/>
          <w:bCs/>
          <w:sz w:val="24"/>
        </w:rPr>
        <w:t>合同</w:t>
      </w:r>
      <w:r>
        <w:rPr>
          <w:rFonts w:hint="eastAsia" w:ascii="宋体" w:cs="宋体"/>
          <w:sz w:val="24"/>
        </w:rPr>
        <w:t>签订后即为招标结束。</w:t>
      </w:r>
    </w:p>
    <w:p>
      <w:pPr>
        <w:snapToGrid w:val="0"/>
        <w:spacing w:line="360" w:lineRule="auto"/>
        <w:ind w:right="-21" w:rightChars="-10" w:firstLine="480"/>
        <w:rPr>
          <w:rFonts w:ascii="宋体" w:cs="宋体"/>
          <w:b/>
          <w:sz w:val="24"/>
        </w:rPr>
      </w:pPr>
      <w:r>
        <w:rPr>
          <w:rFonts w:hint="eastAsia" w:ascii="宋体" w:cs="宋体"/>
          <w:b/>
          <w:sz w:val="24"/>
        </w:rPr>
        <w:t>42.服务期</w:t>
      </w:r>
    </w:p>
    <w:p>
      <w:pPr>
        <w:snapToGrid w:val="0"/>
        <w:spacing w:line="360" w:lineRule="auto"/>
        <w:ind w:right="-21" w:rightChars="-10" w:firstLine="480"/>
        <w:rPr>
          <w:rFonts w:ascii="宋体" w:cs="宋体"/>
          <w:bCs/>
          <w:sz w:val="24"/>
        </w:rPr>
      </w:pPr>
      <w:r>
        <w:rPr>
          <w:rFonts w:hint="eastAsia" w:ascii="宋体" w:cs="宋体"/>
          <w:bCs/>
          <w:sz w:val="24"/>
        </w:rPr>
        <w:t>42.1服务期：见投标人须知前附表。</w:t>
      </w:r>
    </w:p>
    <w:p>
      <w:pPr>
        <w:snapToGrid w:val="0"/>
        <w:spacing w:line="360" w:lineRule="auto"/>
        <w:ind w:right="-21" w:rightChars="-10" w:firstLine="480"/>
        <w:rPr>
          <w:rFonts w:ascii="宋体" w:cs="宋体"/>
          <w:b/>
          <w:sz w:val="24"/>
        </w:rPr>
      </w:pPr>
      <w:r>
        <w:rPr>
          <w:rFonts w:hint="eastAsia" w:ascii="宋体" w:cs="宋体"/>
          <w:b/>
          <w:sz w:val="24"/>
        </w:rPr>
        <w:t>43.质量保证期</w:t>
      </w:r>
    </w:p>
    <w:p>
      <w:pPr>
        <w:snapToGrid w:val="0"/>
        <w:spacing w:line="360" w:lineRule="auto"/>
        <w:ind w:right="-21" w:rightChars="-10" w:firstLine="480"/>
        <w:rPr>
          <w:rFonts w:ascii="宋体" w:cs="宋体"/>
          <w:b/>
          <w:sz w:val="24"/>
        </w:rPr>
      </w:pPr>
      <w:r>
        <w:rPr>
          <w:rFonts w:hint="eastAsia" w:ascii="宋体" w:cs="宋体"/>
          <w:bCs/>
          <w:sz w:val="24"/>
        </w:rPr>
        <w:t>43.1质量保证期：见投标人须知前附表。</w:t>
      </w:r>
    </w:p>
    <w:p>
      <w:pPr>
        <w:snapToGrid w:val="0"/>
        <w:spacing w:line="360" w:lineRule="auto"/>
        <w:ind w:right="-21" w:rightChars="-10" w:firstLine="480"/>
        <w:rPr>
          <w:rFonts w:ascii="宋体" w:cs="宋体"/>
          <w:b/>
          <w:sz w:val="24"/>
        </w:rPr>
      </w:pPr>
      <w:r>
        <w:rPr>
          <w:rFonts w:hint="eastAsia" w:ascii="宋体" w:cs="宋体"/>
          <w:b/>
          <w:sz w:val="24"/>
        </w:rPr>
        <w:t>44.履约保证金</w:t>
      </w:r>
    </w:p>
    <w:p>
      <w:pPr>
        <w:spacing w:line="360" w:lineRule="auto"/>
        <w:ind w:right="-21" w:rightChars="-10" w:firstLine="480" w:firstLineChars="200"/>
        <w:rPr>
          <w:rFonts w:ascii="宋体" w:cs="宋体"/>
          <w:sz w:val="24"/>
        </w:rPr>
      </w:pPr>
      <w:r>
        <w:rPr>
          <w:rFonts w:hint="eastAsia" w:ascii="宋体" w:cs="宋体"/>
          <w:sz w:val="24"/>
        </w:rPr>
        <w:t>44.1履约保证金：见投标人须知前附表。</w:t>
      </w:r>
    </w:p>
    <w:p>
      <w:pPr>
        <w:snapToGrid w:val="0"/>
        <w:spacing w:line="360" w:lineRule="auto"/>
        <w:ind w:right="-21" w:rightChars="-10" w:firstLine="480"/>
        <w:rPr>
          <w:rFonts w:ascii="宋体" w:cs="宋体"/>
          <w:b/>
          <w:sz w:val="24"/>
        </w:rPr>
      </w:pPr>
      <w:r>
        <w:rPr>
          <w:rFonts w:hint="eastAsia" w:ascii="宋体" w:cs="宋体"/>
          <w:b/>
          <w:sz w:val="24"/>
        </w:rPr>
        <w:t>45.工程质量保证金</w:t>
      </w:r>
    </w:p>
    <w:p>
      <w:pPr>
        <w:spacing w:line="360" w:lineRule="auto"/>
        <w:ind w:right="-21" w:rightChars="-10" w:firstLine="480" w:firstLineChars="200"/>
        <w:rPr>
          <w:rFonts w:ascii="宋体"/>
          <w:b/>
          <w:sz w:val="24"/>
        </w:rPr>
      </w:pPr>
      <w:r>
        <w:rPr>
          <w:rFonts w:hint="eastAsia" w:ascii="宋体" w:cs="宋体"/>
          <w:sz w:val="24"/>
        </w:rPr>
        <w:t>45.1工程质量保证金：见投标人须知前附表。</w:t>
      </w:r>
    </w:p>
    <w:p>
      <w:pPr>
        <w:spacing w:line="360" w:lineRule="auto"/>
        <w:ind w:firstLine="482" w:firstLineChars="200"/>
        <w:rPr>
          <w:rFonts w:ascii="宋体"/>
          <w:b/>
          <w:sz w:val="24"/>
        </w:rPr>
      </w:pPr>
      <w:r>
        <w:rPr>
          <w:rFonts w:hint="eastAsia" w:ascii="宋体"/>
          <w:b/>
          <w:sz w:val="24"/>
        </w:rPr>
        <w:t>46.招标代理服务费</w:t>
      </w:r>
    </w:p>
    <w:p>
      <w:pPr>
        <w:spacing w:line="360" w:lineRule="auto"/>
        <w:ind w:right="-21" w:rightChars="-10" w:firstLine="480" w:firstLineChars="200"/>
        <w:rPr>
          <w:rFonts w:ascii="宋体"/>
          <w:b/>
          <w:sz w:val="24"/>
        </w:rPr>
      </w:pPr>
      <w:r>
        <w:rPr>
          <w:rFonts w:hint="eastAsia" w:ascii="宋体" w:cs="宋体"/>
          <w:sz w:val="24"/>
        </w:rPr>
        <w:t>46.1招标代理服务费：见投标人须知前附表。</w:t>
      </w:r>
    </w:p>
    <w:p>
      <w:pPr>
        <w:pStyle w:val="3"/>
      </w:pPr>
      <w:bookmarkStart w:id="95" w:name="_Toc18130"/>
      <w:bookmarkStart w:id="96" w:name="_Toc30114"/>
      <w:bookmarkStart w:id="97" w:name="_Toc383676709"/>
      <w:bookmarkStart w:id="98" w:name="_Toc445411487"/>
      <w:bookmarkStart w:id="99" w:name="_Toc334780913"/>
      <w:r>
        <w:rPr>
          <w:rFonts w:hint="eastAsia"/>
        </w:rPr>
        <w:t>九、招标失败</w:t>
      </w:r>
      <w:bookmarkEnd w:id="95"/>
      <w:bookmarkEnd w:id="96"/>
    </w:p>
    <w:p>
      <w:pPr>
        <w:spacing w:line="360" w:lineRule="auto"/>
        <w:ind w:right="-21" w:rightChars="-10" w:firstLine="482" w:firstLineChars="200"/>
        <w:rPr>
          <w:rFonts w:ascii="宋体"/>
          <w:b/>
          <w:sz w:val="24"/>
        </w:rPr>
      </w:pPr>
      <w:r>
        <w:rPr>
          <w:rFonts w:hint="eastAsia" w:ascii="宋体"/>
          <w:b/>
          <w:sz w:val="24"/>
        </w:rPr>
        <w:t>47.招标失败的情形</w:t>
      </w:r>
    </w:p>
    <w:p>
      <w:pPr>
        <w:spacing w:line="360" w:lineRule="auto"/>
        <w:ind w:right="-21" w:rightChars="-10" w:firstLine="480" w:firstLineChars="200"/>
        <w:rPr>
          <w:rFonts w:ascii="宋体"/>
          <w:sz w:val="24"/>
        </w:rPr>
      </w:pPr>
      <w:r>
        <w:rPr>
          <w:rFonts w:hint="eastAsia" w:ascii="宋体"/>
          <w:sz w:val="24"/>
        </w:rPr>
        <w:t>47.1有下列情形之一的，本次项目招标失败：</w:t>
      </w:r>
    </w:p>
    <w:p>
      <w:pPr>
        <w:spacing w:line="360" w:lineRule="auto"/>
        <w:ind w:right="-21" w:rightChars="-10" w:firstLine="480" w:firstLineChars="200"/>
        <w:rPr>
          <w:rFonts w:ascii="宋体" w:cs="宋体"/>
          <w:sz w:val="24"/>
        </w:rPr>
      </w:pPr>
      <w:r>
        <w:rPr>
          <w:rFonts w:hint="eastAsia" w:ascii="宋体" w:cs="宋体"/>
          <w:sz w:val="24"/>
        </w:rPr>
        <w:t>（1）招标文件的内容不符合法律法规的规定或存在重大缺陷影响潜在投标人投标的；</w:t>
      </w:r>
    </w:p>
    <w:p>
      <w:pPr>
        <w:spacing w:line="360" w:lineRule="auto"/>
        <w:ind w:right="-21" w:rightChars="-10" w:firstLine="480" w:firstLineChars="200"/>
        <w:rPr>
          <w:rFonts w:ascii="宋体" w:cs="宋体"/>
          <w:sz w:val="24"/>
        </w:rPr>
      </w:pPr>
      <w:r>
        <w:rPr>
          <w:rFonts w:hint="eastAsia" w:ascii="宋体" w:cs="宋体"/>
          <w:sz w:val="24"/>
        </w:rPr>
        <w:t>（2）至投标截止时间，投标人数不足</w:t>
      </w:r>
      <w:r>
        <w:rPr>
          <w:rFonts w:hint="eastAsia" w:ascii="宋体" w:cs="宋体"/>
          <w:sz w:val="24"/>
          <w:u w:val="single"/>
        </w:rPr>
        <w:t xml:space="preserve"> 3 </w:t>
      </w:r>
      <w:r>
        <w:rPr>
          <w:rFonts w:hint="eastAsia" w:ascii="宋体" w:cs="宋体"/>
          <w:sz w:val="24"/>
        </w:rPr>
        <w:t>家的；</w:t>
      </w:r>
    </w:p>
    <w:p>
      <w:pPr>
        <w:spacing w:line="360" w:lineRule="auto"/>
        <w:ind w:right="-21" w:rightChars="-10" w:firstLine="480" w:firstLineChars="200"/>
        <w:rPr>
          <w:rFonts w:ascii="宋体" w:cs="宋体"/>
          <w:sz w:val="24"/>
        </w:rPr>
      </w:pPr>
      <w:r>
        <w:rPr>
          <w:rFonts w:hint="eastAsia" w:ascii="宋体" w:cs="宋体"/>
          <w:sz w:val="24"/>
        </w:rPr>
        <w:t>（3）经评标委员会评审后，有效投标人不足</w:t>
      </w:r>
      <w:r>
        <w:rPr>
          <w:rFonts w:hint="eastAsia" w:ascii="宋体" w:cs="宋体"/>
          <w:sz w:val="24"/>
          <w:u w:val="single"/>
        </w:rPr>
        <w:t xml:space="preserve"> 3 </w:t>
      </w:r>
      <w:r>
        <w:rPr>
          <w:rFonts w:hint="eastAsia" w:ascii="宋体" w:cs="宋体"/>
          <w:sz w:val="24"/>
        </w:rPr>
        <w:t>家或不符合招标文件要求的；</w:t>
      </w:r>
    </w:p>
    <w:p>
      <w:pPr>
        <w:spacing w:line="360" w:lineRule="auto"/>
        <w:ind w:right="-21" w:rightChars="-10" w:firstLine="480" w:firstLineChars="200"/>
      </w:pPr>
      <w:r>
        <w:rPr>
          <w:rFonts w:hint="eastAsia" w:ascii="宋体" w:cs="宋体"/>
          <w:sz w:val="24"/>
        </w:rPr>
        <w:t>（4）中标候选人放弃中标或不符合中标条件，招标人未选择其余中标候选人的。</w:t>
      </w:r>
    </w:p>
    <w:p>
      <w:pPr>
        <w:pStyle w:val="3"/>
      </w:pPr>
      <w:bookmarkStart w:id="100" w:name="_Toc26606"/>
      <w:bookmarkStart w:id="101" w:name="_Toc25283"/>
      <w:r>
        <w:rPr>
          <w:rFonts w:hint="eastAsia"/>
        </w:rPr>
        <w:t>十、质疑和投诉</w:t>
      </w:r>
      <w:bookmarkEnd w:id="100"/>
      <w:bookmarkEnd w:id="101"/>
    </w:p>
    <w:p>
      <w:pPr>
        <w:snapToGrid w:val="0"/>
        <w:spacing w:line="360" w:lineRule="auto"/>
        <w:ind w:right="-21" w:rightChars="-10" w:firstLine="480"/>
        <w:rPr>
          <w:rFonts w:ascii="宋体" w:cs="宋体"/>
          <w:b/>
          <w:sz w:val="24"/>
        </w:rPr>
      </w:pPr>
      <w:r>
        <w:rPr>
          <w:rFonts w:hint="eastAsia" w:ascii="宋体" w:cs="宋体"/>
          <w:b/>
          <w:sz w:val="24"/>
          <w:lang w:bidi="ar"/>
        </w:rPr>
        <w:t>48．质疑</w:t>
      </w:r>
    </w:p>
    <w:p>
      <w:pPr>
        <w:snapToGrid w:val="0"/>
        <w:spacing w:line="360" w:lineRule="auto"/>
        <w:ind w:firstLine="480" w:firstLineChars="200"/>
        <w:rPr>
          <w:rFonts w:ascii="宋体" w:cs="宋体"/>
          <w:bCs/>
          <w:sz w:val="24"/>
          <w:lang w:bidi="ar"/>
        </w:rPr>
      </w:pPr>
      <w:r>
        <w:rPr>
          <w:rFonts w:hint="eastAsia" w:ascii="宋体" w:cs="宋体"/>
          <w:sz w:val="24"/>
          <w:lang w:bidi="ar"/>
        </w:rPr>
        <w:t>48.1</w:t>
      </w:r>
      <w:r>
        <w:rPr>
          <w:rFonts w:hint="eastAsia" w:ascii="宋体" w:cs="宋体"/>
          <w:bCs/>
          <w:sz w:val="24"/>
          <w:lang w:val="zh-CN"/>
        </w:rPr>
        <w:t>投标人</w:t>
      </w:r>
      <w:r>
        <w:rPr>
          <w:rFonts w:hint="eastAsia" w:ascii="宋体" w:cs="宋体"/>
          <w:bCs/>
          <w:sz w:val="24"/>
          <w:lang w:bidi="ar"/>
        </w:rPr>
        <w:t>认为招标公告、招标文件、采购过程和评标结果使自己的权益受到损害的，应按照投标人须知前附表规定的“</w:t>
      </w:r>
      <w:r>
        <w:rPr>
          <w:rFonts w:hint="eastAsia" w:ascii="宋体" w:cs="宋体"/>
          <w:bCs/>
          <w:snapToGrid w:val="0"/>
          <w:kern w:val="0"/>
          <w:sz w:val="24"/>
        </w:rPr>
        <w:t>质疑的提出与受理</w:t>
      </w:r>
      <w:r>
        <w:rPr>
          <w:rFonts w:hint="eastAsia" w:ascii="宋体" w:cs="宋体"/>
          <w:bCs/>
          <w:sz w:val="24"/>
          <w:lang w:bidi="ar"/>
        </w:rPr>
        <w:t>”，向招标人或招标代理机构提出质疑。</w:t>
      </w:r>
    </w:p>
    <w:p>
      <w:pPr>
        <w:snapToGrid w:val="0"/>
        <w:spacing w:line="360" w:lineRule="auto"/>
        <w:ind w:firstLine="482" w:firstLineChars="200"/>
        <w:rPr>
          <w:rFonts w:ascii="宋体" w:cs="宋体"/>
          <w:b/>
          <w:sz w:val="24"/>
        </w:rPr>
      </w:pPr>
      <w:r>
        <w:rPr>
          <w:rFonts w:hint="eastAsia" w:ascii="宋体" w:cs="宋体"/>
          <w:b/>
          <w:sz w:val="24"/>
          <w:lang w:bidi="ar"/>
        </w:rPr>
        <w:t>49．投诉</w:t>
      </w:r>
    </w:p>
    <w:p>
      <w:pPr>
        <w:snapToGrid w:val="0"/>
        <w:spacing w:line="360" w:lineRule="auto"/>
        <w:ind w:firstLine="480" w:firstLineChars="200"/>
        <w:rPr>
          <w:rFonts w:ascii="宋体" w:cs="宋体"/>
          <w:b/>
          <w:sz w:val="24"/>
        </w:rPr>
      </w:pPr>
      <w:r>
        <w:rPr>
          <w:rFonts w:hint="eastAsia" w:ascii="宋体" w:cs="宋体"/>
          <w:bCs/>
          <w:sz w:val="24"/>
          <w:lang w:bidi="ar"/>
        </w:rPr>
        <w:t>49.1</w:t>
      </w:r>
      <w:r>
        <w:rPr>
          <w:rFonts w:hint="eastAsia" w:ascii="宋体" w:cs="宋体"/>
          <w:bCs/>
          <w:snapToGrid w:val="0"/>
          <w:kern w:val="0"/>
          <w:sz w:val="24"/>
        </w:rPr>
        <w:t>投诉的提出与受理</w:t>
      </w:r>
      <w:r>
        <w:rPr>
          <w:rFonts w:hint="eastAsia" w:ascii="宋体" w:cs="宋体"/>
          <w:bCs/>
          <w:sz w:val="24"/>
          <w:lang w:bidi="ar"/>
        </w:rPr>
        <w:t>：</w:t>
      </w:r>
      <w:r>
        <w:rPr>
          <w:rFonts w:hint="eastAsia" w:ascii="宋体" w:cs="宋体"/>
          <w:bCs/>
          <w:sz w:val="24"/>
        </w:rPr>
        <w:t>见投标人须知前附表。</w:t>
      </w:r>
    </w:p>
    <w:p>
      <w:pPr>
        <w:pStyle w:val="3"/>
      </w:pPr>
      <w:bookmarkStart w:id="102" w:name="_Toc19504"/>
      <w:bookmarkStart w:id="103" w:name="_Toc16658"/>
      <w:r>
        <w:rPr>
          <w:rFonts w:hint="eastAsia"/>
        </w:rPr>
        <w:t>十一、其他需要补充的内容</w:t>
      </w:r>
      <w:bookmarkEnd w:id="102"/>
      <w:bookmarkEnd w:id="103"/>
    </w:p>
    <w:p>
      <w:pPr>
        <w:snapToGrid w:val="0"/>
        <w:spacing w:line="360" w:lineRule="auto"/>
        <w:ind w:firstLine="482" w:firstLineChars="200"/>
        <w:rPr>
          <w:rFonts w:ascii="宋体" w:cs="宋体"/>
          <w:b/>
          <w:sz w:val="24"/>
          <w:lang w:bidi="ar"/>
        </w:rPr>
      </w:pPr>
      <w:r>
        <w:rPr>
          <w:rFonts w:hint="eastAsia" w:ascii="宋体" w:cs="宋体"/>
          <w:b/>
          <w:sz w:val="24"/>
          <w:lang w:bidi="ar"/>
        </w:rPr>
        <w:t>50.其他</w:t>
      </w:r>
    </w:p>
    <w:p>
      <w:pPr>
        <w:snapToGrid w:val="0"/>
        <w:spacing w:line="360" w:lineRule="auto"/>
        <w:ind w:firstLine="480" w:firstLineChars="200"/>
        <w:rPr>
          <w:rFonts w:ascii="宋体" w:cs="宋体"/>
          <w:bCs/>
          <w:sz w:val="24"/>
          <w:lang w:bidi="ar"/>
        </w:rPr>
      </w:pPr>
      <w:r>
        <w:rPr>
          <w:rFonts w:hint="eastAsia" w:ascii="宋体" w:cs="宋体"/>
          <w:bCs/>
          <w:sz w:val="24"/>
          <w:lang w:bidi="ar"/>
        </w:rPr>
        <w:t>50.1公告网站：见投标人须知前附表。</w:t>
      </w:r>
    </w:p>
    <w:p>
      <w:pPr>
        <w:snapToGrid w:val="0"/>
        <w:spacing w:line="360" w:lineRule="auto"/>
        <w:ind w:firstLine="480" w:firstLineChars="200"/>
      </w:pPr>
      <w:r>
        <w:rPr>
          <w:rFonts w:hint="eastAsia" w:ascii="宋体" w:cs="宋体"/>
          <w:bCs/>
          <w:sz w:val="24"/>
          <w:lang w:bidi="ar"/>
        </w:rPr>
        <w:t>50.2其他：</w:t>
      </w:r>
      <w:r>
        <w:rPr>
          <w:rFonts w:hint="eastAsia" w:ascii="宋体" w:cs="宋体"/>
          <w:bCs/>
          <w:sz w:val="24"/>
        </w:rPr>
        <w:t>见投标人须知前附表</w:t>
      </w:r>
      <w:r>
        <w:rPr>
          <w:rFonts w:hint="eastAsia" w:ascii="宋体" w:cs="宋体"/>
          <w:bCs/>
          <w:sz w:val="24"/>
          <w:lang w:bidi="ar"/>
        </w:rPr>
        <w:t>。</w:t>
      </w:r>
    </w:p>
    <w:bookmarkEnd w:id="97"/>
    <w:bookmarkEnd w:id="98"/>
    <w:bookmarkEnd w:id="99"/>
    <w:p>
      <w:pPr>
        <w:spacing w:before="240" w:after="120" w:line="360" w:lineRule="auto"/>
        <w:jc w:val="center"/>
        <w:rPr>
          <w:rFonts w:ascii="宋体" w:cs="宋体"/>
          <w:b/>
          <w:bCs/>
          <w:sz w:val="36"/>
          <w:szCs w:val="36"/>
        </w:rPr>
        <w:sectPr>
          <w:pgSz w:w="11907" w:h="16840"/>
          <w:pgMar w:top="1134" w:right="1134" w:bottom="1418" w:left="1418" w:header="737" w:footer="907" w:gutter="0"/>
          <w:cols w:space="720" w:num="1"/>
          <w:docGrid w:linePitch="312" w:charSpace="0"/>
        </w:sectPr>
      </w:pPr>
      <w:bookmarkStart w:id="104" w:name="_Toc19215"/>
      <w:bookmarkStart w:id="105" w:name="_Toc11122"/>
      <w:bookmarkStart w:id="106" w:name="_Toc105594497"/>
    </w:p>
    <w:p>
      <w:pPr>
        <w:pStyle w:val="2"/>
      </w:pPr>
      <w:bookmarkStart w:id="107" w:name="_Toc2562"/>
      <w:r>
        <w:rPr>
          <w:rFonts w:hint="eastAsia"/>
        </w:rPr>
        <w:t>第三章 招标内容及要求</w:t>
      </w:r>
      <w:bookmarkEnd w:id="104"/>
      <w:bookmarkEnd w:id="105"/>
      <w:bookmarkEnd w:id="106"/>
      <w:bookmarkEnd w:id="107"/>
    </w:p>
    <w:p>
      <w:pPr>
        <w:pStyle w:val="3"/>
      </w:pPr>
      <w:bookmarkStart w:id="108" w:name="_Toc4423634"/>
      <w:bookmarkStart w:id="109" w:name="_Toc486344777"/>
      <w:bookmarkStart w:id="110" w:name="_Toc30030"/>
      <w:bookmarkStart w:id="111" w:name="_Toc2544"/>
      <w:bookmarkStart w:id="112" w:name="_Toc328578341"/>
      <w:bookmarkStart w:id="113" w:name="_Toc396"/>
      <w:r>
        <w:rPr>
          <w:rFonts w:hint="eastAsia"/>
        </w:rPr>
        <w:t>一、项目概况</w:t>
      </w:r>
      <w:bookmarkEnd w:id="108"/>
      <w:bookmarkEnd w:id="109"/>
      <w:bookmarkEnd w:id="110"/>
      <w:bookmarkEnd w:id="111"/>
      <w:bookmarkEnd w:id="112"/>
    </w:p>
    <w:p>
      <w:pPr>
        <w:spacing w:line="360" w:lineRule="auto"/>
        <w:ind w:firstLine="480" w:firstLineChars="200"/>
        <w:rPr>
          <w:highlight w:val="yellow"/>
        </w:rPr>
      </w:pPr>
      <w:bookmarkStart w:id="114" w:name="_Toc486344778"/>
      <w:bookmarkStart w:id="115" w:name="_Toc328578342"/>
      <w:bookmarkStart w:id="116" w:name="_Toc4423635"/>
      <w:bookmarkStart w:id="117" w:name="_Toc32098"/>
      <w:bookmarkStart w:id="118" w:name="_Toc11287"/>
      <w:bookmarkStart w:id="119" w:name="_Toc161194718"/>
      <w:r>
        <w:rPr>
          <w:rFonts w:hint="eastAsia" w:ascii="宋体" w:hAnsi="宋体" w:cs="宋体"/>
          <w:sz w:val="24"/>
        </w:rPr>
        <w:t>为满足个性化、多元化的卷烟市场需求而建立的高效备货体系。随着异型烟分拣产能扩张、立库单口备货作业风险增大，卷烟备货系统的效率、兼容性和灵活性提出了更高要求。因此，计划对现有备货系统进行技术改造和扩容建设，备货卷烟烟箱尺寸从单一尺寸拓展到全品规尺寸，增加备货件烟烟道，备货系统的自动化程度大幅提升，进而达到“提高备货效率、增强备货柔性、缩短作业时间、实现减员增效”的目的。</w:t>
      </w:r>
    </w:p>
    <w:p>
      <w:pPr>
        <w:pStyle w:val="3"/>
        <w:spacing w:before="120" w:beforeLines="50"/>
      </w:pPr>
      <w:r>
        <w:rPr>
          <w:rFonts w:hint="eastAsia"/>
        </w:rPr>
        <w:t>二、产品或服务</w:t>
      </w:r>
      <w:bookmarkEnd w:id="114"/>
      <w:bookmarkEnd w:id="115"/>
      <w:bookmarkEnd w:id="116"/>
      <w:r>
        <w:rPr>
          <w:rFonts w:hint="eastAsia"/>
        </w:rPr>
        <w:t>内容</w:t>
      </w:r>
      <w:bookmarkEnd w:id="117"/>
      <w:bookmarkEnd w:id="118"/>
    </w:p>
    <w:p>
      <w:pPr>
        <w:spacing w:line="360" w:lineRule="auto"/>
        <w:rPr>
          <w:rFonts w:hint="eastAsia" w:ascii="宋体" w:hAnsi="宋体" w:cs="宋体"/>
          <w:b/>
          <w:bCs/>
          <w:sz w:val="24"/>
        </w:rPr>
      </w:pPr>
      <w:r>
        <w:rPr>
          <w:rFonts w:hint="eastAsia" w:ascii="宋体" w:hAnsi="宋体" w:cs="宋体"/>
          <w:b/>
          <w:bCs/>
          <w:sz w:val="24"/>
        </w:rPr>
        <w:t>（一）项目建设内容</w:t>
      </w:r>
    </w:p>
    <w:p>
      <w:pPr>
        <w:spacing w:line="360" w:lineRule="auto"/>
        <w:ind w:firstLine="480" w:firstLineChars="200"/>
        <w:rPr>
          <w:rFonts w:hint="eastAsia" w:ascii="宋体" w:hAnsi="宋体" w:cs="宋体"/>
          <w:sz w:val="24"/>
        </w:rPr>
      </w:pPr>
      <w:r>
        <w:rPr>
          <w:rFonts w:hint="eastAsia" w:ascii="宋体" w:hAnsi="宋体" w:cs="宋体"/>
          <w:sz w:val="24"/>
        </w:rPr>
        <w:t>1、招标范围：浙江省烟草公司宁波市公司配送中心现拟新建多穿库库区、备件库烟道扩增、出入库传输线、卧式烟仓增加4个部分。本项目为交钥匙工程，中标人负责所供系统设备的设计、制作、采购、运输、装卸、开箱、就位、安装、调试、培训、安全责任、售后服务、系统对接等。安装过程中招标人不负责提供任何施工工具及人工服务。</w:t>
      </w:r>
    </w:p>
    <w:p>
      <w:pPr>
        <w:spacing w:line="360" w:lineRule="auto"/>
        <w:ind w:firstLine="480" w:firstLineChars="200"/>
        <w:rPr>
          <w:rFonts w:hint="eastAsia" w:ascii="宋体" w:hAnsi="宋体" w:cs="宋体"/>
          <w:sz w:val="24"/>
        </w:rPr>
      </w:pPr>
      <w:r>
        <w:rPr>
          <w:rFonts w:hint="eastAsia" w:ascii="宋体" w:hAnsi="宋体" w:cs="宋体"/>
          <w:sz w:val="24"/>
        </w:rPr>
        <w:t>2、项目软、硬件：采购多穿库库区、备件库烟道扩增、出入库传输线、卧式烟仓增加4个部分，包括但不限于以下软、硬件设备：（1）多穿库区：配置3300单元货格、2台高速双升提升机、11台件烟多穿小车、1台关节机械手（视觉）；（2）备件库烟道扩增：20个柔性件烟存储道、9个重力式存储道、7套件烟扫描器及支架；（3）出入库传输线：1套垛烟传输设备（整体设备长度不少于20米）、1套件烟传输设备（整体设备长度不少于300米）；（4）卧式烟仓：5组条烟卧式分拣机；（5）1套补货信息及控制系统信息软件及电气控制：PLC控制器、电控箱、变频器、电缆线、检测元器件等；（6）库区信息及控制系统及电气控制：PLC控制器、电控箱、变频器、电缆线、检测元器件等。</w:t>
      </w:r>
    </w:p>
    <w:p>
      <w:pPr>
        <w:spacing w:line="360" w:lineRule="auto"/>
        <w:ind w:firstLine="480" w:firstLineChars="200"/>
        <w:rPr>
          <w:rFonts w:hint="eastAsia" w:ascii="宋体" w:hAnsi="宋体" w:cs="宋体"/>
          <w:sz w:val="24"/>
        </w:rPr>
      </w:pPr>
      <w:r>
        <w:rPr>
          <w:rFonts w:hint="eastAsia" w:ascii="宋体" w:hAnsi="宋体" w:cs="宋体"/>
          <w:sz w:val="24"/>
        </w:rPr>
        <w:t>3、改造过程中中标人负责对现状设备的拆除、搬运，利旧设备安装、运输、搬运及项目建设过程中的基建设施改造、复原以及配套服务内容的设计、协助申请相关软著专利申请等均包含在招标服务范围内。经招标人同意，投标人可根据实际情况对以下招标内容进行方案优化，优化方案必须符合烟草行业相关规范、文件，满足整体系统正常运行、设备整体验收要求。</w:t>
      </w:r>
    </w:p>
    <w:p>
      <w:pPr>
        <w:spacing w:line="360" w:lineRule="auto"/>
        <w:ind w:firstLine="480" w:firstLineChars="200"/>
        <w:rPr>
          <w:rFonts w:hint="eastAsia" w:ascii="宋体" w:hAnsi="宋体" w:cs="宋体"/>
          <w:sz w:val="24"/>
        </w:rPr>
      </w:pPr>
      <w:r>
        <w:rPr>
          <w:rFonts w:hint="eastAsia" w:ascii="宋体" w:hAnsi="宋体" w:cs="宋体"/>
          <w:sz w:val="24"/>
        </w:rPr>
        <w:t>4、其他说明：投标人应在投标文件中注明对公共设施的需求量和负荷的详细资料。对招标人安装的供电线路及能源管线的要求由中标人在签订合同时提供。</w:t>
      </w:r>
    </w:p>
    <w:p>
      <w:pPr>
        <w:spacing w:line="360" w:lineRule="auto"/>
        <w:rPr>
          <w:rFonts w:hint="eastAsia" w:ascii="宋体" w:hAnsi="宋体" w:cs="宋体"/>
          <w:sz w:val="24"/>
        </w:rPr>
      </w:pPr>
      <w:r>
        <w:rPr>
          <w:rFonts w:hint="eastAsia" w:ascii="宋体" w:hAnsi="宋体" w:cs="宋体"/>
          <w:b/>
          <w:bCs/>
          <w:sz w:val="24"/>
        </w:rPr>
        <w:t>（二）主要设备清单</w:t>
      </w:r>
    </w:p>
    <w:tbl>
      <w:tblPr>
        <w:tblStyle w:val="24"/>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5234"/>
        <w:gridCol w:w="1741"/>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品名</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数量</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93" w:type="dxa"/>
            <w:gridSpan w:val="4"/>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b/>
                <w:sz w:val="24"/>
                <w:szCs w:val="24"/>
              </w:rPr>
              <w:t>机械部分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多穿库区</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3300</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高速双升提升机</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件烟多穿车小车</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垛烟传输设备</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件烟传输设备</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关节机械手（视觉）</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柔性件烟存储道</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20</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重力式存储道</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9</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9</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条烟卧式分拣机</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3" w:type="dxa"/>
            <w:gridSpan w:val="4"/>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b/>
                <w:sz w:val="24"/>
                <w:szCs w:val="24"/>
              </w:rPr>
              <w:t>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ascii="Times New Roman" w:hAnsi="Times New Roman" w:eastAsia="宋体"/>
                <w:sz w:val="24"/>
                <w:szCs w:val="24"/>
              </w:rPr>
              <w:t>1</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库区信息及控制系统</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ascii="Times New Roman" w:hAnsi="Times New Roman" w:eastAsia="宋体"/>
                <w:sz w:val="24"/>
                <w:szCs w:val="24"/>
              </w:rPr>
              <w:t>2</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补货信息及控制系统</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ascii="Times New Roman" w:hAnsi="Times New Roman" w:eastAsia="宋体"/>
                <w:sz w:val="24"/>
                <w:szCs w:val="24"/>
              </w:rPr>
              <w:t>3</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件烟扫描器及支架</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3" w:type="dxa"/>
            <w:gridSpan w:val="4"/>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b/>
                <w:sz w:val="24"/>
                <w:szCs w:val="24"/>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线材、辅料及检修平台</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5234"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安装调试、运输保险</w:t>
            </w:r>
            <w:r>
              <w:rPr>
                <w:rFonts w:ascii="Times New Roman" w:hAnsi="Times New Roman" w:eastAsia="宋体"/>
                <w:sz w:val="24"/>
                <w:szCs w:val="24"/>
              </w:rPr>
              <w:t>、集成协调费、设备所需的供气、供电、防护栏、宣传隔离等相关配套建设工程</w:t>
            </w:r>
          </w:p>
        </w:tc>
        <w:tc>
          <w:tcPr>
            <w:tcW w:w="174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cstheme="minorBidi"/>
                <w:sz w:val="24"/>
              </w:rPr>
            </w:pPr>
            <w:r>
              <w:rPr>
                <w:rFonts w:hint="eastAsia" w:cstheme="minorBidi"/>
                <w:sz w:val="24"/>
              </w:rPr>
              <w:t>注：</w:t>
            </w:r>
          </w:p>
          <w:p>
            <w:pPr>
              <w:spacing w:line="360" w:lineRule="exact"/>
              <w:rPr>
                <w:rFonts w:cstheme="minorBidi"/>
                <w:sz w:val="24"/>
              </w:rPr>
            </w:pPr>
            <w:r>
              <w:rPr>
                <w:rFonts w:hint="eastAsia" w:cstheme="minorBidi"/>
                <w:sz w:val="24"/>
              </w:rPr>
              <w:t>1、设备明细包括但不限于此设备清单列举设备明细。</w:t>
            </w:r>
          </w:p>
          <w:p>
            <w:pPr>
              <w:spacing w:line="360" w:lineRule="exact"/>
              <w:rPr>
                <w:sz w:val="24"/>
                <w:highlight w:val="yellow"/>
              </w:rPr>
            </w:pPr>
            <w:r>
              <w:rPr>
                <w:rFonts w:hint="eastAsia" w:cstheme="minorBidi"/>
                <w:sz w:val="24"/>
              </w:rPr>
              <w:t>2、经招标人同意，中标人可根据实际情况对招标内容进行方案优化，优化方案必须符合烟草行业相关规范、文件，满足整体系统正常运行、设备整体验收要求。</w:t>
            </w:r>
          </w:p>
        </w:tc>
      </w:tr>
    </w:tbl>
    <w:p>
      <w:pPr>
        <w:spacing w:before="120" w:beforeLines="50" w:line="360" w:lineRule="auto"/>
        <w:rPr>
          <w:rFonts w:ascii="宋体" w:cs="宋体"/>
          <w:b/>
          <w:bCs/>
          <w:sz w:val="24"/>
        </w:rPr>
      </w:pPr>
      <w:r>
        <w:rPr>
          <w:rFonts w:hint="eastAsia" w:ascii="宋体" w:cs="宋体"/>
          <w:b/>
          <w:bCs/>
          <w:sz w:val="24"/>
        </w:rPr>
        <w:t>（三）总体技术要求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822"/>
        <w:gridCol w:w="1250"/>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0" w:type="dxa"/>
            <w:vAlign w:val="center"/>
          </w:tcPr>
          <w:p>
            <w:pPr>
              <w:spacing w:line="360" w:lineRule="exact"/>
              <w:jc w:val="center"/>
              <w:rPr>
                <w:rFonts w:ascii="宋体" w:cs="宋体"/>
                <w:sz w:val="24"/>
              </w:rPr>
            </w:pPr>
            <w:r>
              <w:rPr>
                <w:rFonts w:hint="eastAsia" w:ascii="宋体" w:cs="宋体"/>
                <w:sz w:val="24"/>
              </w:rPr>
              <w:t>序号</w:t>
            </w:r>
          </w:p>
        </w:tc>
        <w:tc>
          <w:tcPr>
            <w:tcW w:w="1822" w:type="dxa"/>
            <w:vAlign w:val="center"/>
          </w:tcPr>
          <w:p>
            <w:pPr>
              <w:spacing w:line="360" w:lineRule="exact"/>
              <w:jc w:val="center"/>
              <w:rPr>
                <w:rFonts w:ascii="宋体" w:cs="宋体"/>
                <w:sz w:val="24"/>
              </w:rPr>
            </w:pPr>
            <w:r>
              <w:rPr>
                <w:rFonts w:hint="eastAsia" w:ascii="宋体" w:cs="宋体"/>
                <w:sz w:val="24"/>
              </w:rPr>
              <w:t>内容</w:t>
            </w:r>
          </w:p>
        </w:tc>
        <w:tc>
          <w:tcPr>
            <w:tcW w:w="6886" w:type="dxa"/>
            <w:gridSpan w:val="2"/>
            <w:vAlign w:val="center"/>
          </w:tcPr>
          <w:p>
            <w:pPr>
              <w:spacing w:line="360" w:lineRule="exact"/>
              <w:jc w:val="center"/>
              <w:rPr>
                <w:rFonts w:ascii="宋体" w:cs="宋体"/>
                <w:sz w:val="24"/>
              </w:rPr>
            </w:pPr>
            <w:r>
              <w:rPr>
                <w:rFonts w:hint="eastAsia" w:ascii="宋体" w:cs="宋体"/>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rPr>
            </w:pPr>
            <w:r>
              <w:rPr>
                <w:rFonts w:hint="eastAsia" w:ascii="宋体" w:cs="宋体"/>
                <w:b/>
                <w:bCs/>
                <w:sz w:val="24"/>
              </w:rPr>
              <w:t>▲</w:t>
            </w:r>
            <w:r>
              <w:rPr>
                <w:rFonts w:hint="eastAsia" w:ascii="宋体" w:cs="宋体"/>
                <w:sz w:val="24"/>
              </w:rPr>
              <w:t>1</w:t>
            </w:r>
          </w:p>
        </w:tc>
        <w:tc>
          <w:tcPr>
            <w:tcW w:w="1822" w:type="dxa"/>
            <w:vAlign w:val="center"/>
          </w:tcPr>
          <w:p>
            <w:pPr>
              <w:spacing w:line="360" w:lineRule="exact"/>
              <w:jc w:val="center"/>
              <w:rPr>
                <w:rFonts w:ascii="宋体" w:cs="宋体"/>
                <w:sz w:val="24"/>
              </w:rPr>
            </w:pPr>
            <w:r>
              <w:rPr>
                <w:rFonts w:hint="eastAsia" w:ascii="宋体" w:cs="宋体"/>
                <w:sz w:val="24"/>
              </w:rPr>
              <w:t>系统主要参数</w:t>
            </w:r>
          </w:p>
        </w:tc>
        <w:tc>
          <w:tcPr>
            <w:tcW w:w="6886" w:type="dxa"/>
            <w:gridSpan w:val="2"/>
            <w:vAlign w:val="center"/>
          </w:tcPr>
          <w:p>
            <w:pPr>
              <w:spacing w:line="360" w:lineRule="exact"/>
              <w:rPr>
                <w:rFonts w:ascii="宋体" w:cs="宋体"/>
                <w:sz w:val="24"/>
              </w:rPr>
            </w:pPr>
            <w:r>
              <w:rPr>
                <w:rFonts w:hint="eastAsia" w:ascii="宋体" w:cs="宋体"/>
                <w:sz w:val="24"/>
              </w:rPr>
              <w:t>（1）一楼多穿库入库设计效率：≥300件/小时；</w:t>
            </w:r>
          </w:p>
          <w:p>
            <w:pPr>
              <w:spacing w:line="360" w:lineRule="exact"/>
              <w:rPr>
                <w:rFonts w:ascii="宋体" w:cs="宋体"/>
                <w:sz w:val="24"/>
              </w:rPr>
            </w:pPr>
            <w:r>
              <w:rPr>
                <w:rFonts w:hint="eastAsia" w:ascii="宋体" w:cs="宋体"/>
                <w:sz w:val="24"/>
              </w:rPr>
              <w:t>（2）二楼多穿库出库设计效率：≥500件/小时；</w:t>
            </w:r>
          </w:p>
          <w:p>
            <w:pPr>
              <w:spacing w:line="360" w:lineRule="exact"/>
              <w:rPr>
                <w:rFonts w:ascii="宋体" w:cs="宋体"/>
                <w:sz w:val="24"/>
              </w:rPr>
            </w:pPr>
            <w:r>
              <w:rPr>
                <w:rFonts w:hint="eastAsia" w:ascii="宋体" w:cs="宋体"/>
                <w:sz w:val="24"/>
              </w:rPr>
              <w:t>（3）差错率Kc：≤0.001%；</w:t>
            </w:r>
          </w:p>
          <w:p>
            <w:pPr>
              <w:spacing w:line="360" w:lineRule="exact"/>
              <w:rPr>
                <w:rFonts w:ascii="宋体" w:cs="宋体"/>
                <w:sz w:val="24"/>
              </w:rPr>
            </w:pPr>
            <w:r>
              <w:rPr>
                <w:rFonts w:hint="eastAsia" w:ascii="宋体" w:cs="宋体"/>
                <w:sz w:val="24"/>
              </w:rPr>
              <w:t>（4）破损率Kp：≤0.001%；</w:t>
            </w:r>
          </w:p>
          <w:p>
            <w:pPr>
              <w:spacing w:line="360" w:lineRule="exact"/>
              <w:rPr>
                <w:rFonts w:ascii="宋体" w:cs="宋体"/>
                <w:sz w:val="24"/>
              </w:rPr>
            </w:pPr>
            <w:r>
              <w:rPr>
                <w:rFonts w:hint="eastAsia" w:ascii="宋体" w:cs="宋体"/>
                <w:sz w:val="24"/>
              </w:rPr>
              <w:t>（5）故障率Kg：≤3%。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Merge w:val="restart"/>
            <w:vAlign w:val="center"/>
          </w:tcPr>
          <w:p>
            <w:pPr>
              <w:spacing w:line="360" w:lineRule="exact"/>
              <w:jc w:val="center"/>
              <w:rPr>
                <w:rFonts w:ascii="宋体" w:cs="宋体"/>
                <w:sz w:val="24"/>
              </w:rPr>
            </w:pPr>
            <w:r>
              <w:rPr>
                <w:rFonts w:hint="eastAsia" w:ascii="宋体" w:cs="宋体"/>
                <w:sz w:val="24"/>
              </w:rPr>
              <w:t>2</w:t>
            </w:r>
          </w:p>
        </w:tc>
        <w:tc>
          <w:tcPr>
            <w:tcW w:w="1822" w:type="dxa"/>
            <w:vMerge w:val="restart"/>
            <w:vAlign w:val="center"/>
          </w:tcPr>
          <w:p>
            <w:pPr>
              <w:spacing w:line="360" w:lineRule="exact"/>
              <w:jc w:val="center"/>
              <w:rPr>
                <w:rFonts w:ascii="宋体" w:cs="宋体"/>
                <w:sz w:val="24"/>
              </w:rPr>
            </w:pPr>
            <w:r>
              <w:rPr>
                <w:rFonts w:hint="eastAsia" w:ascii="宋体" w:cs="宋体"/>
                <w:sz w:val="24"/>
              </w:rPr>
              <w:t>硬件设备的选型要求（各种设备应当为成熟设备、可靠性高，能力满足各项需求。设备的制造、检验、安装应符合国家、行业标准及国际标准的要求。）</w:t>
            </w:r>
          </w:p>
        </w:tc>
        <w:tc>
          <w:tcPr>
            <w:tcW w:w="1250" w:type="dxa"/>
            <w:vAlign w:val="center"/>
          </w:tcPr>
          <w:p>
            <w:pPr>
              <w:spacing w:line="360" w:lineRule="exact"/>
              <w:jc w:val="center"/>
              <w:rPr>
                <w:rFonts w:ascii="宋体" w:cs="宋体"/>
                <w:sz w:val="24"/>
              </w:rPr>
            </w:pPr>
            <w:r>
              <w:rPr>
                <w:rFonts w:hint="eastAsia" w:ascii="宋体" w:cs="宋体"/>
                <w:sz w:val="24"/>
              </w:rPr>
              <w:t>外观要求</w:t>
            </w:r>
          </w:p>
        </w:tc>
        <w:tc>
          <w:tcPr>
            <w:tcW w:w="5636" w:type="dxa"/>
            <w:vAlign w:val="center"/>
          </w:tcPr>
          <w:p>
            <w:pPr>
              <w:spacing w:line="360" w:lineRule="exact"/>
              <w:rPr>
                <w:rFonts w:ascii="宋体" w:cs="宋体"/>
                <w:sz w:val="24"/>
              </w:rPr>
            </w:pPr>
            <w:r>
              <w:rPr>
                <w:rFonts w:hint="eastAsia" w:ascii="宋体" w:cs="宋体"/>
                <w:sz w:val="24"/>
              </w:rPr>
              <w:t>设备上的金属外露表面，除不锈材料或铝材外，均应有油漆或其他涂层保护，从视觉效果上要将新增加设备和现有的设备进行颜色的匹配，保证整体美观度。涂层下的金属表面须经除锈处理，表面经脱脂、然后再涂覆。若采用静电喷涂，涂料采用热固环氧树脂（粉状），涂层厚度60μm，其质量均按GB61007-86标准。若采用油漆应不少于三道（一道底漆，二道面漆）。</w:t>
            </w:r>
          </w:p>
          <w:p>
            <w:pPr>
              <w:spacing w:line="360" w:lineRule="exact"/>
              <w:rPr>
                <w:rFonts w:ascii="宋体" w:cs="宋体"/>
                <w:sz w:val="24"/>
              </w:rPr>
            </w:pPr>
            <w:r>
              <w:rPr>
                <w:rFonts w:hint="eastAsia" w:ascii="宋体" w:cs="宋体"/>
                <w:sz w:val="24"/>
              </w:rPr>
              <w:t>注：设备颜色中标人提供色板，招标人选定确认。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Merge w:val="continue"/>
            <w:vAlign w:val="center"/>
          </w:tcPr>
          <w:p>
            <w:pPr>
              <w:spacing w:line="360" w:lineRule="exact"/>
              <w:jc w:val="center"/>
              <w:rPr>
                <w:rFonts w:ascii="宋体" w:cs="宋体"/>
                <w:sz w:val="24"/>
              </w:rPr>
            </w:pPr>
          </w:p>
        </w:tc>
        <w:tc>
          <w:tcPr>
            <w:tcW w:w="1822" w:type="dxa"/>
            <w:vMerge w:val="continue"/>
            <w:vAlign w:val="center"/>
          </w:tcPr>
          <w:p>
            <w:pPr>
              <w:spacing w:line="360" w:lineRule="exact"/>
              <w:jc w:val="center"/>
              <w:rPr>
                <w:rFonts w:ascii="宋体" w:cs="宋体"/>
                <w:sz w:val="24"/>
              </w:rPr>
            </w:pPr>
          </w:p>
        </w:tc>
        <w:tc>
          <w:tcPr>
            <w:tcW w:w="1250" w:type="dxa"/>
            <w:vAlign w:val="center"/>
          </w:tcPr>
          <w:p>
            <w:pPr>
              <w:spacing w:line="360" w:lineRule="exact"/>
              <w:jc w:val="center"/>
              <w:rPr>
                <w:rFonts w:ascii="宋体" w:cs="宋体"/>
                <w:sz w:val="24"/>
              </w:rPr>
            </w:pPr>
            <w:r>
              <w:rPr>
                <w:rFonts w:hint="eastAsia" w:ascii="宋体" w:cs="宋体"/>
                <w:sz w:val="24"/>
              </w:rPr>
              <w:t>安全性能要求</w:t>
            </w:r>
          </w:p>
        </w:tc>
        <w:tc>
          <w:tcPr>
            <w:tcW w:w="5636" w:type="dxa"/>
            <w:vAlign w:val="center"/>
          </w:tcPr>
          <w:p>
            <w:pPr>
              <w:spacing w:line="360" w:lineRule="exact"/>
              <w:rPr>
                <w:rFonts w:ascii="宋体" w:cs="宋体"/>
                <w:sz w:val="24"/>
              </w:rPr>
            </w:pPr>
            <w:r>
              <w:rPr>
                <w:rFonts w:hint="eastAsia" w:ascii="宋体" w:cs="宋体"/>
                <w:sz w:val="24"/>
              </w:rPr>
              <w:t>在各种应急情况下，有对卷烟的保护措施。设备上的运动部件和运动的设备必须有安全保护措施，所设置的防护罩和防护栏应有醒目的颜色标志，采用全防护且与整体设备协调；设备、电控设计需充分考虑操作人员、维修人员的安全，控制系统具有互锁保护功能和必要的安全防护措施;凡是可能发生人员、设备损伤的地方，均应设置防护栏、围栏、安全网等，并设安全警示牌。配置应符合中华人民共和国相关规范和标准；配套的特种设备应符合中华人民共和国相关规范和标准；带金属外壳的设备需有可靠的安全接地装置；在设备必要的位置应设置紧急停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rPr>
            </w:pPr>
            <w:r>
              <w:rPr>
                <w:rFonts w:hint="eastAsia" w:ascii="宋体" w:cs="宋体"/>
                <w:sz w:val="24"/>
              </w:rPr>
              <w:t>3</w:t>
            </w:r>
          </w:p>
        </w:tc>
        <w:tc>
          <w:tcPr>
            <w:tcW w:w="1822" w:type="dxa"/>
            <w:vAlign w:val="center"/>
          </w:tcPr>
          <w:p>
            <w:pPr>
              <w:spacing w:line="360" w:lineRule="exact"/>
              <w:jc w:val="center"/>
              <w:rPr>
                <w:rFonts w:ascii="宋体" w:cs="宋体"/>
                <w:sz w:val="24"/>
              </w:rPr>
            </w:pPr>
            <w:r>
              <w:rPr>
                <w:rFonts w:hint="eastAsia" w:ascii="宋体" w:cs="宋体"/>
                <w:sz w:val="24"/>
              </w:rPr>
              <w:t>软件系统总体要求</w:t>
            </w:r>
          </w:p>
        </w:tc>
        <w:tc>
          <w:tcPr>
            <w:tcW w:w="6886" w:type="dxa"/>
            <w:gridSpan w:val="2"/>
            <w:vAlign w:val="center"/>
          </w:tcPr>
          <w:p>
            <w:pPr>
              <w:spacing w:line="360" w:lineRule="exact"/>
              <w:rPr>
                <w:rFonts w:ascii="宋体" w:cs="宋体"/>
                <w:sz w:val="24"/>
              </w:rPr>
            </w:pPr>
            <w:r>
              <w:rPr>
                <w:rFonts w:hint="eastAsia" w:ascii="宋体" w:cs="宋体"/>
                <w:sz w:val="24"/>
              </w:rPr>
              <w:t>（1）中标人负责提供浙江省烟草公司宁波市公司联合工房内该项目的工艺技术改造、设计、拆除、复原、搬运、供货、安装、调试、培训及售后服务等。</w:t>
            </w:r>
          </w:p>
          <w:p>
            <w:pPr>
              <w:spacing w:line="360" w:lineRule="exact"/>
              <w:rPr>
                <w:rFonts w:ascii="宋体" w:cs="宋体"/>
                <w:sz w:val="24"/>
              </w:rPr>
            </w:pPr>
            <w:r>
              <w:rPr>
                <w:rFonts w:hint="eastAsia" w:ascii="宋体" w:cs="宋体"/>
                <w:sz w:val="24"/>
              </w:rPr>
              <w:t>（2）对管理、监控、调度等软件功能作出详细说明。中标人要在方案中描述软件控制等系统的调度、盘点、作业方式策略和方法。中标人必须在方案中提出自动化设备或者软件系统出现意外情况下的应急预案。能按要求完成所有包装卷烟的分拣补货任务，系统具备优化调度的能力，满足两条以上分拣产线补货要求；与招标人现有的烟草行业调控系统、国家一号工程系统、物流管控系统及所有分拣产线监控调度管理等上下游系统之间能够实现系统集成、接口兼容、互联互通、无缝实时、资源共享、安全可靠；系统能提供完善的分拣补货需求、任务数据查询、库存盘点、库内烟道清仓、数据统计查询、各类需求单据导出打印等建设期间招标人实际需求系统算法、功能、调度方式等内容。</w:t>
            </w:r>
          </w:p>
          <w:p>
            <w:pPr>
              <w:spacing w:line="360" w:lineRule="exact"/>
              <w:rPr>
                <w:rFonts w:ascii="宋体" w:cs="宋体"/>
                <w:sz w:val="24"/>
              </w:rPr>
            </w:pPr>
            <w:r>
              <w:rPr>
                <w:rFonts w:hint="eastAsia" w:ascii="宋体" w:cs="宋体"/>
                <w:sz w:val="24"/>
              </w:rPr>
              <w:t>（3）入库作业系统根据各项作业任务要求，完成物权转移入库，严禁出现由于未通过物权转移，而造成库区缺货，分拣产线停机现象。</w:t>
            </w:r>
          </w:p>
          <w:p>
            <w:pPr>
              <w:spacing w:line="360" w:lineRule="exact"/>
              <w:rPr>
                <w:rFonts w:ascii="宋体" w:cs="宋体"/>
                <w:sz w:val="24"/>
              </w:rPr>
            </w:pPr>
            <w:r>
              <w:rPr>
                <w:rFonts w:hint="eastAsia" w:ascii="宋体" w:cs="宋体"/>
                <w:sz w:val="24"/>
              </w:rPr>
              <w:t>（4）出库系统根据各分拣产线补货需求，进行件烟出库，严禁出现分拣产线由于多穿库作业系统未能及时补货到分拣产线，而造成的停机。</w:t>
            </w:r>
          </w:p>
          <w:p>
            <w:pPr>
              <w:spacing w:line="360" w:lineRule="exact"/>
              <w:rPr>
                <w:rFonts w:ascii="宋体" w:cs="宋体"/>
                <w:sz w:val="24"/>
              </w:rPr>
            </w:pPr>
            <w:r>
              <w:rPr>
                <w:rFonts w:hint="eastAsia" w:ascii="宋体" w:cs="宋体"/>
                <w:sz w:val="24"/>
              </w:rPr>
              <w:t>（5）中标人须提供配套控制系统和管理系统，免费提供数据接口，实现与相关系统的无缝对接和良好集成（包括和现有设备的控制系统），保证信息的顺畅传递，所有信息显示需提供数据接口集成到指挥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rPr>
            </w:pPr>
            <w:r>
              <w:rPr>
                <w:rFonts w:hint="eastAsia" w:ascii="宋体" w:cs="宋体"/>
                <w:sz w:val="24"/>
              </w:rPr>
              <w:t>4</w:t>
            </w:r>
          </w:p>
        </w:tc>
        <w:tc>
          <w:tcPr>
            <w:tcW w:w="1822" w:type="dxa"/>
            <w:vAlign w:val="center"/>
          </w:tcPr>
          <w:p>
            <w:pPr>
              <w:spacing w:line="360" w:lineRule="exact"/>
              <w:jc w:val="center"/>
              <w:rPr>
                <w:rFonts w:ascii="宋体" w:cs="宋体"/>
                <w:sz w:val="24"/>
              </w:rPr>
            </w:pPr>
            <w:r>
              <w:rPr>
                <w:rFonts w:hint="eastAsia" w:ascii="宋体" w:cs="宋体"/>
                <w:sz w:val="24"/>
              </w:rPr>
              <w:t>各子系统技术要求</w:t>
            </w:r>
          </w:p>
        </w:tc>
        <w:tc>
          <w:tcPr>
            <w:tcW w:w="6886" w:type="dxa"/>
            <w:gridSpan w:val="2"/>
            <w:vAlign w:val="center"/>
          </w:tcPr>
          <w:p>
            <w:pPr>
              <w:spacing w:line="360" w:lineRule="exact"/>
              <w:rPr>
                <w:rFonts w:ascii="宋体" w:cs="宋体"/>
                <w:sz w:val="24"/>
              </w:rPr>
            </w:pPr>
            <w:r>
              <w:rPr>
                <w:rFonts w:hint="eastAsia" w:ascii="宋体" w:cs="宋体"/>
                <w:sz w:val="24"/>
              </w:rPr>
              <w:t>（1）各种设备应当为成熟设备、可靠性高，能力满足各项需求。</w:t>
            </w:r>
          </w:p>
          <w:p>
            <w:pPr>
              <w:spacing w:line="360" w:lineRule="exact"/>
              <w:rPr>
                <w:rFonts w:ascii="宋体" w:cs="宋体"/>
                <w:sz w:val="24"/>
              </w:rPr>
            </w:pPr>
            <w:r>
              <w:rPr>
                <w:rFonts w:hint="eastAsia" w:ascii="宋体" w:cs="宋体"/>
                <w:sz w:val="24"/>
              </w:rPr>
              <w:t>（2）各种设备的制造、检验、安装应符合国家、行业标准及国际标准的要求。</w:t>
            </w:r>
          </w:p>
          <w:p>
            <w:pPr>
              <w:spacing w:line="360" w:lineRule="exact"/>
              <w:rPr>
                <w:rFonts w:ascii="宋体" w:cs="宋体"/>
                <w:sz w:val="24"/>
              </w:rPr>
            </w:pPr>
            <w:r>
              <w:rPr>
                <w:rFonts w:hint="eastAsia" w:ascii="宋体" w:cs="宋体"/>
                <w:sz w:val="24"/>
              </w:rPr>
              <w:t>（3）系统具备用户权限管理功能，能针对不同层级、岗位的用户分别设定权限。</w:t>
            </w:r>
          </w:p>
          <w:p>
            <w:pPr>
              <w:spacing w:line="360" w:lineRule="exact"/>
              <w:rPr>
                <w:rFonts w:ascii="宋体" w:cs="宋体"/>
                <w:sz w:val="24"/>
              </w:rPr>
            </w:pPr>
            <w:r>
              <w:rPr>
                <w:rFonts w:hint="eastAsia" w:ascii="宋体" w:cs="宋体"/>
                <w:sz w:val="24"/>
              </w:rPr>
              <w:t>（4）系统具备设备运行状态监控。</w:t>
            </w:r>
          </w:p>
          <w:p>
            <w:pPr>
              <w:spacing w:line="360" w:lineRule="exact"/>
              <w:rPr>
                <w:rFonts w:ascii="宋体" w:cs="宋体"/>
                <w:sz w:val="24"/>
              </w:rPr>
            </w:pPr>
            <w:r>
              <w:rPr>
                <w:rFonts w:hint="eastAsia" w:ascii="宋体" w:cs="宋体"/>
                <w:sz w:val="24"/>
              </w:rPr>
              <w:t>（5）系统具备故障自动报警，智能诊断功能，可以通过自诊断程序诊断出设备运行过程中所发生的故障，能通过网络将该信息集中传送至操作终端和监控计算机，能根据报警产生位置调度视频监控画面切换，并发出对相关人员的调度指令。</w:t>
            </w:r>
          </w:p>
          <w:p>
            <w:pPr>
              <w:spacing w:line="360" w:lineRule="exact"/>
              <w:rPr>
                <w:rFonts w:ascii="宋体" w:cs="宋体"/>
                <w:sz w:val="24"/>
              </w:rPr>
            </w:pPr>
            <w:r>
              <w:rPr>
                <w:rFonts w:hint="eastAsia" w:ascii="宋体" w:cs="宋体"/>
                <w:sz w:val="24"/>
              </w:rPr>
              <w:t>（6）系统具备远程监控功能，通过网络能够在用户权限允许的情况下，对系统运行状态、过程控制实现远程监视和控制。</w:t>
            </w:r>
          </w:p>
          <w:p>
            <w:pPr>
              <w:spacing w:line="360" w:lineRule="exact"/>
              <w:rPr>
                <w:rFonts w:ascii="宋体" w:cs="宋体"/>
                <w:sz w:val="24"/>
              </w:rPr>
            </w:pPr>
            <w:r>
              <w:rPr>
                <w:rFonts w:hint="eastAsia" w:ascii="宋体" w:cs="宋体"/>
                <w:sz w:val="24"/>
              </w:rPr>
              <w:t>（7）系统具备物料管理功能。</w:t>
            </w:r>
          </w:p>
          <w:p>
            <w:pPr>
              <w:spacing w:line="360" w:lineRule="exact"/>
              <w:rPr>
                <w:rFonts w:ascii="宋体" w:cs="宋体"/>
                <w:sz w:val="24"/>
              </w:rPr>
            </w:pPr>
            <w:r>
              <w:rPr>
                <w:rFonts w:hint="eastAsia" w:ascii="宋体" w:cs="宋体"/>
                <w:sz w:val="24"/>
              </w:rPr>
              <w:t>（8）具备对任务进度计算功能，能够反应设备及系统的瞬时、综合效率，预计完成任务结束时间功能。</w:t>
            </w:r>
          </w:p>
          <w:p>
            <w:pPr>
              <w:spacing w:line="360" w:lineRule="exact"/>
              <w:rPr>
                <w:rFonts w:ascii="宋体" w:cs="宋体"/>
                <w:sz w:val="24"/>
              </w:rPr>
            </w:pPr>
            <w:r>
              <w:rPr>
                <w:rFonts w:hint="eastAsia" w:ascii="宋体" w:cs="宋体"/>
                <w:sz w:val="24"/>
              </w:rPr>
              <w:t>（9）根据设备实施效率情况，能智能分配、调度作业任务。</w:t>
            </w:r>
          </w:p>
          <w:p>
            <w:pPr>
              <w:spacing w:line="360" w:lineRule="exact"/>
              <w:rPr>
                <w:rFonts w:ascii="宋体" w:cs="宋体"/>
                <w:sz w:val="24"/>
              </w:rPr>
            </w:pPr>
            <w:r>
              <w:rPr>
                <w:rFonts w:hint="eastAsia" w:ascii="宋体" w:cs="宋体"/>
                <w:sz w:val="24"/>
              </w:rPr>
              <w:t>（10）使用的电线、电缆必须使用正规厂家品牌，并具备3C认证。</w:t>
            </w:r>
          </w:p>
          <w:p>
            <w:pPr>
              <w:spacing w:line="360" w:lineRule="exact"/>
              <w:rPr>
                <w:rFonts w:ascii="宋体" w:cs="宋体"/>
                <w:sz w:val="24"/>
              </w:rPr>
            </w:pPr>
            <w:r>
              <w:rPr>
                <w:rFonts w:hint="eastAsia" w:ascii="宋体" w:cs="宋体"/>
                <w:sz w:val="24"/>
              </w:rPr>
              <w:t>（11）综合布线采用六类网络产品，垂直布线采用光纤传输。</w:t>
            </w:r>
          </w:p>
          <w:p>
            <w:pPr>
              <w:spacing w:line="360" w:lineRule="exact"/>
              <w:rPr>
                <w:rFonts w:ascii="宋体" w:cs="宋体"/>
                <w:sz w:val="24"/>
              </w:rPr>
            </w:pPr>
            <w:r>
              <w:rPr>
                <w:rFonts w:hint="eastAsia" w:ascii="宋体" w:cs="宋体"/>
                <w:sz w:val="24"/>
              </w:rPr>
              <w:t>（12）桥架安装应采用桥架厂商提供的标准件进行安装，尽可能避免现场加工。</w:t>
            </w:r>
          </w:p>
          <w:p>
            <w:pPr>
              <w:spacing w:line="360" w:lineRule="exact"/>
              <w:rPr>
                <w:rFonts w:ascii="宋体" w:cs="宋体"/>
                <w:sz w:val="24"/>
              </w:rPr>
            </w:pPr>
            <w:r>
              <w:rPr>
                <w:rFonts w:hint="eastAsia" w:ascii="宋体" w:cs="宋体"/>
                <w:sz w:val="24"/>
              </w:rPr>
              <w:t>（13）安装工程必须满足相关规范。</w:t>
            </w:r>
          </w:p>
          <w:p>
            <w:pPr>
              <w:spacing w:line="360" w:lineRule="exact"/>
              <w:rPr>
                <w:rFonts w:ascii="宋体" w:cs="宋体"/>
                <w:sz w:val="24"/>
              </w:rPr>
            </w:pPr>
            <w:r>
              <w:rPr>
                <w:rFonts w:hint="eastAsia" w:ascii="宋体" w:cs="宋体"/>
                <w:sz w:val="24"/>
              </w:rPr>
              <w:t>（14）设备应尽可能使用标准部件，采用功能模块化设计，确保设备维护、维修便捷、高效；软件系统应由相对独立的各模块子系统构成，单个模块子系统的故障和维护能够相对独立进行，物流中心的软件系统和各模块子系统应具备较好的系统安全性，可以独立进行灾难性恢复。</w:t>
            </w:r>
          </w:p>
          <w:p>
            <w:pPr>
              <w:spacing w:line="360" w:lineRule="exact"/>
              <w:rPr>
                <w:rFonts w:ascii="宋体" w:cs="宋体"/>
                <w:sz w:val="24"/>
              </w:rPr>
            </w:pPr>
            <w:r>
              <w:rPr>
                <w:rFonts w:hint="eastAsia" w:ascii="宋体" w:cs="宋体"/>
                <w:sz w:val="24"/>
              </w:rPr>
              <w:t>（15）工艺设备选用技术成熟、性价比高、运行稳定产品、布局合理、运行顺畅、维护方便。</w:t>
            </w:r>
          </w:p>
          <w:p>
            <w:pPr>
              <w:spacing w:line="360" w:lineRule="exact"/>
              <w:rPr>
                <w:rFonts w:ascii="宋体" w:cs="宋体"/>
                <w:sz w:val="24"/>
              </w:rPr>
            </w:pPr>
            <w:r>
              <w:rPr>
                <w:rFonts w:hint="eastAsia" w:ascii="宋体" w:cs="宋体"/>
                <w:sz w:val="24"/>
              </w:rPr>
              <w:t>（16）系统应具有远程维护功能，一旦系统或设备发生故障，远程维护人员可以通过网络或电话登录到该系统，进行远程调试和维护。</w:t>
            </w:r>
          </w:p>
          <w:p>
            <w:pPr>
              <w:spacing w:line="360" w:lineRule="exact"/>
              <w:rPr>
                <w:rFonts w:ascii="宋体" w:cs="宋体"/>
                <w:sz w:val="24"/>
              </w:rPr>
            </w:pPr>
            <w:r>
              <w:rPr>
                <w:rFonts w:hint="eastAsia" w:ascii="宋体" w:cs="宋体"/>
                <w:sz w:val="24"/>
              </w:rPr>
              <w:t>（17）需配合与现有利旧设备的联动调试。应保证与现有分拣系统的软硬件无缝联接和对接，实现一体化的自动化联动运行。</w:t>
            </w:r>
          </w:p>
          <w:p>
            <w:pPr>
              <w:spacing w:line="360" w:lineRule="exact"/>
              <w:rPr>
                <w:rFonts w:ascii="宋体" w:cs="宋体"/>
                <w:sz w:val="24"/>
              </w:rPr>
            </w:pPr>
            <w:r>
              <w:rPr>
                <w:rFonts w:hint="eastAsia" w:ascii="宋体" w:cs="宋体"/>
                <w:sz w:val="24"/>
              </w:rPr>
              <w:t>（18）提供相关软件及相关接口软件。</w:t>
            </w:r>
          </w:p>
          <w:p>
            <w:pPr>
              <w:spacing w:line="360" w:lineRule="exact"/>
              <w:rPr>
                <w:rFonts w:ascii="宋体" w:cs="宋体"/>
                <w:sz w:val="24"/>
              </w:rPr>
            </w:pPr>
            <w:r>
              <w:rPr>
                <w:rFonts w:hint="eastAsia" w:ascii="宋体" w:cs="宋体"/>
                <w:sz w:val="24"/>
              </w:rPr>
              <w:t>（19）提供以上系统运行所需的计算机、服务器、操作系统、数据库及其中间件。</w:t>
            </w:r>
          </w:p>
          <w:p>
            <w:pPr>
              <w:spacing w:line="360" w:lineRule="exact"/>
              <w:rPr>
                <w:rFonts w:ascii="宋体" w:cs="宋体"/>
                <w:sz w:val="24"/>
              </w:rPr>
            </w:pPr>
            <w:r>
              <w:rPr>
                <w:rFonts w:hint="eastAsia" w:ascii="宋体" w:cs="宋体"/>
                <w:sz w:val="24"/>
              </w:rPr>
              <w:t>（20）提供物流电控系统，包括：电控柜、PLC、现场总线、检测系统、识别系统、桥架、电缆电线、现场操作站等；安装在输送设备上的检测器件、识别器件、电气执行器件，如光电开关、条码识别器、变频器等；物流系统的本地监控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rPr>
            </w:pPr>
            <w:r>
              <w:rPr>
                <w:rFonts w:hint="eastAsia" w:ascii="宋体" w:cs="宋体"/>
                <w:sz w:val="24"/>
              </w:rPr>
              <w:t>5</w:t>
            </w:r>
          </w:p>
        </w:tc>
        <w:tc>
          <w:tcPr>
            <w:tcW w:w="1822" w:type="dxa"/>
            <w:vAlign w:val="center"/>
          </w:tcPr>
          <w:p>
            <w:pPr>
              <w:spacing w:line="360" w:lineRule="exact"/>
              <w:jc w:val="center"/>
              <w:rPr>
                <w:rFonts w:ascii="宋体" w:cs="宋体"/>
                <w:sz w:val="24"/>
              </w:rPr>
            </w:pPr>
            <w:r>
              <w:rPr>
                <w:rFonts w:hint="eastAsia" w:ascii="宋体" w:cs="宋体"/>
                <w:sz w:val="24"/>
              </w:rPr>
              <w:t>其他要求</w:t>
            </w:r>
          </w:p>
        </w:tc>
        <w:tc>
          <w:tcPr>
            <w:tcW w:w="6886" w:type="dxa"/>
            <w:gridSpan w:val="2"/>
            <w:vAlign w:val="center"/>
          </w:tcPr>
          <w:p>
            <w:pPr>
              <w:spacing w:line="360" w:lineRule="exact"/>
              <w:rPr>
                <w:rFonts w:ascii="宋体" w:cs="宋体"/>
                <w:sz w:val="24"/>
              </w:rPr>
            </w:pPr>
            <w:r>
              <w:rPr>
                <w:rFonts w:hint="eastAsia" w:ascii="宋体" w:cs="宋体"/>
                <w:sz w:val="24"/>
              </w:rPr>
              <w:t>（1）中标人保证对提供给招标人使用各类软硬件知识产权具有完全的知识产权，项目建设及后期使用期间中标人负责不会因各类知识产权问题使招标人受到任何第三方的追溯及相应法律责任，相应责任均由中标人负责。</w:t>
            </w:r>
          </w:p>
          <w:p>
            <w:pPr>
              <w:spacing w:line="360" w:lineRule="exact"/>
              <w:rPr>
                <w:rFonts w:ascii="宋体" w:cs="宋体"/>
                <w:sz w:val="24"/>
              </w:rPr>
            </w:pPr>
            <w:r>
              <w:rPr>
                <w:rFonts w:hint="eastAsia" w:ascii="宋体" w:cs="宋体"/>
                <w:sz w:val="24"/>
              </w:rPr>
              <w:t>（2）经双方确认，中标人在为招标人服务期间产生的发明创造、作品、计算机软件、技术秘密或其他商业秘密信息的知识产权均属招标人所有，中标人应当依招标人的要求，提供必要的服务，包括申请、注册、登记等，协助招标人取得和行使有关的知识产权。</w:t>
            </w:r>
          </w:p>
        </w:tc>
      </w:tr>
    </w:tbl>
    <w:p>
      <w:pPr>
        <w:spacing w:before="120" w:beforeLines="50" w:line="360" w:lineRule="auto"/>
        <w:rPr>
          <w:rFonts w:ascii="宋体" w:cs="宋体"/>
          <w:b/>
          <w:bCs/>
          <w:sz w:val="24"/>
        </w:rPr>
      </w:pPr>
      <w:r>
        <w:rPr>
          <w:rFonts w:hint="eastAsia" w:ascii="宋体" w:cs="宋体"/>
          <w:b/>
          <w:bCs/>
          <w:sz w:val="24"/>
        </w:rPr>
        <w:t>（四）主要设备技术指标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822"/>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序号</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品名</w:t>
            </w:r>
          </w:p>
        </w:tc>
        <w:tc>
          <w:tcPr>
            <w:tcW w:w="6886" w:type="dxa"/>
            <w:vAlign w:val="center"/>
          </w:tcPr>
          <w:p>
            <w:pPr>
              <w:spacing w:line="360" w:lineRule="exact"/>
              <w:jc w:val="center"/>
              <w:rPr>
                <w:rFonts w:ascii="宋体" w:cs="宋体"/>
                <w:sz w:val="24"/>
                <w:highlight w:val="none"/>
              </w:rPr>
            </w:pPr>
            <w:r>
              <w:rPr>
                <w:rFonts w:hint="eastAsia" w:ascii="宋体" w:cs="宋体"/>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1</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多穿库区</w:t>
            </w:r>
          </w:p>
        </w:tc>
        <w:tc>
          <w:tcPr>
            <w:tcW w:w="6886" w:type="dxa"/>
            <w:vAlign w:val="center"/>
          </w:tcPr>
          <w:p>
            <w:pPr>
              <w:spacing w:line="360" w:lineRule="exact"/>
              <w:rPr>
                <w:rFonts w:ascii="宋体" w:cs="宋体"/>
                <w:sz w:val="24"/>
                <w:highlight w:val="none"/>
              </w:rPr>
            </w:pPr>
            <w:r>
              <w:rPr>
                <w:rFonts w:hint="eastAsia" w:ascii="宋体" w:cs="宋体"/>
                <w:sz w:val="24"/>
                <w:highlight w:val="none"/>
              </w:rPr>
              <w:t>（1）配置11层×15列×2排×10货位/货格＝3300货位；</w:t>
            </w:r>
          </w:p>
          <w:p>
            <w:pPr>
              <w:spacing w:line="360" w:lineRule="exact"/>
              <w:rPr>
                <w:rFonts w:ascii="宋体" w:cs="宋体"/>
                <w:sz w:val="24"/>
                <w:highlight w:val="none"/>
              </w:rPr>
            </w:pPr>
            <w:r>
              <w:rPr>
                <w:rFonts w:hint="eastAsia" w:ascii="宋体" w:cs="宋体"/>
                <w:sz w:val="24"/>
                <w:highlight w:val="none"/>
              </w:rPr>
              <w:t>（2）单元货格（L×W×H）：约3135×555×500（mm）；</w:t>
            </w:r>
          </w:p>
          <w:p>
            <w:pPr>
              <w:spacing w:line="360" w:lineRule="exact"/>
              <w:rPr>
                <w:rFonts w:ascii="宋体" w:cs="宋体"/>
                <w:sz w:val="24"/>
                <w:highlight w:val="none"/>
              </w:rPr>
            </w:pPr>
            <w:r>
              <w:rPr>
                <w:rFonts w:hint="eastAsia" w:ascii="宋体" w:cs="宋体"/>
                <w:sz w:val="24"/>
                <w:highlight w:val="none"/>
              </w:rPr>
              <w:t>（3）每单元货格：≥10货位；</w:t>
            </w:r>
          </w:p>
          <w:p>
            <w:pPr>
              <w:spacing w:line="360" w:lineRule="exact"/>
              <w:rPr>
                <w:rFonts w:ascii="宋体" w:cs="宋体"/>
                <w:sz w:val="24"/>
                <w:highlight w:val="none"/>
              </w:rPr>
            </w:pPr>
            <w:r>
              <w:rPr>
                <w:rFonts w:hint="eastAsia" w:ascii="宋体" w:cs="宋体"/>
                <w:sz w:val="24"/>
                <w:highlight w:val="none"/>
              </w:rPr>
              <w:t>（4）货架片通高沿巷道方向倾斜、弯曲的垂直偏差Kx不能超过货架总高的1/1000，最大不超过2mm；</w:t>
            </w:r>
          </w:p>
          <w:p>
            <w:pPr>
              <w:spacing w:line="360" w:lineRule="exact"/>
              <w:rPr>
                <w:rFonts w:ascii="宋体" w:cs="宋体"/>
                <w:sz w:val="24"/>
                <w:highlight w:val="none"/>
              </w:rPr>
            </w:pPr>
            <w:r>
              <w:rPr>
                <w:rFonts w:hint="eastAsia" w:ascii="宋体" w:cs="宋体"/>
                <w:sz w:val="24"/>
                <w:highlight w:val="none"/>
              </w:rPr>
              <w:t>（5）货架片通高巷道宽度方向倾斜、弯曲的垂直偏差Kz不能超过货架总高的1/1000，最大不超过2mm；</w:t>
            </w:r>
          </w:p>
          <w:p>
            <w:pPr>
              <w:spacing w:line="360" w:lineRule="exact"/>
              <w:rPr>
                <w:rFonts w:ascii="宋体" w:cs="宋体"/>
                <w:sz w:val="24"/>
                <w:highlight w:val="none"/>
              </w:rPr>
            </w:pPr>
            <w:r>
              <w:rPr>
                <w:rFonts w:hint="eastAsia" w:ascii="宋体" w:cs="宋体"/>
                <w:sz w:val="24"/>
                <w:highlight w:val="none"/>
              </w:rPr>
              <w:t>（6）同巷道同层载货面高度偏差不超过±2mm；</w:t>
            </w:r>
          </w:p>
          <w:p>
            <w:pPr>
              <w:spacing w:line="360" w:lineRule="exact"/>
              <w:rPr>
                <w:rFonts w:ascii="宋体" w:cs="宋体"/>
                <w:sz w:val="24"/>
                <w:highlight w:val="none"/>
              </w:rPr>
            </w:pPr>
            <w:r>
              <w:rPr>
                <w:rFonts w:hint="eastAsia" w:ascii="宋体" w:cs="宋体"/>
                <w:sz w:val="24"/>
                <w:highlight w:val="none"/>
              </w:rPr>
              <w:t>（7）同巷道同层两支导轨面高度偏差不超过±1mm；</w:t>
            </w:r>
          </w:p>
          <w:p>
            <w:pPr>
              <w:spacing w:line="360" w:lineRule="exact"/>
              <w:rPr>
                <w:rFonts w:ascii="宋体" w:cs="宋体"/>
                <w:sz w:val="24"/>
                <w:highlight w:val="none"/>
              </w:rPr>
            </w:pPr>
            <w:r>
              <w:rPr>
                <w:rFonts w:hint="eastAsia" w:ascii="宋体" w:cs="宋体"/>
                <w:sz w:val="24"/>
                <w:highlight w:val="none"/>
              </w:rPr>
              <w:t>（8）导轨接头高度偏差不超过±0.5mm；</w:t>
            </w:r>
          </w:p>
          <w:p>
            <w:pPr>
              <w:spacing w:line="360" w:lineRule="exact"/>
              <w:rPr>
                <w:rFonts w:ascii="宋体" w:cs="宋体"/>
                <w:sz w:val="24"/>
                <w:highlight w:val="none"/>
              </w:rPr>
            </w:pPr>
            <w:r>
              <w:rPr>
                <w:rFonts w:hint="eastAsia" w:ascii="宋体" w:cs="宋体"/>
                <w:sz w:val="24"/>
                <w:highlight w:val="none"/>
              </w:rPr>
              <w:t>（9）货架考虑预留消防空间、支承部位、支承载荷，可满足消防要求的消防要求。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2</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高速双升提升机</w:t>
            </w:r>
          </w:p>
        </w:tc>
        <w:tc>
          <w:tcPr>
            <w:tcW w:w="6886" w:type="dxa"/>
            <w:vAlign w:val="center"/>
          </w:tcPr>
          <w:p>
            <w:pPr>
              <w:spacing w:line="360" w:lineRule="exact"/>
              <w:rPr>
                <w:rFonts w:ascii="宋体" w:cs="宋体"/>
                <w:sz w:val="24"/>
                <w:highlight w:val="none"/>
              </w:rPr>
            </w:pPr>
            <w:r>
              <w:rPr>
                <w:rFonts w:hint="eastAsia" w:ascii="宋体" w:cs="宋体"/>
                <w:sz w:val="24"/>
                <w:highlight w:val="none"/>
              </w:rPr>
              <w:t>（1）双货位往复式垂直升降，单次≥2个承载单元；</w:t>
            </w:r>
          </w:p>
          <w:p>
            <w:pPr>
              <w:spacing w:line="360" w:lineRule="exact"/>
              <w:rPr>
                <w:rFonts w:ascii="宋体" w:cs="宋体"/>
                <w:sz w:val="24"/>
                <w:highlight w:val="none"/>
              </w:rPr>
            </w:pPr>
            <w:r>
              <w:rPr>
                <w:rFonts w:hint="eastAsia" w:ascii="宋体" w:cs="宋体"/>
                <w:sz w:val="24"/>
                <w:highlight w:val="none"/>
              </w:rPr>
              <w:t>（2）满足最大烟箱尺寸（L×W×H）：610×475×360（mm）；</w:t>
            </w:r>
          </w:p>
          <w:p>
            <w:pPr>
              <w:spacing w:line="360" w:lineRule="exact"/>
              <w:rPr>
                <w:rFonts w:ascii="宋体" w:cs="宋体"/>
                <w:sz w:val="24"/>
                <w:highlight w:val="none"/>
              </w:rPr>
            </w:pPr>
            <w:r>
              <w:rPr>
                <w:rFonts w:hint="eastAsia" w:ascii="宋体" w:cs="宋体"/>
                <w:sz w:val="24"/>
                <w:highlight w:val="none"/>
              </w:rPr>
              <w:t>（3）最大提升速度：≥</w:t>
            </w:r>
            <w:r>
              <w:rPr>
                <w:rFonts w:hint="eastAsia" w:ascii="宋体" w:cs="宋体"/>
                <w:sz w:val="24"/>
                <w:highlight w:val="none"/>
                <w:lang w:val="en-US" w:eastAsia="zh-CN"/>
              </w:rPr>
              <w:t>3</w:t>
            </w:r>
            <w:r>
              <w:rPr>
                <w:rFonts w:hint="eastAsia" w:ascii="宋体" w:cs="宋体"/>
                <w:sz w:val="24"/>
                <w:highlight w:val="none"/>
              </w:rPr>
              <w:t>m/s；</w:t>
            </w:r>
          </w:p>
          <w:p>
            <w:pPr>
              <w:spacing w:line="360" w:lineRule="exact"/>
              <w:rPr>
                <w:rFonts w:ascii="宋体" w:cs="宋体"/>
                <w:sz w:val="24"/>
                <w:highlight w:val="none"/>
              </w:rPr>
            </w:pPr>
            <w:r>
              <w:rPr>
                <w:rFonts w:hint="eastAsia" w:ascii="宋体" w:cs="宋体"/>
                <w:sz w:val="24"/>
                <w:highlight w:val="none"/>
              </w:rPr>
              <w:t>（4）加速度：≥</w:t>
            </w:r>
            <w:r>
              <w:rPr>
                <w:rFonts w:hint="eastAsia" w:ascii="宋体" w:cs="宋体"/>
                <w:sz w:val="24"/>
                <w:highlight w:val="none"/>
                <w:lang w:val="en-US" w:eastAsia="zh-CN"/>
              </w:rPr>
              <w:t>4</w:t>
            </w:r>
            <w:r>
              <w:rPr>
                <w:rFonts w:hint="eastAsia" w:ascii="宋体" w:cs="宋体"/>
                <w:sz w:val="24"/>
                <w:highlight w:val="none"/>
              </w:rPr>
              <w:t>m/s；</w:t>
            </w:r>
          </w:p>
          <w:p>
            <w:pPr>
              <w:spacing w:line="360" w:lineRule="exact"/>
              <w:rPr>
                <w:rFonts w:ascii="宋体" w:cs="宋体"/>
                <w:sz w:val="24"/>
                <w:highlight w:val="none"/>
              </w:rPr>
            </w:pPr>
            <w:r>
              <w:rPr>
                <w:rFonts w:hint="eastAsia" w:ascii="宋体" w:cs="宋体"/>
                <w:sz w:val="24"/>
                <w:highlight w:val="none"/>
              </w:rPr>
              <w:t>（5）定位精度：＜2.0mm；</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（6）提升效率：≥500件/时；</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（7）提升载荷：≥60Kg。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3</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件烟多穿车小车</w:t>
            </w:r>
          </w:p>
        </w:tc>
        <w:tc>
          <w:tcPr>
            <w:tcW w:w="6886" w:type="dxa"/>
            <w:vAlign w:val="center"/>
          </w:tcPr>
          <w:p>
            <w:pPr>
              <w:spacing w:line="360" w:lineRule="exact"/>
              <w:rPr>
                <w:rFonts w:ascii="宋体" w:cs="宋体"/>
                <w:sz w:val="24"/>
                <w:highlight w:val="none"/>
              </w:rPr>
            </w:pPr>
            <w:r>
              <w:rPr>
                <w:rFonts w:hint="eastAsia" w:ascii="宋体" w:cs="宋体"/>
                <w:sz w:val="24"/>
                <w:highlight w:val="none"/>
              </w:rPr>
              <w:t>（1）配置单货位载货平台；</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（2）行驶速度：≥3m/s；</w:t>
            </w:r>
          </w:p>
          <w:p>
            <w:pPr>
              <w:spacing w:line="360" w:lineRule="exact"/>
              <w:rPr>
                <w:rFonts w:ascii="宋体" w:cs="宋体"/>
                <w:sz w:val="24"/>
                <w:highlight w:val="none"/>
              </w:rPr>
            </w:pPr>
            <w:r>
              <w:rPr>
                <w:rFonts w:hint="eastAsia" w:ascii="宋体" w:cs="宋体"/>
                <w:sz w:val="24"/>
                <w:highlight w:val="none"/>
              </w:rPr>
              <w:t>（3）定位精度：≤±3mm；</w:t>
            </w:r>
          </w:p>
          <w:p>
            <w:pPr>
              <w:spacing w:line="360" w:lineRule="exact"/>
              <w:rPr>
                <w:rFonts w:ascii="宋体" w:cs="宋体"/>
                <w:sz w:val="24"/>
                <w:highlight w:val="none"/>
              </w:rPr>
            </w:pPr>
            <w:r>
              <w:rPr>
                <w:rFonts w:hint="eastAsia" w:ascii="宋体" w:cs="宋体"/>
                <w:sz w:val="24"/>
                <w:highlight w:val="none"/>
              </w:rPr>
              <w:t>（4）行驶加减速度（空、带载）：≥1m/s²；</w:t>
            </w:r>
          </w:p>
          <w:p>
            <w:pPr>
              <w:spacing w:line="360" w:lineRule="exact"/>
              <w:rPr>
                <w:rFonts w:ascii="宋体" w:cs="宋体"/>
                <w:sz w:val="24"/>
                <w:highlight w:val="none"/>
              </w:rPr>
            </w:pPr>
            <w:r>
              <w:rPr>
                <w:rFonts w:hint="eastAsia" w:ascii="宋体" w:cs="宋体"/>
                <w:sz w:val="24"/>
                <w:highlight w:val="none"/>
              </w:rPr>
              <w:t>（5）单元货物质量：≥17kg；</w:t>
            </w:r>
          </w:p>
          <w:p>
            <w:pPr>
              <w:spacing w:line="360" w:lineRule="exact"/>
              <w:rPr>
                <w:rFonts w:ascii="宋体" w:cs="宋体"/>
                <w:sz w:val="24"/>
                <w:highlight w:val="none"/>
              </w:rPr>
            </w:pPr>
            <w:r>
              <w:rPr>
                <w:rFonts w:hint="eastAsia" w:ascii="宋体" w:cs="宋体"/>
                <w:sz w:val="24"/>
                <w:highlight w:val="none"/>
              </w:rPr>
              <w:t>（6）单元尺寸（L×W×H）：最大610×475×360mm，最小280×240×150mm；</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（7）提速效率：≥60件/时；</w:t>
            </w:r>
          </w:p>
          <w:p>
            <w:pPr>
              <w:spacing w:line="360" w:lineRule="exact"/>
              <w:rPr>
                <w:rFonts w:ascii="宋体" w:cs="宋体"/>
                <w:sz w:val="24"/>
                <w:highlight w:val="none"/>
              </w:rPr>
            </w:pPr>
            <w:r>
              <w:rPr>
                <w:rFonts w:hint="eastAsia" w:ascii="宋体" w:cs="宋体"/>
                <w:sz w:val="24"/>
                <w:highlight w:val="none"/>
              </w:rPr>
              <w:t>（8）安装装置，断电刹车保护装置（可手动释放抱闸）；</w:t>
            </w:r>
          </w:p>
          <w:p>
            <w:pPr>
              <w:spacing w:line="360" w:lineRule="exact"/>
              <w:rPr>
                <w:rFonts w:ascii="宋体" w:cs="宋体"/>
                <w:sz w:val="24"/>
                <w:highlight w:val="none"/>
              </w:rPr>
            </w:pPr>
            <w:r>
              <w:rPr>
                <w:rFonts w:hint="eastAsia" w:ascii="宋体" w:cs="宋体"/>
                <w:sz w:val="24"/>
                <w:highlight w:val="none"/>
              </w:rPr>
              <w:t>（9）多车操作防碰撞设计货物防止重叠放置设计。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4</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垛烟传输设备</w:t>
            </w:r>
          </w:p>
        </w:tc>
        <w:tc>
          <w:tcPr>
            <w:tcW w:w="6886" w:type="dxa"/>
            <w:vAlign w:val="center"/>
          </w:tcPr>
          <w:p>
            <w:pPr>
              <w:spacing w:line="360" w:lineRule="exact"/>
              <w:rPr>
                <w:rFonts w:ascii="宋体" w:cs="宋体"/>
                <w:sz w:val="24"/>
                <w:highlight w:val="none"/>
              </w:rPr>
            </w:pPr>
            <w:r>
              <w:rPr>
                <w:rFonts w:hint="eastAsia" w:ascii="宋体" w:cs="宋体"/>
                <w:sz w:val="24"/>
                <w:highlight w:val="none"/>
              </w:rPr>
              <w:t>（1）输送载荷：≥800kg；</w:t>
            </w:r>
          </w:p>
          <w:p>
            <w:pPr>
              <w:spacing w:line="360" w:lineRule="exact"/>
              <w:rPr>
                <w:rFonts w:ascii="宋体" w:cs="宋体"/>
                <w:sz w:val="24"/>
                <w:highlight w:val="none"/>
              </w:rPr>
            </w:pPr>
            <w:r>
              <w:rPr>
                <w:rFonts w:hint="eastAsia" w:ascii="宋体" w:cs="宋体"/>
                <w:sz w:val="24"/>
                <w:highlight w:val="none"/>
              </w:rPr>
              <w:t>（2）输送速度：≥12m/min；</w:t>
            </w:r>
          </w:p>
          <w:p>
            <w:pPr>
              <w:spacing w:line="360" w:lineRule="exact"/>
              <w:rPr>
                <w:rFonts w:ascii="宋体" w:cs="宋体"/>
                <w:sz w:val="24"/>
                <w:highlight w:val="none"/>
              </w:rPr>
            </w:pPr>
            <w:r>
              <w:rPr>
                <w:rFonts w:hint="eastAsia" w:ascii="宋体" w:cs="宋体"/>
                <w:sz w:val="24"/>
                <w:highlight w:val="none"/>
              </w:rPr>
              <w:t>（3）输送货物尺寸（L×W×H）：1250×1000×1950（mm）（含商品）；</w:t>
            </w:r>
          </w:p>
          <w:p>
            <w:pPr>
              <w:spacing w:line="360" w:lineRule="exact"/>
              <w:rPr>
                <w:rFonts w:ascii="宋体" w:cs="宋体"/>
                <w:sz w:val="24"/>
                <w:highlight w:val="none"/>
              </w:rPr>
            </w:pPr>
            <w:r>
              <w:rPr>
                <w:rFonts w:hint="eastAsia" w:ascii="宋体" w:cs="宋体"/>
                <w:sz w:val="24"/>
                <w:highlight w:val="none"/>
              </w:rPr>
              <w:t>（4）控制方式：PLC、现场总线；</w:t>
            </w:r>
          </w:p>
          <w:p>
            <w:pPr>
              <w:spacing w:line="360" w:lineRule="exact"/>
              <w:rPr>
                <w:rFonts w:ascii="宋体" w:cs="宋体"/>
                <w:sz w:val="24"/>
                <w:highlight w:val="none"/>
              </w:rPr>
            </w:pPr>
            <w:r>
              <w:rPr>
                <w:rFonts w:hint="eastAsia" w:ascii="宋体" w:cs="宋体"/>
                <w:sz w:val="24"/>
                <w:highlight w:val="none"/>
              </w:rPr>
              <w:t>（5）运行跟踪方式：光电开关检测、数据队列跟踪；</w:t>
            </w:r>
          </w:p>
          <w:p>
            <w:pPr>
              <w:spacing w:line="360" w:lineRule="exact"/>
              <w:rPr>
                <w:rFonts w:ascii="宋体" w:cs="宋体"/>
                <w:sz w:val="24"/>
                <w:highlight w:val="none"/>
              </w:rPr>
            </w:pPr>
            <w:r>
              <w:rPr>
                <w:rFonts w:hint="eastAsia" w:ascii="宋体" w:cs="宋体"/>
                <w:sz w:val="24"/>
                <w:highlight w:val="none"/>
              </w:rPr>
              <w:t>（6）噪声：≤75db；</w:t>
            </w:r>
          </w:p>
          <w:p>
            <w:pPr>
              <w:spacing w:line="360" w:lineRule="exact"/>
              <w:rPr>
                <w:rFonts w:ascii="宋体" w:cs="宋体"/>
                <w:sz w:val="24"/>
                <w:highlight w:val="none"/>
              </w:rPr>
            </w:pPr>
            <w:r>
              <w:rPr>
                <w:rFonts w:hint="eastAsia" w:ascii="宋体" w:cs="宋体"/>
                <w:sz w:val="24"/>
                <w:highlight w:val="none"/>
              </w:rPr>
              <w:t>（7）结构形式：辊道、链条、空托盘拆码等输送装置，整体设备长度不少于20米。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5</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件烟传输设备</w:t>
            </w:r>
          </w:p>
        </w:tc>
        <w:tc>
          <w:tcPr>
            <w:tcW w:w="6886" w:type="dxa"/>
            <w:vAlign w:val="center"/>
          </w:tcPr>
          <w:p>
            <w:pPr>
              <w:spacing w:line="360" w:lineRule="exact"/>
              <w:rPr>
                <w:rFonts w:ascii="宋体" w:cs="宋体"/>
                <w:sz w:val="24"/>
                <w:highlight w:val="none"/>
              </w:rPr>
            </w:pPr>
            <w:r>
              <w:rPr>
                <w:rFonts w:hint="eastAsia" w:ascii="宋体" w:cs="宋体"/>
                <w:sz w:val="24"/>
                <w:highlight w:val="none"/>
              </w:rPr>
              <w:t>（1）满足单元尺寸（L×W×H）：最大610×475×360mm，最小280×240×150mm；</w:t>
            </w:r>
          </w:p>
          <w:p>
            <w:pPr>
              <w:spacing w:line="360" w:lineRule="exact"/>
              <w:rPr>
                <w:rFonts w:ascii="宋体" w:cs="宋体"/>
                <w:sz w:val="24"/>
                <w:highlight w:val="none"/>
              </w:rPr>
            </w:pPr>
            <w:r>
              <w:rPr>
                <w:rFonts w:hint="eastAsia" w:ascii="宋体" w:cs="宋体"/>
                <w:sz w:val="24"/>
                <w:highlight w:val="none"/>
              </w:rPr>
              <w:t>（2）连续传输及转辙；</w:t>
            </w:r>
          </w:p>
          <w:p>
            <w:pPr>
              <w:spacing w:line="360" w:lineRule="exact"/>
              <w:rPr>
                <w:rFonts w:ascii="宋体" w:cs="宋体"/>
                <w:sz w:val="24"/>
                <w:highlight w:val="none"/>
              </w:rPr>
            </w:pPr>
            <w:r>
              <w:rPr>
                <w:rFonts w:hint="eastAsia" w:ascii="宋体" w:cs="宋体"/>
                <w:sz w:val="24"/>
                <w:highlight w:val="none"/>
              </w:rPr>
              <w:t>（3）输送</w:t>
            </w:r>
            <w:r>
              <w:rPr>
                <w:rFonts w:hint="eastAsia" w:ascii="宋体" w:cs="宋体"/>
                <w:sz w:val="24"/>
                <w:highlight w:val="none"/>
                <w:lang w:val="en-US" w:eastAsia="zh-CN"/>
              </w:rPr>
              <w:t>质量</w:t>
            </w:r>
            <w:r>
              <w:rPr>
                <w:rFonts w:hint="eastAsia" w:ascii="宋体" w:cs="宋体"/>
                <w:sz w:val="24"/>
                <w:highlight w:val="none"/>
              </w:rPr>
              <w:t>：≤35kg/件；</w:t>
            </w:r>
          </w:p>
          <w:p>
            <w:pPr>
              <w:spacing w:line="360" w:lineRule="exact"/>
              <w:rPr>
                <w:rFonts w:ascii="宋体" w:cs="宋体"/>
                <w:sz w:val="24"/>
                <w:highlight w:val="none"/>
              </w:rPr>
            </w:pPr>
            <w:r>
              <w:rPr>
                <w:rFonts w:hint="eastAsia" w:ascii="宋体" w:cs="宋体"/>
                <w:sz w:val="24"/>
                <w:highlight w:val="none"/>
              </w:rPr>
              <w:t>（4）输送速度：≥0.6m/s；</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（5）传输效率：≥900件/小时；</w:t>
            </w:r>
          </w:p>
          <w:p>
            <w:pPr>
              <w:spacing w:line="360" w:lineRule="exact"/>
              <w:rPr>
                <w:rFonts w:ascii="宋体" w:cs="宋体"/>
                <w:sz w:val="24"/>
                <w:highlight w:val="none"/>
              </w:rPr>
            </w:pPr>
            <w:r>
              <w:rPr>
                <w:rFonts w:hint="eastAsia" w:ascii="宋体" w:cs="宋体"/>
                <w:sz w:val="24"/>
                <w:highlight w:val="none"/>
              </w:rPr>
              <w:t>（6）转辙举升周期结构：T＜4S；</w:t>
            </w:r>
          </w:p>
          <w:p>
            <w:pPr>
              <w:spacing w:line="360" w:lineRule="exact"/>
              <w:rPr>
                <w:rFonts w:ascii="宋体" w:cs="宋体"/>
                <w:sz w:val="24"/>
                <w:highlight w:val="none"/>
              </w:rPr>
            </w:pPr>
            <w:r>
              <w:rPr>
                <w:rFonts w:hint="eastAsia" w:ascii="宋体" w:cs="宋体"/>
                <w:sz w:val="24"/>
                <w:highlight w:val="none"/>
              </w:rPr>
              <w:t>（7）运输形式：不限于辊柱、皮带等输送装置，整体设备长度不少于300米。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6</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关节机械手（视觉）</w:t>
            </w:r>
          </w:p>
        </w:tc>
        <w:tc>
          <w:tcPr>
            <w:tcW w:w="6886" w:type="dxa"/>
            <w:vAlign w:val="center"/>
          </w:tcPr>
          <w:p>
            <w:pPr>
              <w:spacing w:line="360" w:lineRule="exact"/>
              <w:rPr>
                <w:rFonts w:hint="eastAsia" w:ascii="宋体" w:cs="宋体"/>
                <w:sz w:val="24"/>
                <w:highlight w:val="none"/>
              </w:rPr>
            </w:pPr>
            <w:r>
              <w:rPr>
                <w:rFonts w:hint="eastAsia" w:ascii="宋体" w:cs="宋体"/>
                <w:b/>
                <w:bCs/>
                <w:sz w:val="24"/>
                <w:highlight w:val="none"/>
              </w:rPr>
              <w:t>▲</w:t>
            </w:r>
            <w:r>
              <w:rPr>
                <w:rFonts w:hint="eastAsia" w:ascii="宋体" w:cs="宋体"/>
                <w:sz w:val="24"/>
                <w:highlight w:val="none"/>
              </w:rPr>
              <w:t>（1）标准烟每小时拆盘能力≥700件；</w:t>
            </w:r>
          </w:p>
          <w:p>
            <w:pPr>
              <w:spacing w:line="360" w:lineRule="exact"/>
              <w:rPr>
                <w:rFonts w:ascii="宋体" w:cs="宋体"/>
                <w:sz w:val="24"/>
                <w:highlight w:val="none"/>
              </w:rPr>
            </w:pPr>
            <w:r>
              <w:rPr>
                <w:rFonts w:hint="eastAsia" w:ascii="宋体" w:cs="宋体"/>
                <w:sz w:val="24"/>
                <w:highlight w:val="none"/>
              </w:rPr>
              <w:t>（2）自由度数：6轴；</w:t>
            </w:r>
          </w:p>
          <w:p>
            <w:pPr>
              <w:spacing w:line="360" w:lineRule="exact"/>
              <w:rPr>
                <w:rFonts w:ascii="宋体" w:cs="宋体"/>
                <w:sz w:val="24"/>
                <w:highlight w:val="none"/>
              </w:rPr>
            </w:pPr>
            <w:r>
              <w:rPr>
                <w:rFonts w:hint="eastAsia" w:ascii="宋体" w:cs="宋体"/>
                <w:sz w:val="24"/>
                <w:highlight w:val="none"/>
              </w:rPr>
              <w:t>（3）有效抓举质量：≥50kg；</w:t>
            </w:r>
          </w:p>
          <w:p>
            <w:pPr>
              <w:spacing w:line="360" w:lineRule="exact"/>
              <w:rPr>
                <w:rFonts w:ascii="宋体" w:cs="宋体"/>
                <w:sz w:val="24"/>
                <w:highlight w:val="none"/>
              </w:rPr>
            </w:pPr>
            <w:r>
              <w:rPr>
                <w:rFonts w:hint="eastAsia" w:ascii="宋体" w:cs="宋体"/>
                <w:sz w:val="24"/>
                <w:highlight w:val="none"/>
              </w:rPr>
              <w:t>（4）水平旋转角度</w:t>
            </w:r>
            <w:r>
              <w:rPr>
                <w:rFonts w:hint="eastAsia" w:ascii="宋体" w:cs="宋体"/>
                <w:sz w:val="24"/>
                <w:highlight w:val="none"/>
                <w:lang w:eastAsia="zh-CN"/>
              </w:rPr>
              <w:t>：</w:t>
            </w:r>
            <w:r>
              <w:rPr>
                <w:rFonts w:hint="eastAsia" w:ascii="宋体" w:cs="宋体"/>
                <w:sz w:val="24"/>
                <w:highlight w:val="none"/>
              </w:rPr>
              <w:t>≥360°；</w:t>
            </w:r>
          </w:p>
          <w:p>
            <w:pPr>
              <w:spacing w:line="360" w:lineRule="exact"/>
              <w:rPr>
                <w:rFonts w:ascii="宋体" w:cs="宋体"/>
                <w:sz w:val="24"/>
                <w:highlight w:val="none"/>
              </w:rPr>
            </w:pPr>
            <w:r>
              <w:rPr>
                <w:rFonts w:hint="eastAsia" w:ascii="宋体" w:cs="宋体"/>
                <w:sz w:val="24"/>
                <w:highlight w:val="none"/>
              </w:rPr>
              <w:t>（5）掉箱率</w:t>
            </w:r>
            <w:r>
              <w:rPr>
                <w:rFonts w:hint="eastAsia" w:ascii="宋体" w:cs="宋体"/>
                <w:sz w:val="24"/>
                <w:highlight w:val="none"/>
                <w:lang w:eastAsia="zh-CN"/>
              </w:rPr>
              <w:t>：</w:t>
            </w:r>
            <w:r>
              <w:rPr>
                <w:rFonts w:hint="eastAsia" w:ascii="宋体" w:cs="宋体"/>
                <w:sz w:val="24"/>
                <w:highlight w:val="none"/>
              </w:rPr>
              <w:t>≤0.01%；</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（6）夹具型式：吸盘（或夹具）对所有尺寸烟箱及堆码形式均通用；</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（7）其它件烟</w:t>
            </w:r>
            <w:r>
              <w:rPr>
                <w:rFonts w:hint="eastAsia" w:ascii="宋体" w:cs="宋体"/>
                <w:sz w:val="24"/>
                <w:highlight w:val="none"/>
                <w:lang w:val="en-US" w:eastAsia="zh-CN"/>
              </w:rPr>
              <w:t>拆垛效率</w:t>
            </w:r>
            <w:r>
              <w:rPr>
                <w:rFonts w:hint="eastAsia" w:ascii="宋体" w:cs="宋体"/>
                <w:sz w:val="24"/>
                <w:highlight w:val="none"/>
              </w:rPr>
              <w:t>≥11秒/节拍；</w:t>
            </w:r>
          </w:p>
          <w:p>
            <w:pPr>
              <w:spacing w:line="360" w:lineRule="exact"/>
              <w:rPr>
                <w:rFonts w:ascii="宋体" w:cs="宋体"/>
                <w:sz w:val="24"/>
                <w:highlight w:val="none"/>
              </w:rPr>
            </w:pPr>
            <w:r>
              <w:rPr>
                <w:rFonts w:hint="eastAsia" w:ascii="宋体" w:cs="宋体"/>
                <w:sz w:val="24"/>
                <w:highlight w:val="none"/>
              </w:rPr>
              <w:t>（8）可自适应各类垛型卷烟拆垛，带视觉感知设备。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7</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柔性件烟存储道</w:t>
            </w:r>
          </w:p>
        </w:tc>
        <w:tc>
          <w:tcPr>
            <w:tcW w:w="6886" w:type="dxa"/>
            <w:vAlign w:val="center"/>
          </w:tcPr>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（1）</w:t>
            </w:r>
            <w:r>
              <w:rPr>
                <w:rFonts w:hint="eastAsia" w:ascii="宋体" w:cs="宋体"/>
                <w:sz w:val="24"/>
                <w:highlight w:val="none"/>
                <w:lang w:val="en-US" w:eastAsia="zh-CN"/>
              </w:rPr>
              <w:t>单道</w:t>
            </w:r>
            <w:r>
              <w:rPr>
                <w:rFonts w:hint="eastAsia" w:ascii="宋体" w:cs="宋体"/>
                <w:sz w:val="24"/>
                <w:highlight w:val="none"/>
              </w:rPr>
              <w:t>载荷：≥</w:t>
            </w:r>
            <w:r>
              <w:rPr>
                <w:rFonts w:hint="eastAsia" w:ascii="宋体" w:cs="宋体"/>
                <w:sz w:val="24"/>
                <w:highlight w:val="none"/>
                <w:lang w:val="en-US" w:eastAsia="zh-CN"/>
              </w:rPr>
              <w:t>50</w:t>
            </w:r>
            <w:r>
              <w:rPr>
                <w:rFonts w:hint="eastAsia" w:ascii="宋体" w:cs="宋体"/>
                <w:sz w:val="24"/>
                <w:highlight w:val="none"/>
              </w:rPr>
              <w:t>0kg；</w:t>
            </w:r>
          </w:p>
          <w:p>
            <w:pPr>
              <w:spacing w:line="360" w:lineRule="exact"/>
              <w:rPr>
                <w:rFonts w:ascii="宋体" w:cs="宋体"/>
                <w:sz w:val="24"/>
                <w:highlight w:val="none"/>
              </w:rPr>
            </w:pPr>
            <w:r>
              <w:rPr>
                <w:rFonts w:hint="eastAsia" w:ascii="宋体" w:cs="宋体"/>
                <w:sz w:val="24"/>
                <w:highlight w:val="none"/>
              </w:rPr>
              <w:t>（2）存储：标准烟、异型烟；</w:t>
            </w:r>
          </w:p>
          <w:p>
            <w:pPr>
              <w:spacing w:line="360" w:lineRule="exact"/>
              <w:rPr>
                <w:rFonts w:ascii="宋体" w:cs="宋体"/>
                <w:sz w:val="24"/>
                <w:highlight w:val="none"/>
              </w:rPr>
            </w:pPr>
            <w:r>
              <w:rPr>
                <w:rFonts w:hint="eastAsia" w:ascii="宋体" w:cs="宋体"/>
                <w:sz w:val="24"/>
                <w:highlight w:val="none"/>
              </w:rPr>
              <w:t>（3）备货道尺寸（L×W）：12800×790mm；</w:t>
            </w:r>
          </w:p>
          <w:p>
            <w:pPr>
              <w:spacing w:line="360" w:lineRule="exact"/>
              <w:rPr>
                <w:rFonts w:ascii="宋体" w:cs="宋体"/>
                <w:sz w:val="24"/>
                <w:highlight w:val="none"/>
              </w:rPr>
            </w:pPr>
            <w:r>
              <w:rPr>
                <w:rFonts w:hint="eastAsia" w:ascii="宋体" w:cs="宋体"/>
                <w:sz w:val="24"/>
                <w:highlight w:val="none"/>
              </w:rPr>
              <w:t>（4）输送速度：≤0.6m/s；</w:t>
            </w:r>
          </w:p>
          <w:p>
            <w:pPr>
              <w:spacing w:line="360" w:lineRule="exact"/>
              <w:rPr>
                <w:rFonts w:ascii="宋体" w:cs="宋体"/>
                <w:sz w:val="24"/>
                <w:highlight w:val="none"/>
              </w:rPr>
            </w:pPr>
            <w:r>
              <w:rPr>
                <w:rFonts w:hint="eastAsia" w:ascii="宋体" w:cs="宋体"/>
                <w:sz w:val="24"/>
                <w:highlight w:val="none"/>
              </w:rPr>
              <w:t>（5）采用拆垛后在动力缓存道（倍速链及辊柱机＋皮带机</w:t>
            </w:r>
            <w:r>
              <w:rPr>
                <w:rFonts w:hint="eastAsia" w:ascii="宋体" w:cs="宋体"/>
                <w:sz w:val="24"/>
                <w:highlight w:val="none"/>
                <w:lang w:val="en-US" w:eastAsia="zh-CN"/>
              </w:rPr>
              <w:t>组合两种模式</w:t>
            </w:r>
            <w:r>
              <w:rPr>
                <w:rFonts w:hint="eastAsia" w:ascii="宋体" w:cs="宋体"/>
                <w:sz w:val="24"/>
                <w:highlight w:val="none"/>
              </w:rPr>
              <w:t>）积放暂存、供应分拣线的形式；</w:t>
            </w:r>
          </w:p>
          <w:p>
            <w:pPr>
              <w:spacing w:line="360" w:lineRule="exact"/>
              <w:rPr>
                <w:rFonts w:ascii="宋体" w:cs="宋体"/>
                <w:sz w:val="24"/>
                <w:highlight w:val="none"/>
              </w:rPr>
            </w:pPr>
            <w:r>
              <w:rPr>
                <w:rFonts w:hint="eastAsia" w:ascii="宋体" w:cs="宋体"/>
                <w:sz w:val="24"/>
                <w:highlight w:val="none"/>
              </w:rPr>
              <w:t>（6）卷烟适用尺寸（L×W×H）：（450-590）×（270-510）×（230-360）mm，基本可处理全品规件烟；</w:t>
            </w:r>
          </w:p>
          <w:p>
            <w:pPr>
              <w:spacing w:line="360" w:lineRule="exact"/>
              <w:rPr>
                <w:rFonts w:ascii="宋体" w:cs="宋体"/>
                <w:sz w:val="24"/>
                <w:highlight w:val="none"/>
              </w:rPr>
            </w:pPr>
            <w:r>
              <w:rPr>
                <w:rFonts w:hint="eastAsia" w:ascii="宋体" w:cs="宋体"/>
                <w:sz w:val="24"/>
                <w:highlight w:val="none"/>
              </w:rPr>
              <w:t>（7）存储</w:t>
            </w:r>
            <w:r>
              <w:rPr>
                <w:rFonts w:hint="eastAsia" w:ascii="宋体" w:cs="宋体"/>
                <w:sz w:val="24"/>
                <w:highlight w:val="none"/>
                <w:lang w:val="en-US" w:eastAsia="zh-CN"/>
              </w:rPr>
              <w:t>卷烟标准</w:t>
            </w:r>
            <w:r>
              <w:rPr>
                <w:rFonts w:hint="eastAsia" w:ascii="宋体" w:cs="宋体"/>
                <w:sz w:val="24"/>
                <w:highlight w:val="none"/>
              </w:rPr>
              <w:t>3</w:t>
            </w:r>
            <w:r>
              <w:rPr>
                <w:rFonts w:hint="eastAsia" w:ascii="宋体" w:cs="宋体"/>
                <w:sz w:val="24"/>
                <w:highlight w:val="none"/>
                <w:lang w:val="en-US" w:eastAsia="zh-CN"/>
              </w:rPr>
              <w:t>5</w:t>
            </w:r>
            <w:r>
              <w:rPr>
                <w:rFonts w:hint="eastAsia" w:ascii="宋体" w:cs="宋体"/>
                <w:sz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8</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重力式存储道</w:t>
            </w:r>
          </w:p>
        </w:tc>
        <w:tc>
          <w:tcPr>
            <w:tcW w:w="6886" w:type="dxa"/>
            <w:vAlign w:val="center"/>
          </w:tcPr>
          <w:p>
            <w:pPr>
              <w:spacing w:line="360" w:lineRule="exact"/>
              <w:rPr>
                <w:rFonts w:ascii="宋体" w:cs="宋体"/>
                <w:sz w:val="24"/>
                <w:highlight w:val="none"/>
              </w:rPr>
            </w:pPr>
            <w:r>
              <w:rPr>
                <w:rFonts w:hint="eastAsia" w:ascii="宋体" w:cs="宋体"/>
                <w:sz w:val="24"/>
                <w:highlight w:val="none"/>
              </w:rPr>
              <w:t>（1）传输方式：堆积传输；</w:t>
            </w:r>
          </w:p>
          <w:p>
            <w:pPr>
              <w:spacing w:line="360" w:lineRule="exact"/>
              <w:rPr>
                <w:rFonts w:ascii="宋体" w:cs="宋体"/>
                <w:sz w:val="24"/>
                <w:highlight w:val="none"/>
              </w:rPr>
            </w:pPr>
            <w:r>
              <w:rPr>
                <w:rFonts w:hint="eastAsia" w:ascii="宋体" w:cs="宋体"/>
                <w:sz w:val="24"/>
                <w:highlight w:val="none"/>
              </w:rPr>
              <w:t>（2）输送质量：≤</w:t>
            </w:r>
            <w:r>
              <w:rPr>
                <w:rFonts w:hint="eastAsia" w:ascii="宋体" w:cs="宋体"/>
                <w:sz w:val="24"/>
                <w:highlight w:val="none"/>
                <w:lang w:val="en-US" w:eastAsia="zh-CN"/>
              </w:rPr>
              <w:t>35k</w:t>
            </w:r>
            <w:r>
              <w:rPr>
                <w:rFonts w:hint="eastAsia" w:ascii="宋体" w:cs="宋体"/>
                <w:sz w:val="24"/>
                <w:highlight w:val="none"/>
              </w:rPr>
              <w:t>g/m；</w:t>
            </w:r>
          </w:p>
          <w:p>
            <w:pPr>
              <w:spacing w:line="360" w:lineRule="exact"/>
              <w:rPr>
                <w:rFonts w:ascii="宋体" w:cs="宋体"/>
                <w:sz w:val="24"/>
                <w:highlight w:val="none"/>
              </w:rPr>
            </w:pPr>
            <w:r>
              <w:rPr>
                <w:rFonts w:hint="eastAsia" w:ascii="宋体" w:cs="宋体"/>
                <w:sz w:val="24"/>
                <w:highlight w:val="none"/>
              </w:rPr>
              <w:t>（3）输送速度：≤0.6m/s；</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（4）</w:t>
            </w:r>
            <w:r>
              <w:rPr>
                <w:rFonts w:hint="eastAsia" w:ascii="宋体" w:cs="宋体"/>
                <w:sz w:val="24"/>
                <w:highlight w:val="none"/>
                <w:lang w:val="en-US" w:eastAsia="zh-CN"/>
              </w:rPr>
              <w:t>单道</w:t>
            </w:r>
            <w:r>
              <w:rPr>
                <w:rFonts w:hint="eastAsia" w:ascii="宋体" w:cs="宋体"/>
                <w:sz w:val="24"/>
                <w:highlight w:val="none"/>
              </w:rPr>
              <w:t>载荷：≥</w:t>
            </w:r>
            <w:r>
              <w:rPr>
                <w:rFonts w:hint="eastAsia" w:ascii="宋体" w:cs="宋体"/>
                <w:sz w:val="24"/>
                <w:highlight w:val="none"/>
                <w:lang w:val="en-US" w:eastAsia="zh-CN"/>
              </w:rPr>
              <w:t>500</w:t>
            </w:r>
            <w:r>
              <w:rPr>
                <w:rFonts w:hint="eastAsia" w:ascii="宋体" w:cs="宋体"/>
                <w:sz w:val="24"/>
                <w:highlight w:val="none"/>
              </w:rPr>
              <w:t>kg；</w:t>
            </w:r>
          </w:p>
          <w:p>
            <w:pPr>
              <w:spacing w:line="360" w:lineRule="exact"/>
              <w:rPr>
                <w:rFonts w:ascii="宋体" w:cs="宋体"/>
                <w:sz w:val="24"/>
                <w:highlight w:val="none"/>
              </w:rPr>
            </w:pPr>
            <w:r>
              <w:rPr>
                <w:rFonts w:hint="eastAsia" w:ascii="宋体" w:cs="宋体"/>
                <w:sz w:val="24"/>
                <w:highlight w:val="none"/>
              </w:rPr>
              <w:t>（5）存储：标准烟；</w:t>
            </w:r>
          </w:p>
          <w:p>
            <w:pPr>
              <w:spacing w:line="360" w:lineRule="exact"/>
              <w:rPr>
                <w:rFonts w:ascii="宋体" w:cs="宋体"/>
                <w:sz w:val="24"/>
                <w:highlight w:val="none"/>
              </w:rPr>
            </w:pPr>
            <w:r>
              <w:rPr>
                <w:rFonts w:hint="eastAsia" w:ascii="宋体" w:cs="宋体"/>
                <w:sz w:val="24"/>
                <w:highlight w:val="none"/>
              </w:rPr>
              <w:t>（6）备货道尺寸（L×W）：16</w:t>
            </w:r>
            <w:r>
              <w:rPr>
                <w:rFonts w:hint="eastAsia" w:ascii="宋体" w:cs="宋体"/>
                <w:sz w:val="24"/>
                <w:highlight w:val="none"/>
                <w:lang w:val="en-US" w:eastAsia="zh-CN"/>
              </w:rPr>
              <w:t>000</w:t>
            </w:r>
            <w:r>
              <w:rPr>
                <w:rFonts w:hint="eastAsia" w:ascii="宋体" w:cs="宋体"/>
                <w:sz w:val="24"/>
                <w:highlight w:val="none"/>
              </w:rPr>
              <w:t>×77</w:t>
            </w:r>
            <w:r>
              <w:rPr>
                <w:rFonts w:hint="eastAsia" w:ascii="宋体" w:cs="宋体"/>
                <w:sz w:val="24"/>
                <w:highlight w:val="none"/>
                <w:lang w:val="en-US" w:eastAsia="zh-CN"/>
              </w:rPr>
              <w:t>0</w:t>
            </w:r>
            <w:r>
              <w:rPr>
                <w:rFonts w:hint="eastAsia" w:ascii="宋体" w:cs="宋体"/>
                <w:sz w:val="24"/>
                <w:highlight w:val="none"/>
              </w:rPr>
              <w:t>m</w:t>
            </w:r>
            <w:r>
              <w:rPr>
                <w:rFonts w:hint="eastAsia" w:ascii="宋体" w:cs="宋体"/>
                <w:sz w:val="24"/>
                <w:highlight w:val="none"/>
                <w:lang w:val="en-US" w:eastAsia="zh-CN"/>
              </w:rPr>
              <w:t>m</w:t>
            </w:r>
            <w:r>
              <w:rPr>
                <w:rFonts w:hint="eastAsia" w:ascii="宋体" w:cs="宋体"/>
                <w:sz w:val="24"/>
                <w:highlight w:val="none"/>
              </w:rPr>
              <w:t>；</w:t>
            </w:r>
          </w:p>
          <w:p>
            <w:pPr>
              <w:spacing w:line="360" w:lineRule="exact"/>
              <w:rPr>
                <w:rFonts w:ascii="宋体" w:cs="宋体"/>
                <w:sz w:val="24"/>
                <w:highlight w:val="none"/>
              </w:rPr>
            </w:pPr>
            <w:r>
              <w:rPr>
                <w:rFonts w:hint="eastAsia" w:ascii="宋体" w:cs="宋体"/>
                <w:sz w:val="24"/>
                <w:highlight w:val="none"/>
              </w:rPr>
              <w:t>（7）卷适用尺寸（L×W×H）：（545-585）×（435-465）×（230-265）mm；</w:t>
            </w:r>
          </w:p>
          <w:p>
            <w:pPr>
              <w:spacing w:line="360" w:lineRule="exact"/>
              <w:rPr>
                <w:rFonts w:ascii="宋体" w:cs="宋体"/>
                <w:sz w:val="24"/>
                <w:highlight w:val="none"/>
              </w:rPr>
            </w:pPr>
            <w:r>
              <w:rPr>
                <w:rFonts w:hint="eastAsia" w:ascii="宋体" w:cs="宋体"/>
                <w:sz w:val="24"/>
                <w:highlight w:val="none"/>
              </w:rPr>
              <w:t>（8）存储卷烟</w:t>
            </w:r>
            <w:r>
              <w:rPr>
                <w:rFonts w:hint="eastAsia" w:ascii="宋体" w:cs="宋体"/>
                <w:sz w:val="24"/>
                <w:highlight w:val="none"/>
                <w:lang w:val="en-US" w:eastAsia="zh-CN"/>
              </w:rPr>
              <w:t>标准</w:t>
            </w:r>
            <w:r>
              <w:rPr>
                <w:rFonts w:hint="eastAsia" w:ascii="宋体" w:cs="宋体"/>
                <w:sz w:val="24"/>
                <w:highlight w:val="none"/>
              </w:rPr>
              <w:t>35件。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9</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条烟卧式分拣机</w:t>
            </w:r>
          </w:p>
        </w:tc>
        <w:tc>
          <w:tcPr>
            <w:tcW w:w="6886" w:type="dxa"/>
            <w:vAlign w:val="center"/>
          </w:tcPr>
          <w:p>
            <w:pPr>
              <w:spacing w:line="360" w:lineRule="exact"/>
              <w:rPr>
                <w:rFonts w:ascii="宋体" w:cs="宋体"/>
                <w:sz w:val="24"/>
                <w:highlight w:val="none"/>
              </w:rPr>
            </w:pPr>
            <w:r>
              <w:rPr>
                <w:rFonts w:hint="eastAsia" w:ascii="宋体" w:cs="宋体"/>
                <w:sz w:val="24"/>
                <w:highlight w:val="none"/>
              </w:rPr>
              <w:t>（1）适应条烟规格（L×W×H）：（270-290）×（84-91）×（44-51）mm；</w:t>
            </w:r>
          </w:p>
          <w:p>
            <w:pPr>
              <w:spacing w:line="360" w:lineRule="exact"/>
              <w:rPr>
                <w:rFonts w:ascii="宋体" w:cs="宋体"/>
                <w:sz w:val="24"/>
                <w:highlight w:val="none"/>
              </w:rPr>
            </w:pPr>
            <w:r>
              <w:rPr>
                <w:rFonts w:hint="eastAsia" w:ascii="宋体" w:cs="宋体"/>
                <w:sz w:val="24"/>
                <w:highlight w:val="none"/>
              </w:rPr>
              <w:t>（2）出烟方式：单向弹射式；</w:t>
            </w:r>
          </w:p>
          <w:p>
            <w:pPr>
              <w:spacing w:line="360" w:lineRule="exact"/>
              <w:rPr>
                <w:rFonts w:ascii="宋体" w:cs="宋体"/>
                <w:sz w:val="24"/>
                <w:highlight w:val="none"/>
              </w:rPr>
            </w:pPr>
            <w:r>
              <w:rPr>
                <w:rFonts w:hint="eastAsia" w:ascii="宋体" w:cs="宋体"/>
                <w:sz w:val="24"/>
                <w:highlight w:val="none"/>
              </w:rPr>
              <w:t>（3）分离条烟效率：≤</w:t>
            </w:r>
            <w:r>
              <w:rPr>
                <w:rFonts w:hint="eastAsia" w:ascii="宋体" w:cs="宋体"/>
                <w:sz w:val="24"/>
                <w:highlight w:val="none"/>
                <w:lang w:val="en-US" w:eastAsia="zh-CN"/>
              </w:rPr>
              <w:t>0.8</w:t>
            </w:r>
            <w:r>
              <w:rPr>
                <w:rFonts w:hint="eastAsia" w:ascii="宋体" w:cs="宋体"/>
                <w:sz w:val="24"/>
                <w:highlight w:val="none"/>
              </w:rPr>
              <w:t>条/秒；</w:t>
            </w:r>
          </w:p>
          <w:p>
            <w:pPr>
              <w:spacing w:line="360" w:lineRule="exact"/>
              <w:rPr>
                <w:rFonts w:ascii="宋体" w:cs="宋体"/>
                <w:sz w:val="24"/>
                <w:highlight w:val="none"/>
              </w:rPr>
            </w:pPr>
            <w:r>
              <w:rPr>
                <w:rFonts w:hint="eastAsia" w:ascii="宋体" w:cs="宋体"/>
                <w:sz w:val="24"/>
                <w:highlight w:val="none"/>
              </w:rPr>
              <w:t>（4）存储仓容量：70-75条标</w:t>
            </w:r>
            <w:r>
              <w:rPr>
                <w:rFonts w:hint="eastAsia" w:ascii="宋体" w:cs="宋体"/>
                <w:sz w:val="24"/>
                <w:highlight w:val="none"/>
                <w:lang w:val="en-US" w:eastAsia="zh-CN"/>
              </w:rPr>
              <w:t>准</w:t>
            </w:r>
            <w:r>
              <w:rPr>
                <w:rFonts w:hint="eastAsia" w:ascii="宋体" w:cs="宋体"/>
                <w:sz w:val="24"/>
                <w:highlight w:val="none"/>
              </w:rPr>
              <w:t>烟；</w:t>
            </w:r>
          </w:p>
          <w:p>
            <w:pPr>
              <w:spacing w:line="360" w:lineRule="exact"/>
              <w:rPr>
                <w:rFonts w:ascii="宋体" w:cs="宋体"/>
                <w:sz w:val="24"/>
                <w:highlight w:val="none"/>
              </w:rPr>
            </w:pPr>
            <w:r>
              <w:rPr>
                <w:rFonts w:hint="eastAsia" w:ascii="宋体" w:cs="宋体"/>
                <w:sz w:val="24"/>
                <w:highlight w:val="none"/>
              </w:rPr>
              <w:t>（5）执行仓容量：12条标</w:t>
            </w:r>
            <w:r>
              <w:rPr>
                <w:rFonts w:hint="eastAsia" w:ascii="宋体" w:cs="宋体"/>
                <w:sz w:val="24"/>
                <w:highlight w:val="none"/>
                <w:lang w:val="en-US" w:eastAsia="zh-CN"/>
              </w:rPr>
              <w:t>准</w:t>
            </w:r>
            <w:r>
              <w:rPr>
                <w:rFonts w:hint="eastAsia" w:ascii="宋体" w:cs="宋体"/>
                <w:sz w:val="24"/>
                <w:highlight w:val="none"/>
              </w:rPr>
              <w:t>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10</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库区信息及控制系统</w:t>
            </w:r>
          </w:p>
        </w:tc>
        <w:tc>
          <w:tcPr>
            <w:tcW w:w="6886" w:type="dxa"/>
            <w:vAlign w:val="center"/>
          </w:tcPr>
          <w:p>
            <w:pPr>
              <w:spacing w:line="360" w:lineRule="exact"/>
              <w:rPr>
                <w:rFonts w:ascii="宋体" w:cs="宋体"/>
                <w:sz w:val="24"/>
                <w:highlight w:val="none"/>
              </w:rPr>
            </w:pPr>
            <w:r>
              <w:rPr>
                <w:rFonts w:hint="eastAsia" w:ascii="宋体" w:cs="宋体"/>
                <w:sz w:val="24"/>
                <w:highlight w:val="none"/>
              </w:rPr>
              <w:t>（1）信息软件架构：C/S；</w:t>
            </w:r>
          </w:p>
          <w:p>
            <w:pPr>
              <w:spacing w:line="360" w:lineRule="exact"/>
              <w:rPr>
                <w:rFonts w:ascii="宋体" w:cs="宋体"/>
                <w:sz w:val="24"/>
                <w:highlight w:val="none"/>
              </w:rPr>
            </w:pPr>
            <w:r>
              <w:rPr>
                <w:rFonts w:hint="eastAsia" w:ascii="宋体" w:cs="宋体"/>
                <w:sz w:val="24"/>
                <w:highlight w:val="none"/>
              </w:rPr>
              <w:t>（2）运行平台：支持操作系统win10版本以上版本</w:t>
            </w:r>
            <w:r>
              <w:rPr>
                <w:rFonts w:hint="eastAsia" w:ascii="宋体" w:cs="宋体"/>
                <w:sz w:val="24"/>
                <w:highlight w:val="none"/>
                <w:lang w:eastAsia="zh-CN"/>
              </w:rPr>
              <w:t>、</w:t>
            </w:r>
            <w:r>
              <w:rPr>
                <w:rFonts w:hint="eastAsia" w:ascii="宋体" w:cs="宋体"/>
                <w:sz w:val="24"/>
                <w:highlight w:val="none"/>
                <w:lang w:val="en-US" w:eastAsia="zh-CN"/>
              </w:rPr>
              <w:t>欧拉系统</w:t>
            </w:r>
            <w:r>
              <w:rPr>
                <w:rFonts w:hint="eastAsia" w:ascii="宋体" w:cs="宋体"/>
                <w:sz w:val="24"/>
                <w:highlight w:val="none"/>
                <w:lang w:eastAsia="zh-CN"/>
              </w:rPr>
              <w:t>、</w:t>
            </w:r>
            <w:r>
              <w:rPr>
                <w:rFonts w:hint="eastAsia" w:ascii="宋体" w:cs="宋体"/>
                <w:sz w:val="24"/>
                <w:highlight w:val="none"/>
              </w:rPr>
              <w:t>NET4.0框架；</w:t>
            </w:r>
          </w:p>
          <w:p>
            <w:pPr>
              <w:spacing w:line="360" w:lineRule="exact"/>
              <w:rPr>
                <w:rFonts w:ascii="宋体" w:cs="宋体"/>
                <w:sz w:val="24"/>
                <w:highlight w:val="none"/>
              </w:rPr>
            </w:pPr>
            <w:r>
              <w:rPr>
                <w:rFonts w:hint="eastAsia" w:ascii="宋体" w:cs="宋体"/>
                <w:sz w:val="24"/>
                <w:highlight w:val="none"/>
              </w:rPr>
              <w:t>（3）信息硬件：</w:t>
            </w:r>
            <w:r>
              <w:rPr>
                <w:rFonts w:hint="eastAsia" w:ascii="宋体" w:cs="宋体"/>
                <w:sz w:val="24"/>
                <w:highlight w:val="none"/>
                <w:lang w:val="en-US" w:eastAsia="zh-CN"/>
              </w:rPr>
              <w:t>至少达到</w:t>
            </w:r>
            <w:r>
              <w:rPr>
                <w:rFonts w:hint="eastAsia" w:ascii="宋体" w:cs="宋体"/>
                <w:sz w:val="24"/>
                <w:highlight w:val="none"/>
              </w:rPr>
              <w:t>IPC-5120/250W/主板AIMB-505G2/I7-7700/内存8G/固态512G/4口显卡HDMI，鼠标键盘/双网卡/HDMI4口/21.5显示器；</w:t>
            </w:r>
          </w:p>
          <w:p>
            <w:pPr>
              <w:spacing w:line="360" w:lineRule="exact"/>
              <w:rPr>
                <w:rFonts w:hint="eastAsia" w:ascii="宋体" w:cs="宋体"/>
                <w:sz w:val="24"/>
                <w:highlight w:val="none"/>
                <w:lang w:eastAsia="zh-CN"/>
              </w:rPr>
            </w:pPr>
            <w:r>
              <w:rPr>
                <w:rFonts w:hint="eastAsia" w:ascii="宋体" w:cs="宋体"/>
                <w:sz w:val="24"/>
                <w:highlight w:val="none"/>
              </w:rPr>
              <w:t>（4）电气控制：PLC控制器、电控箱、变频器、电缆线、检测元器件等</w:t>
            </w:r>
            <w:r>
              <w:rPr>
                <w:rFonts w:hint="eastAsia" w:ascii="宋体" w:cs="宋体"/>
                <w:sz w:val="24"/>
                <w:highlight w:val="none"/>
                <w:lang w:eastAsia="zh-CN"/>
              </w:rPr>
              <w:t>；</w:t>
            </w:r>
          </w:p>
          <w:p>
            <w:pPr>
              <w:spacing w:line="360" w:lineRule="exact"/>
              <w:rPr>
                <w:rFonts w:hint="eastAsia" w:ascii="宋体" w:eastAsia="宋体" w:cs="宋体"/>
                <w:sz w:val="24"/>
                <w:highlight w:val="none"/>
                <w:lang w:eastAsia="zh-CN"/>
              </w:rPr>
            </w:pPr>
            <w:r>
              <w:rPr>
                <w:rFonts w:hint="eastAsia" w:ascii="宋体" w:cs="宋体"/>
                <w:sz w:val="24"/>
                <w:highlight w:val="none"/>
                <w:lang w:eastAsia="zh-CN"/>
              </w:rPr>
              <w:t>（</w:t>
            </w:r>
            <w:r>
              <w:rPr>
                <w:rFonts w:hint="eastAsia" w:ascii="宋体" w:cs="宋体"/>
                <w:sz w:val="24"/>
                <w:highlight w:val="none"/>
                <w:lang w:val="en-US" w:eastAsia="zh-CN"/>
              </w:rPr>
              <w:t>5</w:t>
            </w:r>
            <w:r>
              <w:rPr>
                <w:rFonts w:hint="eastAsia" w:ascii="宋体" w:cs="宋体"/>
                <w:sz w:val="24"/>
                <w:highlight w:val="none"/>
                <w:lang w:eastAsia="zh-CN"/>
              </w:rPr>
              <w:t>）系统需基于数据库开发，提供数据存储、汇聚、加工等功能，提供数据表结构。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11</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补货信息及控制系统信息软件</w:t>
            </w:r>
          </w:p>
        </w:tc>
        <w:tc>
          <w:tcPr>
            <w:tcW w:w="6886" w:type="dxa"/>
            <w:vAlign w:val="center"/>
          </w:tcPr>
          <w:p>
            <w:pPr>
              <w:spacing w:line="360" w:lineRule="exact"/>
              <w:rPr>
                <w:rFonts w:ascii="宋体" w:cs="宋体"/>
                <w:sz w:val="24"/>
                <w:highlight w:val="none"/>
              </w:rPr>
            </w:pPr>
            <w:r>
              <w:rPr>
                <w:rFonts w:hint="eastAsia" w:ascii="宋体" w:cs="宋体"/>
                <w:sz w:val="24"/>
                <w:highlight w:val="none"/>
              </w:rPr>
              <w:t>（1）信息软件架构：C/S；</w:t>
            </w:r>
          </w:p>
          <w:p>
            <w:pPr>
              <w:spacing w:line="360" w:lineRule="exact"/>
              <w:rPr>
                <w:rFonts w:ascii="宋体" w:cs="宋体"/>
                <w:sz w:val="24"/>
                <w:highlight w:val="none"/>
              </w:rPr>
            </w:pPr>
            <w:r>
              <w:rPr>
                <w:rFonts w:hint="eastAsia" w:ascii="宋体" w:cs="宋体"/>
                <w:sz w:val="24"/>
                <w:highlight w:val="none"/>
              </w:rPr>
              <w:t>（2）运行平台：支持操作系统win10版本以上版本</w:t>
            </w:r>
            <w:r>
              <w:rPr>
                <w:rFonts w:hint="eastAsia" w:ascii="宋体" w:cs="宋体"/>
                <w:sz w:val="24"/>
                <w:highlight w:val="none"/>
                <w:lang w:eastAsia="zh-CN"/>
              </w:rPr>
              <w:t>、</w:t>
            </w:r>
            <w:r>
              <w:rPr>
                <w:rFonts w:hint="eastAsia" w:ascii="宋体" w:cs="宋体"/>
                <w:sz w:val="24"/>
                <w:highlight w:val="none"/>
                <w:lang w:val="en-US" w:eastAsia="zh-CN"/>
              </w:rPr>
              <w:t>欧拉系统</w:t>
            </w:r>
            <w:r>
              <w:rPr>
                <w:rFonts w:hint="eastAsia" w:ascii="宋体" w:cs="宋体"/>
                <w:sz w:val="24"/>
                <w:highlight w:val="none"/>
                <w:lang w:eastAsia="zh-CN"/>
              </w:rPr>
              <w:t>、</w:t>
            </w:r>
            <w:r>
              <w:rPr>
                <w:rFonts w:hint="eastAsia" w:ascii="宋体" w:cs="宋体"/>
                <w:sz w:val="24"/>
                <w:highlight w:val="none"/>
              </w:rPr>
              <w:t>NET4.0框架；</w:t>
            </w:r>
          </w:p>
          <w:p>
            <w:pPr>
              <w:spacing w:line="360" w:lineRule="exact"/>
              <w:rPr>
                <w:rFonts w:ascii="宋体" w:cs="宋体"/>
                <w:sz w:val="24"/>
                <w:highlight w:val="none"/>
              </w:rPr>
            </w:pPr>
            <w:r>
              <w:rPr>
                <w:rFonts w:hint="eastAsia" w:ascii="宋体" w:cs="宋体"/>
                <w:sz w:val="24"/>
                <w:highlight w:val="none"/>
              </w:rPr>
              <w:t>（3）信息硬件：</w:t>
            </w:r>
            <w:r>
              <w:rPr>
                <w:rFonts w:hint="eastAsia" w:ascii="宋体" w:cs="宋体"/>
                <w:sz w:val="24"/>
                <w:highlight w:val="none"/>
                <w:lang w:val="en-US" w:eastAsia="zh-CN"/>
              </w:rPr>
              <w:t>至少达到</w:t>
            </w:r>
            <w:r>
              <w:rPr>
                <w:rFonts w:hint="eastAsia" w:ascii="宋体" w:cs="宋体"/>
                <w:sz w:val="24"/>
                <w:highlight w:val="none"/>
              </w:rPr>
              <w:t>IPC-5120/250W/主板AIMB-505G2/I7-7700/内存8G/固态512G/4口显卡HDMI，鼠标键盘/双网卡/HDMI4口/21.5显示器；</w:t>
            </w:r>
          </w:p>
          <w:p>
            <w:pPr>
              <w:spacing w:line="360" w:lineRule="exact"/>
              <w:rPr>
                <w:rFonts w:hint="eastAsia" w:ascii="宋体" w:cs="宋体"/>
                <w:sz w:val="24"/>
                <w:highlight w:val="none"/>
                <w:lang w:eastAsia="zh-CN"/>
              </w:rPr>
            </w:pPr>
            <w:r>
              <w:rPr>
                <w:rFonts w:hint="eastAsia" w:ascii="宋体" w:cs="宋体"/>
                <w:sz w:val="24"/>
                <w:highlight w:val="none"/>
              </w:rPr>
              <w:t>（4）电气控制：PLC控制器、电控箱、变频器、电缆线、检测元器件等</w:t>
            </w:r>
            <w:r>
              <w:rPr>
                <w:rFonts w:hint="eastAsia" w:ascii="宋体" w:cs="宋体"/>
                <w:sz w:val="24"/>
                <w:highlight w:val="none"/>
                <w:lang w:eastAsia="zh-CN"/>
              </w:rPr>
              <w:t>；</w:t>
            </w:r>
          </w:p>
          <w:p>
            <w:pPr>
              <w:spacing w:line="360" w:lineRule="exact"/>
              <w:rPr>
                <w:rFonts w:ascii="宋体" w:cs="宋体"/>
                <w:sz w:val="24"/>
                <w:highlight w:val="none"/>
              </w:rPr>
            </w:pPr>
            <w:r>
              <w:rPr>
                <w:rFonts w:hint="eastAsia" w:ascii="宋体" w:cs="宋体"/>
                <w:sz w:val="24"/>
                <w:highlight w:val="none"/>
                <w:lang w:eastAsia="zh-CN"/>
              </w:rPr>
              <w:t>（</w:t>
            </w:r>
            <w:r>
              <w:rPr>
                <w:rFonts w:hint="eastAsia" w:ascii="宋体" w:cs="宋体"/>
                <w:sz w:val="24"/>
                <w:highlight w:val="none"/>
                <w:lang w:val="en-US" w:eastAsia="zh-CN"/>
              </w:rPr>
              <w:t>5</w:t>
            </w:r>
            <w:r>
              <w:rPr>
                <w:rFonts w:hint="eastAsia" w:ascii="宋体" w:cs="宋体"/>
                <w:sz w:val="24"/>
                <w:highlight w:val="none"/>
                <w:lang w:eastAsia="zh-CN"/>
              </w:rPr>
              <w:t>）系统需基于数据库开发，提供数据存储、汇聚、加工等功能，提供数据表结构。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12</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件烟扫描器及支架</w:t>
            </w:r>
          </w:p>
        </w:tc>
        <w:tc>
          <w:tcPr>
            <w:tcW w:w="6886" w:type="dxa"/>
            <w:vAlign w:val="center"/>
          </w:tcPr>
          <w:p>
            <w:pPr>
              <w:spacing w:line="360" w:lineRule="exact"/>
              <w:rPr>
                <w:rFonts w:ascii="宋体" w:cs="宋体"/>
                <w:sz w:val="24"/>
                <w:highlight w:val="none"/>
              </w:rPr>
            </w:pPr>
            <w:r>
              <w:rPr>
                <w:rFonts w:hint="eastAsia" w:ascii="宋体" w:cs="宋体"/>
                <w:sz w:val="24"/>
                <w:highlight w:val="none"/>
              </w:rPr>
              <w:t>（1）扫描器液态镜头，电子对焦系统；</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（2）读取距离50mm-300mm，带内部照明，使用外部照明时可扩展至更远的距离；</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（3）像素尺寸‌：≥6μm×6μm；</w:t>
            </w:r>
          </w:p>
          <w:p>
            <w:pPr>
              <w:spacing w:line="360" w:lineRule="exact"/>
              <w:rPr>
                <w:rFonts w:ascii="宋体" w:cs="宋体"/>
                <w:sz w:val="24"/>
                <w:highlight w:val="none"/>
              </w:rPr>
            </w:pPr>
            <w:r>
              <w:rPr>
                <w:rFonts w:hint="eastAsia" w:ascii="宋体" w:cs="宋体"/>
                <w:sz w:val="24"/>
                <w:highlight w:val="none"/>
              </w:rPr>
              <w:t>（4）有源像素阵列‌：≥1280px×960px；</w:t>
            </w:r>
          </w:p>
          <w:p>
            <w:pPr>
              <w:spacing w:line="360" w:lineRule="exact"/>
              <w:rPr>
                <w:rFonts w:ascii="宋体" w:cs="宋体"/>
                <w:sz w:val="24"/>
                <w:highlight w:val="none"/>
              </w:rPr>
            </w:pPr>
            <w:r>
              <w:rPr>
                <w:rFonts w:hint="eastAsia" w:ascii="宋体" w:cs="宋体"/>
                <w:sz w:val="24"/>
                <w:highlight w:val="none"/>
              </w:rPr>
              <w:t>（5）供应电压‌：12 V DC-24 V DC；</w:t>
            </w:r>
          </w:p>
          <w:p>
            <w:pPr>
              <w:spacing w:line="360" w:lineRule="exact"/>
              <w:rPr>
                <w:rFonts w:ascii="宋体" w:cs="宋体"/>
                <w:sz w:val="24"/>
                <w:highlight w:val="none"/>
              </w:rPr>
            </w:pPr>
            <w:r>
              <w:rPr>
                <w:rFonts w:hint="eastAsia" w:ascii="宋体" w:cs="宋体"/>
                <w:sz w:val="24"/>
                <w:highlight w:val="none"/>
              </w:rPr>
              <w:t>（6）扫描频率‌：≥40Hz；</w:t>
            </w:r>
          </w:p>
          <w:p>
            <w:pPr>
              <w:spacing w:line="360" w:lineRule="exact"/>
              <w:rPr>
                <w:rFonts w:ascii="宋体" w:cs="宋体"/>
                <w:sz w:val="24"/>
                <w:highlight w:val="none"/>
              </w:rPr>
            </w:pPr>
            <w:r>
              <w:rPr>
                <w:rFonts w:hint="eastAsia" w:ascii="宋体" w:cs="宋体"/>
                <w:sz w:val="24"/>
                <w:highlight w:val="none"/>
              </w:rPr>
              <w:t>（7）外壳防护等级‌：IP54；</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（8）以太网传输接口；图像识别，适用一、二维码扫码要求。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spacing w:line="360" w:lineRule="exact"/>
              <w:jc w:val="center"/>
              <w:rPr>
                <w:rFonts w:ascii="宋体" w:cs="宋体"/>
                <w:sz w:val="24"/>
                <w:highlight w:val="none"/>
              </w:rPr>
            </w:pPr>
            <w:r>
              <w:rPr>
                <w:rFonts w:hint="eastAsia" w:ascii="宋体" w:cs="宋体"/>
                <w:sz w:val="24"/>
                <w:highlight w:val="none"/>
              </w:rPr>
              <w:t>13</w:t>
            </w:r>
          </w:p>
        </w:tc>
        <w:tc>
          <w:tcPr>
            <w:tcW w:w="1822" w:type="dxa"/>
            <w:vAlign w:val="center"/>
          </w:tcPr>
          <w:p>
            <w:pPr>
              <w:spacing w:line="360" w:lineRule="exact"/>
              <w:jc w:val="center"/>
              <w:rPr>
                <w:rFonts w:ascii="宋体" w:cs="宋体"/>
                <w:sz w:val="24"/>
                <w:highlight w:val="none"/>
              </w:rPr>
            </w:pPr>
            <w:r>
              <w:rPr>
                <w:rFonts w:hint="eastAsia" w:ascii="宋体" w:cs="宋体"/>
                <w:sz w:val="24"/>
                <w:highlight w:val="none"/>
              </w:rPr>
              <w:t>线材、辅料及检修平台</w:t>
            </w:r>
          </w:p>
        </w:tc>
        <w:tc>
          <w:tcPr>
            <w:tcW w:w="6886" w:type="dxa"/>
            <w:vAlign w:val="center"/>
          </w:tcPr>
          <w:p>
            <w:pPr>
              <w:spacing w:line="360" w:lineRule="exact"/>
              <w:rPr>
                <w:rFonts w:ascii="宋体" w:cs="宋体"/>
                <w:sz w:val="24"/>
                <w:highlight w:val="none"/>
              </w:rPr>
            </w:pPr>
            <w:r>
              <w:rPr>
                <w:rFonts w:hint="eastAsia" w:ascii="宋体" w:cs="宋体"/>
                <w:sz w:val="24"/>
                <w:highlight w:val="none"/>
              </w:rPr>
              <w:t>（1）包含电源线、网线、桥架等配套辅材、辅料及检修平台。</w:t>
            </w:r>
          </w:p>
        </w:tc>
      </w:tr>
    </w:tbl>
    <w:p>
      <w:pPr>
        <w:spacing w:before="120" w:beforeLines="50" w:line="360" w:lineRule="auto"/>
        <w:rPr>
          <w:rFonts w:ascii="宋体" w:cs="宋体"/>
          <w:b/>
          <w:bCs/>
          <w:sz w:val="24"/>
        </w:rPr>
      </w:pPr>
      <w:r>
        <w:rPr>
          <w:rFonts w:hint="eastAsia" w:ascii="宋体" w:cs="宋体"/>
          <w:b/>
          <w:bCs/>
          <w:sz w:val="24"/>
        </w:rPr>
        <w:t>（五）关键器件参考品牌表</w:t>
      </w:r>
    </w:p>
    <w:tbl>
      <w:tblPr>
        <w:tblStyle w:val="24"/>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548"/>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cs="宋体"/>
                <w:sz w:val="24"/>
              </w:rPr>
            </w:pPr>
            <w:r>
              <w:rPr>
                <w:rFonts w:hint="eastAsia" w:ascii="宋体" w:hAnsi="宋体" w:cs="宋体"/>
                <w:sz w:val="24"/>
              </w:rPr>
              <w:t>序号</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cs="宋体"/>
                <w:sz w:val="24"/>
              </w:rPr>
            </w:pPr>
            <w:r>
              <w:rPr>
                <w:rFonts w:hint="eastAsia" w:ascii="宋体" w:hAnsi="宋体" w:cs="宋体"/>
                <w:sz w:val="24"/>
              </w:rPr>
              <w:t>器件名称</w:t>
            </w:r>
          </w:p>
        </w:tc>
        <w:tc>
          <w:tcPr>
            <w:tcW w:w="62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cs="宋体"/>
                <w:sz w:val="24"/>
              </w:rPr>
            </w:pPr>
            <w:r>
              <w:rPr>
                <w:rFonts w:hint="eastAsia" w:ascii="宋体" w:hAnsi="宋体" w:cs="宋体"/>
                <w:sz w:val="24"/>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主控制器（PLC）</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Siemens、汇川、宜科等同档次品牌最新产品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2</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分布式I/O站</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Siemens、汇川、宜科等同档次品牌最新产品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3</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光电开关、接近开关</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科瑞、宜科、杰泰高科等同档次品牌最新产品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4</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电机及变速箱</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诺德、东邦、金陵、台邦、中大等同档次品牌最新产品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5</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变频器（VFD）、伺服控制器</w:t>
            </w:r>
          </w:p>
        </w:tc>
        <w:tc>
          <w:tcPr>
            <w:tcW w:w="624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sz w:val="24"/>
              </w:rPr>
            </w:pPr>
            <w:r>
              <w:rPr>
                <w:rFonts w:hint="eastAsia" w:ascii="宋体" w:hAnsi="宋体" w:cs="宋体"/>
                <w:sz w:val="24"/>
              </w:rPr>
              <w:t>DANFOSS、LENZE、台达等同档次品牌最新产品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6</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伺服电机</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禾川、台达、LENZE等同档次品牌最新产品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7</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直流电源</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明纬、华耀、Phoenix等同档次品牌最新产品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8</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按钮、指示灯、声光报警装置、隔离开关</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Schneider、正泰、ABB、伊顿等同档次品牌最新产品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9</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空开、接触器</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Schneider、ABB、Siemens等同档次品牌最新产品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10</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操作终端</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Siemens、Schneider、ABB等同档次品牌最新产品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11</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气动元气件</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Airtac、方大、EMC等同档次品牌最新产品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12</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一般部位轴承</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哈尔滨（HRB）、TR、NSK等同档次品牌最新产品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13</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触摸屏</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步科、繁易、Siemens等同档次品牌最新产品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14</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皮带、摩擦传动平皮带、传动</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Sampla（桑普拉）、上海永利、上海五同等同档次品牌最新产品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15</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电动辊筒</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金陵、胜牌、锐特、曼巴等同档次品牌最新产品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16</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动力和控制电缆</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远东、三旗、特变电工等同档次品牌最新产品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17</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滑触线</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利稳、昊睿森、安纳泰克等同档次品牌最新产品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18</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过电保护器</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施耐德、ABB、正泰、得力西等同档次品牌最新产品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19</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sz w:val="24"/>
              </w:rPr>
              <w:t>继电器</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0mron、ABB、西门子等同档次品牌最新产品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20</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sz w:val="24"/>
              </w:rPr>
              <w:t>变压器</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正泰、ABB、Siemens等同档次品牌最新产品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21</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电控柜、现场控制箱</w:t>
            </w:r>
          </w:p>
        </w:tc>
        <w:tc>
          <w:tcPr>
            <w:tcW w:w="6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威图、施耐德、ABB等同档次品牌最新产品</w:t>
            </w:r>
          </w:p>
        </w:tc>
      </w:tr>
      <w:bookmarkEnd w:id="119"/>
    </w:tbl>
    <w:p>
      <w:pPr>
        <w:spacing w:before="120" w:beforeLines="50" w:line="360" w:lineRule="auto"/>
        <w:ind w:firstLine="482" w:firstLineChars="200"/>
        <w:rPr>
          <w:b/>
          <w:bCs/>
          <w:sz w:val="24"/>
        </w:rPr>
      </w:pPr>
      <w:bookmarkStart w:id="120" w:name="_Toc225304898"/>
      <w:bookmarkStart w:id="121" w:name="_Toc7354"/>
      <w:bookmarkStart w:id="122" w:name="_Toc4423637"/>
      <w:bookmarkStart w:id="123" w:name="_Toc328578344"/>
      <w:bookmarkStart w:id="124" w:name="_Toc486344780"/>
      <w:bookmarkStart w:id="125" w:name="_Toc13677"/>
      <w:r>
        <w:rPr>
          <w:rFonts w:hint="eastAsia"/>
          <w:b/>
          <w:bCs/>
          <w:sz w:val="24"/>
        </w:rPr>
        <w:t>注：上表中参考品牌是招标人认为最适合本项目的品牌，投标人应予以积极响应。同时，投标人仍可以选择其他能满足本项目技术需求且档次与参考品牌相当的产品进行投标，但必须在投标文件中提供所投产品详细的技术参数、证明材料，且所选品牌须经三分之二以上的评委认定其不低于招标人提供的品牌档次，否则其投标将被作无效标处理。</w:t>
      </w:r>
    </w:p>
    <w:p>
      <w:pPr>
        <w:spacing w:line="360" w:lineRule="auto"/>
        <w:rPr>
          <w:b/>
          <w:bCs/>
          <w:sz w:val="24"/>
        </w:rPr>
      </w:pPr>
      <w:r>
        <w:rPr>
          <w:rFonts w:hint="eastAsia"/>
          <w:b/>
          <w:bCs/>
          <w:sz w:val="24"/>
        </w:rPr>
        <w:t>（六）各系统接口说明，地市作业系统与多穿补货系统集成接口必须满足以下接口</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88"/>
        <w:gridCol w:w="3996"/>
        <w:gridCol w:w="1783"/>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5" w:type="dxa"/>
            <w:tcBorders>
              <w:tl2br w:val="nil"/>
              <w:tr2bl w:val="nil"/>
            </w:tcBorders>
            <w:shd w:val="clear" w:color="auto" w:fill="FFFFFF"/>
            <w:vAlign w:val="center"/>
          </w:tcPr>
          <w:p>
            <w:pPr>
              <w:spacing w:line="360" w:lineRule="exact"/>
              <w:jc w:val="center"/>
              <w:rPr>
                <w:sz w:val="24"/>
              </w:rPr>
            </w:pPr>
            <w:r>
              <w:rPr>
                <w:rFonts w:hint="eastAsia"/>
                <w:sz w:val="24"/>
              </w:rPr>
              <w:t>接口编号</w:t>
            </w:r>
          </w:p>
        </w:tc>
        <w:tc>
          <w:tcPr>
            <w:tcW w:w="1488" w:type="dxa"/>
            <w:tcBorders>
              <w:tl2br w:val="nil"/>
              <w:tr2bl w:val="nil"/>
            </w:tcBorders>
            <w:shd w:val="clear" w:color="auto" w:fill="FFFFFF"/>
            <w:vAlign w:val="center"/>
          </w:tcPr>
          <w:p>
            <w:pPr>
              <w:spacing w:line="360" w:lineRule="exact"/>
              <w:jc w:val="center"/>
              <w:rPr>
                <w:sz w:val="24"/>
              </w:rPr>
            </w:pPr>
            <w:r>
              <w:rPr>
                <w:rFonts w:hint="eastAsia"/>
                <w:sz w:val="24"/>
              </w:rPr>
              <w:t>接口名称</w:t>
            </w:r>
          </w:p>
        </w:tc>
        <w:tc>
          <w:tcPr>
            <w:tcW w:w="3996" w:type="dxa"/>
            <w:tcBorders>
              <w:tl2br w:val="nil"/>
              <w:tr2bl w:val="nil"/>
            </w:tcBorders>
            <w:shd w:val="clear" w:color="auto" w:fill="FFFFFF"/>
            <w:vAlign w:val="center"/>
          </w:tcPr>
          <w:p>
            <w:pPr>
              <w:spacing w:line="360" w:lineRule="exact"/>
              <w:jc w:val="center"/>
              <w:rPr>
                <w:sz w:val="24"/>
              </w:rPr>
            </w:pPr>
            <w:r>
              <w:rPr>
                <w:rFonts w:hint="eastAsia"/>
                <w:sz w:val="24"/>
              </w:rPr>
              <w:t>接口描述</w:t>
            </w:r>
          </w:p>
        </w:tc>
        <w:tc>
          <w:tcPr>
            <w:tcW w:w="1783" w:type="dxa"/>
            <w:tcBorders>
              <w:tl2br w:val="nil"/>
              <w:tr2bl w:val="nil"/>
            </w:tcBorders>
            <w:shd w:val="clear" w:color="auto" w:fill="FFFFFF"/>
            <w:vAlign w:val="center"/>
          </w:tcPr>
          <w:p>
            <w:pPr>
              <w:spacing w:line="360" w:lineRule="exact"/>
              <w:jc w:val="center"/>
              <w:rPr>
                <w:sz w:val="24"/>
              </w:rPr>
            </w:pPr>
            <w:r>
              <w:rPr>
                <w:rFonts w:hint="eastAsia"/>
                <w:sz w:val="24"/>
              </w:rPr>
              <w:t>提供者</w:t>
            </w:r>
          </w:p>
        </w:tc>
        <w:tc>
          <w:tcPr>
            <w:tcW w:w="1506" w:type="dxa"/>
            <w:tcBorders>
              <w:tl2br w:val="nil"/>
              <w:tr2bl w:val="nil"/>
            </w:tcBorders>
            <w:shd w:val="clear" w:color="auto" w:fill="FFFFFF"/>
            <w:vAlign w:val="center"/>
          </w:tcPr>
          <w:p>
            <w:pPr>
              <w:spacing w:line="360" w:lineRule="exact"/>
              <w:jc w:val="center"/>
              <w:rPr>
                <w:sz w:val="24"/>
              </w:rPr>
            </w:pPr>
            <w:r>
              <w:rPr>
                <w:rFonts w:hint="eastAsia"/>
                <w:sz w:val="24"/>
              </w:rPr>
              <w:t>使用者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l2br w:val="nil"/>
              <w:tr2bl w:val="nil"/>
            </w:tcBorders>
            <w:vAlign w:val="center"/>
          </w:tcPr>
          <w:p>
            <w:pPr>
              <w:spacing w:line="360" w:lineRule="exact"/>
              <w:jc w:val="center"/>
              <w:rPr>
                <w:sz w:val="24"/>
              </w:rPr>
            </w:pPr>
            <w:r>
              <w:rPr>
                <w:rFonts w:hint="eastAsia"/>
                <w:sz w:val="24"/>
              </w:rPr>
              <w:t>1</w:t>
            </w:r>
          </w:p>
        </w:tc>
        <w:tc>
          <w:tcPr>
            <w:tcW w:w="1488" w:type="dxa"/>
            <w:tcBorders>
              <w:tl2br w:val="nil"/>
              <w:tr2bl w:val="nil"/>
            </w:tcBorders>
            <w:vAlign w:val="center"/>
          </w:tcPr>
          <w:p>
            <w:pPr>
              <w:widowControl/>
              <w:spacing w:line="360" w:lineRule="exact"/>
              <w:jc w:val="center"/>
              <w:rPr>
                <w:rFonts w:cs="宋体"/>
                <w:kern w:val="0"/>
                <w:sz w:val="24"/>
              </w:rPr>
            </w:pPr>
            <w:r>
              <w:rPr>
                <w:rFonts w:hint="eastAsia" w:ascii="宋体" w:hAnsi="宋体" w:cs="宋体"/>
                <w:sz w:val="24"/>
              </w:rPr>
              <w:t>卷烟信息接口</w:t>
            </w:r>
          </w:p>
        </w:tc>
        <w:tc>
          <w:tcPr>
            <w:tcW w:w="3996" w:type="dxa"/>
            <w:tcBorders>
              <w:tl2br w:val="nil"/>
              <w:tr2bl w:val="nil"/>
            </w:tcBorders>
            <w:vAlign w:val="center"/>
          </w:tcPr>
          <w:p>
            <w:pPr>
              <w:widowControl/>
              <w:spacing w:line="360" w:lineRule="exact"/>
              <w:rPr>
                <w:rFonts w:cs="宋体"/>
                <w:kern w:val="0"/>
                <w:sz w:val="24"/>
              </w:rPr>
            </w:pPr>
            <w:r>
              <w:rPr>
                <w:rFonts w:hint="eastAsia" w:ascii="宋体" w:hAnsi="宋体" w:cs="宋体"/>
                <w:sz w:val="24"/>
              </w:rPr>
              <w:t>多穿系统主动从地市作业系统获取卷烟编码、包装规格、卷烟归属等卷烟基础信息。</w:t>
            </w:r>
          </w:p>
        </w:tc>
        <w:tc>
          <w:tcPr>
            <w:tcW w:w="1783"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地市作业系统</w:t>
            </w:r>
          </w:p>
        </w:tc>
        <w:tc>
          <w:tcPr>
            <w:tcW w:w="1506"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多穿补货系统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l2br w:val="nil"/>
              <w:tr2bl w:val="nil"/>
            </w:tcBorders>
            <w:vAlign w:val="center"/>
          </w:tcPr>
          <w:p>
            <w:pPr>
              <w:spacing w:line="360" w:lineRule="exact"/>
              <w:jc w:val="center"/>
              <w:rPr>
                <w:sz w:val="24"/>
              </w:rPr>
            </w:pPr>
            <w:r>
              <w:rPr>
                <w:rFonts w:hint="eastAsia"/>
                <w:sz w:val="24"/>
              </w:rPr>
              <w:t>2</w:t>
            </w:r>
          </w:p>
        </w:tc>
        <w:tc>
          <w:tcPr>
            <w:tcW w:w="1488" w:type="dxa"/>
            <w:tcBorders>
              <w:tl2br w:val="nil"/>
              <w:tr2bl w:val="nil"/>
            </w:tcBorders>
            <w:vAlign w:val="center"/>
          </w:tcPr>
          <w:p>
            <w:pPr>
              <w:widowControl/>
              <w:spacing w:line="360" w:lineRule="exact"/>
              <w:jc w:val="center"/>
              <w:rPr>
                <w:rFonts w:cs="宋体"/>
                <w:kern w:val="0"/>
                <w:sz w:val="24"/>
              </w:rPr>
            </w:pPr>
            <w:r>
              <w:rPr>
                <w:rFonts w:hint="eastAsia" w:ascii="宋体" w:hAnsi="宋体" w:cs="宋体"/>
                <w:sz w:val="24"/>
              </w:rPr>
              <w:t>库存信息接口</w:t>
            </w:r>
          </w:p>
        </w:tc>
        <w:tc>
          <w:tcPr>
            <w:tcW w:w="3996" w:type="dxa"/>
            <w:tcBorders>
              <w:tl2br w:val="nil"/>
              <w:tr2bl w:val="nil"/>
            </w:tcBorders>
            <w:vAlign w:val="center"/>
          </w:tcPr>
          <w:p>
            <w:pPr>
              <w:widowControl/>
              <w:spacing w:line="360" w:lineRule="exact"/>
              <w:rPr>
                <w:rFonts w:cs="宋体"/>
                <w:kern w:val="0"/>
                <w:sz w:val="24"/>
              </w:rPr>
            </w:pPr>
            <w:r>
              <w:rPr>
                <w:rFonts w:hint="eastAsia" w:ascii="宋体" w:hAnsi="宋体" w:cs="宋体"/>
                <w:sz w:val="24"/>
              </w:rPr>
              <w:t>下位多穿系统按需主动从地市作业系统获取卷烟基础信息。</w:t>
            </w:r>
          </w:p>
        </w:tc>
        <w:tc>
          <w:tcPr>
            <w:tcW w:w="1783"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地市作业系统</w:t>
            </w:r>
          </w:p>
        </w:tc>
        <w:tc>
          <w:tcPr>
            <w:tcW w:w="1506"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多穿补货系统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l2br w:val="nil"/>
              <w:tr2bl w:val="nil"/>
            </w:tcBorders>
            <w:vAlign w:val="center"/>
          </w:tcPr>
          <w:p>
            <w:pPr>
              <w:spacing w:line="360" w:lineRule="exact"/>
              <w:jc w:val="center"/>
              <w:rPr>
                <w:sz w:val="24"/>
              </w:rPr>
            </w:pPr>
            <w:r>
              <w:rPr>
                <w:rFonts w:hint="eastAsia"/>
                <w:sz w:val="24"/>
              </w:rPr>
              <w:t>3</w:t>
            </w:r>
          </w:p>
        </w:tc>
        <w:tc>
          <w:tcPr>
            <w:tcW w:w="1488" w:type="dxa"/>
            <w:tcBorders>
              <w:tl2br w:val="nil"/>
              <w:tr2bl w:val="nil"/>
            </w:tcBorders>
            <w:vAlign w:val="center"/>
          </w:tcPr>
          <w:p>
            <w:pPr>
              <w:widowControl/>
              <w:spacing w:line="360" w:lineRule="exact"/>
              <w:jc w:val="center"/>
              <w:rPr>
                <w:rFonts w:cs="宋体"/>
                <w:kern w:val="0"/>
                <w:sz w:val="24"/>
              </w:rPr>
            </w:pPr>
            <w:r>
              <w:rPr>
                <w:rFonts w:hint="eastAsia" w:ascii="宋体" w:hAnsi="宋体" w:cs="宋体"/>
                <w:sz w:val="24"/>
              </w:rPr>
              <w:t>备货任务接口</w:t>
            </w:r>
          </w:p>
        </w:tc>
        <w:tc>
          <w:tcPr>
            <w:tcW w:w="3996" w:type="dxa"/>
            <w:tcBorders>
              <w:tl2br w:val="nil"/>
              <w:tr2bl w:val="nil"/>
            </w:tcBorders>
            <w:vAlign w:val="center"/>
          </w:tcPr>
          <w:p>
            <w:pPr>
              <w:widowControl/>
              <w:spacing w:line="360" w:lineRule="exact"/>
              <w:rPr>
                <w:rFonts w:cs="宋体"/>
                <w:kern w:val="0"/>
                <w:sz w:val="24"/>
              </w:rPr>
            </w:pPr>
            <w:r>
              <w:rPr>
                <w:rFonts w:hint="eastAsia" w:ascii="宋体" w:hAnsi="宋体" w:cs="宋体"/>
                <w:sz w:val="24"/>
              </w:rPr>
              <w:t>补货系统主动从地市作业系统获取备货任务数据。备货任务是每条分拣线需要完成备货的补货集合，通常还细化到具体的每条分拣线或其他补货系统。</w:t>
            </w:r>
          </w:p>
        </w:tc>
        <w:tc>
          <w:tcPr>
            <w:tcW w:w="1783"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地市作业系统</w:t>
            </w:r>
          </w:p>
        </w:tc>
        <w:tc>
          <w:tcPr>
            <w:tcW w:w="1506"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多穿补货系统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l2br w:val="nil"/>
              <w:tr2bl w:val="nil"/>
            </w:tcBorders>
            <w:vAlign w:val="center"/>
          </w:tcPr>
          <w:p>
            <w:pPr>
              <w:spacing w:line="360" w:lineRule="exact"/>
              <w:jc w:val="center"/>
              <w:rPr>
                <w:sz w:val="24"/>
              </w:rPr>
            </w:pPr>
            <w:r>
              <w:rPr>
                <w:rFonts w:hint="eastAsia"/>
                <w:sz w:val="24"/>
              </w:rPr>
              <w:t>4</w:t>
            </w:r>
          </w:p>
        </w:tc>
        <w:tc>
          <w:tcPr>
            <w:tcW w:w="1488" w:type="dxa"/>
            <w:tcBorders>
              <w:tl2br w:val="nil"/>
              <w:tr2bl w:val="nil"/>
            </w:tcBorders>
            <w:vAlign w:val="center"/>
          </w:tcPr>
          <w:p>
            <w:pPr>
              <w:widowControl/>
              <w:spacing w:line="360" w:lineRule="exact"/>
              <w:jc w:val="center"/>
              <w:rPr>
                <w:rFonts w:cs="宋体"/>
                <w:kern w:val="0"/>
                <w:sz w:val="24"/>
              </w:rPr>
            </w:pPr>
            <w:r>
              <w:rPr>
                <w:rFonts w:hint="eastAsia" w:ascii="宋体" w:hAnsi="宋体" w:cs="宋体"/>
                <w:sz w:val="24"/>
              </w:rPr>
              <w:t>补货进度信息进口</w:t>
            </w:r>
          </w:p>
        </w:tc>
        <w:tc>
          <w:tcPr>
            <w:tcW w:w="3996" w:type="dxa"/>
            <w:tcBorders>
              <w:tl2br w:val="nil"/>
              <w:tr2bl w:val="nil"/>
            </w:tcBorders>
            <w:vAlign w:val="center"/>
          </w:tcPr>
          <w:p>
            <w:pPr>
              <w:widowControl/>
              <w:spacing w:line="360" w:lineRule="exact"/>
              <w:rPr>
                <w:rFonts w:cs="宋体"/>
                <w:kern w:val="0"/>
                <w:sz w:val="24"/>
              </w:rPr>
            </w:pPr>
            <w:r>
              <w:rPr>
                <w:rFonts w:hint="eastAsia" w:ascii="宋体" w:hAnsi="宋体" w:cs="宋体"/>
                <w:sz w:val="24"/>
              </w:rPr>
              <w:t>主动推送、获取各现有监控、管理等系统。</w:t>
            </w:r>
          </w:p>
        </w:tc>
        <w:tc>
          <w:tcPr>
            <w:tcW w:w="1783"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多穿补货系统</w:t>
            </w:r>
          </w:p>
        </w:tc>
        <w:tc>
          <w:tcPr>
            <w:tcW w:w="1506"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地市作业系统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l2br w:val="nil"/>
              <w:tr2bl w:val="nil"/>
            </w:tcBorders>
            <w:vAlign w:val="center"/>
          </w:tcPr>
          <w:p>
            <w:pPr>
              <w:spacing w:line="360" w:lineRule="exact"/>
              <w:jc w:val="center"/>
              <w:rPr>
                <w:sz w:val="24"/>
              </w:rPr>
            </w:pPr>
            <w:r>
              <w:rPr>
                <w:rFonts w:hint="eastAsia"/>
                <w:sz w:val="24"/>
              </w:rPr>
              <w:t>5</w:t>
            </w:r>
          </w:p>
        </w:tc>
        <w:tc>
          <w:tcPr>
            <w:tcW w:w="1488" w:type="dxa"/>
            <w:tcBorders>
              <w:tl2br w:val="nil"/>
              <w:tr2bl w:val="nil"/>
            </w:tcBorders>
            <w:vAlign w:val="center"/>
          </w:tcPr>
          <w:p>
            <w:pPr>
              <w:widowControl/>
              <w:spacing w:line="360" w:lineRule="exact"/>
              <w:jc w:val="center"/>
              <w:rPr>
                <w:rFonts w:cs="宋体"/>
                <w:kern w:val="0"/>
                <w:sz w:val="24"/>
              </w:rPr>
            </w:pPr>
            <w:r>
              <w:rPr>
                <w:rFonts w:hint="eastAsia" w:ascii="宋体" w:hAnsi="宋体" w:cs="宋体"/>
                <w:sz w:val="24"/>
              </w:rPr>
              <w:t>打、扫码系统</w:t>
            </w:r>
          </w:p>
        </w:tc>
        <w:tc>
          <w:tcPr>
            <w:tcW w:w="3996" w:type="dxa"/>
            <w:tcBorders>
              <w:tl2br w:val="nil"/>
              <w:tr2bl w:val="nil"/>
            </w:tcBorders>
            <w:vAlign w:val="center"/>
          </w:tcPr>
          <w:p>
            <w:pPr>
              <w:widowControl/>
              <w:spacing w:line="360" w:lineRule="exact"/>
              <w:rPr>
                <w:rFonts w:cs="宋体"/>
                <w:kern w:val="0"/>
                <w:sz w:val="24"/>
              </w:rPr>
            </w:pPr>
            <w:r>
              <w:rPr>
                <w:rFonts w:hint="eastAsia" w:ascii="宋体" w:hAnsi="宋体" w:cs="宋体"/>
                <w:sz w:val="24"/>
              </w:rPr>
              <w:t>主动推送和获取，国家行业调控、一号工程等管理系统，完成件烟打扫码。</w:t>
            </w:r>
          </w:p>
        </w:tc>
        <w:tc>
          <w:tcPr>
            <w:tcW w:w="1783"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地市作业系统</w:t>
            </w:r>
          </w:p>
        </w:tc>
        <w:tc>
          <w:tcPr>
            <w:tcW w:w="1506" w:type="dxa"/>
            <w:tcBorders>
              <w:tl2br w:val="nil"/>
              <w:tr2bl w:val="nil"/>
            </w:tcBorders>
            <w:vAlign w:val="center"/>
          </w:tcPr>
          <w:p>
            <w:pPr>
              <w:spacing w:line="360" w:lineRule="exact"/>
              <w:jc w:val="center"/>
              <w:rPr>
                <w:rFonts w:cs="宋体"/>
                <w:kern w:val="0"/>
                <w:sz w:val="24"/>
              </w:rPr>
            </w:pPr>
            <w:r>
              <w:rPr>
                <w:rFonts w:hint="eastAsia" w:ascii="宋体" w:hAnsi="宋体" w:cs="宋体"/>
                <w:sz w:val="24"/>
              </w:rPr>
              <w:t>多穿补货系统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l2br w:val="nil"/>
              <w:tr2bl w:val="nil"/>
            </w:tcBorders>
            <w:vAlign w:val="center"/>
          </w:tcPr>
          <w:p>
            <w:pPr>
              <w:spacing w:line="360" w:lineRule="exact"/>
              <w:jc w:val="center"/>
              <w:rPr>
                <w:sz w:val="24"/>
              </w:rPr>
            </w:pPr>
            <w:r>
              <w:rPr>
                <w:rFonts w:hint="eastAsia"/>
                <w:sz w:val="24"/>
              </w:rPr>
              <w:t>6</w:t>
            </w:r>
          </w:p>
        </w:tc>
        <w:tc>
          <w:tcPr>
            <w:tcW w:w="1488" w:type="dxa"/>
            <w:tcBorders>
              <w:tl2br w:val="nil"/>
              <w:tr2bl w:val="nil"/>
            </w:tcBorders>
            <w:vAlign w:val="center"/>
          </w:tcPr>
          <w:p>
            <w:pPr>
              <w:widowControl/>
              <w:spacing w:line="360" w:lineRule="exact"/>
              <w:jc w:val="center"/>
              <w:rPr>
                <w:sz w:val="24"/>
              </w:rPr>
            </w:pPr>
            <w:r>
              <w:rPr>
                <w:rFonts w:hint="eastAsia"/>
                <w:sz w:val="24"/>
              </w:rPr>
              <w:t>其他接口</w:t>
            </w:r>
          </w:p>
        </w:tc>
        <w:tc>
          <w:tcPr>
            <w:tcW w:w="7285" w:type="dxa"/>
            <w:gridSpan w:val="3"/>
            <w:tcBorders>
              <w:tl2br w:val="nil"/>
              <w:tr2bl w:val="nil"/>
            </w:tcBorders>
            <w:vAlign w:val="center"/>
          </w:tcPr>
          <w:p>
            <w:pPr>
              <w:widowControl/>
              <w:spacing w:line="360" w:lineRule="exact"/>
              <w:rPr>
                <w:rFonts w:cs="宋体"/>
                <w:kern w:val="0"/>
                <w:sz w:val="24"/>
              </w:rPr>
            </w:pPr>
            <w:r>
              <w:rPr>
                <w:rFonts w:hint="eastAsia" w:cs="宋体"/>
                <w:kern w:val="0"/>
                <w:sz w:val="24"/>
              </w:rPr>
              <w:t>为完成本项目所需的不限于上述接口的其他合理性接口的对接费用均由中标人负责。</w:t>
            </w:r>
          </w:p>
        </w:tc>
      </w:tr>
    </w:tbl>
    <w:p>
      <w:pPr>
        <w:spacing w:before="120" w:beforeLines="50" w:line="360" w:lineRule="auto"/>
        <w:ind w:firstLine="482" w:firstLineChars="200"/>
        <w:rPr>
          <w:rFonts w:hint="eastAsia" w:ascii="宋体" w:hAnsi="宋体" w:cs="宋体"/>
          <w:b/>
          <w:bCs/>
          <w:sz w:val="24"/>
        </w:rPr>
      </w:pPr>
      <w:r>
        <w:rPr>
          <w:rFonts w:hint="eastAsia" w:ascii="宋体" w:hAnsi="宋体" w:cs="宋体"/>
          <w:b/>
          <w:bCs/>
          <w:sz w:val="24"/>
        </w:rPr>
        <w:t>注：（1）电控系统采用PROFINET现场总线控制系统。并对控制功能进行描述，其中包括对设备电控的主控制柜、分布式控制箱（柜）、智能设备控制器、现场操作员终端、现场总线、PLC、低压电器的选型、组件等的描述。</w:t>
      </w:r>
    </w:p>
    <w:p>
      <w:pPr>
        <w:spacing w:line="360" w:lineRule="auto"/>
        <w:ind w:firstLine="482" w:firstLineChars="200"/>
        <w:rPr>
          <w:rFonts w:hint="eastAsia" w:ascii="宋体" w:hAnsi="宋体" w:cs="宋体"/>
          <w:b/>
          <w:bCs/>
          <w:sz w:val="24"/>
        </w:rPr>
      </w:pPr>
      <w:r>
        <w:rPr>
          <w:rFonts w:hint="eastAsia" w:ascii="宋体" w:hAnsi="宋体" w:cs="宋体"/>
          <w:b/>
          <w:bCs/>
          <w:sz w:val="24"/>
        </w:rPr>
        <w:t>（2）电控系统采用模块化设计，需配置独立的主控制柜和独立的PLC控制器。</w:t>
      </w:r>
    </w:p>
    <w:p>
      <w:pPr>
        <w:spacing w:line="360" w:lineRule="auto"/>
        <w:ind w:firstLine="482" w:firstLineChars="200"/>
        <w:rPr>
          <w:rFonts w:hint="eastAsia" w:ascii="宋体" w:hAnsi="宋体" w:cs="宋体"/>
          <w:sz w:val="24"/>
        </w:rPr>
      </w:pPr>
      <w:r>
        <w:rPr>
          <w:rFonts w:hint="eastAsia" w:ascii="宋体" w:hAnsi="宋体" w:cs="宋体"/>
          <w:b/>
          <w:bCs/>
          <w:sz w:val="24"/>
        </w:rPr>
        <w:t>（3）以上未包括的内容按YC/T 10.14《烟草机械通用技术条件》规定执行。</w:t>
      </w:r>
    </w:p>
    <w:p>
      <w:pPr>
        <w:pStyle w:val="3"/>
        <w:spacing w:before="120" w:beforeLines="50"/>
      </w:pPr>
      <w:r>
        <w:rPr>
          <w:rFonts w:hint="eastAsia"/>
        </w:rPr>
        <w:t>三</w:t>
      </w:r>
      <w:bookmarkEnd w:id="120"/>
      <w:r>
        <w:rPr>
          <w:rFonts w:hint="eastAsia"/>
        </w:rPr>
        <w:t>、技术和履约要求</w:t>
      </w:r>
      <w:bookmarkEnd w:id="121"/>
      <w:bookmarkEnd w:id="122"/>
      <w:bookmarkEnd w:id="123"/>
      <w:bookmarkEnd w:id="124"/>
      <w:bookmarkEnd w:id="125"/>
    </w:p>
    <w:p>
      <w:pPr>
        <w:spacing w:line="360" w:lineRule="auto"/>
        <w:ind w:right="-21" w:rightChars="-10" w:firstLine="480" w:firstLineChars="200"/>
        <w:rPr>
          <w:rFonts w:ascii="宋体" w:cs="宋体"/>
          <w:sz w:val="24"/>
        </w:rPr>
      </w:pPr>
      <w:r>
        <w:rPr>
          <w:rFonts w:hint="eastAsia" w:ascii="宋体" w:cs="宋体"/>
          <w:sz w:val="24"/>
        </w:rPr>
        <w:t>（一）项目实施地点：浙江省宁波市海曙区科创南路269号宁波烟草卷烟配送中心</w:t>
      </w:r>
    </w:p>
    <w:p>
      <w:pPr>
        <w:spacing w:line="360" w:lineRule="auto"/>
        <w:ind w:right="-21" w:rightChars="-10" w:firstLine="480" w:firstLineChars="200"/>
        <w:rPr>
          <w:sz w:val="24"/>
        </w:rPr>
      </w:pPr>
      <w:r>
        <w:rPr>
          <w:rFonts w:hint="eastAsia" w:ascii="宋体" w:cs="宋体"/>
          <w:sz w:val="24"/>
        </w:rPr>
        <w:t>（二）工期：合同签订完毕，自接到招标人供货安装通知后90日历天内完成设备供货、安装、调试，并具备基本生产条件</w:t>
      </w:r>
      <w:r>
        <w:rPr>
          <w:rFonts w:hint="eastAsia"/>
          <w:sz w:val="24"/>
        </w:rPr>
        <w:t>。</w:t>
      </w:r>
    </w:p>
    <w:p>
      <w:pPr>
        <w:spacing w:line="360" w:lineRule="auto"/>
        <w:ind w:right="-21" w:rightChars="-10" w:firstLine="480" w:firstLineChars="200"/>
        <w:rPr>
          <w:rFonts w:hint="eastAsia" w:ascii="宋体" w:hAnsi="宋体" w:cs="宋体"/>
          <w:sz w:val="24"/>
        </w:rPr>
      </w:pPr>
      <w:r>
        <w:rPr>
          <w:rFonts w:hint="eastAsia" w:ascii="宋体" w:hAnsi="宋体" w:cs="宋体"/>
          <w:sz w:val="24"/>
        </w:rPr>
        <w:t>（三）施工安全要求</w:t>
      </w:r>
    </w:p>
    <w:p>
      <w:pPr>
        <w:spacing w:line="360" w:lineRule="auto"/>
        <w:ind w:right="-21" w:rightChars="-10" w:firstLine="480" w:firstLineChars="200"/>
        <w:rPr>
          <w:rFonts w:hint="eastAsia" w:ascii="宋体" w:hAnsi="宋体" w:cs="宋体"/>
          <w:sz w:val="24"/>
        </w:rPr>
      </w:pPr>
      <w:r>
        <w:rPr>
          <w:rFonts w:hint="eastAsia" w:ascii="宋体" w:hAnsi="宋体" w:cs="宋体"/>
          <w:sz w:val="24"/>
        </w:rPr>
        <w:t>1、中标人进场安装、施工、调试，必需指定安装施工专项项目负责人，确认身份、姓名及联系方式，便于安装、施工、调试过程中的协调、联系。</w:t>
      </w:r>
    </w:p>
    <w:p>
      <w:pPr>
        <w:spacing w:line="360" w:lineRule="auto"/>
        <w:ind w:right="-21" w:rightChars="-10" w:firstLine="480" w:firstLineChars="200"/>
        <w:rPr>
          <w:rFonts w:hint="eastAsia" w:ascii="宋体" w:hAnsi="宋体" w:cs="宋体"/>
          <w:sz w:val="24"/>
        </w:rPr>
      </w:pPr>
      <w:r>
        <w:rPr>
          <w:rFonts w:hint="eastAsia" w:ascii="宋体" w:hAnsi="宋体" w:cs="宋体"/>
          <w:sz w:val="24"/>
        </w:rPr>
        <w:t>2、中标人应全力配合落实招标人所在地政府和单位要求的各项防疫措施。安装、施工、调试人员进出联合工房需做好登记，并配戴相应证件。</w:t>
      </w:r>
    </w:p>
    <w:p>
      <w:pPr>
        <w:spacing w:line="360" w:lineRule="auto"/>
        <w:ind w:right="-21" w:rightChars="-10" w:firstLine="480" w:firstLineChars="200"/>
        <w:rPr>
          <w:rFonts w:hint="eastAsia" w:ascii="宋体" w:hAnsi="宋体" w:cs="宋体"/>
          <w:sz w:val="24"/>
        </w:rPr>
      </w:pPr>
      <w:r>
        <w:rPr>
          <w:rFonts w:hint="eastAsia" w:ascii="宋体" w:hAnsi="宋体" w:cs="宋体"/>
          <w:sz w:val="24"/>
        </w:rPr>
        <w:t>3、涉及现场动火、动电、登高等特种作业时，需提前向招标人安保部门申请，安装人员必须携带有效的特种作业操作证，确保人证合一后上岗安装，同时项目负责人需在作业的周围放置安全防护设施和配置安全作业监护人员。</w:t>
      </w:r>
    </w:p>
    <w:p>
      <w:pPr>
        <w:spacing w:line="360" w:lineRule="auto"/>
        <w:ind w:right="-21" w:rightChars="-10" w:firstLine="480" w:firstLineChars="200"/>
        <w:rPr>
          <w:rFonts w:hint="eastAsia" w:ascii="宋体" w:hAnsi="宋体" w:cs="宋体"/>
          <w:sz w:val="24"/>
        </w:rPr>
      </w:pPr>
      <w:r>
        <w:rPr>
          <w:rFonts w:hint="eastAsia" w:ascii="宋体" w:hAnsi="宋体" w:cs="宋体"/>
          <w:sz w:val="24"/>
        </w:rPr>
        <w:t>4、中标人应完全配合招标人关于现场施工的安全告知交底，对整个安装施工工程的安全负总责，安装、施工、调试过程中发生的人员伤亡和财产损失均由中标人承担。</w:t>
      </w:r>
    </w:p>
    <w:p>
      <w:pPr>
        <w:spacing w:line="360" w:lineRule="auto"/>
        <w:ind w:right="-21" w:rightChars="-10" w:firstLine="480" w:firstLineChars="200"/>
        <w:rPr>
          <w:rFonts w:hint="eastAsia" w:ascii="宋体" w:hAnsi="宋体" w:cs="宋体"/>
          <w:sz w:val="24"/>
        </w:rPr>
      </w:pPr>
      <w:r>
        <w:rPr>
          <w:rFonts w:hint="eastAsia" w:ascii="宋体" w:hAnsi="宋体" w:cs="宋体"/>
          <w:sz w:val="24"/>
        </w:rPr>
        <w:t>5、中标人进场安装前，需为安装、施工、调试人员配备足够的安全保护设备，并按有关规定为安装、施工、调试人员提供劳动保险。身体状况不佳的安装、施工、调试人员禁止进场安装施工。严禁中标人野蛮施工和拆装，严禁私自拆装、损坏招标人安全设施设备，中标人承担由于野蛮施工、拆装或自身安全教育缺失、防护不到位造成事故的责任和因此发生的费用。</w:t>
      </w:r>
    </w:p>
    <w:p>
      <w:pPr>
        <w:spacing w:line="360" w:lineRule="auto"/>
        <w:ind w:right="-21" w:rightChars="-10" w:firstLine="480" w:firstLineChars="200"/>
        <w:rPr>
          <w:rFonts w:hint="eastAsia" w:ascii="宋体" w:hAnsi="宋体" w:cs="宋体"/>
          <w:sz w:val="24"/>
        </w:rPr>
      </w:pPr>
      <w:r>
        <w:rPr>
          <w:rFonts w:hint="eastAsia" w:ascii="宋体" w:hAnsi="宋体" w:cs="宋体"/>
          <w:sz w:val="24"/>
        </w:rPr>
        <w:t>6、禁止安装、施工、调试人员在禁烟区吸烟。</w:t>
      </w:r>
    </w:p>
    <w:p>
      <w:pPr>
        <w:spacing w:line="360" w:lineRule="auto"/>
        <w:ind w:right="-21" w:rightChars="-10" w:firstLine="480" w:firstLineChars="200"/>
        <w:rPr>
          <w:rFonts w:hint="eastAsia" w:ascii="宋体" w:hAnsi="宋体" w:cs="宋体"/>
          <w:sz w:val="24"/>
        </w:rPr>
      </w:pPr>
      <w:r>
        <w:rPr>
          <w:rFonts w:hint="eastAsia" w:ascii="宋体" w:hAnsi="宋体" w:cs="宋体"/>
          <w:sz w:val="24"/>
        </w:rPr>
        <w:t>7、安装、施工、调试人员在作业过程中当天产生的垃圾应当日清理干净。当日工程结束后，安装、施工、调试人员对安装施工现场彻底清理，保证招标人场地整洁，符合招标人现场管理要求，清理出的垃圾不能随意堆放在招标人管理的场地内。</w:t>
      </w:r>
    </w:p>
    <w:p>
      <w:pPr>
        <w:spacing w:line="360" w:lineRule="auto"/>
        <w:ind w:right="-21" w:rightChars="-10" w:firstLine="480" w:firstLineChars="200"/>
        <w:rPr>
          <w:rFonts w:hint="eastAsia" w:ascii="宋体" w:hAnsi="宋体" w:cs="宋体"/>
          <w:sz w:val="24"/>
        </w:rPr>
      </w:pPr>
      <w:r>
        <w:rPr>
          <w:rFonts w:hint="eastAsia" w:ascii="宋体" w:hAnsi="宋体" w:cs="宋体"/>
          <w:sz w:val="24"/>
        </w:rPr>
        <w:t>8、在项目实施期间，项目负责人及安装、施工、调试人员对外发生的隔离、交通等意外事故均由中标人负责。</w:t>
      </w:r>
    </w:p>
    <w:p>
      <w:pPr>
        <w:spacing w:line="360" w:lineRule="auto"/>
        <w:ind w:right="-21" w:rightChars="-10" w:firstLine="480" w:firstLineChars="200"/>
        <w:rPr>
          <w:rFonts w:hint="eastAsia" w:ascii="宋体" w:hAnsi="宋体" w:cs="宋体"/>
          <w:sz w:val="24"/>
        </w:rPr>
      </w:pPr>
      <w:r>
        <w:rPr>
          <w:rFonts w:hint="eastAsia" w:ascii="宋体" w:hAnsi="宋体" w:cs="宋体"/>
          <w:sz w:val="24"/>
        </w:rPr>
        <w:t>9、在项目安装、调试、试运行等全流程中出现的一切因中标人引起的墙体、地面、设备、线路等原有环境的损坏，中标人需按照招标人的要求立即将其全部恢复到原有状态。</w:t>
      </w:r>
    </w:p>
    <w:p>
      <w:pPr>
        <w:spacing w:line="360" w:lineRule="auto"/>
        <w:ind w:right="-21" w:rightChars="-10" w:firstLine="480" w:firstLineChars="200"/>
        <w:rPr>
          <w:rFonts w:hint="eastAsia" w:ascii="宋体" w:hAnsi="宋体" w:cs="宋体"/>
          <w:sz w:val="24"/>
        </w:rPr>
      </w:pPr>
      <w:r>
        <w:rPr>
          <w:rFonts w:hint="eastAsia" w:ascii="宋体" w:hAnsi="宋体" w:cs="宋体"/>
          <w:sz w:val="24"/>
        </w:rPr>
        <w:t>10、本项目技改所有涉及的设备、设施都需要在后期施工、调试、试运行过程中完全响应招标人安全管理部门的安全要求。</w:t>
      </w:r>
    </w:p>
    <w:p>
      <w:pPr>
        <w:spacing w:line="360" w:lineRule="auto"/>
        <w:ind w:right="-21" w:rightChars="-10" w:firstLine="480" w:firstLineChars="200"/>
        <w:rPr>
          <w:rFonts w:hint="eastAsia" w:ascii="宋体" w:hAnsi="宋体" w:cs="宋体"/>
          <w:sz w:val="24"/>
        </w:rPr>
      </w:pPr>
      <w:r>
        <w:rPr>
          <w:rFonts w:hint="eastAsia" w:ascii="宋体" w:hAnsi="宋体" w:cs="宋体"/>
          <w:sz w:val="24"/>
        </w:rPr>
        <w:t>11、中标人在进场安装、施工、调试的过程中，若对招标人已有场地或基础设施建设进行改造，所涉及的费用由中标人负责，与招标人无关。</w:t>
      </w:r>
    </w:p>
    <w:p>
      <w:pPr>
        <w:spacing w:line="360" w:lineRule="auto"/>
        <w:ind w:right="-21" w:rightChars="-10" w:firstLine="480" w:firstLineChars="200"/>
        <w:rPr>
          <w:rFonts w:hint="eastAsia" w:ascii="宋体" w:hAnsi="宋体" w:cs="宋体"/>
          <w:sz w:val="24"/>
        </w:rPr>
      </w:pPr>
      <w:r>
        <w:rPr>
          <w:rFonts w:hint="eastAsia" w:ascii="宋体" w:hAnsi="宋体" w:cs="宋体"/>
          <w:sz w:val="24"/>
        </w:rPr>
        <w:t>12、中标人在施工作业期间，因拆卸、安装及调试造成的设备或零部件损坏由中标人负责赔偿。</w:t>
      </w:r>
    </w:p>
    <w:p>
      <w:pPr>
        <w:spacing w:line="360" w:lineRule="auto"/>
        <w:ind w:right="-21" w:rightChars="-10" w:firstLine="480" w:firstLineChars="200"/>
        <w:rPr>
          <w:rFonts w:hint="eastAsia" w:ascii="宋体" w:hAnsi="宋体" w:cs="宋体"/>
          <w:sz w:val="24"/>
        </w:rPr>
      </w:pPr>
      <w:r>
        <w:rPr>
          <w:rFonts w:hint="eastAsia" w:ascii="宋体" w:hAnsi="宋体" w:cs="宋体"/>
          <w:sz w:val="24"/>
        </w:rPr>
        <w:t>13、中标人在施工作业期间，不得影响招标人正常物流业务开展。</w:t>
      </w:r>
    </w:p>
    <w:p>
      <w:pPr>
        <w:spacing w:line="360" w:lineRule="auto"/>
        <w:ind w:right="-21" w:rightChars="-10" w:firstLine="480" w:firstLineChars="200"/>
        <w:rPr>
          <w:rFonts w:hint="eastAsia" w:ascii="宋体" w:hAnsi="宋体" w:cs="宋体"/>
          <w:sz w:val="24"/>
        </w:rPr>
      </w:pPr>
      <w:r>
        <w:rPr>
          <w:rFonts w:hint="eastAsia" w:ascii="宋体" w:hAnsi="宋体" w:cs="宋体"/>
          <w:sz w:val="24"/>
        </w:rPr>
        <w:t>（四）备品备件</w:t>
      </w:r>
    </w:p>
    <w:p>
      <w:pPr>
        <w:spacing w:line="360" w:lineRule="auto"/>
        <w:ind w:right="-21" w:rightChars="-10" w:firstLine="480" w:firstLineChars="200"/>
        <w:rPr>
          <w:rFonts w:hint="eastAsia" w:ascii="宋体" w:hAnsi="宋体" w:cs="宋体"/>
          <w:sz w:val="24"/>
        </w:rPr>
      </w:pPr>
      <w:r>
        <w:rPr>
          <w:rFonts w:hint="eastAsia" w:ascii="宋体" w:hAnsi="宋体" w:cs="宋体"/>
          <w:sz w:val="24"/>
        </w:rPr>
        <w:t>质保期内，中标人免费提供所有配（备）件及易耗品的供货、安装、调试及售后服务。</w:t>
      </w:r>
    </w:p>
    <w:p>
      <w:pPr>
        <w:spacing w:line="360" w:lineRule="auto"/>
        <w:ind w:right="-21" w:rightChars="-10" w:firstLine="480" w:firstLineChars="200"/>
        <w:rPr>
          <w:rFonts w:cs="宋体"/>
          <w:sz w:val="24"/>
        </w:rPr>
      </w:pPr>
      <w:r>
        <w:rPr>
          <w:rFonts w:hint="eastAsia" w:cs="宋体"/>
          <w:sz w:val="24"/>
        </w:rPr>
        <w:t>（五）质保及售后要求</w:t>
      </w:r>
    </w:p>
    <w:p>
      <w:pPr>
        <w:snapToGrid w:val="0"/>
        <w:spacing w:line="360" w:lineRule="auto"/>
        <w:ind w:firstLine="480" w:firstLineChars="200"/>
        <w:rPr>
          <w:rFonts w:cs="宋体"/>
          <w:sz w:val="24"/>
        </w:rPr>
      </w:pPr>
      <w:r>
        <w:rPr>
          <w:rFonts w:hint="eastAsia" w:cs="宋体"/>
          <w:sz w:val="24"/>
        </w:rPr>
        <w:t>1、设备质保要求</w:t>
      </w:r>
    </w:p>
    <w:p>
      <w:pPr>
        <w:snapToGrid w:val="0"/>
        <w:spacing w:line="360" w:lineRule="auto"/>
        <w:ind w:firstLine="480" w:firstLineChars="200"/>
        <w:rPr>
          <w:rFonts w:cs="宋体"/>
          <w:sz w:val="24"/>
        </w:rPr>
      </w:pPr>
      <w:r>
        <w:rPr>
          <w:rFonts w:hint="eastAsia" w:cs="宋体"/>
          <w:sz w:val="24"/>
        </w:rPr>
        <w:t>（1）中标人产品免费质保期为不少于系统终验合格后两年。对设备进行检测调试等，免费代培操作及维修人员。</w:t>
      </w:r>
    </w:p>
    <w:p>
      <w:pPr>
        <w:snapToGrid w:val="0"/>
        <w:spacing w:line="360" w:lineRule="auto"/>
        <w:ind w:firstLine="480" w:firstLineChars="200"/>
        <w:rPr>
          <w:rFonts w:cs="宋体"/>
          <w:sz w:val="24"/>
        </w:rPr>
      </w:pPr>
      <w:r>
        <w:rPr>
          <w:rFonts w:hint="eastAsia" w:cs="宋体"/>
          <w:sz w:val="24"/>
        </w:rPr>
        <w:t>（2）质保期内货物的维修、维护、保养工作由中标人负责。质保期内招标人正常使用情况下货物产生任何损坏或故障，中标人须免费负责修理或更换。</w:t>
      </w:r>
    </w:p>
    <w:p>
      <w:pPr>
        <w:snapToGrid w:val="0"/>
        <w:spacing w:line="360" w:lineRule="auto"/>
        <w:ind w:firstLine="480" w:firstLineChars="200"/>
        <w:rPr>
          <w:rFonts w:cs="宋体"/>
          <w:sz w:val="24"/>
        </w:rPr>
      </w:pPr>
      <w:r>
        <w:rPr>
          <w:rFonts w:hint="eastAsia" w:cs="宋体"/>
          <w:sz w:val="24"/>
        </w:rPr>
        <w:t>（3）系统整体质保期不少于两年，时间以项目整体验收之日起计。在质量保证期内，由于设备本身质量原因造成的任何损失或损坏，由中标人负责免费更换或赔偿。系统内不是由中标人提供的设备，中标人负责系统运营故障的分析与责任的判断，向招标人提供结果报告。</w:t>
      </w:r>
    </w:p>
    <w:p>
      <w:pPr>
        <w:snapToGrid w:val="0"/>
        <w:spacing w:line="360" w:lineRule="auto"/>
        <w:ind w:firstLine="480" w:firstLineChars="200"/>
        <w:rPr>
          <w:rFonts w:cs="宋体"/>
          <w:b/>
          <w:bCs/>
          <w:sz w:val="24"/>
        </w:rPr>
      </w:pPr>
      <w:r>
        <w:rPr>
          <w:rFonts w:hint="eastAsia"/>
          <w:sz w:val="24"/>
        </w:rPr>
        <w:t>（4）质保期内，若经修理后仍达不到原有性能的应无偿更换；出现由招标人</w:t>
      </w:r>
      <w:r>
        <w:rPr>
          <w:sz w:val="24"/>
        </w:rPr>
        <w:t>原因的</w:t>
      </w:r>
      <w:r>
        <w:rPr>
          <w:rFonts w:hint="eastAsia"/>
          <w:sz w:val="24"/>
        </w:rPr>
        <w:t>质量问题，中标人应无偿进行修理，招标人视情况可支付必要的材料费。所有设备验收及正常使用后</w:t>
      </w:r>
      <w:r>
        <w:rPr>
          <w:sz w:val="24"/>
        </w:rPr>
        <w:t>3</w:t>
      </w:r>
      <w:r>
        <w:rPr>
          <w:rFonts w:hint="eastAsia"/>
          <w:sz w:val="24"/>
        </w:rPr>
        <w:t>个月内出现</w:t>
      </w:r>
      <w:r>
        <w:rPr>
          <w:sz w:val="24"/>
        </w:rPr>
        <w:t>1</w:t>
      </w:r>
      <w:r>
        <w:rPr>
          <w:rFonts w:hint="eastAsia"/>
          <w:sz w:val="24"/>
        </w:rPr>
        <w:t>次故障，半年内出现</w:t>
      </w:r>
      <w:r>
        <w:rPr>
          <w:sz w:val="24"/>
        </w:rPr>
        <w:t>2</w:t>
      </w:r>
      <w:r>
        <w:rPr>
          <w:rFonts w:hint="eastAsia"/>
          <w:sz w:val="24"/>
        </w:rPr>
        <w:t>次故障的，招标人有权要求直接更换新的设备。</w:t>
      </w:r>
    </w:p>
    <w:p>
      <w:pPr>
        <w:snapToGrid w:val="0"/>
        <w:spacing w:line="360" w:lineRule="auto"/>
        <w:ind w:firstLine="480" w:firstLineChars="200"/>
        <w:rPr>
          <w:rFonts w:cs="宋体"/>
          <w:sz w:val="24"/>
        </w:rPr>
      </w:pPr>
      <w:r>
        <w:rPr>
          <w:rFonts w:hint="eastAsia" w:cs="宋体"/>
          <w:sz w:val="24"/>
        </w:rPr>
        <w:t>2、售后服务要求</w:t>
      </w:r>
    </w:p>
    <w:p>
      <w:pPr>
        <w:snapToGrid w:val="0"/>
        <w:spacing w:line="360" w:lineRule="auto"/>
        <w:ind w:firstLine="480" w:firstLineChars="200"/>
        <w:rPr>
          <w:rFonts w:cs="宋体"/>
          <w:sz w:val="24"/>
        </w:rPr>
      </w:pPr>
      <w:r>
        <w:rPr>
          <w:rFonts w:hint="eastAsia" w:cs="宋体"/>
          <w:sz w:val="24"/>
        </w:rPr>
        <w:t>（1）招标人在使用过程中人为造成的设备损坏，中标人免费提供技术服务，积极帮助修复；在保修期内因设备自身发生损坏或出现故障，中标人在接通知</w:t>
      </w:r>
      <w:r>
        <w:rPr>
          <w:rFonts w:cs="宋体"/>
          <w:sz w:val="24"/>
        </w:rPr>
        <w:t>2</w:t>
      </w:r>
      <w:r>
        <w:rPr>
          <w:rFonts w:hint="eastAsia" w:cs="宋体"/>
          <w:sz w:val="24"/>
        </w:rPr>
        <w:t>小时内响应，进行电话指导排除故障，</w:t>
      </w:r>
      <w:r>
        <w:rPr>
          <w:rFonts w:cs="宋体"/>
          <w:sz w:val="24"/>
        </w:rPr>
        <w:t>8</w:t>
      </w:r>
      <w:r>
        <w:rPr>
          <w:rFonts w:hint="eastAsia" w:cs="宋体"/>
          <w:sz w:val="24"/>
        </w:rPr>
        <w:t>小时内到达现场维修解决问题。对质量问题的投诉，将严格遵循实事求是的原则，派专人负责到底，在最快的时间内给顾客满意的答复。</w:t>
      </w:r>
    </w:p>
    <w:p>
      <w:pPr>
        <w:snapToGrid w:val="0"/>
        <w:spacing w:line="360" w:lineRule="auto"/>
        <w:ind w:firstLine="480" w:firstLineChars="200"/>
        <w:rPr>
          <w:rFonts w:cs="宋体"/>
          <w:sz w:val="24"/>
        </w:rPr>
      </w:pPr>
      <w:r>
        <w:rPr>
          <w:rFonts w:hint="eastAsia" w:cs="宋体"/>
          <w:sz w:val="24"/>
        </w:rPr>
        <w:t>（2）常年供应原厂原价零配件。</w:t>
      </w:r>
    </w:p>
    <w:p>
      <w:pPr>
        <w:snapToGrid w:val="0"/>
        <w:spacing w:line="360" w:lineRule="auto"/>
        <w:ind w:firstLine="480" w:firstLineChars="200"/>
        <w:rPr>
          <w:rFonts w:cs="宋体"/>
          <w:sz w:val="24"/>
        </w:rPr>
      </w:pPr>
      <w:r>
        <w:rPr>
          <w:rFonts w:hint="eastAsia" w:cs="宋体"/>
          <w:sz w:val="24"/>
        </w:rPr>
        <w:t>（3）招标人每季对招标人进行走访了解产品的使用情况，帮助解决使用过程中可能遇到的各种情况，同时征求质量改进意见，以便更好的为招标人服务。</w:t>
      </w:r>
    </w:p>
    <w:p>
      <w:pPr>
        <w:snapToGrid w:val="0"/>
        <w:spacing w:line="360" w:lineRule="auto"/>
        <w:ind w:firstLine="480" w:firstLineChars="200"/>
        <w:rPr>
          <w:sz w:val="24"/>
        </w:rPr>
      </w:pPr>
      <w:r>
        <w:rPr>
          <w:rFonts w:hint="eastAsia" w:cs="宋体"/>
          <w:sz w:val="24"/>
        </w:rPr>
        <w:t>（4）中标人应提供24小时售后服务联系人及联系电话。</w:t>
      </w:r>
    </w:p>
    <w:p>
      <w:pPr>
        <w:snapToGrid w:val="0"/>
        <w:spacing w:line="360" w:lineRule="auto"/>
        <w:ind w:firstLine="480" w:firstLineChars="200"/>
        <w:rPr>
          <w:rFonts w:cs="宋体"/>
          <w:sz w:val="24"/>
        </w:rPr>
      </w:pPr>
      <w:r>
        <w:rPr>
          <w:rFonts w:hint="eastAsia" w:cs="宋体"/>
          <w:sz w:val="24"/>
        </w:rPr>
        <w:t>（5）接招标人保修后，将由中标人安排最近维修点维修服务人员在第一时间内到现场进行维修服务和技术指导。</w:t>
      </w:r>
    </w:p>
    <w:p>
      <w:pPr>
        <w:snapToGrid w:val="0"/>
        <w:spacing w:line="360" w:lineRule="auto"/>
        <w:ind w:firstLine="480" w:firstLineChars="200"/>
        <w:rPr>
          <w:rFonts w:cs="宋体"/>
          <w:sz w:val="24"/>
        </w:rPr>
      </w:pPr>
      <w:r>
        <w:rPr>
          <w:rFonts w:hint="eastAsia" w:cs="宋体"/>
          <w:sz w:val="24"/>
        </w:rPr>
        <w:t>（6）系统的各组成部分应有相应的质量证明资料。</w:t>
      </w:r>
    </w:p>
    <w:p>
      <w:pPr>
        <w:snapToGrid w:val="0"/>
        <w:spacing w:line="360" w:lineRule="auto"/>
        <w:ind w:firstLine="480" w:firstLineChars="200"/>
        <w:rPr>
          <w:rFonts w:cs="宋体"/>
          <w:sz w:val="24"/>
        </w:rPr>
      </w:pPr>
      <w:r>
        <w:rPr>
          <w:rFonts w:hint="eastAsia" w:cs="宋体"/>
          <w:sz w:val="24"/>
        </w:rPr>
        <w:t>（7）中标人需在质保期内每年组织2次现场巡检维保。</w:t>
      </w:r>
    </w:p>
    <w:p>
      <w:pPr>
        <w:snapToGrid w:val="0"/>
        <w:spacing w:line="360" w:lineRule="auto"/>
        <w:ind w:firstLine="480" w:firstLineChars="200"/>
        <w:rPr>
          <w:rFonts w:cs="宋体"/>
          <w:sz w:val="24"/>
        </w:rPr>
      </w:pPr>
      <w:r>
        <w:rPr>
          <w:rFonts w:hint="eastAsia" w:cs="宋体"/>
          <w:sz w:val="24"/>
        </w:rPr>
        <w:t>（8）中标人需在质保期内提供高峰期驻场服务至少10天/年。</w:t>
      </w:r>
    </w:p>
    <w:p>
      <w:pPr>
        <w:snapToGrid w:val="0"/>
        <w:spacing w:line="360" w:lineRule="auto"/>
        <w:ind w:firstLine="480" w:firstLineChars="200"/>
        <w:rPr>
          <w:rFonts w:cs="宋体"/>
          <w:sz w:val="24"/>
        </w:rPr>
      </w:pPr>
      <w:r>
        <w:rPr>
          <w:rFonts w:hint="eastAsia" w:cs="宋体"/>
          <w:sz w:val="24"/>
        </w:rPr>
        <w:t>（9）中标人需制定详细的服务保障体系，包括针对本项目的维护策略、保障制度、分等级故障响应策略、售后服务站点的分布、备品备件库的设置等，涉及费用的要详细说明。包括但不限于下列要求：</w:t>
      </w:r>
    </w:p>
    <w:p>
      <w:pPr>
        <w:snapToGrid w:val="0"/>
        <w:spacing w:line="360" w:lineRule="auto"/>
        <w:ind w:right="-24" w:firstLine="480" w:firstLineChars="200"/>
        <w:rPr>
          <w:rFonts w:cs="宋体"/>
          <w:sz w:val="24"/>
        </w:rPr>
      </w:pPr>
      <w:r>
        <w:rPr>
          <w:rFonts w:hint="eastAsia" w:cs="宋体"/>
          <w:sz w:val="24"/>
        </w:rPr>
        <w:t>9.1当招标人需要进行扩充或改造系统设备时，中标人应积极帮助招标人进行系统设计、规划预算、提供技术支持。中标人所提供的系统设备在以后利用新技术对系统硬件、软件进行性能、功能改进或产品更新时，及时书面通知招标人，供招标人选择。用户如有系统软硬件升级的要求，中标人应全力提供技术支持和配合。</w:t>
      </w:r>
    </w:p>
    <w:p>
      <w:pPr>
        <w:snapToGrid w:val="0"/>
        <w:spacing w:line="360" w:lineRule="auto"/>
        <w:ind w:right="-24" w:firstLine="480" w:firstLineChars="200"/>
        <w:rPr>
          <w:rFonts w:cs="宋体"/>
          <w:sz w:val="24"/>
        </w:rPr>
      </w:pPr>
      <w:r>
        <w:rPr>
          <w:rFonts w:hint="eastAsia" w:cs="宋体"/>
          <w:sz w:val="24"/>
        </w:rPr>
        <w:t>9.2提供24小时维护热线，系统维护响应时间不超过2小时，工程师到达现场时间不超过</w:t>
      </w:r>
      <w:r>
        <w:rPr>
          <w:rFonts w:cs="宋体"/>
          <w:sz w:val="24"/>
        </w:rPr>
        <w:t>8</w:t>
      </w:r>
      <w:r>
        <w:rPr>
          <w:rFonts w:hint="eastAsia" w:cs="宋体"/>
          <w:sz w:val="24"/>
        </w:rPr>
        <w:t>小时。并要求具备远程诊断及远程排查处理问题的能力。</w:t>
      </w:r>
    </w:p>
    <w:p>
      <w:pPr>
        <w:snapToGrid w:val="0"/>
        <w:spacing w:line="360" w:lineRule="auto"/>
        <w:ind w:right="-24" w:firstLine="480" w:firstLineChars="200"/>
        <w:rPr>
          <w:rFonts w:cs="宋体"/>
          <w:sz w:val="24"/>
        </w:rPr>
      </w:pPr>
      <w:r>
        <w:rPr>
          <w:rFonts w:hint="eastAsia" w:cs="宋体"/>
          <w:sz w:val="24"/>
        </w:rPr>
        <w:t>9.3承诺为提供的产品终身技术支持，从系统验收后的1年内按招标人的需求免费提供软件升级、修改、完善等技术支持。</w:t>
      </w:r>
    </w:p>
    <w:p>
      <w:pPr>
        <w:spacing w:line="360" w:lineRule="auto"/>
        <w:ind w:right="-21" w:rightChars="-10" w:firstLine="480" w:firstLineChars="200"/>
        <w:rPr>
          <w:rFonts w:hint="eastAsia" w:ascii="宋体" w:hAnsi="宋体" w:cs="宋体"/>
          <w:sz w:val="24"/>
        </w:rPr>
      </w:pPr>
      <w:r>
        <w:rPr>
          <w:rFonts w:hint="eastAsia" w:cs="宋体"/>
          <w:sz w:val="24"/>
        </w:rPr>
        <w:t>9.4</w:t>
      </w:r>
      <w:r>
        <w:rPr>
          <w:rFonts w:hint="eastAsia" w:ascii="宋体" w:hAnsi="宋体" w:cs="宋体"/>
          <w:sz w:val="24"/>
        </w:rPr>
        <w:t>设备终验后，中标人应安排至少1名技术人员在现场跟踪维护设备三个月，并培训招标人的的维护人员，保证设备的正常运行。并提供所开发接口程序的安装介质，保证招标人不会因此而耽误系统运行。</w:t>
      </w:r>
    </w:p>
    <w:p>
      <w:pPr>
        <w:snapToGrid w:val="0"/>
        <w:spacing w:line="360" w:lineRule="auto"/>
        <w:ind w:right="-24" w:firstLine="480" w:firstLineChars="200"/>
        <w:rPr>
          <w:rFonts w:cs="宋体"/>
          <w:sz w:val="24"/>
        </w:rPr>
      </w:pPr>
      <w:r>
        <w:rPr>
          <w:rFonts w:hint="eastAsia" w:cs="宋体"/>
          <w:sz w:val="24"/>
        </w:rPr>
        <w:t>9.5根据项目运行特点，协助招标人制定岗位作业规范和管理制度。</w:t>
      </w:r>
    </w:p>
    <w:p>
      <w:pPr>
        <w:snapToGrid w:val="0"/>
        <w:spacing w:line="360" w:lineRule="auto"/>
        <w:ind w:right="-24" w:firstLine="480" w:firstLineChars="200"/>
        <w:rPr>
          <w:rFonts w:cs="宋体"/>
          <w:sz w:val="24"/>
        </w:rPr>
      </w:pPr>
      <w:r>
        <w:rPr>
          <w:rFonts w:hint="eastAsia" w:cs="宋体"/>
          <w:sz w:val="24"/>
        </w:rPr>
        <w:t>9.6根据招标人的要求，制定系统质量保证期维护计划。</w:t>
      </w:r>
    </w:p>
    <w:p>
      <w:pPr>
        <w:snapToGrid w:val="0"/>
        <w:spacing w:line="360" w:lineRule="auto"/>
        <w:ind w:firstLine="480" w:firstLineChars="200"/>
        <w:rPr>
          <w:rFonts w:cs="宋体"/>
          <w:sz w:val="24"/>
        </w:rPr>
      </w:pPr>
      <w:r>
        <w:rPr>
          <w:rFonts w:hint="eastAsia" w:cs="宋体"/>
          <w:sz w:val="24"/>
        </w:rPr>
        <w:t>9.7根据项目运行特点，质量保证期满后3年内，由中标人进行项目年度综合保养维护计划，详细说明保养维护责任和内容，并提供该项维护保养合同的费用（该费用不包含在投标总价中）优惠承诺。</w:t>
      </w:r>
    </w:p>
    <w:p>
      <w:pPr>
        <w:snapToGrid w:val="0"/>
        <w:spacing w:line="360" w:lineRule="auto"/>
        <w:ind w:firstLine="480" w:firstLineChars="200"/>
        <w:rPr>
          <w:rFonts w:cs="宋体"/>
          <w:sz w:val="24"/>
        </w:rPr>
      </w:pPr>
      <w:r>
        <w:rPr>
          <w:rFonts w:hint="eastAsia" w:cs="宋体"/>
          <w:sz w:val="24"/>
        </w:rPr>
        <w:t>3、常规运维服务内容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8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76" w:type="dxa"/>
            <w:vAlign w:val="center"/>
          </w:tcPr>
          <w:p>
            <w:pPr>
              <w:spacing w:line="360" w:lineRule="exact"/>
              <w:jc w:val="center"/>
              <w:rPr>
                <w:rFonts w:cs="宋体"/>
                <w:sz w:val="24"/>
              </w:rPr>
            </w:pPr>
            <w:bookmarkStart w:id="126" w:name="_Toc21179"/>
            <w:bookmarkStart w:id="127" w:name="_Toc19242"/>
            <w:bookmarkStart w:id="128" w:name="_Toc486344782"/>
            <w:bookmarkStart w:id="129" w:name="_Toc4423639"/>
            <w:bookmarkStart w:id="130" w:name="_Toc452129879"/>
            <w:bookmarkStart w:id="131" w:name="_Toc414286123"/>
            <w:r>
              <w:rPr>
                <w:rFonts w:hint="eastAsia" w:cs="宋体"/>
                <w:sz w:val="24"/>
              </w:rPr>
              <w:t>序号</w:t>
            </w:r>
          </w:p>
        </w:tc>
        <w:tc>
          <w:tcPr>
            <w:tcW w:w="8552" w:type="dxa"/>
            <w:vAlign w:val="center"/>
          </w:tcPr>
          <w:p>
            <w:pPr>
              <w:spacing w:line="360" w:lineRule="exact"/>
              <w:jc w:val="center"/>
              <w:rPr>
                <w:rFonts w:cs="宋体"/>
                <w:sz w:val="24"/>
              </w:rPr>
            </w:pPr>
            <w:r>
              <w:rPr>
                <w:rFonts w:hint="eastAsia" w:cs="宋体"/>
                <w:sz w:val="24"/>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一</w:t>
            </w:r>
          </w:p>
        </w:tc>
        <w:tc>
          <w:tcPr>
            <w:tcW w:w="8552" w:type="dxa"/>
            <w:vAlign w:val="center"/>
          </w:tcPr>
          <w:p>
            <w:pPr>
              <w:spacing w:line="360" w:lineRule="exact"/>
              <w:rPr>
                <w:rFonts w:cs="宋体"/>
                <w:b/>
                <w:bCs/>
                <w:color w:val="111F2C"/>
                <w:sz w:val="24"/>
                <w:shd w:val="clear" w:color="auto" w:fill="FFFFFF"/>
              </w:rPr>
            </w:pPr>
            <w:r>
              <w:rPr>
                <w:rFonts w:hint="eastAsia" w:cs="宋体"/>
                <w:b/>
                <w:bCs/>
                <w:color w:val="111F2C"/>
                <w:sz w:val="24"/>
                <w:shd w:val="clear" w:color="auto" w:fill="FFFFFF"/>
              </w:rPr>
              <w:t>信息技术及PLC控制技术服务内容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color w:val="111F2C"/>
                <w:sz w:val="24"/>
                <w:shd w:val="clear" w:color="auto" w:fill="FFFFFF"/>
              </w:rPr>
            </w:pPr>
            <w:r>
              <w:rPr>
                <w:rFonts w:hint="eastAsia" w:cs="宋体"/>
                <w:kern w:val="0"/>
                <w:sz w:val="24"/>
              </w:rPr>
              <w:t>服务器巡检维护及备机配置和维护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color w:val="111F2C"/>
                <w:sz w:val="24"/>
                <w:shd w:val="clear" w:color="auto" w:fill="FFFFFF"/>
              </w:rPr>
            </w:pPr>
            <w:r>
              <w:rPr>
                <w:rFonts w:hint="eastAsia" w:cs="宋体"/>
                <w:kern w:val="0"/>
                <w:sz w:val="24"/>
              </w:rPr>
              <w:t>信息系统数据库维护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sz w:val="24"/>
              </w:rPr>
            </w:pPr>
            <w:r>
              <w:rPr>
                <w:rFonts w:hint="eastAsia" w:cs="宋体"/>
                <w:sz w:val="24"/>
              </w:rPr>
              <w:t>根据用户环境变化需求，提供重新部署数据及数据库迁移等的相关服务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sz w:val="24"/>
              </w:rPr>
            </w:pPr>
            <w:r>
              <w:rPr>
                <w:rFonts w:hint="eastAsia" w:cs="宋体"/>
                <w:sz w:val="24"/>
              </w:rPr>
              <w:t>涉及项目建设的管理、监控及相应关联等系统的巡检维护。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sz w:val="24"/>
              </w:rPr>
            </w:pPr>
            <w:r>
              <w:rPr>
                <w:rFonts w:hint="eastAsia" w:cs="宋体"/>
                <w:sz w:val="24"/>
              </w:rPr>
              <w:t>根据用户业务需求提供系统补丁、扩容和软件升级服务支持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6</w:t>
            </w:r>
          </w:p>
        </w:tc>
        <w:tc>
          <w:tcPr>
            <w:tcW w:w="8552" w:type="dxa"/>
            <w:vAlign w:val="center"/>
          </w:tcPr>
          <w:p>
            <w:pPr>
              <w:spacing w:line="360" w:lineRule="exact"/>
              <w:rPr>
                <w:rFonts w:cs="宋体"/>
                <w:sz w:val="24"/>
              </w:rPr>
            </w:pPr>
            <w:r>
              <w:rPr>
                <w:rFonts w:hint="eastAsia" w:cs="宋体"/>
                <w:sz w:val="24"/>
              </w:rPr>
              <w:t>各机械设备及各PLC控制机柜PLC模块的检测和维护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7</w:t>
            </w:r>
          </w:p>
        </w:tc>
        <w:tc>
          <w:tcPr>
            <w:tcW w:w="8552" w:type="dxa"/>
            <w:vAlign w:val="center"/>
          </w:tcPr>
          <w:p>
            <w:pPr>
              <w:spacing w:line="360" w:lineRule="exact"/>
              <w:rPr>
                <w:rFonts w:cs="宋体"/>
                <w:sz w:val="24"/>
              </w:rPr>
            </w:pPr>
            <w:r>
              <w:rPr>
                <w:rFonts w:hint="eastAsia" w:cs="宋体"/>
                <w:sz w:val="24"/>
              </w:rPr>
              <w:t>PLC控制机柜线路检查及故障排除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8</w:t>
            </w:r>
          </w:p>
        </w:tc>
        <w:tc>
          <w:tcPr>
            <w:tcW w:w="8552" w:type="dxa"/>
            <w:vAlign w:val="center"/>
          </w:tcPr>
          <w:p>
            <w:pPr>
              <w:spacing w:line="360" w:lineRule="exact"/>
              <w:rPr>
                <w:rFonts w:cs="宋体"/>
                <w:sz w:val="24"/>
              </w:rPr>
            </w:pPr>
            <w:r>
              <w:rPr>
                <w:rFonts w:hint="eastAsia" w:cs="宋体"/>
                <w:sz w:val="24"/>
              </w:rPr>
              <w:t>各执行器件（变频器、接触器、继电器）出现损坏或不能正常工作应给予更换</w:t>
            </w:r>
          </w:p>
          <w:p>
            <w:pPr>
              <w:spacing w:line="360" w:lineRule="exact"/>
              <w:rPr>
                <w:rFonts w:cs="宋体"/>
                <w:sz w:val="24"/>
              </w:rPr>
            </w:pPr>
            <w:r>
              <w:rPr>
                <w:rFonts w:hint="eastAsia" w:cs="宋体"/>
                <w:sz w:val="24"/>
              </w:rPr>
              <w:t>检查PLC模块信号控制运行状况，同时需要提出当前情况及以后注意事项，并预估其使用寿命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二</w:t>
            </w:r>
          </w:p>
        </w:tc>
        <w:tc>
          <w:tcPr>
            <w:tcW w:w="8552" w:type="dxa"/>
            <w:vAlign w:val="center"/>
          </w:tcPr>
          <w:p>
            <w:pPr>
              <w:spacing w:line="360" w:lineRule="exact"/>
              <w:rPr>
                <w:rFonts w:cs="宋体"/>
                <w:b/>
                <w:bCs/>
                <w:sz w:val="24"/>
              </w:rPr>
            </w:pPr>
            <w:r>
              <w:rPr>
                <w:rFonts w:hint="eastAsia" w:cs="宋体"/>
                <w:b/>
                <w:bCs/>
                <w:sz w:val="24"/>
              </w:rPr>
              <w:t>多穿库区维护保养内容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sz w:val="24"/>
              </w:rPr>
            </w:pPr>
            <w:r>
              <w:rPr>
                <w:rFonts w:hint="eastAsia" w:cs="宋体"/>
                <w:sz w:val="24"/>
              </w:rPr>
              <w:t>检查货架片通高沿巷道方向倾斜、弯曲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sz w:val="24"/>
              </w:rPr>
            </w:pPr>
            <w:r>
              <w:rPr>
                <w:rFonts w:hint="eastAsia" w:cs="宋体"/>
                <w:sz w:val="24"/>
              </w:rPr>
              <w:t>检查货架片通高巷道宽度方向倾斜、弯曲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sz w:val="24"/>
              </w:rPr>
            </w:pPr>
            <w:r>
              <w:rPr>
                <w:rFonts w:hint="eastAsia" w:cs="宋体"/>
                <w:sz w:val="24"/>
              </w:rPr>
              <w:t>检查同巷道同层两支导轨面高度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sz w:val="24"/>
              </w:rPr>
            </w:pPr>
            <w:r>
              <w:rPr>
                <w:rFonts w:hint="eastAsia" w:cs="宋体"/>
                <w:sz w:val="24"/>
              </w:rPr>
              <w:t>检查同巷道同层载货面高度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sz w:val="24"/>
              </w:rPr>
            </w:pPr>
            <w:r>
              <w:rPr>
                <w:rFonts w:hint="eastAsia" w:cs="宋体"/>
                <w:sz w:val="24"/>
              </w:rPr>
              <w:t>检查地基的相对沉降量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6</w:t>
            </w:r>
          </w:p>
        </w:tc>
        <w:tc>
          <w:tcPr>
            <w:tcW w:w="8552" w:type="dxa"/>
            <w:vAlign w:val="center"/>
          </w:tcPr>
          <w:p>
            <w:pPr>
              <w:spacing w:line="360" w:lineRule="exact"/>
              <w:rPr>
                <w:rFonts w:cs="宋体"/>
                <w:sz w:val="24"/>
              </w:rPr>
            </w:pPr>
            <w:r>
              <w:rPr>
                <w:rFonts w:hint="eastAsia" w:cs="宋体"/>
                <w:sz w:val="24"/>
              </w:rPr>
              <w:t>检查导轨接头高度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三</w:t>
            </w:r>
          </w:p>
        </w:tc>
        <w:tc>
          <w:tcPr>
            <w:tcW w:w="8552" w:type="dxa"/>
            <w:vAlign w:val="center"/>
          </w:tcPr>
          <w:p>
            <w:pPr>
              <w:spacing w:line="360" w:lineRule="exact"/>
              <w:rPr>
                <w:rFonts w:cs="宋体"/>
                <w:b/>
                <w:bCs/>
                <w:sz w:val="24"/>
              </w:rPr>
            </w:pPr>
            <w:r>
              <w:rPr>
                <w:rFonts w:hint="eastAsia" w:cs="宋体"/>
                <w:b/>
                <w:bCs/>
                <w:sz w:val="24"/>
              </w:rPr>
              <w:t>高速双升提升机维护保养内容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kern w:val="0"/>
                <w:sz w:val="24"/>
              </w:rPr>
            </w:pPr>
            <w:r>
              <w:rPr>
                <w:rFonts w:cs="宋体"/>
                <w:kern w:val="0"/>
                <w:sz w:val="24"/>
              </w:rPr>
              <w:t>检查螺栓、螺母是否松动，及时紧固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kern w:val="0"/>
                <w:sz w:val="24"/>
              </w:rPr>
            </w:pPr>
            <w:r>
              <w:rPr>
                <w:rFonts w:cs="宋体"/>
                <w:kern w:val="0"/>
                <w:sz w:val="24"/>
              </w:rPr>
              <w:t>检查导轨或轨道是否平直，清理积尘和杂物‌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kern w:val="0"/>
                <w:sz w:val="24"/>
              </w:rPr>
            </w:pPr>
            <w:r>
              <w:rPr>
                <w:rFonts w:cs="宋体"/>
                <w:kern w:val="0"/>
                <w:sz w:val="24"/>
              </w:rPr>
              <w:t>检查滑轮/齿轮的磨损情况，确保转动灵活无卡顿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kern w:val="0"/>
                <w:sz w:val="24"/>
              </w:rPr>
            </w:pPr>
            <w:r>
              <w:rPr>
                <w:rFonts w:cs="宋体"/>
                <w:kern w:val="0"/>
                <w:sz w:val="24"/>
              </w:rPr>
              <w:t>检查链条/钢丝绳的磨损、锈蚀、断丝或变形情况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kern w:val="0"/>
                <w:sz w:val="24"/>
              </w:rPr>
            </w:pPr>
            <w:r>
              <w:rPr>
                <w:rFonts w:cs="宋体"/>
                <w:kern w:val="0"/>
                <w:sz w:val="24"/>
              </w:rPr>
              <w:t>定期对轴承、链条、齿轮等摩擦部位加注润滑油，高温环境需用耐高温油脂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6</w:t>
            </w:r>
          </w:p>
        </w:tc>
        <w:tc>
          <w:tcPr>
            <w:tcW w:w="8552" w:type="dxa"/>
            <w:vAlign w:val="center"/>
          </w:tcPr>
          <w:p>
            <w:pPr>
              <w:spacing w:line="360" w:lineRule="exact"/>
              <w:rPr>
                <w:rFonts w:cs="宋体"/>
                <w:kern w:val="0"/>
                <w:sz w:val="24"/>
              </w:rPr>
            </w:pPr>
            <w:r>
              <w:rPr>
                <w:rFonts w:cs="宋体"/>
                <w:kern w:val="0"/>
                <w:sz w:val="24"/>
              </w:rPr>
              <w:t>检查接线端子是否松动</w:t>
            </w:r>
            <w:r>
              <w:rPr>
                <w:rFonts w:hint="eastAsia" w:cs="宋体"/>
                <w:kern w:val="0"/>
                <w:sz w:val="24"/>
              </w:rPr>
              <w:t>，</w:t>
            </w:r>
            <w:r>
              <w:rPr>
                <w:rFonts w:cs="宋体"/>
                <w:kern w:val="0"/>
                <w:sz w:val="24"/>
              </w:rPr>
              <w:t>清理电控箱灰尘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7</w:t>
            </w:r>
          </w:p>
        </w:tc>
        <w:tc>
          <w:tcPr>
            <w:tcW w:w="8552" w:type="dxa"/>
            <w:vAlign w:val="center"/>
          </w:tcPr>
          <w:p>
            <w:pPr>
              <w:spacing w:line="360" w:lineRule="exact"/>
              <w:rPr>
                <w:rFonts w:cs="宋体"/>
                <w:kern w:val="0"/>
                <w:sz w:val="24"/>
              </w:rPr>
            </w:pPr>
            <w:r>
              <w:rPr>
                <w:rFonts w:cs="宋体"/>
                <w:kern w:val="0"/>
                <w:sz w:val="24"/>
              </w:rPr>
              <w:t>检查安全装置（如紧急停止按钮、防坠器）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四</w:t>
            </w:r>
          </w:p>
        </w:tc>
        <w:tc>
          <w:tcPr>
            <w:tcW w:w="8552" w:type="dxa"/>
            <w:vAlign w:val="center"/>
          </w:tcPr>
          <w:p>
            <w:pPr>
              <w:spacing w:line="360" w:lineRule="exact"/>
              <w:rPr>
                <w:rFonts w:cs="宋体"/>
                <w:b/>
                <w:bCs/>
                <w:sz w:val="24"/>
              </w:rPr>
            </w:pPr>
            <w:r>
              <w:rPr>
                <w:rFonts w:hint="eastAsia" w:cs="宋体"/>
                <w:b/>
                <w:bCs/>
                <w:sz w:val="24"/>
              </w:rPr>
              <w:t>多穿车小车维护保养内容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sz w:val="24"/>
              </w:rPr>
            </w:pPr>
            <w:r>
              <w:rPr>
                <w:rFonts w:hint="eastAsia" w:cs="宋体"/>
                <w:sz w:val="24"/>
              </w:rPr>
              <w:t>清理行走轨道上的异物和污物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sz w:val="24"/>
              </w:rPr>
            </w:pPr>
            <w:r>
              <w:rPr>
                <w:rFonts w:hint="eastAsia" w:cs="宋体"/>
                <w:sz w:val="24"/>
              </w:rPr>
              <w:t>检查行走轨道压板和连接板是否有松动现象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sz w:val="24"/>
              </w:rPr>
            </w:pPr>
            <w:r>
              <w:rPr>
                <w:rFonts w:hint="eastAsia" w:cs="宋体"/>
                <w:sz w:val="24"/>
              </w:rPr>
              <w:t>行走保证机构行走轮、限位轮在行走过程中转动自如、无卡涩现象、无异响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sz w:val="24"/>
              </w:rPr>
            </w:pPr>
            <w:r>
              <w:rPr>
                <w:rFonts w:hint="eastAsia" w:cs="宋体"/>
                <w:sz w:val="24"/>
              </w:rPr>
              <w:t>检查各运动部件的连接紧固情况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sz w:val="24"/>
              </w:rPr>
            </w:pPr>
            <w:r>
              <w:rPr>
                <w:rFonts w:hint="eastAsia" w:cs="宋体"/>
                <w:sz w:val="24"/>
              </w:rPr>
              <w:t>检查输送机构传动链条是否出现脱链和跳链现象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6</w:t>
            </w:r>
          </w:p>
        </w:tc>
        <w:tc>
          <w:tcPr>
            <w:tcW w:w="8552" w:type="dxa"/>
            <w:vAlign w:val="center"/>
          </w:tcPr>
          <w:p>
            <w:pPr>
              <w:spacing w:line="360" w:lineRule="exact"/>
              <w:rPr>
                <w:rFonts w:cs="宋体"/>
                <w:sz w:val="24"/>
              </w:rPr>
            </w:pPr>
            <w:r>
              <w:rPr>
                <w:rFonts w:hint="eastAsia" w:cs="宋体"/>
                <w:sz w:val="24"/>
              </w:rPr>
              <w:t>检查输送机构各运动部件的连接紧固情况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7</w:t>
            </w:r>
          </w:p>
        </w:tc>
        <w:tc>
          <w:tcPr>
            <w:tcW w:w="8552" w:type="dxa"/>
            <w:vAlign w:val="center"/>
          </w:tcPr>
          <w:p>
            <w:pPr>
              <w:spacing w:line="360" w:lineRule="exact"/>
              <w:rPr>
                <w:rFonts w:cs="宋体"/>
                <w:sz w:val="24"/>
              </w:rPr>
            </w:pPr>
            <w:r>
              <w:rPr>
                <w:rFonts w:hint="eastAsia" w:cs="宋体"/>
                <w:sz w:val="24"/>
              </w:rPr>
              <w:t>检查和调整多穿小车取电滑轨及碳刷，保证小车取电正常；磨损严重时更换电滑轨及碳刷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五</w:t>
            </w:r>
          </w:p>
        </w:tc>
        <w:tc>
          <w:tcPr>
            <w:tcW w:w="8552" w:type="dxa"/>
            <w:vAlign w:val="center"/>
          </w:tcPr>
          <w:p>
            <w:pPr>
              <w:spacing w:line="360" w:lineRule="exact"/>
              <w:rPr>
                <w:rFonts w:cs="宋体"/>
                <w:b/>
                <w:bCs/>
                <w:sz w:val="24"/>
              </w:rPr>
            </w:pPr>
            <w:r>
              <w:rPr>
                <w:rFonts w:hint="eastAsia" w:cs="宋体"/>
                <w:b/>
                <w:bCs/>
                <w:sz w:val="24"/>
              </w:rPr>
              <w:t>垛烟传输设备维护保养内容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sz w:val="24"/>
              </w:rPr>
            </w:pPr>
            <w:r>
              <w:rPr>
                <w:rFonts w:hint="eastAsia" w:cs="宋体"/>
                <w:sz w:val="24"/>
              </w:rPr>
              <w:t>检查传动链条是否出现脱链和跳链现象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sz w:val="24"/>
              </w:rPr>
            </w:pPr>
            <w:r>
              <w:rPr>
                <w:rFonts w:hint="eastAsia" w:cs="宋体"/>
                <w:sz w:val="24"/>
              </w:rPr>
              <w:t>检查各运动部件的连接紧固情况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sz w:val="24"/>
              </w:rPr>
            </w:pPr>
            <w:r>
              <w:rPr>
                <w:rFonts w:hint="eastAsia" w:cs="宋体"/>
                <w:sz w:val="24"/>
              </w:rPr>
              <w:t>检查轴承和驱动链条润滑情况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sz w:val="24"/>
              </w:rPr>
            </w:pPr>
            <w:r>
              <w:rPr>
                <w:rFonts w:hint="eastAsia" w:cs="宋体"/>
                <w:sz w:val="24"/>
              </w:rPr>
              <w:t>检查传动链条是否出现脱链和跳链现象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sz w:val="24"/>
              </w:rPr>
            </w:pPr>
            <w:r>
              <w:rPr>
                <w:rFonts w:hint="eastAsia" w:cs="宋体"/>
                <w:sz w:val="24"/>
              </w:rPr>
              <w:t>检查各运动部件的连接紧固情况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六</w:t>
            </w:r>
          </w:p>
        </w:tc>
        <w:tc>
          <w:tcPr>
            <w:tcW w:w="8552" w:type="dxa"/>
            <w:vAlign w:val="center"/>
          </w:tcPr>
          <w:p>
            <w:pPr>
              <w:spacing w:line="360" w:lineRule="exact"/>
              <w:rPr>
                <w:rFonts w:cs="宋体"/>
                <w:b/>
                <w:bCs/>
                <w:sz w:val="24"/>
              </w:rPr>
            </w:pPr>
            <w:r>
              <w:rPr>
                <w:rFonts w:hint="eastAsia" w:cs="宋体"/>
                <w:b/>
                <w:bCs/>
                <w:sz w:val="24"/>
              </w:rPr>
              <w:t>件烟传输设备维护保养内容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sz w:val="24"/>
              </w:rPr>
            </w:pPr>
            <w:r>
              <w:rPr>
                <w:rFonts w:hint="eastAsia" w:cs="宋体"/>
                <w:sz w:val="24"/>
              </w:rPr>
              <w:t>检查件烟传输线皮带及更换破损皮带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sz w:val="24"/>
              </w:rPr>
            </w:pPr>
            <w:r>
              <w:rPr>
                <w:rFonts w:hint="eastAsia" w:cs="宋体"/>
                <w:sz w:val="24"/>
              </w:rPr>
              <w:t>检查件烟传输线皮带各个滚筒检测并预测使用寿命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sz w:val="24"/>
              </w:rPr>
            </w:pPr>
            <w:r>
              <w:rPr>
                <w:rFonts w:hint="eastAsia" w:cs="宋体"/>
                <w:sz w:val="24"/>
              </w:rPr>
              <w:t>检查各个电机运行情况并维护保养，如出现电机无法正常使用，则需更换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sz w:val="24"/>
              </w:rPr>
            </w:pPr>
            <w:r>
              <w:rPr>
                <w:rFonts w:hint="eastAsia" w:cs="宋体"/>
                <w:sz w:val="24"/>
              </w:rPr>
              <w:t>检查、清洁、润滑所有传动机构，对磨损件进行更换、对紧固件进行重新紧固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sz w:val="24"/>
              </w:rPr>
            </w:pPr>
            <w:r>
              <w:rPr>
                <w:rFonts w:hint="eastAsia" w:cs="宋体"/>
                <w:sz w:val="24"/>
              </w:rPr>
              <w:t>检查件烟传输线电机传动带及连接部件，如：O带、多楔带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6</w:t>
            </w:r>
          </w:p>
        </w:tc>
        <w:tc>
          <w:tcPr>
            <w:tcW w:w="8552" w:type="dxa"/>
            <w:vAlign w:val="center"/>
          </w:tcPr>
          <w:p>
            <w:pPr>
              <w:spacing w:line="360" w:lineRule="exact"/>
              <w:rPr>
                <w:rFonts w:cs="宋体"/>
                <w:sz w:val="24"/>
              </w:rPr>
            </w:pPr>
            <w:r>
              <w:rPr>
                <w:rFonts w:hint="eastAsia" w:cs="宋体"/>
                <w:sz w:val="24"/>
              </w:rPr>
              <w:t>检查件烟传输线各部位检测开关位置并调整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7</w:t>
            </w:r>
          </w:p>
        </w:tc>
        <w:tc>
          <w:tcPr>
            <w:tcW w:w="8552" w:type="dxa"/>
            <w:vAlign w:val="center"/>
          </w:tcPr>
          <w:p>
            <w:pPr>
              <w:spacing w:line="360" w:lineRule="exact"/>
              <w:rPr>
                <w:rFonts w:cs="宋体"/>
                <w:sz w:val="24"/>
              </w:rPr>
            </w:pPr>
            <w:r>
              <w:rPr>
                <w:rFonts w:hint="eastAsia" w:cs="宋体"/>
                <w:sz w:val="24"/>
              </w:rPr>
              <w:t>检查辊筒传动情况，更换轴承及连接部件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8</w:t>
            </w:r>
          </w:p>
        </w:tc>
        <w:tc>
          <w:tcPr>
            <w:tcW w:w="8552" w:type="dxa"/>
            <w:vAlign w:val="center"/>
          </w:tcPr>
          <w:p>
            <w:pPr>
              <w:spacing w:line="360" w:lineRule="exact"/>
              <w:rPr>
                <w:rFonts w:cs="宋体"/>
                <w:sz w:val="24"/>
              </w:rPr>
            </w:pPr>
            <w:r>
              <w:rPr>
                <w:rFonts w:hint="eastAsia" w:cs="宋体"/>
                <w:sz w:val="24"/>
              </w:rPr>
              <w:t>检查转辙机构进行检查，清洁更换磨损部件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七</w:t>
            </w:r>
          </w:p>
        </w:tc>
        <w:tc>
          <w:tcPr>
            <w:tcW w:w="8552" w:type="dxa"/>
            <w:vAlign w:val="center"/>
          </w:tcPr>
          <w:p>
            <w:pPr>
              <w:spacing w:line="360" w:lineRule="exact"/>
              <w:rPr>
                <w:rFonts w:cs="宋体"/>
                <w:b/>
                <w:bCs/>
                <w:sz w:val="24"/>
              </w:rPr>
            </w:pPr>
            <w:r>
              <w:rPr>
                <w:rFonts w:hint="eastAsia" w:cs="宋体"/>
                <w:b/>
                <w:bCs/>
                <w:sz w:val="24"/>
              </w:rPr>
              <w:t>关节机械手（视觉）维护保养内容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kern w:val="0"/>
                <w:sz w:val="24"/>
              </w:rPr>
            </w:pPr>
            <w:r>
              <w:rPr>
                <w:rFonts w:cs="宋体"/>
                <w:kern w:val="0"/>
                <w:sz w:val="24"/>
              </w:rPr>
              <w:t>定期清洁机械手的表面和关节缝隙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kern w:val="0"/>
                <w:sz w:val="24"/>
              </w:rPr>
            </w:pPr>
            <w:r>
              <w:rPr>
                <w:rFonts w:cs="宋体"/>
                <w:kern w:val="0"/>
                <w:sz w:val="24"/>
              </w:rPr>
              <w:t>定期检查</w:t>
            </w:r>
            <w:r>
              <w:rPr>
                <w:rFonts w:hint="eastAsia" w:cs="宋体"/>
                <w:kern w:val="0"/>
                <w:sz w:val="24"/>
              </w:rPr>
              <w:t>润滑系统，</w:t>
            </w:r>
            <w:r>
              <w:rPr>
                <w:rFonts w:cs="宋体"/>
                <w:kern w:val="0"/>
                <w:sz w:val="24"/>
              </w:rPr>
              <w:t>补充润滑剂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kern w:val="0"/>
                <w:sz w:val="24"/>
              </w:rPr>
            </w:pPr>
            <w:r>
              <w:rPr>
                <w:rFonts w:hint="eastAsia" w:cs="宋体"/>
                <w:kern w:val="0"/>
                <w:sz w:val="24"/>
              </w:rPr>
              <w:t>检查</w:t>
            </w:r>
            <w:r>
              <w:rPr>
                <w:rFonts w:cs="宋体"/>
                <w:kern w:val="0"/>
                <w:sz w:val="24"/>
              </w:rPr>
              <w:t>电缆绝缘层的完整性、连接端子的锁紧度、接地系统的可靠性等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kern w:val="0"/>
                <w:sz w:val="24"/>
              </w:rPr>
            </w:pPr>
            <w:r>
              <w:rPr>
                <w:rFonts w:hint="eastAsia" w:cs="宋体"/>
                <w:kern w:val="0"/>
                <w:sz w:val="24"/>
              </w:rPr>
              <w:t>备份设备运行参数，维护卷烟品类尺寸参数值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八</w:t>
            </w:r>
          </w:p>
        </w:tc>
        <w:tc>
          <w:tcPr>
            <w:tcW w:w="8552" w:type="dxa"/>
            <w:vAlign w:val="center"/>
          </w:tcPr>
          <w:p>
            <w:pPr>
              <w:spacing w:line="360" w:lineRule="exact"/>
              <w:rPr>
                <w:rFonts w:cs="宋体"/>
                <w:b/>
                <w:bCs/>
                <w:sz w:val="24"/>
              </w:rPr>
            </w:pPr>
            <w:r>
              <w:rPr>
                <w:rFonts w:hint="eastAsia" w:cs="宋体"/>
                <w:b/>
                <w:bCs/>
                <w:sz w:val="24"/>
              </w:rPr>
              <w:t>柔性件烟存储道维护保养内容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shd w:val="clear" w:color="auto" w:fill="auto"/>
            <w:vAlign w:val="center"/>
          </w:tcPr>
          <w:p>
            <w:pPr>
              <w:spacing w:line="360" w:lineRule="exact"/>
              <w:rPr>
                <w:rFonts w:cs="宋体"/>
                <w:sz w:val="24"/>
              </w:rPr>
            </w:pPr>
            <w:r>
              <w:rPr>
                <w:rFonts w:hint="eastAsia" w:cs="宋体"/>
                <w:sz w:val="24"/>
              </w:rPr>
              <w:t>检查传输链条并进行清洁、润滑，对磨损严重进行更换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shd w:val="clear" w:color="auto" w:fill="auto"/>
            <w:vAlign w:val="center"/>
          </w:tcPr>
          <w:p>
            <w:pPr>
              <w:spacing w:line="360" w:lineRule="exact"/>
              <w:rPr>
                <w:rFonts w:cs="宋体"/>
                <w:sz w:val="24"/>
              </w:rPr>
            </w:pPr>
            <w:r>
              <w:rPr>
                <w:rFonts w:hint="eastAsia" w:cs="宋体"/>
                <w:sz w:val="24"/>
              </w:rPr>
              <w:t>检查摆臂气缸机构运转情况，清洁更换磨损部件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shd w:val="clear" w:color="auto" w:fill="auto"/>
            <w:vAlign w:val="center"/>
          </w:tcPr>
          <w:p>
            <w:pPr>
              <w:spacing w:line="360" w:lineRule="exact"/>
              <w:rPr>
                <w:rFonts w:cs="宋体"/>
                <w:sz w:val="24"/>
              </w:rPr>
            </w:pPr>
            <w:r>
              <w:rPr>
                <w:rFonts w:hint="eastAsia" w:cs="宋体"/>
                <w:sz w:val="24"/>
              </w:rPr>
              <w:t>检查各个电机运行情况并维护保养，如出现电机无法正常使用，则需更换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shd w:val="clear" w:color="auto" w:fill="auto"/>
            <w:vAlign w:val="center"/>
          </w:tcPr>
          <w:p>
            <w:pPr>
              <w:spacing w:line="360" w:lineRule="exact"/>
              <w:rPr>
                <w:rFonts w:cs="宋体"/>
                <w:sz w:val="24"/>
              </w:rPr>
            </w:pPr>
            <w:r>
              <w:rPr>
                <w:rFonts w:hint="eastAsia" w:cs="宋体"/>
                <w:sz w:val="24"/>
              </w:rPr>
              <w:t>检查各执行器件（变频器、接触器、继电器、检测开关、反射开关，对射开关、接近开关等）出现损坏或不能正常工作应给予更换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九</w:t>
            </w:r>
          </w:p>
        </w:tc>
        <w:tc>
          <w:tcPr>
            <w:tcW w:w="8552" w:type="dxa"/>
            <w:vAlign w:val="center"/>
          </w:tcPr>
          <w:p>
            <w:pPr>
              <w:spacing w:line="360" w:lineRule="exact"/>
              <w:rPr>
                <w:rFonts w:cs="宋体"/>
                <w:b/>
                <w:bCs/>
                <w:sz w:val="24"/>
              </w:rPr>
            </w:pPr>
            <w:r>
              <w:rPr>
                <w:rFonts w:hint="eastAsia" w:cs="宋体"/>
                <w:b/>
                <w:bCs/>
                <w:sz w:val="24"/>
              </w:rPr>
              <w:t>重力式存储道维护保养内容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sz w:val="24"/>
              </w:rPr>
            </w:pPr>
            <w:r>
              <w:rPr>
                <w:rFonts w:hint="eastAsia" w:cs="宋体"/>
                <w:sz w:val="24"/>
              </w:rPr>
              <w:t>检查下滑流利条磨损情况，对磨损严重进行更换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sz w:val="24"/>
              </w:rPr>
            </w:pPr>
            <w:r>
              <w:rPr>
                <w:rFonts w:hint="eastAsia" w:cs="宋体"/>
                <w:sz w:val="24"/>
              </w:rPr>
              <w:t>检查下滑式滚筒使用情况，对磨损严重进行更换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sz w:val="24"/>
              </w:rPr>
            </w:pPr>
            <w:r>
              <w:rPr>
                <w:rFonts w:hint="eastAsia" w:cs="宋体"/>
                <w:sz w:val="24"/>
              </w:rPr>
              <w:t>检查擦各类进出转辙机构，清洁更换磨损部件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sz w:val="24"/>
              </w:rPr>
            </w:pPr>
            <w:r>
              <w:rPr>
                <w:rFonts w:hint="eastAsia" w:cs="宋体"/>
                <w:sz w:val="24"/>
              </w:rPr>
              <w:t>检查各类摆臂气缸机构，清洁更换磨损部件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sz w:val="24"/>
              </w:rPr>
            </w:pPr>
            <w:r>
              <w:rPr>
                <w:rFonts w:hint="eastAsia" w:cs="宋体"/>
                <w:sz w:val="24"/>
              </w:rPr>
              <w:t>检查各类皮带检查及出现破损的更换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6</w:t>
            </w:r>
          </w:p>
        </w:tc>
        <w:tc>
          <w:tcPr>
            <w:tcW w:w="8552" w:type="dxa"/>
            <w:vAlign w:val="center"/>
          </w:tcPr>
          <w:p>
            <w:pPr>
              <w:spacing w:line="360" w:lineRule="exact"/>
              <w:rPr>
                <w:rFonts w:cs="宋体"/>
                <w:sz w:val="24"/>
              </w:rPr>
            </w:pPr>
            <w:r>
              <w:rPr>
                <w:rFonts w:hint="eastAsia" w:cs="宋体"/>
                <w:sz w:val="24"/>
              </w:rPr>
              <w:t>检查所有电机运行情况，清洁、紧固、保养、更换磨损部件，如出现电机无法正常使用，则需更换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7</w:t>
            </w:r>
          </w:p>
        </w:tc>
        <w:tc>
          <w:tcPr>
            <w:tcW w:w="8552" w:type="dxa"/>
            <w:vAlign w:val="center"/>
          </w:tcPr>
          <w:p>
            <w:pPr>
              <w:spacing w:line="360" w:lineRule="exact"/>
              <w:rPr>
                <w:rFonts w:cs="宋体"/>
                <w:sz w:val="24"/>
              </w:rPr>
            </w:pPr>
            <w:r>
              <w:rPr>
                <w:rFonts w:hint="eastAsia" w:cs="宋体"/>
                <w:sz w:val="24"/>
              </w:rPr>
              <w:t>检查各条倍速链磨损及运转情况，清洁更换磨损部件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8</w:t>
            </w:r>
          </w:p>
        </w:tc>
        <w:tc>
          <w:tcPr>
            <w:tcW w:w="8552" w:type="dxa"/>
            <w:vAlign w:val="center"/>
          </w:tcPr>
          <w:p>
            <w:pPr>
              <w:spacing w:line="360" w:lineRule="exact"/>
              <w:rPr>
                <w:rFonts w:cs="宋体"/>
                <w:sz w:val="24"/>
              </w:rPr>
            </w:pPr>
            <w:r>
              <w:rPr>
                <w:rFonts w:hint="eastAsia" w:cs="宋体"/>
                <w:sz w:val="24"/>
              </w:rPr>
              <w:t>各执行器件（变频器、接触器、继电器、检测开关、反射开关，对射开关、接近开关等）出现损坏或不能正常工作应给予更换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b/>
                <w:bCs/>
                <w:sz w:val="24"/>
              </w:rPr>
            </w:pPr>
            <w:r>
              <w:rPr>
                <w:rFonts w:hint="eastAsia" w:cs="宋体"/>
                <w:b/>
                <w:bCs/>
                <w:sz w:val="24"/>
              </w:rPr>
              <w:t>十</w:t>
            </w:r>
          </w:p>
        </w:tc>
        <w:tc>
          <w:tcPr>
            <w:tcW w:w="8552" w:type="dxa"/>
            <w:vAlign w:val="center"/>
          </w:tcPr>
          <w:p>
            <w:pPr>
              <w:spacing w:line="360" w:lineRule="exact"/>
              <w:rPr>
                <w:rFonts w:cs="宋体"/>
                <w:b/>
                <w:bCs/>
                <w:sz w:val="24"/>
              </w:rPr>
            </w:pPr>
            <w:r>
              <w:rPr>
                <w:rFonts w:hint="eastAsia" w:cs="宋体"/>
                <w:b/>
                <w:bCs/>
                <w:sz w:val="24"/>
              </w:rPr>
              <w:t>条烟卧式分拣机维护保养内容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1</w:t>
            </w:r>
          </w:p>
        </w:tc>
        <w:tc>
          <w:tcPr>
            <w:tcW w:w="8552" w:type="dxa"/>
            <w:vAlign w:val="center"/>
          </w:tcPr>
          <w:p>
            <w:pPr>
              <w:spacing w:line="360" w:lineRule="exact"/>
              <w:rPr>
                <w:rFonts w:cs="宋体"/>
                <w:sz w:val="24"/>
              </w:rPr>
            </w:pPr>
            <w:r>
              <w:rPr>
                <w:rFonts w:hint="eastAsia" w:cs="宋体"/>
                <w:sz w:val="24"/>
              </w:rPr>
              <w:t>检查所有传动机构运行情况，清洁、紧固、保养、更换磨损部件，如出现电机无法正常使用，则需更换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2</w:t>
            </w:r>
          </w:p>
        </w:tc>
        <w:tc>
          <w:tcPr>
            <w:tcW w:w="8552" w:type="dxa"/>
            <w:vAlign w:val="center"/>
          </w:tcPr>
          <w:p>
            <w:pPr>
              <w:spacing w:line="360" w:lineRule="exact"/>
              <w:rPr>
                <w:rFonts w:cs="宋体"/>
                <w:sz w:val="24"/>
              </w:rPr>
            </w:pPr>
            <w:r>
              <w:rPr>
                <w:rFonts w:hint="eastAsia" w:cs="宋体"/>
                <w:sz w:val="24"/>
              </w:rPr>
              <w:t>检查打击链条是否松动，松动的需张紧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3</w:t>
            </w:r>
          </w:p>
        </w:tc>
        <w:tc>
          <w:tcPr>
            <w:tcW w:w="8552" w:type="dxa"/>
            <w:vAlign w:val="center"/>
          </w:tcPr>
          <w:p>
            <w:pPr>
              <w:spacing w:line="360" w:lineRule="exact"/>
              <w:rPr>
                <w:rFonts w:cs="宋体"/>
                <w:sz w:val="24"/>
              </w:rPr>
            </w:pPr>
            <w:r>
              <w:rPr>
                <w:rFonts w:hint="eastAsia" w:cs="宋体"/>
                <w:sz w:val="24"/>
              </w:rPr>
              <w:t>检查同步带是否有磨损，磨损严重的则需更换处理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4</w:t>
            </w:r>
          </w:p>
        </w:tc>
        <w:tc>
          <w:tcPr>
            <w:tcW w:w="8552" w:type="dxa"/>
            <w:vAlign w:val="center"/>
          </w:tcPr>
          <w:p>
            <w:pPr>
              <w:spacing w:line="360" w:lineRule="exact"/>
              <w:rPr>
                <w:rFonts w:cs="宋体"/>
                <w:sz w:val="24"/>
              </w:rPr>
            </w:pPr>
            <w:r>
              <w:rPr>
                <w:rFonts w:hint="eastAsia" w:cs="宋体"/>
                <w:sz w:val="24"/>
              </w:rPr>
              <w:t>检查烟仓压烟气缸和推烟气缸、抽板气缸（包括调速阀、连接头）运行情况，严重漏气需进行更换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vAlign w:val="center"/>
          </w:tcPr>
          <w:p>
            <w:pPr>
              <w:spacing w:line="360" w:lineRule="exact"/>
              <w:jc w:val="center"/>
              <w:rPr>
                <w:rFonts w:cs="宋体"/>
                <w:sz w:val="24"/>
              </w:rPr>
            </w:pPr>
            <w:r>
              <w:rPr>
                <w:rFonts w:hint="eastAsia" w:cs="宋体"/>
                <w:sz w:val="24"/>
              </w:rPr>
              <w:t>5</w:t>
            </w:r>
          </w:p>
        </w:tc>
        <w:tc>
          <w:tcPr>
            <w:tcW w:w="8552" w:type="dxa"/>
            <w:vAlign w:val="center"/>
          </w:tcPr>
          <w:p>
            <w:pPr>
              <w:spacing w:line="360" w:lineRule="exact"/>
              <w:rPr>
                <w:rFonts w:cs="宋体"/>
                <w:sz w:val="24"/>
              </w:rPr>
            </w:pPr>
            <w:r>
              <w:rPr>
                <w:rFonts w:hint="eastAsia" w:cs="宋体"/>
                <w:sz w:val="24"/>
              </w:rPr>
              <w:t>检查打烟推头是否有磨损，磨损严重的则需更换</w:t>
            </w:r>
          </w:p>
        </w:tc>
      </w:tr>
    </w:tbl>
    <w:p>
      <w:pPr>
        <w:pStyle w:val="3"/>
        <w:spacing w:before="120" w:beforeLines="50"/>
        <w:rPr>
          <w:highlight w:val="none"/>
        </w:rPr>
      </w:pPr>
      <w:r>
        <w:rPr>
          <w:rFonts w:hint="eastAsia"/>
          <w:highlight w:val="none"/>
        </w:rPr>
        <w:t>四、验收要求</w:t>
      </w:r>
      <w:bookmarkEnd w:id="126"/>
      <w:bookmarkEnd w:id="127"/>
      <w:bookmarkEnd w:id="128"/>
      <w:bookmarkEnd w:id="129"/>
      <w:bookmarkStart w:id="132" w:name="_Toc328578343"/>
      <w:bookmarkStart w:id="133" w:name="_Toc4423636"/>
      <w:bookmarkStart w:id="134" w:name="_Toc486344779"/>
    </w:p>
    <w:p>
      <w:pPr>
        <w:spacing w:line="360" w:lineRule="auto"/>
        <w:ind w:firstLine="482" w:firstLineChars="200"/>
        <w:rPr>
          <w:rFonts w:hint="eastAsia" w:ascii="宋体" w:hAnsi="宋体" w:cs="宋体"/>
          <w:b/>
          <w:bCs/>
          <w:sz w:val="24"/>
        </w:rPr>
      </w:pPr>
      <w:bookmarkStart w:id="135" w:name="_Toc25321"/>
      <w:r>
        <w:rPr>
          <w:rFonts w:hint="eastAsia" w:ascii="宋体" w:hAnsi="宋体" w:cs="宋体"/>
          <w:b/>
          <w:bCs/>
          <w:sz w:val="24"/>
        </w:rPr>
        <w:t>（一）验收要求</w:t>
      </w:r>
    </w:p>
    <w:p>
      <w:pPr>
        <w:spacing w:line="360" w:lineRule="auto"/>
        <w:ind w:firstLine="480" w:firstLineChars="200"/>
        <w:rPr>
          <w:rFonts w:hint="eastAsia" w:ascii="宋体" w:hAnsi="宋体" w:cs="宋体"/>
          <w:sz w:val="24"/>
        </w:rPr>
      </w:pPr>
      <w:r>
        <w:rPr>
          <w:rFonts w:hint="eastAsia" w:ascii="宋体" w:hAnsi="宋体" w:cs="宋体"/>
          <w:sz w:val="24"/>
        </w:rPr>
        <w:t>1、系统设备应符合中国有关国家标准和行业标准，满足或高于招标文件中各类技术要求及技术指标。</w:t>
      </w:r>
    </w:p>
    <w:p>
      <w:pPr>
        <w:spacing w:line="360" w:lineRule="auto"/>
        <w:ind w:firstLine="480" w:firstLineChars="200"/>
        <w:rPr>
          <w:rFonts w:hint="eastAsia" w:ascii="宋体" w:hAnsi="宋体" w:cs="宋体"/>
          <w:sz w:val="24"/>
        </w:rPr>
      </w:pPr>
      <w:r>
        <w:rPr>
          <w:rFonts w:hint="eastAsia" w:ascii="宋体" w:hAnsi="宋体" w:cs="宋体"/>
          <w:sz w:val="24"/>
        </w:rPr>
        <w:t>2、中标人提出设备安装、调试必需的外部技术要求及环境条件（不能偏离招标人指定的设备安放场所）。</w:t>
      </w:r>
    </w:p>
    <w:p>
      <w:pPr>
        <w:spacing w:line="360" w:lineRule="auto"/>
        <w:ind w:firstLine="480" w:firstLineChars="200"/>
        <w:rPr>
          <w:rFonts w:hint="eastAsia" w:ascii="宋体" w:hAnsi="宋体" w:cs="宋体"/>
          <w:sz w:val="24"/>
        </w:rPr>
      </w:pPr>
      <w:r>
        <w:rPr>
          <w:rFonts w:hint="eastAsia" w:ascii="宋体" w:hAnsi="宋体" w:cs="宋体"/>
          <w:sz w:val="24"/>
        </w:rPr>
        <w:t>3、所有专用施工工具应由中标人提供，根据中标人的请求，招标人可进行必要的协助。</w:t>
      </w:r>
    </w:p>
    <w:p>
      <w:pPr>
        <w:spacing w:line="360" w:lineRule="auto"/>
        <w:ind w:firstLine="480" w:firstLineChars="200"/>
        <w:rPr>
          <w:rFonts w:hint="eastAsia" w:ascii="宋体" w:hAnsi="宋体" w:cs="宋体"/>
          <w:sz w:val="24"/>
        </w:rPr>
      </w:pPr>
      <w:r>
        <w:rPr>
          <w:rFonts w:hint="eastAsia" w:ascii="宋体" w:hAnsi="宋体" w:cs="宋体"/>
          <w:sz w:val="24"/>
        </w:rPr>
        <w:t>4、中标人应制定进度表，随时通报工程进展情况，如必要可召开工程协调会。</w:t>
      </w:r>
    </w:p>
    <w:p>
      <w:pPr>
        <w:spacing w:line="360" w:lineRule="auto"/>
        <w:ind w:firstLine="480" w:firstLineChars="200"/>
        <w:rPr>
          <w:rFonts w:hint="eastAsia" w:ascii="宋体" w:hAnsi="宋体" w:cs="宋体"/>
          <w:sz w:val="24"/>
        </w:rPr>
      </w:pPr>
      <w:r>
        <w:rPr>
          <w:rFonts w:hint="eastAsia" w:ascii="宋体" w:hAnsi="宋体" w:cs="宋体"/>
          <w:sz w:val="24"/>
        </w:rPr>
        <w:t>5、中标人应根据该验收大纲要求，提出对设备调测的内容、方法、指标等的建议，并提供必要的仪表和测试设备。调测中应进行详细记录，在调测期间如发生故障和障碍，应查明原因并写出相应的分析报告，并彻底解决问题，杜绝隐患。</w:t>
      </w:r>
    </w:p>
    <w:p>
      <w:pPr>
        <w:spacing w:line="360" w:lineRule="auto"/>
        <w:ind w:firstLine="480" w:firstLineChars="200"/>
        <w:rPr>
          <w:rFonts w:hint="eastAsia" w:ascii="宋体" w:hAnsi="宋体" w:cs="宋体"/>
          <w:sz w:val="24"/>
        </w:rPr>
      </w:pPr>
      <w:r>
        <w:rPr>
          <w:rFonts w:hint="eastAsia" w:ascii="宋体" w:hAnsi="宋体" w:cs="宋体"/>
          <w:sz w:val="24"/>
        </w:rPr>
        <w:t>6、中标人有责任将系统调测的原理、方法和结果向招标人技术人员做出详细、认真的解释，并回答招标人技术人员的询问。</w:t>
      </w:r>
    </w:p>
    <w:p>
      <w:pPr>
        <w:spacing w:line="360" w:lineRule="auto"/>
        <w:ind w:firstLine="482" w:firstLineChars="200"/>
        <w:rPr>
          <w:rFonts w:hint="eastAsia" w:ascii="宋体" w:hAnsi="宋体" w:cs="宋体"/>
          <w:b/>
          <w:bCs/>
          <w:sz w:val="24"/>
        </w:rPr>
      </w:pPr>
      <w:r>
        <w:rPr>
          <w:rFonts w:hint="eastAsia" w:ascii="宋体" w:hAnsi="宋体" w:cs="宋体"/>
          <w:b/>
          <w:bCs/>
          <w:sz w:val="24"/>
        </w:rPr>
        <w:t>（二）验收流程</w:t>
      </w:r>
    </w:p>
    <w:p>
      <w:pPr>
        <w:spacing w:line="360" w:lineRule="auto"/>
        <w:ind w:firstLine="480" w:firstLineChars="200"/>
        <w:rPr>
          <w:rFonts w:hint="eastAsia" w:ascii="宋体" w:hAnsi="宋体" w:cs="宋体"/>
          <w:sz w:val="24"/>
        </w:rPr>
      </w:pPr>
      <w:r>
        <w:rPr>
          <w:rFonts w:hint="eastAsia" w:ascii="宋体" w:hAnsi="宋体" w:cs="宋体"/>
          <w:sz w:val="24"/>
        </w:rPr>
        <w:t>1、交货检验</w:t>
      </w:r>
      <w:bookmarkEnd w:id="135"/>
    </w:p>
    <w:p>
      <w:pPr>
        <w:spacing w:line="360" w:lineRule="auto"/>
        <w:ind w:firstLine="480" w:firstLineChars="200"/>
        <w:rPr>
          <w:rFonts w:hint="eastAsia" w:ascii="宋体" w:hAnsi="宋体" w:cs="宋体"/>
          <w:sz w:val="24"/>
        </w:rPr>
      </w:pPr>
      <w:r>
        <w:rPr>
          <w:rFonts w:hint="eastAsia" w:ascii="宋体" w:hAnsi="宋体" w:cs="宋体"/>
          <w:sz w:val="24"/>
        </w:rPr>
        <w:t>（1）设备包装箱内应有装箱单、质量合格证书等相关技术资料；</w:t>
      </w:r>
    </w:p>
    <w:p>
      <w:pPr>
        <w:spacing w:line="360" w:lineRule="auto"/>
        <w:ind w:firstLine="480" w:firstLineChars="200"/>
        <w:rPr>
          <w:rFonts w:hint="eastAsia" w:ascii="宋体" w:hAnsi="宋体" w:cs="宋体"/>
          <w:sz w:val="24"/>
        </w:rPr>
      </w:pPr>
      <w:r>
        <w:rPr>
          <w:rFonts w:hint="eastAsia" w:ascii="宋体" w:hAnsi="宋体" w:cs="宋体"/>
          <w:sz w:val="24"/>
        </w:rPr>
        <w:t>（2）设备在运抵安装现场后，应由招标人、中标人开箱检验，在清点无误、检验合格后，方可实施安装。</w:t>
      </w:r>
    </w:p>
    <w:p>
      <w:pPr>
        <w:spacing w:line="360" w:lineRule="auto"/>
        <w:ind w:firstLine="480" w:firstLineChars="200"/>
        <w:rPr>
          <w:rFonts w:hint="eastAsia" w:ascii="宋体" w:hAnsi="宋体" w:cs="宋体"/>
          <w:sz w:val="24"/>
        </w:rPr>
      </w:pPr>
      <w:bookmarkStart w:id="136" w:name="_Toc13026"/>
      <w:r>
        <w:rPr>
          <w:rFonts w:hint="eastAsia" w:ascii="宋体" w:hAnsi="宋体" w:cs="宋体"/>
          <w:sz w:val="24"/>
        </w:rPr>
        <w:t>2、初验测试</w:t>
      </w:r>
      <w:bookmarkEnd w:id="136"/>
    </w:p>
    <w:p>
      <w:pPr>
        <w:spacing w:line="360" w:lineRule="auto"/>
        <w:ind w:firstLine="480" w:firstLineChars="200"/>
        <w:rPr>
          <w:rFonts w:hint="eastAsia" w:ascii="宋体" w:hAnsi="宋体" w:cs="宋体"/>
          <w:sz w:val="24"/>
        </w:rPr>
      </w:pPr>
      <w:r>
        <w:rPr>
          <w:rFonts w:hint="eastAsia" w:ascii="宋体" w:hAnsi="宋体" w:cs="宋体"/>
          <w:sz w:val="24"/>
        </w:rPr>
        <w:t>（1）系统设备应在安装调试完毕、中标人自检合格后，提出初验申请，经招标人同意后开始进行初验测试；</w:t>
      </w:r>
    </w:p>
    <w:p>
      <w:pPr>
        <w:spacing w:line="360" w:lineRule="auto"/>
        <w:ind w:firstLine="480" w:firstLineChars="200"/>
        <w:rPr>
          <w:rFonts w:hint="eastAsia" w:ascii="宋体" w:hAnsi="宋体" w:cs="宋体"/>
          <w:sz w:val="24"/>
        </w:rPr>
      </w:pPr>
      <w:r>
        <w:rPr>
          <w:rFonts w:hint="eastAsia" w:ascii="宋体" w:hAnsi="宋体" w:cs="宋体"/>
          <w:sz w:val="24"/>
        </w:rPr>
        <w:t>（2）中标人应提供符合招标人要求的初验测试大纲，经招标人确认后执行；</w:t>
      </w:r>
    </w:p>
    <w:p>
      <w:pPr>
        <w:spacing w:line="360" w:lineRule="auto"/>
        <w:ind w:firstLine="480" w:firstLineChars="200"/>
        <w:rPr>
          <w:rFonts w:hint="eastAsia" w:ascii="宋体" w:hAnsi="宋体" w:cs="宋体"/>
          <w:sz w:val="24"/>
        </w:rPr>
      </w:pPr>
      <w:r>
        <w:rPr>
          <w:rFonts w:hint="eastAsia" w:ascii="宋体" w:hAnsi="宋体" w:cs="宋体"/>
          <w:sz w:val="24"/>
        </w:rPr>
        <w:t>（3）初验测试由中标人负责，由招标人逐项验收；</w:t>
      </w:r>
    </w:p>
    <w:p>
      <w:pPr>
        <w:spacing w:line="360" w:lineRule="auto"/>
        <w:ind w:firstLine="480" w:firstLineChars="200"/>
        <w:rPr>
          <w:rFonts w:hint="eastAsia" w:ascii="宋体" w:hAnsi="宋体" w:cs="宋体"/>
          <w:sz w:val="24"/>
        </w:rPr>
      </w:pPr>
      <w:r>
        <w:rPr>
          <w:rFonts w:hint="eastAsia" w:ascii="宋体" w:hAnsi="宋体" w:cs="宋体"/>
          <w:sz w:val="24"/>
        </w:rPr>
        <w:t>（4）若初验测试结果主要指标达不到测试大纲规定的要求，中标人必须对设备进行修理、更换或改进。中标人自检合格，条件具备后应重新向招标人提出再次初验的申请，经招标人确认后再次进行初验测试，并按合同的有关条款处理。</w:t>
      </w:r>
    </w:p>
    <w:p>
      <w:pPr>
        <w:spacing w:line="360" w:lineRule="auto"/>
        <w:ind w:firstLine="480" w:firstLineChars="200"/>
        <w:rPr>
          <w:rFonts w:hint="eastAsia" w:ascii="宋体" w:hAnsi="宋体" w:cs="宋体"/>
          <w:sz w:val="24"/>
        </w:rPr>
      </w:pPr>
      <w:bookmarkStart w:id="137" w:name="_Toc18071"/>
      <w:r>
        <w:rPr>
          <w:rFonts w:hint="eastAsia" w:ascii="宋体" w:hAnsi="宋体" w:cs="宋体"/>
          <w:sz w:val="24"/>
        </w:rPr>
        <w:t>3、终验</w:t>
      </w:r>
      <w:bookmarkEnd w:id="137"/>
    </w:p>
    <w:p>
      <w:pPr>
        <w:spacing w:line="360" w:lineRule="auto"/>
        <w:ind w:firstLine="480" w:firstLineChars="200"/>
        <w:rPr>
          <w:rFonts w:hint="eastAsia" w:ascii="宋体" w:hAnsi="宋体" w:cs="宋体"/>
          <w:sz w:val="24"/>
        </w:rPr>
      </w:pPr>
      <w:r>
        <w:rPr>
          <w:rFonts w:hint="eastAsia" w:ascii="宋体" w:hAnsi="宋体" w:cs="宋体"/>
          <w:sz w:val="24"/>
        </w:rPr>
        <w:t>（1）终验一般是在初验（试运行）3个月后，由中标人向招标人提出终验申请，经招标人同意后开始进行最终验收测试；</w:t>
      </w:r>
    </w:p>
    <w:p>
      <w:pPr>
        <w:spacing w:line="360" w:lineRule="auto"/>
        <w:ind w:firstLine="480" w:firstLineChars="200"/>
        <w:rPr>
          <w:rFonts w:hint="eastAsia" w:ascii="宋体" w:hAnsi="宋体" w:cs="宋体"/>
          <w:sz w:val="24"/>
        </w:rPr>
      </w:pPr>
      <w:r>
        <w:rPr>
          <w:rFonts w:hint="eastAsia" w:ascii="宋体" w:hAnsi="宋体" w:cs="宋体"/>
          <w:sz w:val="24"/>
        </w:rPr>
        <w:t>（2）终验测试大纲在初验测试大纲基础上拟定；</w:t>
      </w:r>
    </w:p>
    <w:p>
      <w:pPr>
        <w:spacing w:line="360" w:lineRule="auto"/>
        <w:ind w:firstLine="480" w:firstLineChars="200"/>
        <w:rPr>
          <w:rFonts w:hint="eastAsia" w:ascii="宋体" w:hAnsi="宋体" w:cs="宋体"/>
          <w:sz w:val="24"/>
        </w:rPr>
      </w:pPr>
      <w:r>
        <w:rPr>
          <w:rFonts w:hint="eastAsia" w:ascii="宋体" w:hAnsi="宋体" w:cs="宋体"/>
          <w:sz w:val="24"/>
        </w:rPr>
        <w:t>（3）终验测试由中标人、招标人共同完成。</w:t>
      </w:r>
    </w:p>
    <w:p>
      <w:pPr>
        <w:spacing w:line="360" w:lineRule="auto"/>
        <w:ind w:firstLine="480" w:firstLineChars="200"/>
        <w:rPr>
          <w:rFonts w:hint="eastAsia" w:ascii="宋体" w:hAnsi="宋体" w:cs="宋体"/>
          <w:sz w:val="24"/>
        </w:rPr>
      </w:pPr>
      <w:r>
        <w:rPr>
          <w:rFonts w:hint="eastAsia" w:ascii="宋体" w:hAnsi="宋体" w:cs="宋体"/>
          <w:sz w:val="24"/>
        </w:rPr>
        <w:t>4、详见合同</w:t>
      </w:r>
      <w:r>
        <w:rPr>
          <w:rFonts w:hint="eastAsia" w:ascii="宋体" w:hAnsi="宋体" w:cs="宋体"/>
          <w:b/>
          <w:bCs/>
          <w:sz w:val="24"/>
        </w:rPr>
        <w:t>附件5《付款验收评价表》</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（三）资料要求</w:t>
      </w:r>
    </w:p>
    <w:p>
      <w:pPr>
        <w:spacing w:line="360" w:lineRule="auto"/>
        <w:ind w:firstLine="480" w:firstLineChars="200"/>
        <w:rPr>
          <w:rFonts w:hint="eastAsia" w:ascii="宋体" w:hAnsi="宋体" w:cs="宋体"/>
          <w:sz w:val="24"/>
        </w:rPr>
      </w:pPr>
      <w:r>
        <w:rPr>
          <w:rFonts w:hint="eastAsia" w:ascii="宋体" w:hAnsi="宋体" w:cs="宋体"/>
          <w:sz w:val="24"/>
        </w:rPr>
        <w:t>1、投标资料要求</w:t>
      </w:r>
    </w:p>
    <w:p>
      <w:pPr>
        <w:spacing w:line="360" w:lineRule="auto"/>
        <w:ind w:firstLine="480" w:firstLineChars="200"/>
        <w:rPr>
          <w:rFonts w:hint="eastAsia" w:ascii="宋体" w:hAnsi="宋体" w:cs="宋体"/>
          <w:sz w:val="24"/>
        </w:rPr>
      </w:pPr>
      <w:r>
        <w:rPr>
          <w:rFonts w:hint="eastAsia" w:ascii="宋体" w:hAnsi="宋体" w:cs="宋体"/>
          <w:sz w:val="24"/>
        </w:rPr>
        <w:t>（1）所有投标文件概不退还投标人。投标人所提供的相关资料的详尽和准确程度，将作为评标的重要依据。</w:t>
      </w:r>
    </w:p>
    <w:p>
      <w:pPr>
        <w:spacing w:line="360" w:lineRule="auto"/>
        <w:ind w:firstLine="480" w:firstLineChars="200"/>
        <w:rPr>
          <w:rFonts w:hint="eastAsia" w:ascii="宋体" w:hAnsi="宋体" w:cs="宋体"/>
          <w:sz w:val="24"/>
        </w:rPr>
      </w:pPr>
      <w:r>
        <w:rPr>
          <w:rFonts w:hint="eastAsia" w:ascii="宋体" w:hAnsi="宋体" w:cs="宋体"/>
          <w:sz w:val="24"/>
        </w:rPr>
        <w:t>（2）投标资料：应包含单机设备实物照片。</w:t>
      </w:r>
    </w:p>
    <w:p>
      <w:pPr>
        <w:spacing w:line="360" w:lineRule="auto"/>
        <w:ind w:firstLine="480" w:firstLineChars="200"/>
        <w:rPr>
          <w:rFonts w:hint="eastAsia" w:ascii="宋体" w:hAnsi="宋体" w:cs="宋体"/>
          <w:sz w:val="24"/>
        </w:rPr>
      </w:pPr>
      <w:r>
        <w:rPr>
          <w:rFonts w:hint="eastAsia" w:ascii="宋体" w:hAnsi="宋体" w:cs="宋体"/>
          <w:sz w:val="24"/>
        </w:rPr>
        <w:t>（3）投标人应在投标文件中注明对公共设施的需求量和负荷的详细资料。对招标人安装的供电线路及能源管线的要求由中标人在签订合同时提供。</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投标人应按招标文件的要求进行报价，投标报价须包含但不限于所供系统设备的设计、制作、采购、运输、装卸、开箱、就位、安装、复原、调试、培训、安全责任、售后服务、系统对接、管理费、税金等完成本项目所需的一切费用。</w:t>
      </w:r>
    </w:p>
    <w:p>
      <w:pPr>
        <w:spacing w:line="360" w:lineRule="auto"/>
        <w:ind w:firstLine="480" w:firstLineChars="200"/>
        <w:rPr>
          <w:rFonts w:hint="eastAsia" w:ascii="宋体" w:hAnsi="宋体" w:cs="宋体"/>
          <w:sz w:val="24"/>
        </w:rPr>
      </w:pPr>
      <w:r>
        <w:rPr>
          <w:rFonts w:hint="eastAsia" w:ascii="宋体" w:hAnsi="宋体" w:cs="宋体"/>
          <w:sz w:val="24"/>
        </w:rPr>
        <w:t>2、技术资料需求</w:t>
      </w:r>
    </w:p>
    <w:p>
      <w:pPr>
        <w:spacing w:line="360" w:lineRule="auto"/>
        <w:ind w:firstLine="480" w:firstLineChars="200"/>
        <w:rPr>
          <w:rFonts w:hint="eastAsia" w:ascii="宋体" w:hAnsi="宋体" w:cs="宋体"/>
          <w:sz w:val="24"/>
        </w:rPr>
      </w:pPr>
      <w:r>
        <w:rPr>
          <w:rFonts w:hint="eastAsia" w:ascii="宋体" w:hAnsi="宋体" w:cs="宋体"/>
          <w:sz w:val="24"/>
        </w:rPr>
        <w:t>（1）方案设计完成后必须对设备的生产工艺及流程进行描述，并提供工艺设备平面布置图及主要部位剖面图及对供电、土建技术要求图；说明系统设计能力和最大能力。</w:t>
      </w:r>
    </w:p>
    <w:p>
      <w:pPr>
        <w:spacing w:line="360" w:lineRule="auto"/>
        <w:ind w:firstLine="480" w:firstLineChars="200"/>
        <w:rPr>
          <w:rFonts w:hint="eastAsia" w:ascii="宋体" w:hAnsi="宋体" w:cs="宋体"/>
          <w:sz w:val="24"/>
        </w:rPr>
      </w:pPr>
      <w:r>
        <w:rPr>
          <w:rFonts w:hint="eastAsia" w:ascii="宋体" w:hAnsi="宋体" w:cs="宋体"/>
          <w:sz w:val="24"/>
        </w:rPr>
        <w:t>（2）设备到货后提供设备供货清单、质量合格证（一式一份，随设备提供）、技术性能说明书、使用说明书。所供设备的安装说明书、设备装配图，设备组装零件明细表。随设备供安装使用的专用工具名称、数量。</w:t>
      </w:r>
    </w:p>
    <w:p>
      <w:pPr>
        <w:spacing w:line="360" w:lineRule="auto"/>
        <w:ind w:firstLine="480" w:firstLineChars="200"/>
        <w:rPr>
          <w:rFonts w:hint="eastAsia" w:ascii="宋体" w:hAnsi="宋体" w:cs="宋体"/>
          <w:sz w:val="24"/>
        </w:rPr>
      </w:pPr>
      <w:r>
        <w:rPr>
          <w:rFonts w:hint="eastAsia" w:ascii="宋体" w:hAnsi="宋体" w:cs="宋体"/>
          <w:sz w:val="24"/>
        </w:rPr>
        <w:t>（3）设备安装调试完成前提供系统的维护手册和维护方案。设备操作指导（包括正常操作、关、开启动和故障维修）。</w:t>
      </w:r>
    </w:p>
    <w:p>
      <w:pPr>
        <w:spacing w:line="360" w:lineRule="auto"/>
        <w:ind w:firstLine="480" w:firstLineChars="200"/>
        <w:rPr>
          <w:rFonts w:hint="eastAsia" w:ascii="宋体" w:hAnsi="宋体" w:cs="宋体"/>
          <w:sz w:val="24"/>
        </w:rPr>
      </w:pPr>
      <w:r>
        <w:rPr>
          <w:rFonts w:hint="eastAsia" w:ascii="宋体" w:hAnsi="宋体" w:cs="宋体"/>
          <w:sz w:val="24"/>
        </w:rPr>
        <w:t>（4）设备安装调试完成后提供电控系统资料：使用手册；所供设备（包括电气、仪表）易损件、备品备件明细表。</w:t>
      </w:r>
    </w:p>
    <w:p>
      <w:pPr>
        <w:spacing w:line="360" w:lineRule="auto"/>
        <w:ind w:firstLine="480" w:firstLineChars="200"/>
        <w:rPr>
          <w:rFonts w:hint="eastAsia" w:ascii="宋体" w:hAnsi="宋体" w:cs="宋体"/>
          <w:sz w:val="24"/>
        </w:rPr>
      </w:pPr>
      <w:r>
        <w:rPr>
          <w:rFonts w:hint="eastAsia" w:ascii="宋体" w:hAnsi="宋体" w:cs="宋体"/>
          <w:sz w:val="24"/>
        </w:rPr>
        <w:t>（5）设备安装调试完成后提供计算机系统资料：功能设计说明书、与有关软件系统和设备控制系统接口说明书、软件安装光盘、系统配置及使用手册。</w:t>
      </w:r>
    </w:p>
    <w:p>
      <w:pPr>
        <w:spacing w:line="360" w:lineRule="auto"/>
        <w:ind w:firstLine="480" w:firstLineChars="200"/>
        <w:rPr>
          <w:rFonts w:hint="eastAsia" w:ascii="宋体" w:hAnsi="宋体" w:cs="宋体"/>
          <w:sz w:val="24"/>
        </w:rPr>
      </w:pPr>
      <w:r>
        <w:rPr>
          <w:rFonts w:hint="eastAsia" w:ascii="宋体" w:hAnsi="宋体" w:cs="宋体"/>
          <w:sz w:val="24"/>
        </w:rPr>
        <w:t>（6）设备安装调试完成后提供配套设施图：电缆、桥架设计图册。</w:t>
      </w:r>
    </w:p>
    <w:p>
      <w:pPr>
        <w:spacing w:line="360" w:lineRule="auto"/>
        <w:ind w:firstLine="480" w:firstLineChars="200"/>
        <w:rPr>
          <w:rFonts w:hint="eastAsia" w:ascii="宋体" w:hAnsi="宋体" w:cs="宋体"/>
          <w:sz w:val="24"/>
        </w:rPr>
      </w:pPr>
      <w:r>
        <w:rPr>
          <w:rFonts w:hint="eastAsia" w:ascii="宋体" w:hAnsi="宋体" w:cs="宋体"/>
          <w:sz w:val="24"/>
        </w:rPr>
        <w:t>（7）其他不包括上述提到的技术资料。</w:t>
      </w:r>
    </w:p>
    <w:p>
      <w:pPr>
        <w:pStyle w:val="3"/>
      </w:pPr>
      <w:bookmarkStart w:id="138" w:name="_Toc29903"/>
      <w:bookmarkStart w:id="139" w:name="_Toc16613"/>
      <w:r>
        <w:rPr>
          <w:rFonts w:hint="eastAsia"/>
        </w:rPr>
        <w:t>五、付款方</w:t>
      </w:r>
      <w:bookmarkEnd w:id="132"/>
      <w:bookmarkEnd w:id="133"/>
      <w:bookmarkEnd w:id="134"/>
      <w:r>
        <w:rPr>
          <w:rFonts w:hint="eastAsia"/>
        </w:rPr>
        <w:t>式</w:t>
      </w:r>
      <w:bookmarkEnd w:id="138"/>
      <w:bookmarkEnd w:id="139"/>
    </w:p>
    <w:bookmarkEnd w:id="130"/>
    <w:bookmarkEnd w:id="131"/>
    <w:p>
      <w:pPr>
        <w:spacing w:line="360" w:lineRule="auto"/>
        <w:ind w:right="-21" w:rightChars="-10" w:firstLine="480" w:firstLineChars="200"/>
        <w:rPr>
          <w:rFonts w:ascii="宋体" w:cs="宋体"/>
          <w:sz w:val="24"/>
        </w:rPr>
      </w:pPr>
      <w:r>
        <w:rPr>
          <w:rFonts w:hint="eastAsia" w:ascii="宋体" w:cs="宋体"/>
          <w:sz w:val="24"/>
        </w:rPr>
        <w:t>1、货到现场清点无误之日起30个日历天内，中标人向招标人开具正规等额增值税专用发票，在接下来的30个日历天内招标人向中标人支付合同金额30%的款项；</w:t>
      </w:r>
    </w:p>
    <w:p>
      <w:pPr>
        <w:spacing w:line="360" w:lineRule="auto"/>
        <w:ind w:right="-21" w:rightChars="-10" w:firstLine="480" w:firstLineChars="200"/>
        <w:rPr>
          <w:rFonts w:ascii="宋体" w:cs="宋体"/>
          <w:sz w:val="24"/>
        </w:rPr>
      </w:pPr>
      <w:r>
        <w:rPr>
          <w:rFonts w:hint="eastAsia" w:ascii="宋体" w:cs="宋体"/>
          <w:sz w:val="24"/>
        </w:rPr>
        <w:t>2、自本项目实施完毕通过初验（验收考核结果作为该考核周期合同款项的支付依据）起30个日历天内，中标人向招标人开具正规等额增值税专用发票，在接下来的30个日历天内招标人向中标人支付合同金额</w:t>
      </w:r>
      <w:r>
        <w:rPr>
          <w:rFonts w:hint="eastAsia" w:ascii="宋体" w:cs="宋体"/>
          <w:sz w:val="24"/>
          <w:lang w:val="en-US" w:eastAsia="zh-CN"/>
        </w:rPr>
        <w:t>55</w:t>
      </w:r>
      <w:r>
        <w:rPr>
          <w:rFonts w:hint="eastAsia" w:ascii="宋体" w:cs="宋体"/>
          <w:sz w:val="24"/>
        </w:rPr>
        <w:t>%的款项；</w:t>
      </w:r>
    </w:p>
    <w:p>
      <w:pPr>
        <w:spacing w:line="360" w:lineRule="auto"/>
        <w:ind w:right="-21" w:rightChars="-10" w:firstLine="480" w:firstLineChars="200"/>
        <w:rPr>
          <w:rFonts w:ascii="宋体" w:cs="宋体"/>
          <w:sz w:val="24"/>
        </w:rPr>
      </w:pPr>
      <w:r>
        <w:rPr>
          <w:rFonts w:hint="eastAsia" w:ascii="宋体" w:cs="宋体"/>
          <w:sz w:val="24"/>
        </w:rPr>
        <w:t>3、项目终验前，由招标人选定的第三方结算审计中介机构进行结算审计，以其出具的结算审计报告载明的审计价作为本项目最终结算价。终验合格（以签订验收报告为标志）并正式交付使用后30个日历天内，中标人向招标人开具最终结算价中未支付金额的正规增值税专用发票，在接下来的30个日历天内招标人向中标人支付至最终结算价的97%，剩余的3%转为质保金；</w:t>
      </w:r>
    </w:p>
    <w:p>
      <w:pPr>
        <w:spacing w:line="360" w:lineRule="auto"/>
        <w:ind w:right="-21" w:rightChars="-10" w:firstLine="480" w:firstLineChars="200"/>
        <w:rPr>
          <w:rFonts w:ascii="宋体" w:cs="宋体"/>
          <w:sz w:val="24"/>
        </w:rPr>
      </w:pPr>
      <w:r>
        <w:rPr>
          <w:rFonts w:hint="eastAsia" w:ascii="宋体" w:cs="宋体"/>
          <w:sz w:val="24"/>
        </w:rPr>
        <w:t>4、自本项目免费质保期届满后，扣除因中标人质量原因所支付的违约金后，招标人在30个日历天内退还质保金，一并退还按央行活期存款基准利率计算的银行同期存款利息。</w:t>
      </w:r>
    </w:p>
    <w:p>
      <w:pPr>
        <w:pStyle w:val="3"/>
      </w:pPr>
      <w:bookmarkStart w:id="140" w:name="_Toc28362"/>
      <w:bookmarkStart w:id="141" w:name="_Toc4423641"/>
      <w:bookmarkStart w:id="142" w:name="_Toc328578345"/>
      <w:bookmarkStart w:id="143" w:name="_Toc486344784"/>
      <w:bookmarkStart w:id="144" w:name="_Toc10561"/>
      <w:r>
        <w:rPr>
          <w:rFonts w:hint="eastAsia"/>
        </w:rPr>
        <w:t>六、其它事项</w:t>
      </w:r>
      <w:bookmarkEnd w:id="140"/>
      <w:bookmarkEnd w:id="141"/>
      <w:bookmarkEnd w:id="142"/>
      <w:bookmarkEnd w:id="143"/>
      <w:bookmarkEnd w:id="144"/>
    </w:p>
    <w:p>
      <w:pPr>
        <w:spacing w:line="360" w:lineRule="auto"/>
        <w:ind w:right="-21" w:rightChars="-10" w:firstLine="480" w:firstLineChars="200"/>
        <w:rPr>
          <w:b/>
          <w:bCs/>
          <w:sz w:val="30"/>
          <w:szCs w:val="30"/>
        </w:rPr>
      </w:pPr>
      <w:r>
        <w:rPr>
          <w:rFonts w:hint="eastAsia" w:ascii="宋体" w:cs="宋体"/>
          <w:sz w:val="24"/>
        </w:rPr>
        <w:t>无。</w:t>
      </w:r>
      <w:bookmarkEnd w:id="113"/>
      <w:bookmarkStart w:id="145" w:name="_Toc15321"/>
      <w:bookmarkStart w:id="146" w:name="_Toc6366"/>
    </w:p>
    <w:p>
      <w:pPr>
        <w:spacing w:line="360" w:lineRule="auto"/>
        <w:jc w:val="center"/>
        <w:rPr>
          <w:rFonts w:ascii="宋体"/>
          <w:b/>
          <w:kern w:val="0"/>
          <w:sz w:val="36"/>
          <w:szCs w:val="20"/>
        </w:rPr>
        <w:sectPr>
          <w:headerReference r:id="rId11" w:type="default"/>
          <w:footerReference r:id="rId12" w:type="default"/>
          <w:pgSz w:w="11906" w:h="16838"/>
          <w:pgMar w:top="1236" w:right="1134" w:bottom="1134" w:left="1134" w:header="680" w:footer="680" w:gutter="0"/>
          <w:cols w:space="720" w:num="1"/>
          <w:docGrid w:linePitch="312" w:charSpace="0"/>
        </w:sectPr>
      </w:pPr>
      <w:bookmarkStart w:id="147" w:name="_Toc105594499"/>
      <w:bookmarkStart w:id="148" w:name="_Toc30927"/>
      <w:bookmarkStart w:id="149" w:name="_Toc6877"/>
    </w:p>
    <w:p>
      <w:pPr>
        <w:pStyle w:val="2"/>
      </w:pPr>
      <w:bookmarkStart w:id="150" w:name="_Toc17606"/>
      <w:r>
        <w:rPr>
          <w:rFonts w:hint="eastAsia"/>
        </w:rPr>
        <w:t>第四章 评标方法</w:t>
      </w:r>
      <w:bookmarkEnd w:id="147"/>
      <w:bookmarkEnd w:id="148"/>
      <w:bookmarkEnd w:id="149"/>
      <w:r>
        <w:rPr>
          <w:rFonts w:hint="eastAsia"/>
        </w:rPr>
        <w:t>及评分标准</w:t>
      </w:r>
      <w:bookmarkEnd w:id="150"/>
    </w:p>
    <w:p>
      <w:pPr>
        <w:spacing w:line="360" w:lineRule="auto"/>
        <w:ind w:right="-210" w:rightChars="-100" w:firstLine="482"/>
        <w:rPr>
          <w:rFonts w:ascii="宋体" w:cs="宋体"/>
          <w:sz w:val="24"/>
        </w:rPr>
      </w:pPr>
      <w:r>
        <w:rPr>
          <w:rFonts w:hint="eastAsia" w:ascii="宋体"/>
          <w:sz w:val="24"/>
        </w:rPr>
        <w:t>为规范本次招标的评标工作，根据《中华人民共和国招标投标法》《中华人民共和国招标</w:t>
      </w:r>
      <w:r>
        <w:rPr>
          <w:rFonts w:hint="eastAsia" w:ascii="宋体" w:cs="宋体"/>
          <w:sz w:val="24"/>
        </w:rPr>
        <w:t>投标法实施条例》等国家、地方政府有关招标投标的法律、法规、规章和规定，制定本办法。</w:t>
      </w:r>
    </w:p>
    <w:p>
      <w:pPr>
        <w:spacing w:line="360" w:lineRule="auto"/>
        <w:jc w:val="center"/>
        <w:outlineLvl w:val="1"/>
        <w:rPr>
          <w:rFonts w:ascii="宋体" w:cs="宋体"/>
          <w:b/>
          <w:sz w:val="32"/>
        </w:rPr>
      </w:pPr>
      <w:bookmarkStart w:id="151" w:name="_Toc20526"/>
      <w:r>
        <w:rPr>
          <w:rFonts w:hint="eastAsia" w:ascii="宋体" w:cs="宋体"/>
          <w:b/>
          <w:sz w:val="32"/>
        </w:rPr>
        <w:t>一、评标办法</w:t>
      </w:r>
      <w:bookmarkEnd w:id="151"/>
    </w:p>
    <w:p>
      <w:pPr>
        <w:spacing w:line="360" w:lineRule="auto"/>
        <w:ind w:firstLine="482"/>
        <w:rPr>
          <w:rFonts w:ascii="宋体" w:cs="宋体"/>
          <w:sz w:val="24"/>
        </w:rPr>
      </w:pPr>
      <w:r>
        <w:rPr>
          <w:rFonts w:hint="eastAsia" w:ascii="宋体" w:cs="宋体"/>
          <w:b/>
          <w:bCs/>
          <w:sz w:val="24"/>
        </w:rPr>
        <w:t>1.评标办法：</w:t>
      </w:r>
      <w:r>
        <w:rPr>
          <w:rFonts w:hint="eastAsia" w:ascii="宋体" w:cs="宋体"/>
          <w:sz w:val="24"/>
        </w:rPr>
        <w:t>见投标人须知前附表。</w:t>
      </w:r>
    </w:p>
    <w:p>
      <w:pPr>
        <w:spacing w:line="360" w:lineRule="auto"/>
        <w:jc w:val="center"/>
        <w:outlineLvl w:val="1"/>
        <w:rPr>
          <w:rFonts w:ascii="宋体" w:cs="宋体"/>
          <w:b/>
          <w:sz w:val="32"/>
        </w:rPr>
      </w:pPr>
      <w:bookmarkStart w:id="152" w:name="_Toc17805"/>
      <w:r>
        <w:rPr>
          <w:rFonts w:hint="eastAsia" w:ascii="宋体" w:cs="宋体"/>
          <w:b/>
          <w:sz w:val="32"/>
        </w:rPr>
        <w:t>二、评标程序</w:t>
      </w:r>
      <w:bookmarkEnd w:id="152"/>
    </w:p>
    <w:p>
      <w:pPr>
        <w:tabs>
          <w:tab w:val="left" w:pos="8820"/>
        </w:tabs>
        <w:spacing w:line="360" w:lineRule="auto"/>
        <w:ind w:firstLine="480"/>
        <w:rPr>
          <w:rFonts w:ascii="宋体" w:cs="宋体"/>
          <w:b/>
          <w:sz w:val="24"/>
        </w:rPr>
      </w:pPr>
      <w:r>
        <w:rPr>
          <w:rFonts w:hint="eastAsia" w:ascii="宋体" w:cs="宋体"/>
          <w:b/>
          <w:sz w:val="24"/>
        </w:rPr>
        <w:t>2.评标前准备工作</w:t>
      </w:r>
    </w:p>
    <w:p>
      <w:pPr>
        <w:tabs>
          <w:tab w:val="left" w:pos="8820"/>
        </w:tabs>
        <w:spacing w:line="360" w:lineRule="auto"/>
        <w:ind w:firstLine="480"/>
        <w:rPr>
          <w:rFonts w:ascii="宋体" w:cs="宋体"/>
          <w:sz w:val="24"/>
        </w:rPr>
      </w:pPr>
      <w:r>
        <w:rPr>
          <w:rFonts w:hint="eastAsia" w:ascii="宋体" w:cs="宋体"/>
          <w:sz w:val="24"/>
        </w:rPr>
        <w:t>2.1由招标人或者其委托的招标代理机构宣布评标纪律，告知评审专家应当回避的情形，回避情形详见</w:t>
      </w:r>
      <w:r>
        <w:rPr>
          <w:rFonts w:hint="eastAsia" w:ascii="宋体" w:cs="宋体"/>
          <w:bCs/>
          <w:sz w:val="24"/>
        </w:rPr>
        <w:t>投标人须知，</w:t>
      </w:r>
      <w:r>
        <w:rPr>
          <w:rFonts w:hint="eastAsia" w:ascii="宋体" w:cs="宋体"/>
          <w:sz w:val="24"/>
        </w:rPr>
        <w:t>在评标期间采取必要的通讯管理措施，保证评审活动不受外界干扰。</w:t>
      </w:r>
    </w:p>
    <w:p>
      <w:pPr>
        <w:tabs>
          <w:tab w:val="left" w:pos="8820"/>
        </w:tabs>
        <w:spacing w:line="360" w:lineRule="auto"/>
        <w:ind w:firstLine="480"/>
        <w:rPr>
          <w:rFonts w:ascii="宋体" w:cs="宋体"/>
          <w:sz w:val="24"/>
        </w:rPr>
      </w:pPr>
      <w:r>
        <w:rPr>
          <w:rFonts w:hint="eastAsia" w:ascii="宋体" w:cs="宋体"/>
          <w:sz w:val="24"/>
        </w:rPr>
        <w:t>2.2评标委员会原则上要推选一位组长（招标人代表不得担任评标委员会组长），评标委员会组长负责组织评标工作，评标委员会组长与评标委员会其他成员享有同等的表决权。</w:t>
      </w:r>
    </w:p>
    <w:p>
      <w:pPr>
        <w:tabs>
          <w:tab w:val="left" w:pos="8820"/>
        </w:tabs>
        <w:spacing w:line="360" w:lineRule="auto"/>
        <w:ind w:firstLine="480"/>
        <w:rPr>
          <w:rFonts w:ascii="宋体" w:cs="宋体"/>
          <w:sz w:val="24"/>
        </w:rPr>
      </w:pPr>
      <w:r>
        <w:rPr>
          <w:rFonts w:hint="eastAsia" w:ascii="宋体" w:cs="宋体"/>
          <w:sz w:val="24"/>
        </w:rPr>
        <w:t>2.3评标委员会成员应了解和熟悉本招标文件的内容。</w:t>
      </w:r>
    </w:p>
    <w:p>
      <w:pPr>
        <w:tabs>
          <w:tab w:val="left" w:pos="8820"/>
        </w:tabs>
        <w:spacing w:line="360" w:lineRule="auto"/>
        <w:ind w:firstLine="480"/>
        <w:rPr>
          <w:rFonts w:ascii="宋体" w:cs="宋体"/>
          <w:b/>
          <w:sz w:val="24"/>
        </w:rPr>
      </w:pPr>
      <w:r>
        <w:rPr>
          <w:rFonts w:hint="eastAsia" w:ascii="宋体" w:cs="宋体"/>
          <w:b/>
          <w:sz w:val="24"/>
        </w:rPr>
        <w:t>3.初步评审</w:t>
      </w:r>
    </w:p>
    <w:p>
      <w:pPr>
        <w:tabs>
          <w:tab w:val="left" w:pos="8820"/>
        </w:tabs>
        <w:spacing w:line="360" w:lineRule="auto"/>
        <w:ind w:firstLine="480"/>
        <w:rPr>
          <w:rFonts w:ascii="宋体" w:cs="宋体"/>
          <w:sz w:val="24"/>
        </w:rPr>
      </w:pPr>
      <w:r>
        <w:rPr>
          <w:rFonts w:hint="eastAsia" w:ascii="宋体" w:cs="宋体"/>
          <w:sz w:val="24"/>
        </w:rPr>
        <w:t>3.1资格审查</w:t>
      </w:r>
    </w:p>
    <w:p>
      <w:pPr>
        <w:tabs>
          <w:tab w:val="left" w:pos="8820"/>
        </w:tabs>
        <w:spacing w:line="360" w:lineRule="auto"/>
        <w:ind w:firstLine="480"/>
        <w:rPr>
          <w:rFonts w:ascii="宋体" w:cs="宋体"/>
          <w:sz w:val="24"/>
        </w:rPr>
      </w:pPr>
      <w:r>
        <w:rPr>
          <w:rFonts w:hint="eastAsia" w:ascii="宋体" w:cs="宋体"/>
          <w:sz w:val="24"/>
        </w:rPr>
        <w:t>评标委员会按招标文件中规定的“投标人资格条件”进行审查，资格审查不通过的投标人不能进入</w:t>
      </w:r>
      <w:r>
        <w:rPr>
          <w:rFonts w:hint="eastAsia" w:ascii="宋体" w:cs="宋体"/>
          <w:kern w:val="0"/>
          <w:sz w:val="24"/>
          <w:lang w:bidi="ar"/>
        </w:rPr>
        <w:t>后续</w:t>
      </w:r>
      <w:r>
        <w:rPr>
          <w:rFonts w:hint="eastAsia" w:ascii="宋体" w:cs="宋体"/>
          <w:sz w:val="24"/>
        </w:rPr>
        <w:t>评审。资格条件中“无行贿行为记录”和“无重大违法记录”以现场查询复核结果为准，投标人未按招标文件要求提供截图不作为否决条件。</w:t>
      </w:r>
    </w:p>
    <w:p>
      <w:pPr>
        <w:tabs>
          <w:tab w:val="left" w:pos="8820"/>
        </w:tabs>
        <w:spacing w:line="360" w:lineRule="auto"/>
        <w:ind w:firstLine="480"/>
        <w:rPr>
          <w:rFonts w:ascii="宋体" w:cs="宋体"/>
          <w:sz w:val="24"/>
        </w:rPr>
      </w:pPr>
      <w:r>
        <w:rPr>
          <w:rFonts w:hint="eastAsia" w:ascii="宋体" w:cs="宋体"/>
          <w:sz w:val="24"/>
        </w:rPr>
        <w:t>3.2符合性审查</w:t>
      </w:r>
    </w:p>
    <w:p>
      <w:pPr>
        <w:adjustRightInd w:val="0"/>
        <w:snapToGrid w:val="0"/>
        <w:spacing w:line="360" w:lineRule="auto"/>
        <w:ind w:firstLine="480" w:firstLineChars="200"/>
        <w:rPr>
          <w:rFonts w:ascii="宋体" w:cs="宋体"/>
          <w:kern w:val="0"/>
          <w:sz w:val="24"/>
        </w:rPr>
      </w:pPr>
      <w:r>
        <w:rPr>
          <w:rFonts w:hint="eastAsia" w:ascii="宋体" w:cs="宋体"/>
          <w:kern w:val="0"/>
          <w:sz w:val="24"/>
          <w:lang w:bidi="ar"/>
        </w:rPr>
        <w:t>评标委员会应当对通过资格审查的投标人的投标文件进行符合性审查。投标人存在以下</w:t>
      </w:r>
      <w:r>
        <w:rPr>
          <w:rFonts w:hint="eastAsia" w:ascii="宋体" w:cs="宋体"/>
          <w:bCs/>
          <w:kern w:val="0"/>
          <w:sz w:val="24"/>
          <w:lang w:bidi="ar"/>
        </w:rPr>
        <w:t>情形</w:t>
      </w:r>
      <w:r>
        <w:rPr>
          <w:rFonts w:hint="eastAsia" w:ascii="宋体" w:cs="宋体"/>
          <w:kern w:val="0"/>
          <w:sz w:val="24"/>
          <w:lang w:bidi="ar"/>
        </w:rPr>
        <w:t>之一的，符合性审查不予通过，否决其投标，不再进行后续评审：</w:t>
      </w:r>
    </w:p>
    <w:p>
      <w:pPr>
        <w:adjustRightInd w:val="0"/>
        <w:snapToGrid w:val="0"/>
        <w:spacing w:line="360" w:lineRule="auto"/>
        <w:ind w:firstLine="480" w:firstLineChars="200"/>
        <w:rPr>
          <w:rFonts w:ascii="宋体" w:cs="宋体"/>
          <w:kern w:val="0"/>
          <w:sz w:val="24"/>
        </w:rPr>
      </w:pPr>
      <w:r>
        <w:rPr>
          <w:rFonts w:hint="eastAsia" w:ascii="宋体" w:cs="宋体"/>
          <w:kern w:val="0"/>
          <w:sz w:val="24"/>
          <w:lang w:bidi="ar"/>
        </w:rPr>
        <w:t>（1）投标文件未按招标文件的要求签章的，</w:t>
      </w:r>
      <w:r>
        <w:rPr>
          <w:rFonts w:hint="eastAsia" w:ascii="宋体" w:cs="宋体"/>
          <w:sz w:val="24"/>
        </w:rPr>
        <w:t>或投标人代表无有效的授权委托书</w:t>
      </w:r>
      <w:r>
        <w:rPr>
          <w:rFonts w:hint="eastAsia" w:ascii="宋体" w:cs="宋体"/>
          <w:kern w:val="0"/>
          <w:sz w:val="24"/>
          <w:lang w:bidi="ar"/>
        </w:rPr>
        <w:t>；</w:t>
      </w:r>
    </w:p>
    <w:p>
      <w:pPr>
        <w:adjustRightInd w:val="0"/>
        <w:snapToGrid w:val="0"/>
        <w:spacing w:line="360" w:lineRule="auto"/>
        <w:ind w:firstLine="480" w:firstLineChars="200"/>
        <w:rPr>
          <w:sz w:val="24"/>
        </w:rPr>
      </w:pPr>
      <w:r>
        <w:rPr>
          <w:rFonts w:hint="eastAsia" w:ascii="宋体" w:cs="宋体"/>
          <w:kern w:val="0"/>
          <w:sz w:val="24"/>
          <w:lang w:bidi="ar"/>
        </w:rPr>
        <w:t>（2）投标人未按招标文件的要求递交投标保证金的；</w:t>
      </w:r>
    </w:p>
    <w:p>
      <w:pPr>
        <w:adjustRightInd w:val="0"/>
        <w:snapToGrid w:val="0"/>
        <w:spacing w:line="360" w:lineRule="auto"/>
        <w:ind w:firstLine="480" w:firstLineChars="200"/>
        <w:rPr>
          <w:rFonts w:ascii="宋体" w:cs="宋体"/>
          <w:kern w:val="0"/>
          <w:sz w:val="24"/>
        </w:rPr>
      </w:pPr>
      <w:r>
        <w:rPr>
          <w:rFonts w:hint="eastAsia" w:ascii="宋体" w:cs="宋体"/>
          <w:kern w:val="0"/>
          <w:sz w:val="24"/>
          <w:lang w:bidi="ar"/>
        </w:rPr>
        <w:t>（3）投标有效期少于招标文件要求的；</w:t>
      </w:r>
    </w:p>
    <w:p>
      <w:pPr>
        <w:adjustRightInd w:val="0"/>
        <w:snapToGrid w:val="0"/>
        <w:spacing w:line="360" w:lineRule="auto"/>
        <w:ind w:firstLine="480" w:firstLineChars="200"/>
        <w:rPr>
          <w:rFonts w:ascii="宋体" w:cs="宋体"/>
          <w:bCs/>
          <w:sz w:val="24"/>
          <w:lang w:bidi="ar"/>
        </w:rPr>
      </w:pPr>
      <w:r>
        <w:rPr>
          <w:rFonts w:hint="eastAsia" w:ascii="宋体" w:cs="宋体"/>
          <w:kern w:val="0"/>
          <w:sz w:val="24"/>
          <w:lang w:bidi="ar"/>
        </w:rPr>
        <w:t>（4）</w:t>
      </w:r>
      <w:r>
        <w:rPr>
          <w:rFonts w:hint="eastAsia" w:ascii="宋体" w:cs="宋体"/>
          <w:bCs/>
          <w:sz w:val="24"/>
          <w:lang w:bidi="ar"/>
        </w:rPr>
        <w:t>投标文件不符合招标文件实质性要求（用“</w:t>
      </w:r>
      <w:r>
        <w:rPr>
          <w:rFonts w:hint="eastAsia" w:ascii="宋体" w:cs="宋体"/>
          <w:b/>
          <w:bCs/>
          <w:sz w:val="24"/>
        </w:rPr>
        <w:t>▲</w:t>
      </w:r>
      <w:r>
        <w:rPr>
          <w:rFonts w:hint="eastAsia" w:ascii="宋体" w:cs="宋体"/>
          <w:bCs/>
          <w:sz w:val="24"/>
          <w:lang w:bidi="ar"/>
        </w:rPr>
        <w:t>”标注）的；</w:t>
      </w:r>
    </w:p>
    <w:p>
      <w:pPr>
        <w:adjustRightInd w:val="0"/>
        <w:snapToGrid w:val="0"/>
        <w:spacing w:line="360" w:lineRule="auto"/>
        <w:ind w:firstLine="480" w:firstLineChars="200"/>
        <w:rPr>
          <w:rFonts w:ascii="宋体" w:cs="宋体"/>
          <w:kern w:val="0"/>
          <w:sz w:val="24"/>
          <w:lang w:bidi="ar"/>
        </w:rPr>
      </w:pPr>
      <w:r>
        <w:rPr>
          <w:rFonts w:hint="eastAsia" w:ascii="宋体" w:cs="宋体"/>
          <w:kern w:val="0"/>
          <w:sz w:val="24"/>
          <w:lang w:bidi="ar"/>
        </w:rPr>
        <w:t>（5）投标人对根据修正原则修正后的报价在规定时间内不予确认或不接受的；</w:t>
      </w:r>
    </w:p>
    <w:p>
      <w:pPr>
        <w:adjustRightInd w:val="0"/>
        <w:snapToGrid w:val="0"/>
        <w:spacing w:line="360" w:lineRule="auto"/>
        <w:ind w:firstLine="480" w:firstLineChars="200"/>
        <w:rPr>
          <w:rFonts w:ascii="宋体" w:cs="宋体"/>
          <w:kern w:val="0"/>
          <w:sz w:val="24"/>
          <w:lang w:bidi="ar"/>
        </w:rPr>
      </w:pPr>
      <w:r>
        <w:rPr>
          <w:rFonts w:hint="eastAsia" w:ascii="宋体" w:cs="宋体"/>
          <w:kern w:val="0"/>
          <w:sz w:val="24"/>
          <w:lang w:bidi="ar"/>
        </w:rPr>
        <w:t>（6）投标报价超出招标文件规定的最高限价的；</w:t>
      </w:r>
    </w:p>
    <w:p>
      <w:pPr>
        <w:adjustRightInd w:val="0"/>
        <w:snapToGrid w:val="0"/>
        <w:spacing w:line="360" w:lineRule="auto"/>
        <w:ind w:firstLine="480" w:firstLineChars="200"/>
        <w:rPr>
          <w:rFonts w:ascii="宋体" w:cs="宋体"/>
          <w:kern w:val="0"/>
          <w:sz w:val="24"/>
          <w:lang w:bidi="ar"/>
        </w:rPr>
      </w:pPr>
      <w:r>
        <w:rPr>
          <w:rFonts w:hint="eastAsia" w:ascii="宋体" w:cs="宋体"/>
          <w:kern w:val="0"/>
          <w:sz w:val="24"/>
          <w:lang w:bidi="ar"/>
        </w:rPr>
        <w:t>（7）投标报价低于成本价且投标人无法提供合理理由说明的；</w:t>
      </w:r>
    </w:p>
    <w:p>
      <w:pPr>
        <w:adjustRightInd w:val="0"/>
        <w:snapToGrid w:val="0"/>
        <w:spacing w:line="360" w:lineRule="auto"/>
        <w:ind w:firstLine="480" w:firstLineChars="200"/>
        <w:rPr>
          <w:rFonts w:ascii="宋体" w:cs="宋体"/>
          <w:kern w:val="0"/>
          <w:sz w:val="24"/>
          <w:lang w:bidi="ar"/>
        </w:rPr>
      </w:pPr>
      <w:r>
        <w:rPr>
          <w:rFonts w:hint="eastAsia" w:ascii="宋体" w:cs="宋体"/>
          <w:kern w:val="0"/>
          <w:sz w:val="24"/>
          <w:lang w:bidi="ar"/>
        </w:rPr>
        <w:t>（8）同一投标人提交两个及以上不同投标方案，且投标文件中未声明哪一个有效的（招标文件要求提交备选投标方案的除外）；</w:t>
      </w:r>
    </w:p>
    <w:p>
      <w:pPr>
        <w:adjustRightInd w:val="0"/>
        <w:snapToGrid w:val="0"/>
        <w:spacing w:line="360" w:lineRule="auto"/>
        <w:ind w:firstLine="480" w:firstLineChars="200"/>
        <w:rPr>
          <w:rFonts w:ascii="宋体" w:cs="宋体"/>
          <w:kern w:val="0"/>
          <w:sz w:val="24"/>
          <w:lang w:bidi="ar"/>
        </w:rPr>
      </w:pPr>
      <w:r>
        <w:rPr>
          <w:rFonts w:hint="eastAsia" w:ascii="宋体" w:cs="宋体"/>
          <w:kern w:val="0"/>
          <w:sz w:val="24"/>
          <w:lang w:bidi="ar"/>
        </w:rPr>
        <w:t>（9</w:t>
      </w:r>
      <w:bookmarkStart w:id="153" w:name="OLE_LINK6"/>
      <w:r>
        <w:rPr>
          <w:rFonts w:hint="eastAsia" w:ascii="宋体" w:cs="宋体"/>
          <w:kern w:val="0"/>
          <w:sz w:val="24"/>
          <w:lang w:bidi="ar"/>
        </w:rPr>
        <w:t>）存在法律、法规规定的其他否决投标情形的。</w:t>
      </w:r>
      <w:bookmarkEnd w:id="153"/>
    </w:p>
    <w:p>
      <w:pPr>
        <w:adjustRightInd w:val="0"/>
        <w:snapToGrid w:val="0"/>
        <w:spacing w:line="360" w:lineRule="auto"/>
        <w:ind w:firstLine="480" w:firstLineChars="200"/>
        <w:rPr>
          <w:rFonts w:ascii="宋体" w:cs="宋体"/>
          <w:kern w:val="0"/>
          <w:sz w:val="24"/>
          <w:u w:val="single"/>
          <w:lang w:bidi="ar"/>
        </w:rPr>
      </w:pPr>
      <w:r>
        <w:rPr>
          <w:rFonts w:hint="eastAsia" w:ascii="宋体" w:cs="宋体"/>
          <w:kern w:val="0"/>
          <w:sz w:val="24"/>
          <w:u w:val="single"/>
          <w:lang w:bidi="ar"/>
        </w:rPr>
        <w:t>（10）（招标人认为需要增加的其他条款）。</w:t>
      </w:r>
    </w:p>
    <w:p>
      <w:pPr>
        <w:tabs>
          <w:tab w:val="left" w:pos="8820"/>
        </w:tabs>
        <w:spacing w:line="360" w:lineRule="auto"/>
        <w:ind w:firstLine="480" w:firstLineChars="200"/>
        <w:rPr>
          <w:rFonts w:cs="Arial"/>
          <w:sz w:val="24"/>
        </w:rPr>
      </w:pPr>
      <w:r>
        <w:rPr>
          <w:rFonts w:hint="eastAsia" w:ascii="宋体" w:cs="宋体"/>
          <w:sz w:val="24"/>
        </w:rPr>
        <w:t>3.3</w:t>
      </w:r>
      <w:r>
        <w:rPr>
          <w:rFonts w:hint="eastAsia" w:cs="Arial"/>
          <w:sz w:val="24"/>
        </w:rPr>
        <w:t>电子招投标活动中出现如下情形的，应依照招标投标法实施条例相关条款分别认定：</w:t>
      </w:r>
    </w:p>
    <w:p>
      <w:pPr>
        <w:tabs>
          <w:tab w:val="left" w:pos="8820"/>
        </w:tabs>
        <w:spacing w:line="360" w:lineRule="auto"/>
        <w:ind w:firstLine="480" w:firstLineChars="200"/>
        <w:rPr>
          <w:rFonts w:ascii="宋体" w:cs="宋体"/>
          <w:sz w:val="24"/>
        </w:rPr>
      </w:pPr>
      <w:r>
        <w:rPr>
          <w:rFonts w:hint="eastAsia" w:cs="Arial"/>
          <w:sz w:val="24"/>
        </w:rPr>
        <w:t>（</w:t>
      </w:r>
      <w:r>
        <w:rPr>
          <w:rFonts w:hint="eastAsia" w:ascii="宋体" w:cs="宋体"/>
          <w:sz w:val="24"/>
        </w:rPr>
        <w:t>1）同一项目不同投标人的电子投标文件的文件制作机器码或文件创建标识码相同的，视为《招标投标法实施条例》第四十条第（一）项规定的“不同投标人的投标文件由同一单位或者个人编制”的情形；</w:t>
      </w:r>
    </w:p>
    <w:p>
      <w:pPr>
        <w:tabs>
          <w:tab w:val="left" w:pos="8820"/>
        </w:tabs>
        <w:spacing w:line="360" w:lineRule="auto"/>
        <w:ind w:firstLine="480" w:firstLineChars="200"/>
        <w:rPr>
          <w:rFonts w:ascii="宋体" w:cs="宋体"/>
          <w:sz w:val="24"/>
        </w:rPr>
      </w:pPr>
      <w:r>
        <w:rPr>
          <w:rFonts w:hint="eastAsia" w:ascii="宋体" w:cs="宋体"/>
          <w:sz w:val="24"/>
        </w:rPr>
        <w:t>（2）不同投标人从同一IP地址下载采购文件、上传投标文件、购买电子保函的，视为《招标投标法实施条例》第四十条第（二）项规定的“不同投标人委托同一单位或者个人办理投标事宜”的情形；</w:t>
      </w:r>
    </w:p>
    <w:p>
      <w:pPr>
        <w:tabs>
          <w:tab w:val="left" w:pos="8820"/>
        </w:tabs>
        <w:spacing w:line="360" w:lineRule="auto"/>
        <w:ind w:firstLine="480" w:firstLineChars="200"/>
        <w:rPr>
          <w:rFonts w:ascii="宋体" w:cs="宋体"/>
          <w:sz w:val="24"/>
        </w:rPr>
      </w:pPr>
      <w:r>
        <w:rPr>
          <w:rFonts w:hint="eastAsia" w:ascii="宋体" w:cs="宋体"/>
          <w:sz w:val="24"/>
        </w:rPr>
        <w:t>（3）不同投标人通过同一账户办理电子保函的，视为《招标投标法实施条例》第四十条第（六）项规定的“不同投标人的投标保证金从同一单位或者个人的账户转出”的情形；</w:t>
      </w:r>
    </w:p>
    <w:p>
      <w:pPr>
        <w:tabs>
          <w:tab w:val="left" w:pos="8820"/>
        </w:tabs>
        <w:spacing w:line="360" w:lineRule="auto"/>
        <w:ind w:firstLine="480" w:firstLineChars="200"/>
        <w:rPr>
          <w:rFonts w:ascii="宋体" w:cs="宋体"/>
          <w:sz w:val="24"/>
        </w:rPr>
      </w:pPr>
      <w:r>
        <w:rPr>
          <w:rFonts w:hint="eastAsia" w:ascii="宋体" w:cs="宋体"/>
          <w:sz w:val="24"/>
        </w:rPr>
        <w:t>（4）其他未列举情形应根据招标投标法实施条例第四十条、结合电子化采购实际特点予以认定。</w:t>
      </w:r>
    </w:p>
    <w:p>
      <w:pPr>
        <w:tabs>
          <w:tab w:val="left" w:pos="8820"/>
        </w:tabs>
        <w:spacing w:line="360" w:lineRule="auto"/>
        <w:ind w:firstLine="480"/>
        <w:rPr>
          <w:rFonts w:ascii="宋体" w:cs="宋体"/>
          <w:b/>
          <w:sz w:val="24"/>
        </w:rPr>
      </w:pPr>
      <w:r>
        <w:rPr>
          <w:rFonts w:hint="eastAsia" w:ascii="宋体" w:cs="宋体"/>
          <w:b/>
          <w:sz w:val="24"/>
        </w:rPr>
        <w:t>4.详细评审</w:t>
      </w:r>
    </w:p>
    <w:p>
      <w:pPr>
        <w:tabs>
          <w:tab w:val="left" w:pos="8820"/>
        </w:tabs>
        <w:spacing w:line="360" w:lineRule="auto"/>
        <w:ind w:firstLine="480" w:firstLineChars="200"/>
        <w:rPr>
          <w:rFonts w:ascii="宋体" w:cs="宋体"/>
          <w:sz w:val="24"/>
        </w:rPr>
      </w:pPr>
      <w:r>
        <w:rPr>
          <w:rFonts w:hint="eastAsia" w:ascii="宋体" w:cs="宋体"/>
          <w:sz w:val="24"/>
        </w:rPr>
        <w:t>评标委员会应在仔细查阅、分析和计算的基础上，根据本章“评分细则”对投标文件进行比较和独立评审。</w:t>
      </w:r>
    </w:p>
    <w:p>
      <w:pPr>
        <w:tabs>
          <w:tab w:val="left" w:pos="8820"/>
        </w:tabs>
        <w:spacing w:line="360" w:lineRule="auto"/>
        <w:ind w:firstLine="480" w:firstLineChars="200"/>
        <w:rPr>
          <w:rFonts w:ascii="宋体" w:cs="宋体"/>
          <w:sz w:val="24"/>
        </w:rPr>
      </w:pPr>
      <w:r>
        <w:rPr>
          <w:rFonts w:hint="eastAsia" w:ascii="宋体" w:cs="宋体"/>
          <w:sz w:val="24"/>
        </w:rPr>
        <w:t>4.1商务技术评审。商务技术评审中资信业绩部分应统一评分分值；技术部分采用记名方式各自评分，得分为有效评分中的算术平均值。</w:t>
      </w:r>
    </w:p>
    <w:p>
      <w:pPr>
        <w:tabs>
          <w:tab w:val="left" w:pos="8820"/>
        </w:tabs>
        <w:spacing w:line="360" w:lineRule="auto"/>
        <w:ind w:firstLine="482" w:firstLineChars="200"/>
        <w:rPr>
          <w:rFonts w:ascii="宋体" w:cs="宋体"/>
          <w:b/>
          <w:sz w:val="24"/>
        </w:rPr>
      </w:pPr>
      <w:r>
        <w:rPr>
          <w:rFonts w:hint="eastAsia" w:ascii="宋体" w:cs="宋体"/>
          <w:b/>
          <w:sz w:val="24"/>
        </w:rPr>
        <w:t>4.2如投标人对招标文件中商务技术文件部分选择性提供资料，可能存在被评标委员会认定为有围标串标嫌疑的风险。</w:t>
      </w:r>
    </w:p>
    <w:p>
      <w:pPr>
        <w:tabs>
          <w:tab w:val="left" w:pos="8820"/>
        </w:tabs>
        <w:spacing w:line="360" w:lineRule="auto"/>
        <w:ind w:firstLine="482" w:firstLineChars="200"/>
        <w:rPr>
          <w:rFonts w:ascii="宋体" w:cs="宋体"/>
          <w:b/>
          <w:sz w:val="24"/>
        </w:rPr>
      </w:pPr>
      <w:r>
        <w:rPr>
          <w:rFonts w:hint="eastAsia" w:ascii="宋体" w:cs="宋体"/>
          <w:b/>
          <w:sz w:val="24"/>
        </w:rPr>
        <w:t>4.3评标中，评标委员会若发现投标人的投标文件明显缺乏竞争性而可能涉嫌围标串标，或发现有二份及以上投标文件相互之间有特别相同或相似之处，将重点审核投标人之间的股权关系及各投标文件之间的形式、编排、内容等问题。经询标澄清，投标人无令人信服的理由和可靠证据证明其合理性，且评标委员会半数以上成员认定有串通投标情形的，其投标文件按无效标处理，予以废除，不再对其进行评审，也不影响招标工作继续评审（不足三家除外）。</w:t>
      </w:r>
    </w:p>
    <w:p>
      <w:pPr>
        <w:tabs>
          <w:tab w:val="left" w:pos="8820"/>
        </w:tabs>
        <w:spacing w:line="360" w:lineRule="auto"/>
        <w:ind w:firstLine="480"/>
        <w:rPr>
          <w:rFonts w:ascii="宋体" w:cs="宋体"/>
          <w:sz w:val="24"/>
        </w:rPr>
      </w:pPr>
      <w:r>
        <w:rPr>
          <w:rFonts w:hint="eastAsia" w:ascii="宋体" w:cs="宋体"/>
          <w:sz w:val="24"/>
        </w:rPr>
        <w:t>4.4报价评审。报价部分评分应在报价口径一致的评标价基础上，按照招标文件约定的因素和方法进行计算。评标委员会应对投标文件的商务报价进行仔细审核。</w:t>
      </w:r>
    </w:p>
    <w:p>
      <w:pPr>
        <w:tabs>
          <w:tab w:val="left" w:pos="8820"/>
        </w:tabs>
        <w:spacing w:line="360" w:lineRule="auto"/>
        <w:ind w:firstLine="480"/>
        <w:rPr>
          <w:rFonts w:ascii="宋体" w:cs="宋体"/>
          <w:sz w:val="24"/>
          <w:lang w:bidi="ar"/>
        </w:rPr>
      </w:pPr>
      <w:r>
        <w:rPr>
          <w:rFonts w:hint="eastAsia" w:ascii="宋体" w:cs="宋体"/>
          <w:b/>
          <w:bCs/>
          <w:sz w:val="24"/>
        </w:rPr>
        <w:t>5.评标结果</w:t>
      </w:r>
    </w:p>
    <w:p>
      <w:pPr>
        <w:tabs>
          <w:tab w:val="left" w:pos="8820"/>
        </w:tabs>
        <w:spacing w:line="360" w:lineRule="auto"/>
        <w:ind w:firstLine="465"/>
        <w:rPr>
          <w:rFonts w:ascii="宋体" w:cs="宋体"/>
          <w:sz w:val="24"/>
          <w:lang w:bidi="ar"/>
        </w:rPr>
      </w:pPr>
      <w:r>
        <w:rPr>
          <w:rFonts w:hint="eastAsia" w:ascii="宋体" w:cs="宋体"/>
          <w:sz w:val="24"/>
        </w:rPr>
        <w:t>5.1有效投标人最终得分=商务技术得分+报价得分，其中商务技术得分包含资信业绩得分和技术得分。</w:t>
      </w:r>
      <w:r>
        <w:rPr>
          <w:rFonts w:hint="eastAsia" w:ascii="宋体" w:cs="宋体"/>
          <w:iCs/>
          <w:sz w:val="24"/>
        </w:rPr>
        <w:t>评分最终得分保留小数2位，小数点采用四舍五入方法。</w:t>
      </w:r>
    </w:p>
    <w:p>
      <w:pPr>
        <w:widowControl/>
        <w:spacing w:line="360" w:lineRule="auto"/>
        <w:ind w:firstLine="480" w:firstLineChars="200"/>
        <w:rPr>
          <w:rFonts w:ascii="宋体" w:cs="宋体"/>
          <w:sz w:val="24"/>
        </w:rPr>
      </w:pPr>
      <w:r>
        <w:rPr>
          <w:rFonts w:hint="eastAsia" w:ascii="宋体" w:cs="宋体"/>
          <w:sz w:val="24"/>
        </w:rPr>
        <w:t>5.2中标候选人推荐原则</w:t>
      </w:r>
    </w:p>
    <w:p>
      <w:pPr>
        <w:widowControl/>
        <w:spacing w:line="360" w:lineRule="auto"/>
        <w:ind w:firstLine="480" w:firstLineChars="200"/>
        <w:rPr>
          <w:rFonts w:ascii="宋体" w:cs="宋体"/>
          <w:sz w:val="24"/>
        </w:rPr>
      </w:pPr>
      <w:r>
        <w:rPr>
          <w:rFonts w:hint="eastAsia" w:ascii="宋体" w:cs="宋体"/>
          <w:sz w:val="24"/>
        </w:rPr>
        <w:t>本项目按照最终得分由高到低的顺序推荐中标候选人，推荐数量按照前附表约定。最终得分相同时，按投标报价由低到高顺序推荐；最终得分且投标报价相同的，按照技术得分由高到低推荐；最终得分且投标报价且技术分相同，由评标委员会表决确定推荐顺序，评标委员会成员不得弃权。</w:t>
      </w:r>
    </w:p>
    <w:p>
      <w:pPr>
        <w:tabs>
          <w:tab w:val="left" w:pos="8820"/>
        </w:tabs>
        <w:spacing w:line="360" w:lineRule="auto"/>
        <w:ind w:firstLine="480"/>
        <w:rPr>
          <w:rFonts w:ascii="宋体" w:cs="宋体"/>
          <w:sz w:val="24"/>
          <w:lang w:bidi="ar"/>
        </w:rPr>
      </w:pPr>
      <w:r>
        <w:rPr>
          <w:rFonts w:hint="eastAsia" w:ascii="宋体" w:cs="宋体"/>
          <w:b/>
          <w:bCs/>
          <w:sz w:val="24"/>
        </w:rPr>
        <w:t>6.</w:t>
      </w:r>
      <w:r>
        <w:rPr>
          <w:rFonts w:hint="eastAsia" w:ascii="宋体" w:cs="宋体"/>
          <w:b/>
          <w:sz w:val="24"/>
          <w:lang w:bidi="ar"/>
        </w:rPr>
        <w:t>评标报告编制</w:t>
      </w:r>
    </w:p>
    <w:p>
      <w:pPr>
        <w:adjustRightInd w:val="0"/>
        <w:snapToGrid w:val="0"/>
        <w:spacing w:line="360" w:lineRule="auto"/>
        <w:ind w:firstLine="480" w:firstLineChars="200"/>
        <w:rPr>
          <w:rFonts w:ascii="宋体" w:cs="宋体"/>
          <w:b/>
          <w:bCs/>
          <w:sz w:val="24"/>
          <w:lang w:bidi="ar"/>
        </w:rPr>
      </w:pPr>
      <w:r>
        <w:rPr>
          <w:rFonts w:hint="eastAsia" w:ascii="宋体" w:cs="宋体"/>
          <w:sz w:val="24"/>
          <w:lang w:bidi="ar"/>
        </w:rPr>
        <w:t>评标委员会只能做出一种评标结论，并形成评标报告。</w:t>
      </w:r>
      <w:r>
        <w:rPr>
          <w:rFonts w:hint="eastAsia" w:ascii="宋体" w:cs="宋体"/>
          <w:sz w:val="24"/>
        </w:rPr>
        <w:t>如评标委员会成员有异议的，应按少数服从多数的原则确定，并记录在评标报告中。</w:t>
      </w:r>
      <w:r>
        <w:rPr>
          <w:rFonts w:hint="eastAsia" w:ascii="宋体" w:cs="宋体"/>
          <w:sz w:val="24"/>
          <w:lang w:bidi="ar"/>
        </w:rPr>
        <w:t>评标委员会成员拒绝在评标报告上签名又不说明其不同意见和理由的，视为同意评标结果</w:t>
      </w:r>
      <w:r>
        <w:rPr>
          <w:rFonts w:hint="eastAsia" w:ascii="宋体" w:cs="宋体"/>
          <w:sz w:val="24"/>
        </w:rPr>
        <w:t>。</w:t>
      </w:r>
    </w:p>
    <w:p>
      <w:pPr>
        <w:adjustRightInd w:val="0"/>
        <w:snapToGrid w:val="0"/>
        <w:spacing w:line="360" w:lineRule="auto"/>
        <w:jc w:val="center"/>
        <w:outlineLvl w:val="1"/>
        <w:rPr>
          <w:rFonts w:ascii="宋体" w:cs="宋体"/>
          <w:b/>
          <w:bCs/>
          <w:sz w:val="32"/>
        </w:rPr>
      </w:pPr>
      <w:bookmarkStart w:id="154" w:name="_Toc32411"/>
      <w:r>
        <w:rPr>
          <w:rFonts w:hint="eastAsia" w:ascii="宋体" w:cs="宋体"/>
          <w:b/>
          <w:bCs/>
          <w:sz w:val="32"/>
          <w:lang w:bidi="ar"/>
        </w:rPr>
        <w:t>三、</w:t>
      </w:r>
      <w:r>
        <w:rPr>
          <w:rFonts w:hint="eastAsia" w:ascii="宋体" w:cs="宋体"/>
          <w:b/>
          <w:bCs/>
          <w:sz w:val="32"/>
        </w:rPr>
        <w:t>报价错误修正</w:t>
      </w:r>
      <w:bookmarkEnd w:id="154"/>
    </w:p>
    <w:p>
      <w:pPr>
        <w:spacing w:line="360" w:lineRule="auto"/>
        <w:ind w:left="143" w:leftChars="68" w:firstLine="361" w:firstLineChars="150"/>
        <w:rPr>
          <w:rFonts w:ascii="宋体" w:cs="宋体"/>
          <w:b/>
          <w:bCs/>
          <w:sz w:val="24"/>
        </w:rPr>
      </w:pPr>
      <w:r>
        <w:rPr>
          <w:rFonts w:hint="eastAsia" w:ascii="宋体" w:cs="宋体"/>
          <w:b/>
          <w:bCs/>
          <w:sz w:val="24"/>
        </w:rPr>
        <w:t>7.报价错误修正</w:t>
      </w:r>
    </w:p>
    <w:p>
      <w:pPr>
        <w:spacing w:line="360" w:lineRule="auto"/>
        <w:ind w:left="143" w:leftChars="68" w:firstLine="360" w:firstLineChars="150"/>
        <w:rPr>
          <w:rFonts w:ascii="宋体" w:cs="宋体"/>
          <w:sz w:val="24"/>
        </w:rPr>
      </w:pPr>
      <w:r>
        <w:rPr>
          <w:rFonts w:hint="eastAsia" w:ascii="宋体" w:cs="宋体"/>
          <w:sz w:val="24"/>
        </w:rPr>
        <w:t>7.1</w:t>
      </w:r>
      <w:r>
        <w:rPr>
          <w:rFonts w:hint="eastAsia" w:ascii="宋体" w:cs="宋体"/>
          <w:sz w:val="24"/>
          <w:u w:val="single"/>
        </w:rPr>
        <w:t>乐采云平台</w:t>
      </w:r>
      <w:r>
        <w:rPr>
          <w:rFonts w:hint="eastAsia" w:ascii="宋体" w:cs="宋体"/>
          <w:sz w:val="24"/>
        </w:rPr>
        <w:t>客户端里开标一览表录入的投标报价与投标文件的开标一览表不一致的，以投标文件为准。投标文件报价出现前后不一致的，除招标文件另有规定外，按照下列规定修正：</w:t>
      </w:r>
    </w:p>
    <w:p>
      <w:pPr>
        <w:spacing w:line="360" w:lineRule="auto"/>
        <w:ind w:left="143" w:leftChars="68" w:firstLine="240" w:firstLineChars="100"/>
        <w:rPr>
          <w:rFonts w:ascii="宋体" w:cs="宋体"/>
          <w:sz w:val="24"/>
        </w:rPr>
      </w:pPr>
      <w:r>
        <w:rPr>
          <w:rFonts w:hint="eastAsia" w:ascii="宋体" w:cs="宋体"/>
          <w:sz w:val="24"/>
        </w:rPr>
        <w:t>（1）投标文件中开标一览表内容与投标文件中相应内容不一致的，以开标一览表为准；</w:t>
      </w:r>
    </w:p>
    <w:p>
      <w:pPr>
        <w:spacing w:line="360" w:lineRule="auto"/>
        <w:ind w:firstLine="360" w:firstLineChars="150"/>
        <w:rPr>
          <w:rFonts w:ascii="宋体" w:cs="宋体"/>
          <w:sz w:val="24"/>
        </w:rPr>
      </w:pPr>
      <w:r>
        <w:rPr>
          <w:rFonts w:hint="eastAsia" w:ascii="宋体" w:cs="宋体"/>
          <w:sz w:val="24"/>
        </w:rPr>
        <w:t>（2）大写金额和小写金额不一致的，以大写金额为准；</w:t>
      </w:r>
    </w:p>
    <w:p>
      <w:pPr>
        <w:spacing w:line="360" w:lineRule="auto"/>
        <w:ind w:left="143" w:leftChars="68" w:firstLine="240" w:firstLineChars="100"/>
        <w:rPr>
          <w:rFonts w:ascii="宋体" w:cs="宋体"/>
          <w:sz w:val="24"/>
        </w:rPr>
      </w:pPr>
      <w:r>
        <w:rPr>
          <w:rFonts w:hint="eastAsia" w:ascii="宋体" w:cs="宋体"/>
          <w:sz w:val="24"/>
        </w:rPr>
        <w:t>（3）单价金额小数点或者百分比有明显错位的，以开标一览表的总价为准，并修改单价；</w:t>
      </w:r>
    </w:p>
    <w:p>
      <w:pPr>
        <w:spacing w:line="360" w:lineRule="auto"/>
        <w:ind w:firstLine="360" w:firstLineChars="150"/>
        <w:rPr>
          <w:rFonts w:ascii="宋体" w:cs="宋体"/>
          <w:sz w:val="24"/>
        </w:rPr>
      </w:pPr>
      <w:r>
        <w:rPr>
          <w:rFonts w:hint="eastAsia" w:ascii="宋体" w:cs="宋体"/>
          <w:sz w:val="24"/>
        </w:rPr>
        <w:t>（4）总价金额与按单价汇总金额不一致的，以单价金额计算结果为准。</w:t>
      </w:r>
    </w:p>
    <w:p>
      <w:pPr>
        <w:spacing w:line="360" w:lineRule="auto"/>
        <w:ind w:left="142" w:firstLine="480" w:firstLineChars="200"/>
        <w:rPr>
          <w:rFonts w:ascii="宋体" w:cs="宋体"/>
          <w:sz w:val="24"/>
        </w:rPr>
      </w:pPr>
      <w:r>
        <w:rPr>
          <w:rFonts w:hint="eastAsia" w:ascii="宋体" w:cs="宋体"/>
          <w:sz w:val="24"/>
        </w:rPr>
        <w:t>7.2同时出现两种以上不一致的，按照前款规定的顺序修正。修正后的报价按照投标人须知“投标文件的澄清”规定执行，经投标人确认后产生约束力，投标人不确认的，其投标无效。</w:t>
      </w:r>
    </w:p>
    <w:p>
      <w:pPr>
        <w:spacing w:line="360" w:lineRule="auto"/>
        <w:ind w:left="142" w:firstLine="482" w:firstLineChars="200"/>
        <w:rPr>
          <w:rFonts w:ascii="宋体" w:cs="宋体"/>
          <w:b/>
          <w:sz w:val="24"/>
        </w:rPr>
      </w:pPr>
      <w:r>
        <w:rPr>
          <w:rFonts w:hint="eastAsia" w:ascii="宋体" w:cs="宋体"/>
          <w:b/>
          <w:bCs/>
          <w:sz w:val="24"/>
        </w:rPr>
        <w:t>8.</w:t>
      </w:r>
      <w:r>
        <w:rPr>
          <w:rFonts w:hint="eastAsia" w:ascii="宋体" w:cs="宋体"/>
          <w:b/>
          <w:sz w:val="24"/>
        </w:rPr>
        <w:t>漏（缺）报项、多（重）报项的处理</w:t>
      </w:r>
    </w:p>
    <w:p>
      <w:pPr>
        <w:spacing w:line="360" w:lineRule="auto"/>
        <w:ind w:left="142" w:firstLine="480" w:firstLineChars="200"/>
        <w:rPr>
          <w:rFonts w:ascii="宋体" w:cs="宋体"/>
          <w:sz w:val="24"/>
        </w:rPr>
      </w:pPr>
      <w:r>
        <w:rPr>
          <w:rFonts w:hint="eastAsia" w:ascii="宋体" w:cs="宋体"/>
          <w:sz w:val="24"/>
        </w:rPr>
        <w:t>8.1投标人如有漏（缺）报项的，应视同已含在投标总价中，在评审过程中不予调整。如其中标，其合同价为投标总价。如有重大漏（缺）报项的，评标委员会按照少数服从多数的原则（不得弃权）集体认定，并有权否决其投标。</w:t>
      </w:r>
    </w:p>
    <w:p>
      <w:pPr>
        <w:spacing w:line="360" w:lineRule="auto"/>
        <w:ind w:left="142" w:firstLine="480" w:firstLineChars="200"/>
        <w:rPr>
          <w:rFonts w:ascii="宋体" w:cs="宋体"/>
          <w:sz w:val="24"/>
        </w:rPr>
      </w:pPr>
      <w:r>
        <w:rPr>
          <w:rFonts w:hint="eastAsia" w:ascii="宋体" w:cs="宋体"/>
          <w:sz w:val="24"/>
        </w:rPr>
        <w:t>8.2投标人如有多（重）报项的，其投标总价在评审过程中不予调整。如其中标，其合同价予以调整。</w:t>
      </w:r>
    </w:p>
    <w:p>
      <w:pPr>
        <w:pStyle w:val="2"/>
        <w:rPr>
          <w:sz w:val="32"/>
          <w:szCs w:val="32"/>
        </w:rPr>
      </w:pPr>
      <w:bookmarkStart w:id="155" w:name="_Toc10274"/>
      <w:r>
        <w:rPr>
          <w:rFonts w:hint="eastAsia"/>
          <w:sz w:val="32"/>
          <w:szCs w:val="32"/>
        </w:rPr>
        <w:t>四、评分细则</w:t>
      </w:r>
      <w:bookmarkEnd w:id="155"/>
    </w:p>
    <w:p>
      <w:pPr>
        <w:tabs>
          <w:tab w:val="left" w:pos="8820"/>
        </w:tabs>
        <w:spacing w:line="360" w:lineRule="auto"/>
        <w:ind w:firstLine="480" w:firstLineChars="200"/>
        <w:rPr>
          <w:rFonts w:ascii="宋体" w:cs="宋体"/>
          <w:sz w:val="24"/>
        </w:rPr>
      </w:pPr>
      <w:r>
        <w:rPr>
          <w:rFonts w:hint="eastAsia" w:ascii="宋体" w:cs="宋体"/>
          <w:sz w:val="24"/>
        </w:rPr>
        <w:t>9.总分为100分：其中资信业绩部分</w:t>
      </w:r>
      <w:r>
        <w:rPr>
          <w:rFonts w:hint="eastAsia" w:ascii="宋体" w:cs="宋体"/>
          <w:sz w:val="24"/>
          <w:u w:val="single"/>
          <w:lang w:val="en-US" w:eastAsia="zh-CN"/>
        </w:rPr>
        <w:t>5</w:t>
      </w:r>
      <w:r>
        <w:rPr>
          <w:rFonts w:hint="eastAsia" w:ascii="宋体" w:cs="宋体"/>
          <w:sz w:val="24"/>
        </w:rPr>
        <w:t>分，技术部分</w:t>
      </w:r>
      <w:r>
        <w:rPr>
          <w:rFonts w:hint="eastAsia" w:ascii="宋体" w:cs="宋体"/>
          <w:sz w:val="24"/>
          <w:u w:val="single"/>
        </w:rPr>
        <w:t>5</w:t>
      </w:r>
      <w:r>
        <w:rPr>
          <w:rFonts w:hint="eastAsia" w:ascii="宋体" w:cs="宋体"/>
          <w:sz w:val="24"/>
          <w:u w:val="single"/>
          <w:lang w:val="en-US" w:eastAsia="zh-CN"/>
        </w:rPr>
        <w:t>5</w:t>
      </w:r>
      <w:r>
        <w:rPr>
          <w:rFonts w:hint="eastAsia" w:ascii="宋体" w:cs="宋体"/>
          <w:sz w:val="24"/>
        </w:rPr>
        <w:t>分，报价部分</w:t>
      </w:r>
      <w:r>
        <w:rPr>
          <w:rFonts w:hint="eastAsia" w:ascii="宋体" w:cs="宋体"/>
          <w:sz w:val="24"/>
          <w:u w:val="single"/>
        </w:rPr>
        <w:t>40</w:t>
      </w:r>
      <w:r>
        <w:rPr>
          <w:rFonts w:hint="eastAsia" w:ascii="宋体" w:cs="宋体"/>
          <w:sz w:val="24"/>
        </w:rPr>
        <w:t>分。</w:t>
      </w:r>
    </w:p>
    <w:p>
      <w:pPr>
        <w:pStyle w:val="3"/>
      </w:pPr>
      <w:r>
        <w:rPr>
          <w:rFonts w:hint="eastAsia"/>
        </w:rPr>
        <w:t>9.1 资信业绩部分（0-</w:t>
      </w:r>
      <w:r>
        <w:rPr>
          <w:rFonts w:hint="eastAsia"/>
          <w:u w:val="single"/>
          <w:lang w:val="en-US" w:eastAsia="zh-CN"/>
        </w:rPr>
        <w:t>5</w:t>
      </w:r>
      <w:r>
        <w:rPr>
          <w:rFonts w:hint="eastAsia"/>
        </w:rPr>
        <w:t>分）</w:t>
      </w:r>
    </w:p>
    <w:tbl>
      <w:tblPr>
        <w:tblStyle w:val="24"/>
        <w:tblW w:w="962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828"/>
        <w:gridCol w:w="850"/>
        <w:gridCol w:w="6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pPr>
              <w:widowControl/>
              <w:spacing w:line="360" w:lineRule="exact"/>
              <w:jc w:val="center"/>
              <w:textAlignment w:val="center"/>
              <w:rPr>
                <w:rFonts w:cs="宋体"/>
                <w:b/>
                <w:szCs w:val="21"/>
              </w:rPr>
            </w:pPr>
            <w:r>
              <w:rPr>
                <w:rFonts w:hint="eastAsia" w:cs="宋体"/>
                <w:b/>
                <w:kern w:val="0"/>
                <w:szCs w:val="21"/>
              </w:rPr>
              <w:t>序号</w:t>
            </w:r>
          </w:p>
        </w:tc>
        <w:tc>
          <w:tcPr>
            <w:tcW w:w="1828" w:type="dxa"/>
            <w:vAlign w:val="center"/>
          </w:tcPr>
          <w:p>
            <w:pPr>
              <w:widowControl/>
              <w:spacing w:line="360" w:lineRule="exact"/>
              <w:jc w:val="center"/>
              <w:textAlignment w:val="center"/>
              <w:rPr>
                <w:rFonts w:cs="宋体"/>
                <w:b/>
                <w:szCs w:val="21"/>
              </w:rPr>
            </w:pPr>
            <w:r>
              <w:rPr>
                <w:rFonts w:hint="eastAsia" w:cs="宋体"/>
                <w:b/>
                <w:kern w:val="0"/>
                <w:szCs w:val="21"/>
              </w:rPr>
              <w:t>评分内容</w:t>
            </w:r>
          </w:p>
        </w:tc>
        <w:tc>
          <w:tcPr>
            <w:tcW w:w="850" w:type="dxa"/>
            <w:vAlign w:val="center"/>
          </w:tcPr>
          <w:p>
            <w:pPr>
              <w:widowControl/>
              <w:spacing w:line="360" w:lineRule="exact"/>
              <w:jc w:val="center"/>
              <w:textAlignment w:val="center"/>
              <w:rPr>
                <w:rFonts w:cs="宋体"/>
                <w:b/>
                <w:kern w:val="0"/>
                <w:szCs w:val="21"/>
              </w:rPr>
            </w:pPr>
            <w:r>
              <w:rPr>
                <w:rFonts w:hint="eastAsia" w:cs="宋体"/>
                <w:b/>
                <w:kern w:val="0"/>
                <w:szCs w:val="21"/>
              </w:rPr>
              <w:t>分值</w:t>
            </w:r>
          </w:p>
        </w:tc>
        <w:tc>
          <w:tcPr>
            <w:tcW w:w="6237" w:type="dxa"/>
            <w:vAlign w:val="center"/>
          </w:tcPr>
          <w:p>
            <w:pPr>
              <w:widowControl/>
              <w:spacing w:line="360" w:lineRule="exact"/>
              <w:jc w:val="center"/>
              <w:textAlignment w:val="center"/>
              <w:rPr>
                <w:rFonts w:cs="宋体"/>
                <w:b/>
                <w:kern w:val="0"/>
                <w:szCs w:val="21"/>
              </w:rPr>
            </w:pPr>
            <w:r>
              <w:rPr>
                <w:rFonts w:hint="eastAsia" w:cs="宋体"/>
                <w:b/>
                <w:kern w:val="0"/>
                <w:szCs w:val="21"/>
              </w:rPr>
              <w:t>评分细则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widowControl/>
              <w:spacing w:line="360" w:lineRule="exact"/>
              <w:jc w:val="center"/>
              <w:textAlignment w:val="center"/>
              <w:rPr>
                <w:rFonts w:cs="宋体"/>
                <w:szCs w:val="21"/>
              </w:rPr>
            </w:pPr>
            <w:r>
              <w:rPr>
                <w:rFonts w:hint="eastAsia" w:cs="宋体"/>
                <w:szCs w:val="21"/>
              </w:rPr>
              <w:t>1</w:t>
            </w:r>
          </w:p>
        </w:tc>
        <w:tc>
          <w:tcPr>
            <w:tcW w:w="1828" w:type="dxa"/>
            <w:vAlign w:val="center"/>
          </w:tcPr>
          <w:p>
            <w:pPr>
              <w:widowControl/>
              <w:spacing w:line="360" w:lineRule="exact"/>
              <w:jc w:val="center"/>
              <w:textAlignment w:val="center"/>
            </w:pPr>
            <w:r>
              <w:rPr>
                <w:rFonts w:hint="eastAsia"/>
              </w:rPr>
              <w:t>企业认证</w:t>
            </w:r>
          </w:p>
          <w:p>
            <w:pPr>
              <w:widowControl/>
              <w:spacing w:line="360" w:lineRule="exact"/>
              <w:jc w:val="center"/>
              <w:textAlignment w:val="center"/>
              <w:rPr>
                <w:rFonts w:cs="宋体"/>
                <w:szCs w:val="21"/>
              </w:rPr>
            </w:pPr>
            <w:r>
              <w:rPr>
                <w:rFonts w:hint="eastAsia"/>
              </w:rPr>
              <w:t>（客观分）</w:t>
            </w:r>
          </w:p>
        </w:tc>
        <w:tc>
          <w:tcPr>
            <w:tcW w:w="850" w:type="dxa"/>
            <w:vAlign w:val="center"/>
          </w:tcPr>
          <w:p>
            <w:pPr>
              <w:widowControl/>
              <w:spacing w:line="360" w:lineRule="exact"/>
              <w:jc w:val="center"/>
              <w:textAlignment w:val="center"/>
              <w:rPr>
                <w:rFonts w:cs="宋体"/>
                <w:szCs w:val="21"/>
              </w:rPr>
            </w:pPr>
            <w:r>
              <w:rPr>
                <w:rFonts w:hint="eastAsia" w:cs="宋体"/>
                <w:szCs w:val="21"/>
              </w:rPr>
              <w:t>3</w:t>
            </w:r>
          </w:p>
        </w:tc>
        <w:tc>
          <w:tcPr>
            <w:tcW w:w="6237" w:type="dxa"/>
          </w:tcPr>
          <w:p>
            <w:pPr>
              <w:spacing w:line="360" w:lineRule="exact"/>
            </w:pPr>
            <w:r>
              <w:rPr>
                <w:rFonts w:hint="eastAsia"/>
              </w:rPr>
              <w:t>投标人具有质量管理体系认证、环境管理体系认证、职业健康安全管理体系认证、信息安全管理体系认证、信息技术服务管理体系认证、商品售后服务评价体系认证的，每项得0.5分，本项最高得3分。（有效期内的证书复印件及</w:t>
            </w:r>
            <w:r>
              <w:rPr>
                <w:rFonts w:hint="eastAsia" w:cs="宋体"/>
                <w:szCs w:val="21"/>
              </w:rPr>
              <w:t>国家认证认可监督管理委员会官网（https：//www.cnca.gov.cn/）查询截图</w:t>
            </w:r>
            <w:r>
              <w:rPr>
                <w:rFonts w:hint="eastAsia"/>
              </w:rPr>
              <w:t>编入投标文件；评标现场在国家认证认可监督管理委员会官网（https：//www.cnca.gov.cn/）查询结果为非“有效”状态的，不予计分）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widowControl/>
              <w:spacing w:line="360" w:lineRule="exact"/>
              <w:jc w:val="center"/>
              <w:textAlignment w:val="center"/>
              <w:rPr>
                <w:rFonts w:cs="宋体"/>
                <w:szCs w:val="21"/>
              </w:rPr>
            </w:pPr>
            <w:r>
              <w:rPr>
                <w:rFonts w:hint="eastAsia" w:cs="宋体"/>
                <w:szCs w:val="21"/>
              </w:rPr>
              <w:t>2</w:t>
            </w:r>
          </w:p>
        </w:tc>
        <w:tc>
          <w:tcPr>
            <w:tcW w:w="1828" w:type="dxa"/>
            <w:vAlign w:val="center"/>
          </w:tcPr>
          <w:p>
            <w:pPr>
              <w:widowControl/>
              <w:spacing w:line="360" w:lineRule="exact"/>
              <w:jc w:val="center"/>
              <w:textAlignment w:val="center"/>
            </w:pPr>
            <w:r>
              <w:rPr>
                <w:rFonts w:hint="eastAsia"/>
              </w:rPr>
              <w:t>综合实力</w:t>
            </w:r>
          </w:p>
          <w:p>
            <w:pPr>
              <w:widowControl/>
              <w:spacing w:line="360" w:lineRule="exact"/>
              <w:jc w:val="center"/>
              <w:textAlignment w:val="center"/>
            </w:pPr>
            <w:r>
              <w:rPr>
                <w:rFonts w:hint="eastAsia"/>
              </w:rPr>
              <w:t>（客观分）</w:t>
            </w:r>
          </w:p>
        </w:tc>
        <w:tc>
          <w:tcPr>
            <w:tcW w:w="850" w:type="dxa"/>
            <w:vAlign w:val="center"/>
          </w:tcPr>
          <w:p>
            <w:pPr>
              <w:widowControl/>
              <w:spacing w:line="360" w:lineRule="exact"/>
              <w:jc w:val="center"/>
              <w:textAlignment w:val="center"/>
              <w:rPr>
                <w:rFonts w:cs="宋体"/>
                <w:szCs w:val="21"/>
              </w:rPr>
            </w:pPr>
            <w:r>
              <w:rPr>
                <w:rFonts w:hint="eastAsia" w:cs="宋体"/>
                <w:szCs w:val="21"/>
              </w:rPr>
              <w:t>2</w:t>
            </w:r>
          </w:p>
        </w:tc>
        <w:tc>
          <w:tcPr>
            <w:tcW w:w="6237" w:type="dxa"/>
          </w:tcPr>
          <w:p>
            <w:pPr>
              <w:spacing w:line="360" w:lineRule="exact"/>
            </w:pPr>
            <w:r>
              <w:rPr>
                <w:rFonts w:hint="eastAsia"/>
              </w:rPr>
              <w:t>投标人具有CMMI软件能力成熟度等级证书三级及以上的得2分，否则不得分。（有效期内的证书复印件编入投标文件）</w:t>
            </w:r>
          </w:p>
        </w:tc>
      </w:tr>
    </w:tbl>
    <w:p>
      <w:pPr>
        <w:pStyle w:val="34"/>
        <w:spacing w:before="120" w:beforeLines="50" w:line="360" w:lineRule="auto"/>
        <w:ind w:firstLine="480"/>
        <w:rPr>
          <w:rFonts w:ascii="宋体" w:cs="宋体"/>
          <w:sz w:val="24"/>
          <w:szCs w:val="24"/>
        </w:rPr>
      </w:pPr>
      <w:r>
        <w:rPr>
          <w:rFonts w:hint="eastAsia" w:ascii="宋体" w:cs="宋体"/>
          <w:sz w:val="24"/>
          <w:szCs w:val="24"/>
        </w:rPr>
        <w:t>注：1、以上证明材料按评分细则要求提供，未按要求提供的不得分。</w:t>
      </w:r>
    </w:p>
    <w:p>
      <w:pPr>
        <w:pStyle w:val="34"/>
        <w:spacing w:line="360" w:lineRule="auto"/>
        <w:ind w:firstLine="991" w:firstLineChars="413"/>
        <w:rPr>
          <w:rFonts w:ascii="宋体" w:cs="宋体"/>
          <w:sz w:val="24"/>
          <w:szCs w:val="24"/>
        </w:rPr>
      </w:pPr>
      <w:r>
        <w:rPr>
          <w:rFonts w:hint="eastAsia" w:ascii="宋体" w:cs="宋体"/>
          <w:sz w:val="24"/>
          <w:szCs w:val="24"/>
        </w:rPr>
        <w:t>2、评标委员会有权对以上证明材料进行认定，如评标委员会认为以上证明材料有涉嫌提供虚假材料或不足以证明达到评分细则要求的，有权作进一步认证或认定；投标人应无条件配合，否则将有可能作出最不利于投标人的认定。</w:t>
      </w:r>
    </w:p>
    <w:p>
      <w:pPr>
        <w:pStyle w:val="3"/>
        <w:rPr>
          <w:highlight w:val="yellow"/>
        </w:rPr>
      </w:pPr>
      <w:r>
        <w:rPr>
          <w:rFonts w:hint="eastAsia"/>
        </w:rPr>
        <w:t>9.2 技术部分（0-</w:t>
      </w:r>
      <w:r>
        <w:rPr>
          <w:rFonts w:hint="eastAsia"/>
          <w:u w:val="single"/>
        </w:rPr>
        <w:t>5</w:t>
      </w:r>
      <w:r>
        <w:rPr>
          <w:rFonts w:hint="eastAsia"/>
          <w:u w:val="single"/>
          <w:lang w:val="en-US" w:eastAsia="zh-CN"/>
        </w:rPr>
        <w:t>5</w:t>
      </w:r>
      <w:r>
        <w:rPr>
          <w:rFonts w:hint="eastAsia"/>
        </w:rPr>
        <w:t>分）</w:t>
      </w:r>
    </w:p>
    <w:tbl>
      <w:tblPr>
        <w:tblStyle w:val="24"/>
        <w:tblW w:w="96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1896"/>
        <w:gridCol w:w="840"/>
        <w:gridCol w:w="62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86" w:type="dxa"/>
            <w:vAlign w:val="center"/>
          </w:tcPr>
          <w:p>
            <w:pPr>
              <w:widowControl/>
              <w:spacing w:line="360" w:lineRule="exact"/>
              <w:jc w:val="center"/>
              <w:rPr>
                <w:rFonts w:cs="宋体"/>
                <w:b/>
                <w:kern w:val="0"/>
                <w:szCs w:val="21"/>
              </w:rPr>
            </w:pPr>
            <w:r>
              <w:rPr>
                <w:rFonts w:hint="eastAsia" w:cs="宋体"/>
                <w:b/>
                <w:kern w:val="0"/>
                <w:szCs w:val="21"/>
              </w:rPr>
              <w:t>序号</w:t>
            </w:r>
          </w:p>
        </w:tc>
        <w:tc>
          <w:tcPr>
            <w:tcW w:w="1896" w:type="dxa"/>
            <w:vAlign w:val="center"/>
          </w:tcPr>
          <w:p>
            <w:pPr>
              <w:widowControl/>
              <w:spacing w:line="360" w:lineRule="exact"/>
              <w:jc w:val="center"/>
              <w:rPr>
                <w:rFonts w:cs="宋体"/>
                <w:b/>
                <w:kern w:val="0"/>
                <w:szCs w:val="21"/>
              </w:rPr>
            </w:pPr>
            <w:r>
              <w:rPr>
                <w:rFonts w:hint="eastAsia" w:cs="宋体"/>
                <w:b/>
                <w:kern w:val="0"/>
                <w:szCs w:val="21"/>
              </w:rPr>
              <w:t>评分内容</w:t>
            </w:r>
          </w:p>
        </w:tc>
        <w:tc>
          <w:tcPr>
            <w:tcW w:w="840" w:type="dxa"/>
            <w:vAlign w:val="center"/>
          </w:tcPr>
          <w:p>
            <w:pPr>
              <w:widowControl/>
              <w:spacing w:line="360" w:lineRule="exact"/>
              <w:jc w:val="center"/>
              <w:rPr>
                <w:rFonts w:cs="宋体"/>
                <w:b/>
                <w:kern w:val="0"/>
                <w:szCs w:val="21"/>
              </w:rPr>
            </w:pPr>
            <w:r>
              <w:rPr>
                <w:rFonts w:hint="eastAsia" w:cs="宋体"/>
                <w:b/>
                <w:kern w:val="0"/>
                <w:szCs w:val="21"/>
              </w:rPr>
              <w:t>分值</w:t>
            </w:r>
          </w:p>
        </w:tc>
        <w:tc>
          <w:tcPr>
            <w:tcW w:w="6202" w:type="dxa"/>
            <w:vAlign w:val="center"/>
          </w:tcPr>
          <w:p>
            <w:pPr>
              <w:widowControl/>
              <w:spacing w:line="360" w:lineRule="exact"/>
              <w:jc w:val="center"/>
              <w:rPr>
                <w:rFonts w:cs="宋体"/>
                <w:b/>
                <w:kern w:val="0"/>
                <w:szCs w:val="21"/>
              </w:rPr>
            </w:pPr>
            <w:r>
              <w:rPr>
                <w:rFonts w:hint="eastAsia" w:cs="宋体"/>
                <w:b/>
                <w:kern w:val="0"/>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tcBorders>
              <w:bottom w:val="single" w:color="auto" w:sz="4" w:space="0"/>
            </w:tcBorders>
            <w:vAlign w:val="center"/>
          </w:tcPr>
          <w:p>
            <w:pPr>
              <w:widowControl/>
              <w:spacing w:line="360" w:lineRule="exact"/>
              <w:jc w:val="center"/>
              <w:rPr>
                <w:rFonts w:cs="宋体"/>
                <w:kern w:val="0"/>
                <w:szCs w:val="21"/>
              </w:rPr>
            </w:pPr>
            <w:r>
              <w:rPr>
                <w:rFonts w:hint="eastAsia" w:cs="宋体"/>
                <w:kern w:val="0"/>
                <w:szCs w:val="21"/>
              </w:rPr>
              <w:t>1</w:t>
            </w:r>
          </w:p>
        </w:tc>
        <w:tc>
          <w:tcPr>
            <w:tcW w:w="1896" w:type="dxa"/>
            <w:tcBorders>
              <w:bottom w:val="single" w:color="auto" w:sz="4" w:space="0"/>
            </w:tcBorders>
            <w:vAlign w:val="center"/>
          </w:tcPr>
          <w:p>
            <w:pPr>
              <w:widowControl/>
              <w:spacing w:line="360" w:lineRule="exact"/>
              <w:jc w:val="center"/>
              <w:rPr>
                <w:rFonts w:cs="宋体"/>
                <w:bCs/>
                <w:kern w:val="0"/>
                <w:szCs w:val="21"/>
              </w:rPr>
            </w:pPr>
            <w:r>
              <w:rPr>
                <w:rFonts w:hint="eastAsia" w:cs="宋体"/>
                <w:bCs/>
                <w:kern w:val="0"/>
                <w:szCs w:val="21"/>
              </w:rPr>
              <w:t>技术指标响应</w:t>
            </w:r>
          </w:p>
          <w:p>
            <w:pPr>
              <w:widowControl/>
              <w:spacing w:line="360" w:lineRule="exact"/>
              <w:jc w:val="center"/>
              <w:rPr>
                <w:rFonts w:cs="宋体"/>
                <w:bCs/>
                <w:kern w:val="0"/>
                <w:szCs w:val="21"/>
              </w:rPr>
            </w:pPr>
            <w:r>
              <w:rPr>
                <w:rFonts w:hint="eastAsia" w:cs="宋体"/>
                <w:bCs/>
                <w:kern w:val="0"/>
                <w:szCs w:val="21"/>
              </w:rPr>
              <w:t>（客观分）</w:t>
            </w:r>
          </w:p>
        </w:tc>
        <w:tc>
          <w:tcPr>
            <w:tcW w:w="840" w:type="dxa"/>
            <w:vAlign w:val="center"/>
          </w:tcPr>
          <w:p>
            <w:pPr>
              <w:widowControl/>
              <w:spacing w:line="360" w:lineRule="exact"/>
              <w:jc w:val="center"/>
              <w:rPr>
                <w:rFonts w:cs="宋体"/>
                <w:kern w:val="0"/>
                <w:szCs w:val="21"/>
              </w:rPr>
            </w:pPr>
            <w:r>
              <w:rPr>
                <w:rFonts w:hint="eastAsia" w:cs="宋体"/>
                <w:kern w:val="0"/>
                <w:szCs w:val="21"/>
                <w:lang w:val="en-US" w:eastAsia="zh-CN"/>
              </w:rPr>
              <w:t>2</w:t>
            </w:r>
            <w:r>
              <w:rPr>
                <w:rFonts w:hint="eastAsia" w:cs="宋体"/>
                <w:kern w:val="0"/>
                <w:szCs w:val="21"/>
              </w:rPr>
              <w:t>0</w:t>
            </w:r>
          </w:p>
        </w:tc>
        <w:tc>
          <w:tcPr>
            <w:tcW w:w="6202" w:type="dxa"/>
            <w:vAlign w:val="center"/>
          </w:tcPr>
          <w:p>
            <w:pPr>
              <w:keepNext/>
              <w:keepLines/>
              <w:tabs>
                <w:tab w:val="left" w:pos="8820"/>
              </w:tabs>
              <w:spacing w:line="360" w:lineRule="exact"/>
              <w:rPr>
                <w:rFonts w:cs="宋体"/>
                <w:bCs/>
                <w:kern w:val="0"/>
                <w:szCs w:val="21"/>
              </w:rPr>
            </w:pPr>
            <w:r>
              <w:rPr>
                <w:rFonts w:hint="eastAsia" w:cs="宋体"/>
                <w:bCs/>
                <w:kern w:val="0"/>
                <w:szCs w:val="21"/>
              </w:rPr>
              <w:t>根据投标人对</w:t>
            </w:r>
            <w:r>
              <w:rPr>
                <w:rFonts w:hint="eastAsia" w:cs="宋体"/>
                <w:bCs/>
                <w:kern w:val="0"/>
                <w:szCs w:val="21"/>
                <w:lang w:eastAsia="zh-CN"/>
              </w:rPr>
              <w:t>《</w:t>
            </w:r>
            <w:r>
              <w:rPr>
                <w:rFonts w:cs="宋体"/>
                <w:bCs/>
                <w:kern w:val="0"/>
                <w:szCs w:val="21"/>
              </w:rPr>
              <w:t>技术指标响应情况表</w:t>
            </w:r>
            <w:r>
              <w:rPr>
                <w:rFonts w:hint="eastAsia" w:cs="宋体"/>
                <w:bCs/>
                <w:kern w:val="0"/>
                <w:szCs w:val="21"/>
                <w:lang w:eastAsia="zh-CN"/>
              </w:rPr>
              <w:t>》</w:t>
            </w:r>
            <w:r>
              <w:rPr>
                <w:rFonts w:hint="eastAsia" w:cs="宋体"/>
                <w:bCs/>
                <w:kern w:val="0"/>
                <w:szCs w:val="21"/>
              </w:rPr>
              <w:t>的响应情况进行评议，完全响应的得</w:t>
            </w:r>
            <w:r>
              <w:rPr>
                <w:rFonts w:hint="eastAsia" w:cs="宋体"/>
                <w:bCs/>
                <w:kern w:val="0"/>
                <w:szCs w:val="21"/>
                <w:lang w:val="en-US" w:eastAsia="zh-CN"/>
              </w:rPr>
              <w:t>20</w:t>
            </w:r>
            <w:r>
              <w:rPr>
                <w:rFonts w:hint="eastAsia" w:cs="宋体"/>
                <w:bCs/>
                <w:kern w:val="0"/>
                <w:szCs w:val="21"/>
              </w:rPr>
              <w:t>分。</w:t>
            </w:r>
          </w:p>
          <w:p>
            <w:pPr>
              <w:keepNext/>
              <w:keepLines/>
              <w:tabs>
                <w:tab w:val="left" w:pos="8820"/>
              </w:tabs>
              <w:spacing w:line="360" w:lineRule="exact"/>
              <w:rPr>
                <w:rFonts w:cs="宋体"/>
                <w:bCs/>
                <w:kern w:val="0"/>
                <w:szCs w:val="21"/>
              </w:rPr>
            </w:pPr>
            <w:r>
              <w:rPr>
                <w:rFonts w:hint="eastAsia" w:cs="宋体"/>
                <w:bCs/>
                <w:kern w:val="0"/>
                <w:szCs w:val="21"/>
              </w:rPr>
              <w:t>若存在负偏离的：</w:t>
            </w:r>
          </w:p>
          <w:p>
            <w:pPr>
              <w:keepNext/>
              <w:keepLines/>
              <w:tabs>
                <w:tab w:val="left" w:pos="8820"/>
              </w:tabs>
              <w:spacing w:line="360" w:lineRule="exact"/>
              <w:rPr>
                <w:rFonts w:cs="宋体"/>
                <w:bCs/>
                <w:kern w:val="0"/>
                <w:szCs w:val="21"/>
              </w:rPr>
            </w:pPr>
            <w:r>
              <w:rPr>
                <w:rFonts w:hint="eastAsia" w:cs="宋体"/>
                <w:bCs/>
                <w:kern w:val="0"/>
                <w:szCs w:val="21"/>
              </w:rPr>
              <w:t>①对于“▲”条款的负偏离，作无效标处理；</w:t>
            </w:r>
          </w:p>
          <w:p>
            <w:pPr>
              <w:keepNext/>
              <w:keepLines/>
              <w:tabs>
                <w:tab w:val="left" w:pos="8820"/>
              </w:tabs>
              <w:spacing w:line="360" w:lineRule="exact"/>
              <w:rPr>
                <w:rFonts w:cs="宋体"/>
                <w:bCs/>
                <w:kern w:val="0"/>
                <w:szCs w:val="21"/>
              </w:rPr>
            </w:pPr>
            <w:r>
              <w:rPr>
                <w:rFonts w:hint="eastAsia" w:cs="宋体"/>
                <w:bCs/>
                <w:kern w:val="0"/>
                <w:szCs w:val="21"/>
              </w:rPr>
              <w:t>②对于非“▲”条款的负偏离，每负偏离一条扣1分；</w:t>
            </w:r>
          </w:p>
          <w:p>
            <w:pPr>
              <w:keepNext/>
              <w:keepLines/>
              <w:tabs>
                <w:tab w:val="left" w:pos="8820"/>
              </w:tabs>
              <w:spacing w:line="360" w:lineRule="exact"/>
              <w:rPr>
                <w:rFonts w:cs="宋体"/>
                <w:b/>
                <w:kern w:val="0"/>
                <w:szCs w:val="21"/>
              </w:rPr>
            </w:pPr>
            <w:r>
              <w:rPr>
                <w:rFonts w:hint="eastAsia" w:cs="宋体"/>
                <w:bCs/>
                <w:kern w:val="0"/>
                <w:szCs w:val="21"/>
              </w:rPr>
              <w:t>当扣减至0分（或以下）时，作无效标处理。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Merge w:val="restart"/>
            <w:tcBorders>
              <w:top w:val="single" w:color="auto" w:sz="4" w:space="0"/>
            </w:tcBorders>
            <w:vAlign w:val="center"/>
          </w:tcPr>
          <w:p>
            <w:pPr>
              <w:widowControl/>
              <w:spacing w:line="360" w:lineRule="exact"/>
              <w:jc w:val="center"/>
              <w:rPr>
                <w:rFonts w:cs="宋体"/>
                <w:kern w:val="0"/>
                <w:szCs w:val="21"/>
              </w:rPr>
            </w:pPr>
            <w:r>
              <w:rPr>
                <w:rFonts w:hint="eastAsia" w:cs="宋体"/>
                <w:kern w:val="0"/>
                <w:szCs w:val="21"/>
              </w:rPr>
              <w:t>2</w:t>
            </w:r>
          </w:p>
        </w:tc>
        <w:tc>
          <w:tcPr>
            <w:tcW w:w="1896" w:type="dxa"/>
            <w:vMerge w:val="restart"/>
            <w:tcBorders>
              <w:top w:val="single" w:color="auto" w:sz="4" w:space="0"/>
            </w:tcBorders>
            <w:vAlign w:val="center"/>
          </w:tcPr>
          <w:p>
            <w:pPr>
              <w:widowControl/>
              <w:spacing w:line="360" w:lineRule="exact"/>
              <w:jc w:val="center"/>
            </w:pPr>
            <w:r>
              <w:rPr>
                <w:rFonts w:hint="eastAsia"/>
              </w:rPr>
              <w:t>改造技术方案</w:t>
            </w:r>
          </w:p>
          <w:p>
            <w:pPr>
              <w:widowControl/>
              <w:spacing w:line="360" w:lineRule="exact"/>
              <w:jc w:val="center"/>
            </w:pPr>
            <w:r>
              <w:rPr>
                <w:rFonts w:hint="eastAsia"/>
              </w:rPr>
              <w:t>（主观分）</w:t>
            </w:r>
          </w:p>
        </w:tc>
        <w:tc>
          <w:tcPr>
            <w:tcW w:w="840" w:type="dxa"/>
            <w:vAlign w:val="center"/>
          </w:tcPr>
          <w:p>
            <w:pPr>
              <w:widowControl/>
              <w:spacing w:line="360" w:lineRule="exact"/>
              <w:jc w:val="center"/>
              <w:rPr>
                <w:rFonts w:hint="eastAsia" w:eastAsia="宋体" w:cs="宋体"/>
                <w:kern w:val="0"/>
                <w:szCs w:val="21"/>
                <w:lang w:eastAsia="zh-CN"/>
              </w:rPr>
            </w:pPr>
            <w:r>
              <w:rPr>
                <w:rFonts w:hint="eastAsia" w:cs="宋体"/>
                <w:kern w:val="0"/>
                <w:szCs w:val="21"/>
                <w:lang w:val="en-US" w:eastAsia="zh-CN"/>
              </w:rPr>
              <w:t>3</w:t>
            </w:r>
          </w:p>
        </w:tc>
        <w:tc>
          <w:tcPr>
            <w:tcW w:w="6202" w:type="dxa"/>
            <w:vAlign w:val="center"/>
          </w:tcPr>
          <w:p>
            <w:pPr>
              <w:keepNext/>
              <w:keepLines/>
              <w:tabs>
                <w:tab w:val="left" w:pos="8820"/>
              </w:tabs>
              <w:spacing w:line="360" w:lineRule="exact"/>
              <w:rPr>
                <w:rFonts w:cs="宋体"/>
                <w:b/>
                <w:kern w:val="0"/>
                <w:szCs w:val="21"/>
              </w:rPr>
            </w:pPr>
            <w:r>
              <w:rPr>
                <w:rFonts w:hint="eastAsia"/>
              </w:rPr>
              <w:t>评标委员会根据投标人提供的改造技术方案是否对招标文件有实质性的响应，是否条理清晰、内容完整，以及相关重难点改造环节的技术措施进行评议。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Merge w:val="continue"/>
            <w:vAlign w:val="center"/>
          </w:tcPr>
          <w:p>
            <w:pPr>
              <w:widowControl/>
              <w:spacing w:line="360" w:lineRule="exact"/>
              <w:jc w:val="center"/>
              <w:rPr>
                <w:rFonts w:cs="宋体"/>
                <w:kern w:val="0"/>
                <w:szCs w:val="21"/>
              </w:rPr>
            </w:pPr>
          </w:p>
        </w:tc>
        <w:tc>
          <w:tcPr>
            <w:tcW w:w="1896" w:type="dxa"/>
            <w:vMerge w:val="continue"/>
            <w:vAlign w:val="center"/>
          </w:tcPr>
          <w:p>
            <w:pPr>
              <w:widowControl/>
              <w:spacing w:line="360" w:lineRule="exact"/>
              <w:jc w:val="center"/>
            </w:pPr>
          </w:p>
        </w:tc>
        <w:tc>
          <w:tcPr>
            <w:tcW w:w="840" w:type="dxa"/>
            <w:vAlign w:val="center"/>
          </w:tcPr>
          <w:p>
            <w:pPr>
              <w:widowControl/>
              <w:spacing w:line="360" w:lineRule="exact"/>
              <w:jc w:val="center"/>
              <w:rPr>
                <w:rFonts w:hint="eastAsia" w:eastAsia="宋体" w:cs="宋体"/>
                <w:kern w:val="0"/>
                <w:szCs w:val="21"/>
                <w:lang w:eastAsia="zh-CN"/>
              </w:rPr>
            </w:pPr>
            <w:r>
              <w:rPr>
                <w:rFonts w:hint="eastAsia" w:cs="宋体"/>
                <w:kern w:val="0"/>
                <w:szCs w:val="21"/>
                <w:lang w:val="en-US" w:eastAsia="zh-CN"/>
              </w:rPr>
              <w:t>3</w:t>
            </w:r>
          </w:p>
        </w:tc>
        <w:tc>
          <w:tcPr>
            <w:tcW w:w="6202" w:type="dxa"/>
            <w:vAlign w:val="center"/>
          </w:tcPr>
          <w:p>
            <w:pPr>
              <w:spacing w:line="360" w:lineRule="exact"/>
            </w:pPr>
            <w:r>
              <w:rPr>
                <w:rFonts w:hint="eastAsia" w:cs="宋体"/>
              </w:rPr>
              <w:t>评标委员会根据投标人提供的关节机械手夹具吸盘结构形式及所有产品的技术创新情况（包含但不限于产品创新设计、创新材料使用、创新技术研发、新型施工工艺、后续服务创新等）进行评议。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Merge w:val="continue"/>
            <w:vAlign w:val="center"/>
          </w:tcPr>
          <w:p>
            <w:pPr>
              <w:widowControl/>
              <w:spacing w:line="360" w:lineRule="exact"/>
              <w:jc w:val="center"/>
              <w:rPr>
                <w:rFonts w:cs="宋体"/>
                <w:kern w:val="0"/>
                <w:szCs w:val="21"/>
              </w:rPr>
            </w:pPr>
          </w:p>
        </w:tc>
        <w:tc>
          <w:tcPr>
            <w:tcW w:w="1896" w:type="dxa"/>
            <w:vMerge w:val="continue"/>
            <w:vAlign w:val="center"/>
          </w:tcPr>
          <w:p>
            <w:pPr>
              <w:widowControl/>
              <w:spacing w:line="360" w:lineRule="exact"/>
              <w:jc w:val="center"/>
            </w:pPr>
          </w:p>
        </w:tc>
        <w:tc>
          <w:tcPr>
            <w:tcW w:w="840" w:type="dxa"/>
            <w:vAlign w:val="center"/>
          </w:tcPr>
          <w:p>
            <w:pPr>
              <w:widowControl/>
              <w:spacing w:line="360" w:lineRule="exact"/>
              <w:jc w:val="center"/>
              <w:rPr>
                <w:rFonts w:hint="eastAsia" w:eastAsia="宋体" w:cs="宋体"/>
                <w:lang w:eastAsia="zh-CN"/>
              </w:rPr>
            </w:pPr>
            <w:r>
              <w:rPr>
                <w:rFonts w:hint="eastAsia" w:cs="宋体"/>
                <w:lang w:val="en-US" w:eastAsia="zh-CN"/>
              </w:rPr>
              <w:t>3</w:t>
            </w:r>
          </w:p>
        </w:tc>
        <w:tc>
          <w:tcPr>
            <w:tcW w:w="6202" w:type="dxa"/>
            <w:vAlign w:val="center"/>
          </w:tcPr>
          <w:p>
            <w:pPr>
              <w:spacing w:line="360" w:lineRule="exact"/>
              <w:rPr>
                <w:rFonts w:cs="宋体"/>
              </w:rPr>
            </w:pPr>
            <w:r>
              <w:rPr>
                <w:rFonts w:hint="eastAsia" w:cs="宋体"/>
              </w:rPr>
              <w:t>评标委员会根据投标人的多穿和倍速链备货系统是否满足不同类型卷烟备货需求，配置是否合理进行评议。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Merge w:val="continue"/>
            <w:vAlign w:val="center"/>
          </w:tcPr>
          <w:p>
            <w:pPr>
              <w:widowControl/>
              <w:spacing w:line="360" w:lineRule="exact"/>
              <w:jc w:val="center"/>
              <w:rPr>
                <w:rFonts w:cs="宋体"/>
                <w:kern w:val="0"/>
                <w:szCs w:val="21"/>
              </w:rPr>
            </w:pPr>
          </w:p>
        </w:tc>
        <w:tc>
          <w:tcPr>
            <w:tcW w:w="1896" w:type="dxa"/>
            <w:vMerge w:val="continue"/>
            <w:vAlign w:val="center"/>
          </w:tcPr>
          <w:p>
            <w:pPr>
              <w:widowControl/>
              <w:spacing w:line="360" w:lineRule="exact"/>
              <w:jc w:val="center"/>
            </w:pPr>
          </w:p>
        </w:tc>
        <w:tc>
          <w:tcPr>
            <w:tcW w:w="840" w:type="dxa"/>
            <w:vAlign w:val="center"/>
          </w:tcPr>
          <w:p>
            <w:pPr>
              <w:widowControl/>
              <w:spacing w:line="360" w:lineRule="exact"/>
              <w:jc w:val="center"/>
              <w:rPr>
                <w:rFonts w:hint="eastAsia" w:eastAsia="宋体" w:cs="宋体"/>
                <w:lang w:eastAsia="zh-CN"/>
              </w:rPr>
            </w:pPr>
            <w:r>
              <w:rPr>
                <w:rFonts w:hint="eastAsia" w:cs="宋体"/>
                <w:lang w:val="en-US" w:eastAsia="zh-CN"/>
              </w:rPr>
              <w:t>3</w:t>
            </w:r>
          </w:p>
        </w:tc>
        <w:tc>
          <w:tcPr>
            <w:tcW w:w="6202" w:type="dxa"/>
            <w:vAlign w:val="center"/>
          </w:tcPr>
          <w:p>
            <w:pPr>
              <w:spacing w:line="360" w:lineRule="exact"/>
              <w:rPr>
                <w:rFonts w:cs="宋体"/>
              </w:rPr>
            </w:pPr>
            <w:r>
              <w:rPr>
                <w:rFonts w:hint="eastAsia" w:cs="宋体"/>
              </w:rPr>
              <w:t>评标委员会根据投标人针对标准烟分拣线增加烟仓，与现有设备及系统对接提出的解决方案，对设备及系统兼容性、正常作业影响进行评议。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Merge w:val="continue"/>
            <w:tcBorders>
              <w:bottom w:val="single" w:color="auto" w:sz="4" w:space="0"/>
            </w:tcBorders>
            <w:vAlign w:val="center"/>
          </w:tcPr>
          <w:p>
            <w:pPr>
              <w:widowControl/>
              <w:spacing w:line="360" w:lineRule="exact"/>
              <w:jc w:val="center"/>
              <w:rPr>
                <w:rFonts w:cs="宋体"/>
                <w:kern w:val="0"/>
                <w:szCs w:val="21"/>
              </w:rPr>
            </w:pPr>
          </w:p>
        </w:tc>
        <w:tc>
          <w:tcPr>
            <w:tcW w:w="1896" w:type="dxa"/>
            <w:vMerge w:val="continue"/>
            <w:tcBorders>
              <w:bottom w:val="single" w:color="auto" w:sz="4" w:space="0"/>
            </w:tcBorders>
            <w:vAlign w:val="center"/>
          </w:tcPr>
          <w:p>
            <w:pPr>
              <w:widowControl/>
              <w:spacing w:line="360" w:lineRule="exact"/>
              <w:jc w:val="center"/>
            </w:pPr>
          </w:p>
        </w:tc>
        <w:tc>
          <w:tcPr>
            <w:tcW w:w="840" w:type="dxa"/>
            <w:vAlign w:val="center"/>
          </w:tcPr>
          <w:p>
            <w:pPr>
              <w:widowControl/>
              <w:spacing w:line="360" w:lineRule="exact"/>
              <w:jc w:val="center"/>
              <w:rPr>
                <w:rFonts w:hint="eastAsia" w:eastAsia="宋体" w:cs="宋体"/>
                <w:lang w:eastAsia="zh-CN"/>
              </w:rPr>
            </w:pPr>
            <w:r>
              <w:rPr>
                <w:rFonts w:hint="eastAsia" w:cs="宋体"/>
                <w:lang w:val="en-US" w:eastAsia="zh-CN"/>
              </w:rPr>
              <w:t>3</w:t>
            </w:r>
          </w:p>
        </w:tc>
        <w:tc>
          <w:tcPr>
            <w:tcW w:w="6202" w:type="dxa"/>
            <w:vAlign w:val="center"/>
          </w:tcPr>
          <w:p>
            <w:pPr>
              <w:spacing w:line="360" w:lineRule="exact"/>
              <w:rPr>
                <w:rFonts w:cs="宋体"/>
              </w:rPr>
            </w:pPr>
            <w:r>
              <w:rPr>
                <w:rFonts w:hint="eastAsia" w:cs="宋体"/>
              </w:rPr>
              <w:t>评标委员会根据投标人提供的新增控制系统须与原分拣控制系统高度一体化的详细解决方案（包括原理说明、具体实施方法、改造前后技术对比图形、图表）的方案设计完整性、规范性，布局架构合理性、可行性，是否采用标准从站和主站配置模式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Merge w:val="restart"/>
            <w:tcBorders>
              <w:top w:val="single" w:color="auto" w:sz="4" w:space="0"/>
            </w:tcBorders>
            <w:vAlign w:val="center"/>
          </w:tcPr>
          <w:p>
            <w:pPr>
              <w:widowControl/>
              <w:spacing w:line="360" w:lineRule="exact"/>
              <w:jc w:val="center"/>
              <w:rPr>
                <w:rFonts w:cs="宋体"/>
                <w:kern w:val="0"/>
                <w:szCs w:val="21"/>
              </w:rPr>
            </w:pPr>
            <w:r>
              <w:rPr>
                <w:rFonts w:hint="eastAsia" w:cs="宋体"/>
                <w:kern w:val="0"/>
                <w:szCs w:val="21"/>
              </w:rPr>
              <w:t>3</w:t>
            </w:r>
          </w:p>
        </w:tc>
        <w:tc>
          <w:tcPr>
            <w:tcW w:w="1896" w:type="dxa"/>
            <w:vMerge w:val="restart"/>
            <w:tcBorders>
              <w:top w:val="single" w:color="auto" w:sz="4" w:space="0"/>
            </w:tcBorders>
            <w:vAlign w:val="center"/>
          </w:tcPr>
          <w:p>
            <w:pPr>
              <w:widowControl/>
              <w:spacing w:line="360" w:lineRule="exact"/>
              <w:jc w:val="center"/>
              <w:rPr>
                <w:rFonts w:cs="宋体"/>
              </w:rPr>
            </w:pPr>
            <w:r>
              <w:rPr>
                <w:rFonts w:hint="eastAsia" w:cs="宋体"/>
              </w:rPr>
              <w:t>售后服务方案</w:t>
            </w:r>
          </w:p>
          <w:p>
            <w:pPr>
              <w:widowControl/>
              <w:spacing w:line="360" w:lineRule="exact"/>
              <w:jc w:val="center"/>
              <w:rPr>
                <w:rFonts w:cs="宋体"/>
                <w:bCs/>
                <w:kern w:val="0"/>
                <w:szCs w:val="21"/>
              </w:rPr>
            </w:pPr>
            <w:r>
              <w:rPr>
                <w:rFonts w:hint="eastAsia"/>
              </w:rPr>
              <w:t>（主观分）</w:t>
            </w:r>
          </w:p>
        </w:tc>
        <w:tc>
          <w:tcPr>
            <w:tcW w:w="840" w:type="dxa"/>
            <w:vAlign w:val="center"/>
          </w:tcPr>
          <w:p>
            <w:pPr>
              <w:widowControl/>
              <w:spacing w:line="360" w:lineRule="exact"/>
              <w:jc w:val="center"/>
              <w:rPr>
                <w:rFonts w:hint="eastAsia" w:eastAsia="宋体" w:cs="宋体"/>
                <w:kern w:val="0"/>
                <w:szCs w:val="21"/>
                <w:lang w:eastAsia="zh-CN"/>
              </w:rPr>
            </w:pPr>
            <w:r>
              <w:rPr>
                <w:rFonts w:hint="eastAsia" w:cs="宋体"/>
                <w:kern w:val="0"/>
                <w:szCs w:val="21"/>
                <w:lang w:val="en-US" w:eastAsia="zh-CN"/>
              </w:rPr>
              <w:t>3</w:t>
            </w:r>
          </w:p>
        </w:tc>
        <w:tc>
          <w:tcPr>
            <w:tcW w:w="6202" w:type="dxa"/>
            <w:vAlign w:val="center"/>
          </w:tcPr>
          <w:p>
            <w:pPr>
              <w:keepNext/>
              <w:keepLines/>
              <w:tabs>
                <w:tab w:val="left" w:pos="8820"/>
              </w:tabs>
              <w:spacing w:line="360" w:lineRule="exact"/>
            </w:pPr>
            <w:r>
              <w:rPr>
                <w:rFonts w:hint="eastAsia"/>
              </w:rPr>
              <w:t>评标委员会根据投标人提供的质保期内的售后服务方案和质保期后的维保服务方案进行评议。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Merge w:val="continue"/>
            <w:vAlign w:val="center"/>
          </w:tcPr>
          <w:p>
            <w:pPr>
              <w:widowControl/>
              <w:spacing w:line="360" w:lineRule="exact"/>
              <w:jc w:val="center"/>
              <w:rPr>
                <w:rFonts w:hint="eastAsia" w:cs="宋体"/>
                <w:kern w:val="0"/>
                <w:szCs w:val="21"/>
              </w:rPr>
            </w:pPr>
          </w:p>
        </w:tc>
        <w:tc>
          <w:tcPr>
            <w:tcW w:w="1896" w:type="dxa"/>
            <w:vMerge w:val="continue"/>
            <w:vAlign w:val="center"/>
          </w:tcPr>
          <w:p>
            <w:pPr>
              <w:widowControl/>
              <w:spacing w:line="360" w:lineRule="exact"/>
              <w:jc w:val="center"/>
              <w:rPr>
                <w:rFonts w:hint="eastAsia"/>
              </w:rPr>
            </w:pPr>
          </w:p>
        </w:tc>
        <w:tc>
          <w:tcPr>
            <w:tcW w:w="840" w:type="dxa"/>
            <w:vAlign w:val="center"/>
          </w:tcPr>
          <w:p>
            <w:pPr>
              <w:widowControl/>
              <w:spacing w:line="360" w:lineRule="exact"/>
              <w:jc w:val="center"/>
              <w:rPr>
                <w:rFonts w:hint="eastAsia" w:eastAsia="宋体" w:cs="宋体"/>
                <w:kern w:val="0"/>
                <w:szCs w:val="21"/>
                <w:lang w:val="en-US" w:eastAsia="zh-CN"/>
              </w:rPr>
            </w:pPr>
            <w:r>
              <w:rPr>
                <w:rFonts w:hint="eastAsia" w:cs="宋体"/>
                <w:kern w:val="0"/>
                <w:szCs w:val="21"/>
                <w:lang w:val="en-US" w:eastAsia="zh-CN"/>
              </w:rPr>
              <w:t>3</w:t>
            </w:r>
          </w:p>
        </w:tc>
        <w:tc>
          <w:tcPr>
            <w:tcW w:w="6202" w:type="dxa"/>
            <w:vAlign w:val="center"/>
          </w:tcPr>
          <w:p>
            <w:pPr>
              <w:keepNext/>
              <w:keepLines/>
              <w:tabs>
                <w:tab w:val="left" w:pos="8820"/>
              </w:tabs>
              <w:spacing w:line="360" w:lineRule="exact"/>
              <w:rPr>
                <w:rFonts w:hint="eastAsia"/>
              </w:rPr>
            </w:pPr>
            <w:r>
              <w:rPr>
                <w:rFonts w:hint="eastAsia"/>
              </w:rPr>
              <w:t>评标委员会根据投标人</w:t>
            </w:r>
            <w:r>
              <w:rPr>
                <w:rFonts w:hint="eastAsia"/>
                <w:lang w:val="en-US" w:eastAsia="zh-CN"/>
              </w:rPr>
              <w:t>承诺的</w:t>
            </w:r>
            <w:r>
              <w:rPr>
                <w:rFonts w:hint="eastAsia"/>
              </w:rPr>
              <w:t>设备供货时随设备免费提供的配（备）件及易耗品</w:t>
            </w:r>
            <w:r>
              <w:rPr>
                <w:rFonts w:hint="eastAsia"/>
                <w:lang w:val="en-US" w:eastAsia="zh-CN"/>
              </w:rPr>
              <w:t>或投标人日常库存备件对招标人临时应急修复需求的满足程度</w:t>
            </w:r>
            <w:r>
              <w:rPr>
                <w:rFonts w:hint="eastAsia"/>
              </w:rPr>
              <w:t>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tcBorders>
              <w:top w:val="single" w:color="auto" w:sz="4" w:space="0"/>
            </w:tcBorders>
            <w:vAlign w:val="center"/>
          </w:tcPr>
          <w:p>
            <w:pPr>
              <w:widowControl/>
              <w:spacing w:line="360" w:lineRule="exact"/>
              <w:jc w:val="center"/>
              <w:rPr>
                <w:rFonts w:cs="宋体"/>
                <w:kern w:val="0"/>
                <w:szCs w:val="21"/>
              </w:rPr>
            </w:pPr>
            <w:r>
              <w:rPr>
                <w:rFonts w:hint="eastAsia" w:cs="宋体"/>
                <w:kern w:val="0"/>
                <w:szCs w:val="21"/>
              </w:rPr>
              <w:t>4</w:t>
            </w:r>
          </w:p>
        </w:tc>
        <w:tc>
          <w:tcPr>
            <w:tcW w:w="1896" w:type="dxa"/>
            <w:tcBorders>
              <w:top w:val="single" w:color="auto" w:sz="4" w:space="0"/>
            </w:tcBorders>
            <w:vAlign w:val="center"/>
          </w:tcPr>
          <w:p>
            <w:pPr>
              <w:widowControl/>
              <w:spacing w:line="360" w:lineRule="exact"/>
              <w:jc w:val="center"/>
            </w:pPr>
            <w:r>
              <w:rPr>
                <w:rFonts w:hint="eastAsia"/>
              </w:rPr>
              <w:t>安装调试方案</w:t>
            </w:r>
          </w:p>
          <w:p>
            <w:pPr>
              <w:widowControl/>
              <w:spacing w:line="360" w:lineRule="exact"/>
              <w:jc w:val="center"/>
              <w:rPr>
                <w:rFonts w:cs="宋体"/>
                <w:bCs/>
                <w:kern w:val="0"/>
                <w:szCs w:val="21"/>
              </w:rPr>
            </w:pPr>
            <w:r>
              <w:rPr>
                <w:rFonts w:hint="eastAsia"/>
              </w:rPr>
              <w:t>（主观分）</w:t>
            </w:r>
          </w:p>
        </w:tc>
        <w:tc>
          <w:tcPr>
            <w:tcW w:w="840" w:type="dxa"/>
            <w:vAlign w:val="center"/>
          </w:tcPr>
          <w:p>
            <w:pPr>
              <w:widowControl/>
              <w:spacing w:line="360" w:lineRule="exact"/>
              <w:jc w:val="center"/>
              <w:rPr>
                <w:rFonts w:hint="eastAsia" w:eastAsia="宋体" w:cs="宋体"/>
                <w:kern w:val="0"/>
                <w:szCs w:val="21"/>
                <w:lang w:eastAsia="zh-CN"/>
              </w:rPr>
            </w:pPr>
            <w:r>
              <w:rPr>
                <w:rFonts w:hint="eastAsia" w:cs="宋体"/>
                <w:kern w:val="0"/>
                <w:szCs w:val="21"/>
                <w:lang w:val="en-US" w:eastAsia="zh-CN"/>
              </w:rPr>
              <w:t>3</w:t>
            </w:r>
          </w:p>
        </w:tc>
        <w:tc>
          <w:tcPr>
            <w:tcW w:w="6202" w:type="dxa"/>
            <w:vAlign w:val="center"/>
          </w:tcPr>
          <w:p>
            <w:pPr>
              <w:keepNext/>
              <w:keepLines/>
              <w:tabs>
                <w:tab w:val="left" w:pos="8820"/>
              </w:tabs>
              <w:spacing w:line="360" w:lineRule="exact"/>
              <w:rPr>
                <w:rFonts w:cs="宋体"/>
                <w:b/>
                <w:kern w:val="0"/>
                <w:szCs w:val="21"/>
              </w:rPr>
            </w:pPr>
            <w:r>
              <w:rPr>
                <w:rFonts w:hint="eastAsia" w:cs="宋体"/>
              </w:rPr>
              <w:t>评标委员会</w:t>
            </w:r>
            <w:r>
              <w:rPr>
                <w:rFonts w:hint="eastAsia"/>
              </w:rPr>
              <w:t>根据投标人的安装调试计划、施工质量管理、施工资源配置、系统调试方案的合理性、可行性进行评议。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tcBorders>
              <w:top w:val="single" w:color="auto" w:sz="4" w:space="0"/>
            </w:tcBorders>
            <w:vAlign w:val="center"/>
          </w:tcPr>
          <w:p>
            <w:pPr>
              <w:widowControl/>
              <w:spacing w:line="360" w:lineRule="exact"/>
              <w:jc w:val="center"/>
              <w:rPr>
                <w:rFonts w:cs="宋体"/>
                <w:kern w:val="0"/>
                <w:szCs w:val="21"/>
              </w:rPr>
            </w:pPr>
            <w:r>
              <w:rPr>
                <w:rFonts w:hint="eastAsia" w:cs="宋体"/>
                <w:kern w:val="0"/>
                <w:szCs w:val="21"/>
              </w:rPr>
              <w:t>5</w:t>
            </w:r>
          </w:p>
        </w:tc>
        <w:tc>
          <w:tcPr>
            <w:tcW w:w="1896" w:type="dxa"/>
            <w:tcBorders>
              <w:top w:val="single" w:color="auto" w:sz="4" w:space="0"/>
            </w:tcBorders>
            <w:vAlign w:val="center"/>
          </w:tcPr>
          <w:p>
            <w:pPr>
              <w:widowControl/>
              <w:spacing w:line="360" w:lineRule="exact"/>
              <w:jc w:val="center"/>
            </w:pPr>
            <w:r>
              <w:rPr>
                <w:rFonts w:hint="eastAsia"/>
              </w:rPr>
              <w:t>安全防护措施</w:t>
            </w:r>
          </w:p>
          <w:p>
            <w:pPr>
              <w:widowControl/>
              <w:spacing w:line="360" w:lineRule="exact"/>
              <w:jc w:val="center"/>
            </w:pPr>
            <w:r>
              <w:rPr>
                <w:rFonts w:hint="eastAsia"/>
              </w:rPr>
              <w:t>（主观分）</w:t>
            </w:r>
          </w:p>
        </w:tc>
        <w:tc>
          <w:tcPr>
            <w:tcW w:w="840" w:type="dxa"/>
            <w:vAlign w:val="center"/>
          </w:tcPr>
          <w:p>
            <w:pPr>
              <w:widowControl/>
              <w:spacing w:line="360" w:lineRule="exact"/>
              <w:jc w:val="center"/>
            </w:pPr>
            <w:r>
              <w:rPr>
                <w:rFonts w:hint="eastAsia"/>
              </w:rPr>
              <w:t>3</w:t>
            </w:r>
          </w:p>
        </w:tc>
        <w:tc>
          <w:tcPr>
            <w:tcW w:w="6202" w:type="dxa"/>
            <w:vAlign w:val="center"/>
          </w:tcPr>
          <w:p>
            <w:pPr>
              <w:keepNext/>
              <w:keepLines/>
              <w:tabs>
                <w:tab w:val="left" w:pos="8820"/>
              </w:tabs>
              <w:spacing w:line="360" w:lineRule="exact"/>
            </w:pPr>
            <w:r>
              <w:rPr>
                <w:rFonts w:hint="eastAsia" w:cs="宋体"/>
              </w:rPr>
              <w:t>评标委员会</w:t>
            </w:r>
            <w:r>
              <w:rPr>
                <w:rFonts w:hint="eastAsia"/>
              </w:rPr>
              <w:t>根据投标人在项目实施期间的安全防护措施的合理性、可行性进行评议。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tcBorders>
              <w:top w:val="single" w:color="auto" w:sz="4" w:space="0"/>
            </w:tcBorders>
            <w:vAlign w:val="center"/>
          </w:tcPr>
          <w:p>
            <w:pPr>
              <w:widowControl/>
              <w:spacing w:line="360" w:lineRule="exact"/>
              <w:jc w:val="center"/>
              <w:rPr>
                <w:rFonts w:cs="宋体"/>
                <w:kern w:val="0"/>
                <w:szCs w:val="21"/>
              </w:rPr>
            </w:pPr>
            <w:r>
              <w:rPr>
                <w:rFonts w:hint="eastAsia" w:cs="宋体"/>
                <w:kern w:val="0"/>
                <w:szCs w:val="21"/>
              </w:rPr>
              <w:t>6</w:t>
            </w:r>
          </w:p>
        </w:tc>
        <w:tc>
          <w:tcPr>
            <w:tcW w:w="1896" w:type="dxa"/>
            <w:tcBorders>
              <w:top w:val="single" w:color="auto" w:sz="4" w:space="0"/>
            </w:tcBorders>
            <w:vAlign w:val="center"/>
          </w:tcPr>
          <w:p>
            <w:pPr>
              <w:widowControl/>
              <w:spacing w:line="360" w:lineRule="exact"/>
              <w:jc w:val="center"/>
            </w:pPr>
            <w:r>
              <w:rPr>
                <w:rFonts w:hint="eastAsia"/>
              </w:rPr>
              <w:t>团队人员证书</w:t>
            </w:r>
          </w:p>
          <w:p>
            <w:pPr>
              <w:widowControl/>
              <w:spacing w:line="360" w:lineRule="exact"/>
              <w:jc w:val="center"/>
            </w:pPr>
            <w:r>
              <w:rPr>
                <w:rFonts w:hint="eastAsia"/>
              </w:rPr>
              <w:t>（客观分）</w:t>
            </w:r>
          </w:p>
        </w:tc>
        <w:tc>
          <w:tcPr>
            <w:tcW w:w="840" w:type="dxa"/>
            <w:vAlign w:val="center"/>
          </w:tcPr>
          <w:p>
            <w:pPr>
              <w:widowControl/>
              <w:spacing w:line="360" w:lineRule="exact"/>
              <w:jc w:val="center"/>
            </w:pPr>
            <w:r>
              <w:rPr>
                <w:rFonts w:hint="eastAsia"/>
              </w:rPr>
              <w:t>3</w:t>
            </w:r>
          </w:p>
        </w:tc>
        <w:tc>
          <w:tcPr>
            <w:tcW w:w="6202" w:type="dxa"/>
            <w:vAlign w:val="center"/>
          </w:tcPr>
          <w:p>
            <w:pPr>
              <w:keepNext/>
              <w:keepLines/>
              <w:widowControl w:val="0"/>
              <w:tabs>
                <w:tab w:val="left" w:pos="8820"/>
              </w:tabs>
              <w:spacing w:line="360" w:lineRule="exact"/>
            </w:pPr>
            <w:r>
              <w:rPr>
                <w:rFonts w:hint="eastAsia"/>
              </w:rPr>
              <w:t>拟投入本项目的技术团队人员中具有</w:t>
            </w:r>
            <w:r>
              <w:t>与本项目实施相关专业</w:t>
            </w:r>
            <w:r>
              <w:rPr>
                <w:rFonts w:hint="eastAsia"/>
                <w:lang w:eastAsia="zh-CN"/>
              </w:rPr>
              <w:t>的</w:t>
            </w:r>
            <w:r>
              <w:rPr>
                <w:rFonts w:hint="eastAsia"/>
              </w:rPr>
              <w:t>高级及以上职称</w:t>
            </w:r>
            <w:r>
              <w:t>或职业技术资格证书</w:t>
            </w:r>
            <w:r>
              <w:rPr>
                <w:rFonts w:hint="eastAsia"/>
              </w:rPr>
              <w:t>的每人得1分，最高2分；具有</w:t>
            </w:r>
            <w:r>
              <w:t>与本项目实施相关专业</w:t>
            </w:r>
            <w:r>
              <w:rPr>
                <w:rFonts w:hint="eastAsia"/>
                <w:lang w:eastAsia="zh-CN"/>
              </w:rPr>
              <w:t>的</w:t>
            </w:r>
            <w:r>
              <w:rPr>
                <w:rFonts w:hint="eastAsia"/>
              </w:rPr>
              <w:t>中级职称</w:t>
            </w:r>
            <w:r>
              <w:t>或职业技术资格证书</w:t>
            </w:r>
            <w:r>
              <w:rPr>
                <w:rFonts w:hint="eastAsia"/>
              </w:rPr>
              <w:t>的每人得0.5分，最高1分；本项最高得3分。</w:t>
            </w:r>
          </w:p>
          <w:p>
            <w:pPr>
              <w:keepNext/>
              <w:keepLines/>
              <w:tabs>
                <w:tab w:val="left" w:pos="8820"/>
              </w:tabs>
              <w:spacing w:line="360" w:lineRule="exact"/>
            </w:pPr>
            <w:r>
              <w:rPr>
                <w:rFonts w:hint="eastAsia"/>
              </w:rPr>
              <w:t>（职称证书复印件及社保部门出具的投标人为其缴纳2025年3-5月中任一月份社保的证明材料编入投标文件；同一人员职称就高计取</w:t>
            </w:r>
            <w:r>
              <w:t>；本项目实施相关专</w:t>
            </w:r>
            <w:r>
              <w:rPr>
                <w:highlight w:val="none"/>
              </w:rPr>
              <w:t>业指机电类、信息化类</w:t>
            </w:r>
            <w:r>
              <w:t>等</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tcBorders>
              <w:top w:val="single" w:color="auto" w:sz="4" w:space="0"/>
            </w:tcBorders>
            <w:vAlign w:val="center"/>
          </w:tcPr>
          <w:p>
            <w:pPr>
              <w:widowControl/>
              <w:spacing w:line="360" w:lineRule="exact"/>
              <w:jc w:val="center"/>
              <w:rPr>
                <w:rFonts w:cs="宋体"/>
                <w:kern w:val="0"/>
                <w:szCs w:val="21"/>
              </w:rPr>
            </w:pPr>
            <w:r>
              <w:rPr>
                <w:rFonts w:hint="eastAsia" w:cs="宋体"/>
                <w:kern w:val="0"/>
                <w:szCs w:val="21"/>
              </w:rPr>
              <w:t>7</w:t>
            </w:r>
          </w:p>
        </w:tc>
        <w:tc>
          <w:tcPr>
            <w:tcW w:w="1896" w:type="dxa"/>
            <w:tcBorders>
              <w:top w:val="single" w:color="auto" w:sz="4" w:space="0"/>
            </w:tcBorders>
            <w:vAlign w:val="center"/>
          </w:tcPr>
          <w:p>
            <w:pPr>
              <w:widowControl/>
              <w:spacing w:line="360" w:lineRule="exact"/>
              <w:jc w:val="center"/>
            </w:pPr>
            <w:r>
              <w:rPr>
                <w:rFonts w:hint="eastAsia"/>
              </w:rPr>
              <w:t>团队人员实力</w:t>
            </w:r>
          </w:p>
          <w:p>
            <w:pPr>
              <w:widowControl/>
              <w:spacing w:line="360" w:lineRule="exact"/>
              <w:jc w:val="center"/>
            </w:pPr>
            <w:r>
              <w:rPr>
                <w:rFonts w:hint="eastAsia"/>
              </w:rPr>
              <w:t>（主观分）</w:t>
            </w:r>
          </w:p>
        </w:tc>
        <w:tc>
          <w:tcPr>
            <w:tcW w:w="840" w:type="dxa"/>
            <w:vAlign w:val="center"/>
          </w:tcPr>
          <w:p>
            <w:pPr>
              <w:widowControl/>
              <w:spacing w:line="360" w:lineRule="exact"/>
              <w:jc w:val="center"/>
              <w:rPr>
                <w:rFonts w:hint="eastAsia" w:eastAsia="宋体"/>
                <w:lang w:eastAsia="zh-CN"/>
              </w:rPr>
            </w:pPr>
            <w:r>
              <w:rPr>
                <w:rFonts w:hint="eastAsia"/>
                <w:lang w:val="en-US" w:eastAsia="zh-CN"/>
              </w:rPr>
              <w:t>2</w:t>
            </w:r>
          </w:p>
        </w:tc>
        <w:tc>
          <w:tcPr>
            <w:tcW w:w="6202" w:type="dxa"/>
            <w:vAlign w:val="center"/>
          </w:tcPr>
          <w:p>
            <w:pPr>
              <w:keepNext/>
              <w:keepLines/>
              <w:tabs>
                <w:tab w:val="left" w:pos="8820"/>
              </w:tabs>
              <w:spacing w:line="360" w:lineRule="exact"/>
            </w:pPr>
            <w:r>
              <w:rPr>
                <w:rFonts w:hint="eastAsia"/>
              </w:rPr>
              <w:t>评标委员会根据投标人拟投入本项目的技术团队实力（包括但不限于团队人员数量、技术分工、技术人员经验等）进行评议。</w:t>
            </w:r>
          </w:p>
          <w:p>
            <w:pPr>
              <w:keepNext/>
              <w:keepLines/>
              <w:tabs>
                <w:tab w:val="left" w:pos="8820"/>
              </w:tabs>
              <w:spacing w:line="360" w:lineRule="exact"/>
            </w:pPr>
            <w:r>
              <w:rPr>
                <w:rFonts w:hint="eastAsia"/>
              </w:rPr>
              <w:t>（技术团队人员名单及社保部门出具的投标人为其缴纳2025年3-5月中任一月份社保的证明材料编入投标文件）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6" w:type="dxa"/>
            <w:vAlign w:val="center"/>
          </w:tcPr>
          <w:p>
            <w:pPr>
              <w:widowControl/>
              <w:spacing w:line="360" w:lineRule="exact"/>
              <w:jc w:val="center"/>
              <w:rPr>
                <w:rFonts w:cs="宋体"/>
                <w:kern w:val="0"/>
                <w:szCs w:val="21"/>
              </w:rPr>
            </w:pPr>
            <w:r>
              <w:rPr>
                <w:rFonts w:hint="eastAsia" w:cs="宋体"/>
                <w:kern w:val="0"/>
                <w:szCs w:val="21"/>
              </w:rPr>
              <w:t>8</w:t>
            </w:r>
          </w:p>
        </w:tc>
        <w:tc>
          <w:tcPr>
            <w:tcW w:w="1896" w:type="dxa"/>
            <w:vAlign w:val="center"/>
          </w:tcPr>
          <w:p>
            <w:pPr>
              <w:widowControl/>
              <w:spacing w:line="360" w:lineRule="exact"/>
              <w:jc w:val="center"/>
            </w:pPr>
            <w:r>
              <w:rPr>
                <w:rFonts w:hint="eastAsia"/>
              </w:rPr>
              <w:t>培训方案</w:t>
            </w:r>
          </w:p>
          <w:p>
            <w:pPr>
              <w:widowControl/>
              <w:spacing w:line="360" w:lineRule="exact"/>
              <w:jc w:val="center"/>
              <w:rPr>
                <w:rFonts w:cs="宋体"/>
                <w:bCs/>
                <w:kern w:val="0"/>
                <w:szCs w:val="21"/>
              </w:rPr>
            </w:pPr>
            <w:r>
              <w:rPr>
                <w:rFonts w:hint="eastAsia"/>
              </w:rPr>
              <w:t>（主观分）</w:t>
            </w:r>
          </w:p>
        </w:tc>
        <w:tc>
          <w:tcPr>
            <w:tcW w:w="840" w:type="dxa"/>
            <w:vAlign w:val="center"/>
          </w:tcPr>
          <w:p>
            <w:pPr>
              <w:widowControl/>
              <w:spacing w:line="360" w:lineRule="exact"/>
              <w:jc w:val="center"/>
              <w:rPr>
                <w:rFonts w:cs="宋体"/>
                <w:kern w:val="0"/>
                <w:szCs w:val="21"/>
              </w:rPr>
            </w:pPr>
            <w:r>
              <w:rPr>
                <w:rFonts w:hint="eastAsia" w:cs="宋体"/>
                <w:kern w:val="0"/>
                <w:szCs w:val="21"/>
              </w:rPr>
              <w:t>3</w:t>
            </w:r>
          </w:p>
        </w:tc>
        <w:tc>
          <w:tcPr>
            <w:tcW w:w="6202" w:type="dxa"/>
            <w:vAlign w:val="center"/>
          </w:tcPr>
          <w:p>
            <w:pPr>
              <w:keepNext/>
              <w:keepLines/>
              <w:tabs>
                <w:tab w:val="left" w:pos="8820"/>
              </w:tabs>
              <w:spacing w:line="360" w:lineRule="exact"/>
            </w:pPr>
            <w:r>
              <w:rPr>
                <w:rFonts w:hint="eastAsia"/>
              </w:rPr>
              <w:t>评标委员会根据投标人提供的培训方案（包括培训目的、培训内容、培训方式等）进行评议。</w:t>
            </w:r>
          </w:p>
        </w:tc>
      </w:tr>
    </w:tbl>
    <w:p>
      <w:pPr>
        <w:pStyle w:val="34"/>
        <w:spacing w:before="120" w:beforeLines="50" w:line="360" w:lineRule="auto"/>
        <w:ind w:firstLine="480"/>
        <w:rPr>
          <w:rFonts w:ascii="宋体" w:cs="宋体"/>
          <w:sz w:val="24"/>
          <w:szCs w:val="24"/>
        </w:rPr>
      </w:pPr>
      <w:r>
        <w:rPr>
          <w:rFonts w:hint="eastAsia" w:ascii="宋体" w:cs="宋体"/>
          <w:sz w:val="24"/>
          <w:szCs w:val="24"/>
        </w:rPr>
        <w:t>注：1、以上证明材料按评分细则要求提供，未按要求提供的不得分。</w:t>
      </w:r>
    </w:p>
    <w:p>
      <w:pPr>
        <w:pStyle w:val="34"/>
        <w:spacing w:line="360" w:lineRule="auto"/>
        <w:ind w:firstLine="991" w:firstLineChars="413"/>
        <w:rPr>
          <w:rFonts w:ascii="宋体" w:cs="宋体"/>
          <w:sz w:val="24"/>
          <w:szCs w:val="24"/>
        </w:rPr>
      </w:pPr>
      <w:r>
        <w:rPr>
          <w:rFonts w:hint="eastAsia" w:ascii="宋体" w:cs="宋体"/>
          <w:sz w:val="24"/>
          <w:szCs w:val="24"/>
        </w:rPr>
        <w:t>2、评标委员会有权对以上证明材料进行认定，如评标委员会认为以上证明材料有涉嫌提供虚假材料或不足以证明达到评分细则要求的，有权作进一步认证或认定；投标人应无条件配合，否则将有可能作出最不利于投标人的认定。</w:t>
      </w:r>
    </w:p>
    <w:p>
      <w:pPr>
        <w:pStyle w:val="3"/>
      </w:pPr>
      <w:r>
        <w:rPr>
          <w:rFonts w:hint="eastAsia"/>
          <w:bCs/>
        </w:rPr>
        <w:t>9.3</w:t>
      </w:r>
      <w:r>
        <w:rPr>
          <w:rFonts w:hint="eastAsia"/>
        </w:rPr>
        <w:t xml:space="preserve"> 报价部分（0-</w:t>
      </w:r>
      <w:r>
        <w:rPr>
          <w:rFonts w:hint="eastAsia"/>
          <w:u w:val="single"/>
        </w:rPr>
        <w:t>40</w:t>
      </w:r>
      <w:r>
        <w:rPr>
          <w:rFonts w:hint="eastAsia"/>
        </w:rPr>
        <w:t>分）</w:t>
      </w:r>
    </w:p>
    <w:p>
      <w:pPr>
        <w:spacing w:line="360" w:lineRule="auto"/>
        <w:ind w:firstLine="470" w:firstLineChars="196"/>
        <w:rPr>
          <w:rFonts w:ascii="宋体" w:cs="宋体"/>
          <w:sz w:val="24"/>
          <w:u w:val="single"/>
        </w:rPr>
      </w:pPr>
      <w:r>
        <w:rPr>
          <w:rFonts w:hint="eastAsia" w:ascii="宋体" w:cs="宋体"/>
          <w:sz w:val="24"/>
        </w:rPr>
        <w:t>9.3.1 最高限价：</w:t>
      </w:r>
      <w:r>
        <w:rPr>
          <w:rFonts w:hint="eastAsia" w:ascii="宋体" w:cs="宋体"/>
          <w:sz w:val="24"/>
          <w:highlight w:val="none"/>
          <w:u w:val="single"/>
        </w:rPr>
        <w:t>人民币607.664万元</w:t>
      </w:r>
      <w:r>
        <w:rPr>
          <w:rFonts w:hint="eastAsia" w:ascii="宋体" w:cs="宋体"/>
          <w:sz w:val="24"/>
          <w:u w:val="single"/>
        </w:rPr>
        <w:t>，投标报价须包含但不限于所供系统设备的设计、制作、采购、运输、装卸、开箱、就位、安装</w:t>
      </w:r>
      <w:r>
        <w:rPr>
          <w:rFonts w:hint="eastAsia" w:ascii="宋体" w:cs="宋体"/>
          <w:sz w:val="24"/>
          <w:u w:val="single"/>
          <w:lang w:eastAsia="zh-CN"/>
        </w:rPr>
        <w:t>、</w:t>
      </w:r>
      <w:r>
        <w:rPr>
          <w:rFonts w:hint="eastAsia" w:ascii="宋体" w:cs="宋体"/>
          <w:sz w:val="24"/>
          <w:u w:val="single"/>
          <w:lang w:val="en-US" w:eastAsia="zh-CN"/>
        </w:rPr>
        <w:t>复原</w:t>
      </w:r>
      <w:r>
        <w:rPr>
          <w:rFonts w:hint="eastAsia" w:ascii="宋体" w:cs="宋体"/>
          <w:sz w:val="24"/>
          <w:u w:val="single"/>
        </w:rPr>
        <w:t>、调试、培训、安全责任、售后服务、系统对接、管理费、税金等完成本项目所需的一切费用。安装过程中招标人不负责提供任何施工工具及人工服务。本合同为固定总价合同，合同总价在合同实施期间保持不变，并不因劳务、材料机械等成本的价格变动而做任何调整。</w:t>
      </w:r>
    </w:p>
    <w:p>
      <w:pPr>
        <w:spacing w:line="360" w:lineRule="auto"/>
        <w:ind w:firstLine="470" w:firstLineChars="196"/>
        <w:rPr>
          <w:rFonts w:ascii="宋体" w:cs="宋体"/>
          <w:sz w:val="24"/>
        </w:rPr>
      </w:pPr>
      <w:r>
        <w:rPr>
          <w:rFonts w:hint="eastAsia" w:ascii="宋体" w:cs="宋体"/>
          <w:sz w:val="24"/>
        </w:rPr>
        <w:t>9.3.2 若有投标人的投标报价明显低于其他投标人的报价，使得其投标报价可能低于其成本的，评标委员会将要求该投标人对其投标报价作出书面说明并提供相关证明材料。投标人若不能合理说明或不能提供相关证明材料的，评标委员会可认定该投标人以低于成本报价恶意竞标，将其投标文件作无效标处理。</w:t>
      </w:r>
    </w:p>
    <w:p>
      <w:pPr>
        <w:spacing w:line="360" w:lineRule="auto"/>
        <w:ind w:firstLine="470" w:firstLineChars="196"/>
        <w:rPr>
          <w:rFonts w:ascii="宋体" w:cs="宋体"/>
          <w:sz w:val="24"/>
        </w:rPr>
      </w:pPr>
      <w:r>
        <w:rPr>
          <w:rFonts w:hint="eastAsia" w:ascii="宋体" w:cs="宋体"/>
          <w:sz w:val="24"/>
        </w:rPr>
        <w:t>9.3.3 评审基准价</w:t>
      </w:r>
    </w:p>
    <w:p>
      <w:pPr>
        <w:widowControl/>
        <w:spacing w:line="360" w:lineRule="auto"/>
        <w:ind w:firstLine="420"/>
        <w:rPr>
          <w:rFonts w:ascii="宋体" w:cs="宋体"/>
          <w:sz w:val="24"/>
          <w:u w:val="single"/>
        </w:rPr>
      </w:pPr>
      <w:r>
        <w:rPr>
          <w:rFonts w:hint="eastAsia" w:ascii="宋体" w:cs="宋体"/>
          <w:sz w:val="24"/>
          <w:u w:val="single"/>
        </w:rPr>
        <w:t>（1）通过报价符合性审查的投标人少于等于5家的，以所有有效投标报价的算术平均价作为评审基准价；</w:t>
      </w:r>
    </w:p>
    <w:p>
      <w:pPr>
        <w:widowControl/>
        <w:spacing w:line="360" w:lineRule="auto"/>
        <w:ind w:firstLine="420"/>
        <w:rPr>
          <w:rFonts w:ascii="宋体" w:cs="宋体"/>
          <w:sz w:val="24"/>
          <w:highlight w:val="yellow"/>
          <w:u w:val="single"/>
        </w:rPr>
      </w:pPr>
      <w:r>
        <w:rPr>
          <w:rFonts w:hint="eastAsia" w:ascii="宋体" w:cs="宋体"/>
          <w:sz w:val="24"/>
          <w:u w:val="single"/>
        </w:rPr>
        <w:t>（2）通过报价符合性审查的投标人大于5家小于9家的，扣除所有有效投标报价中1个最高评标价和1个最低评标价后的算术平均值为评审基准价；</w:t>
      </w:r>
    </w:p>
    <w:p>
      <w:pPr>
        <w:widowControl/>
        <w:spacing w:line="360" w:lineRule="auto"/>
        <w:ind w:firstLine="420"/>
        <w:rPr>
          <w:rFonts w:ascii="宋体" w:cs="宋体"/>
          <w:sz w:val="24"/>
          <w:u w:val="single"/>
        </w:rPr>
      </w:pPr>
      <w:r>
        <w:rPr>
          <w:rFonts w:hint="eastAsia" w:ascii="宋体" w:cs="宋体"/>
          <w:sz w:val="24"/>
          <w:u w:val="single"/>
        </w:rPr>
        <w:t>（3）通过报价符合性审查的投标人大于等于9家的，则所有有效投标报价中扣除1个最高价、1个次高价和1个最低价、1个次低价后的算术平均值为评审基准价（有多个相同最高价或最低价时，扣除2个报价）。</w:t>
      </w:r>
    </w:p>
    <w:p>
      <w:pPr>
        <w:widowControl/>
        <w:spacing w:line="360" w:lineRule="auto"/>
        <w:ind w:firstLine="420"/>
        <w:rPr>
          <w:rFonts w:ascii="宋体" w:cs="宋体"/>
          <w:sz w:val="24"/>
        </w:rPr>
      </w:pPr>
      <w:r>
        <w:rPr>
          <w:rFonts w:hint="eastAsia" w:ascii="宋体" w:cs="宋体"/>
          <w:sz w:val="24"/>
        </w:rPr>
        <w:t>9.3.4 报价计算方法</w:t>
      </w:r>
    </w:p>
    <w:p>
      <w:pPr>
        <w:widowControl/>
        <w:spacing w:line="360" w:lineRule="auto"/>
        <w:ind w:firstLine="420"/>
        <w:rPr>
          <w:rFonts w:ascii="宋体" w:cs="宋体"/>
          <w:sz w:val="24"/>
        </w:rPr>
      </w:pPr>
      <w:r>
        <w:rPr>
          <w:rFonts w:hint="eastAsia" w:ascii="宋体" w:cs="宋体"/>
          <w:sz w:val="24"/>
        </w:rPr>
        <w:t>投标人报价得分：投标报价等于评审基准价的，其价格分为满分。</w:t>
      </w:r>
      <w:r>
        <w:rPr>
          <w:rFonts w:hint="eastAsia" w:ascii="宋体" w:cs="宋体"/>
          <w:sz w:val="24"/>
          <w:u w:val="single"/>
        </w:rPr>
        <w:t>每高于评审基准价1％的，</w:t>
      </w:r>
      <w:r>
        <w:rPr>
          <w:rFonts w:hint="eastAsia" w:ascii="宋体" w:cs="宋体"/>
          <w:sz w:val="24"/>
          <w:highlight w:val="none"/>
          <w:u w:val="single"/>
        </w:rPr>
        <w:t>扣0.</w:t>
      </w:r>
      <w:r>
        <w:rPr>
          <w:rFonts w:hint="eastAsia" w:ascii="宋体" w:cs="宋体"/>
          <w:sz w:val="24"/>
          <w:highlight w:val="none"/>
          <w:u w:val="single"/>
          <w:lang w:val="en-US" w:eastAsia="zh-CN"/>
        </w:rPr>
        <w:t>6</w:t>
      </w:r>
      <w:r>
        <w:rPr>
          <w:rFonts w:hint="eastAsia" w:ascii="宋体" w:cs="宋体"/>
          <w:sz w:val="24"/>
          <w:highlight w:val="none"/>
          <w:u w:val="single"/>
        </w:rPr>
        <w:t>分；每低于评审基准价1％的，扣0.</w:t>
      </w:r>
      <w:r>
        <w:rPr>
          <w:rFonts w:hint="eastAsia" w:ascii="宋体" w:cs="宋体"/>
          <w:sz w:val="24"/>
          <w:highlight w:val="none"/>
          <w:u w:val="single"/>
          <w:lang w:val="en-US" w:eastAsia="zh-CN"/>
        </w:rPr>
        <w:t>3</w:t>
      </w:r>
      <w:r>
        <w:rPr>
          <w:rFonts w:hint="eastAsia" w:ascii="宋体" w:cs="宋体"/>
          <w:sz w:val="24"/>
          <w:highlight w:val="none"/>
          <w:u w:val="single"/>
        </w:rPr>
        <w:t>分。</w:t>
      </w:r>
      <w:r>
        <w:rPr>
          <w:rFonts w:hint="eastAsia" w:ascii="宋体" w:cs="宋体"/>
          <w:sz w:val="24"/>
          <w:u w:val="single"/>
        </w:rPr>
        <w:t>按直线插入法计算</w:t>
      </w:r>
      <w:r>
        <w:rPr>
          <w:rFonts w:hint="eastAsia" w:ascii="宋体" w:cs="宋体"/>
          <w:sz w:val="24"/>
        </w:rPr>
        <w:t>（保留小数2位）。（注：直线插入法、折扣率报价等须附上计算公式）</w:t>
      </w:r>
    </w:p>
    <w:p>
      <w:pPr>
        <w:tabs>
          <w:tab w:val="left" w:pos="8820"/>
        </w:tabs>
        <w:spacing w:line="360" w:lineRule="auto"/>
        <w:ind w:firstLine="465"/>
      </w:pPr>
      <w:r>
        <w:rPr>
          <w:rFonts w:hint="eastAsia" w:ascii="宋体" w:cs="宋体"/>
          <w:sz w:val="24"/>
        </w:rPr>
        <w:t>9.4有效投标人最终得分=商务技术得分+报价得分，其中商务技术得分包含资信业绩得分和技术得分。</w:t>
      </w:r>
      <w:r>
        <w:rPr>
          <w:rFonts w:hint="eastAsia" w:ascii="宋体" w:cs="宋体"/>
          <w:iCs/>
          <w:sz w:val="24"/>
        </w:rPr>
        <w:t>评分最终得分保留小数2位，小数点采用四舍五入方法</w:t>
      </w:r>
      <w:r>
        <w:rPr>
          <w:rFonts w:hint="eastAsia" w:ascii="宋体" w:cs="宋体"/>
          <w:sz w:val="24"/>
        </w:rPr>
        <w:t>。</w:t>
      </w:r>
    </w:p>
    <w:p>
      <w:pPr>
        <w:pStyle w:val="30"/>
        <w:sectPr>
          <w:headerReference r:id="rId13" w:type="default"/>
          <w:footerReference r:id="rId14" w:type="default"/>
          <w:pgSz w:w="11906" w:h="16838"/>
          <w:pgMar w:top="1236" w:right="1134" w:bottom="1134" w:left="1134" w:header="680" w:footer="680" w:gutter="0"/>
          <w:cols w:space="720" w:num="1"/>
          <w:docGrid w:linePitch="312" w:charSpace="0"/>
        </w:sectPr>
      </w:pPr>
    </w:p>
    <w:p>
      <w:pPr>
        <w:pStyle w:val="2"/>
      </w:pPr>
      <w:bookmarkStart w:id="156" w:name="_Toc3305"/>
      <w:r>
        <w:rPr>
          <w:rFonts w:hint="eastAsia"/>
        </w:rPr>
        <w:t>第五章 合同</w:t>
      </w:r>
      <w:bookmarkEnd w:id="145"/>
      <w:bookmarkEnd w:id="146"/>
      <w:r>
        <w:rPr>
          <w:rFonts w:hint="eastAsia"/>
        </w:rPr>
        <w:t>文本</w:t>
      </w:r>
      <w:bookmarkEnd w:id="156"/>
    </w:p>
    <w:p>
      <w:pPr>
        <w:spacing w:line="360" w:lineRule="auto"/>
        <w:ind w:firstLine="6000" w:firstLineChars="2500"/>
        <w:jc w:val="left"/>
        <w:rPr>
          <w:sz w:val="24"/>
        </w:rPr>
      </w:pPr>
      <w:bookmarkStart w:id="157" w:name="_Toc27722"/>
      <w:r>
        <w:rPr>
          <w:rFonts w:hint="eastAsia"/>
          <w:sz w:val="24"/>
        </w:rPr>
        <w:t>合同编号：</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autoSpaceDE w:val="0"/>
        <w:autoSpaceDN w:val="0"/>
        <w:adjustRightInd w:val="0"/>
        <w:snapToGrid w:val="0"/>
        <w:spacing w:line="360" w:lineRule="auto"/>
        <w:jc w:val="center"/>
        <w:rPr>
          <w:rFonts w:ascii="宋体" w:cs="黑体"/>
          <w:b/>
          <w:snapToGrid w:val="0"/>
          <w:kern w:val="0"/>
          <w:sz w:val="44"/>
          <w:szCs w:val="44"/>
        </w:rPr>
      </w:pPr>
      <w:r>
        <w:rPr>
          <w:rFonts w:hint="eastAsia" w:ascii="宋体" w:cs="黑体"/>
          <w:b/>
          <w:snapToGrid w:val="0"/>
          <w:kern w:val="0"/>
          <w:sz w:val="44"/>
          <w:szCs w:val="44"/>
          <w:u w:val="single"/>
        </w:rPr>
        <w:t>宁波市烟草公司配送中心全品规备货系统扩容技改项目</w:t>
      </w:r>
    </w:p>
    <w:p>
      <w:pPr>
        <w:autoSpaceDE w:val="0"/>
        <w:autoSpaceDN w:val="0"/>
        <w:adjustRightInd w:val="0"/>
        <w:snapToGrid w:val="0"/>
        <w:spacing w:line="360" w:lineRule="auto"/>
        <w:jc w:val="center"/>
        <w:outlineLvl w:val="0"/>
        <w:rPr>
          <w:rFonts w:ascii="宋体"/>
          <w:b/>
          <w:snapToGrid w:val="0"/>
          <w:kern w:val="0"/>
          <w:sz w:val="32"/>
          <w:szCs w:val="32"/>
          <w:u w:val="single"/>
        </w:rPr>
      </w:pPr>
      <w:bookmarkStart w:id="158" w:name="_Toc23600"/>
      <w:r>
        <w:rPr>
          <w:rFonts w:hint="eastAsia" w:ascii="宋体"/>
          <w:b/>
          <w:snapToGrid w:val="0"/>
          <w:kern w:val="0"/>
          <w:sz w:val="32"/>
          <w:szCs w:val="32"/>
        </w:rPr>
        <w:t>招标编号：</w:t>
      </w:r>
      <w:bookmarkEnd w:id="158"/>
      <w:r>
        <w:rPr>
          <w:rFonts w:hint="eastAsia" w:ascii="宋体"/>
          <w:b/>
          <w:snapToGrid w:val="0"/>
          <w:kern w:val="0"/>
          <w:sz w:val="32"/>
          <w:szCs w:val="32"/>
          <w:u w:val="single"/>
        </w:rPr>
        <w:t>NBYC-CT3302250206*（ZGZB2025-251）</w:t>
      </w:r>
    </w:p>
    <w:p>
      <w:pPr>
        <w:autoSpaceDE w:val="0"/>
        <w:autoSpaceDN w:val="0"/>
        <w:adjustRightInd w:val="0"/>
        <w:snapToGrid w:val="0"/>
        <w:spacing w:line="360" w:lineRule="auto"/>
        <w:jc w:val="center"/>
        <w:rPr>
          <w:rFonts w:ascii="宋体"/>
          <w:snapToGrid w:val="0"/>
          <w:kern w:val="0"/>
          <w:sz w:val="52"/>
          <w:szCs w:val="52"/>
        </w:rPr>
      </w:pPr>
    </w:p>
    <w:p>
      <w:pPr>
        <w:jc w:val="center"/>
        <w:rPr>
          <w:rFonts w:ascii="宋体"/>
          <w:sz w:val="24"/>
        </w:rPr>
      </w:pPr>
      <w:r>
        <w:rPr>
          <w:rFonts w:hint="eastAsia" w:ascii="宋体"/>
          <w:b/>
          <w:snapToGrid w:val="0"/>
          <w:kern w:val="0"/>
          <w:sz w:val="72"/>
          <w:szCs w:val="72"/>
        </w:rPr>
        <w:t>采购合同</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snapToGrid w:val="0"/>
        <w:spacing w:before="119" w:line="272" w:lineRule="atLeast"/>
        <w:jc w:val="center"/>
        <w:rPr>
          <w:rFonts w:ascii="宋体"/>
          <w:sz w:val="24"/>
        </w:rPr>
      </w:pPr>
    </w:p>
    <w:p>
      <w:pPr>
        <w:snapToGrid w:val="0"/>
        <w:spacing w:before="119" w:line="272" w:lineRule="atLeast"/>
        <w:jc w:val="center"/>
        <w:rPr>
          <w:rFonts w:ascii="宋体"/>
          <w:sz w:val="24"/>
        </w:rPr>
      </w:pPr>
    </w:p>
    <w:p>
      <w:pPr>
        <w:snapToGrid w:val="0"/>
        <w:spacing w:before="119" w:line="272" w:lineRule="atLeast"/>
        <w:jc w:val="center"/>
        <w:rPr>
          <w:rFonts w:ascii="宋体"/>
          <w:sz w:val="24"/>
        </w:rPr>
      </w:pPr>
    </w:p>
    <w:p>
      <w:pPr>
        <w:snapToGrid w:val="0"/>
        <w:spacing w:before="119" w:line="272" w:lineRule="atLeast"/>
        <w:jc w:val="center"/>
        <w:rPr>
          <w:rFonts w:ascii="宋体"/>
          <w:sz w:val="24"/>
        </w:rPr>
      </w:pPr>
    </w:p>
    <w:p>
      <w:pPr>
        <w:snapToGrid w:val="0"/>
        <w:spacing w:before="119" w:line="272" w:lineRule="atLeast"/>
        <w:jc w:val="center"/>
        <w:rPr>
          <w:rFonts w:ascii="宋体"/>
          <w:sz w:val="24"/>
        </w:rPr>
      </w:pPr>
    </w:p>
    <w:p>
      <w:pPr>
        <w:snapToGrid w:val="0"/>
        <w:spacing w:before="119" w:line="272" w:lineRule="atLeast"/>
        <w:jc w:val="center"/>
        <w:rPr>
          <w:rFonts w:ascii="宋体"/>
          <w:sz w:val="24"/>
        </w:rPr>
      </w:pPr>
    </w:p>
    <w:p>
      <w:pPr>
        <w:spacing w:line="360" w:lineRule="auto"/>
        <w:ind w:left="2268" w:leftChars="1080"/>
        <w:rPr>
          <w:rFonts w:ascii="宋体"/>
          <w:sz w:val="24"/>
          <w:u w:val="single"/>
        </w:rPr>
      </w:pPr>
      <w:r>
        <w:rPr>
          <w:rFonts w:hint="eastAsia" w:ascii="宋体"/>
          <w:sz w:val="24"/>
        </w:rPr>
        <w:t>采购方（甲方）：</w:t>
      </w:r>
      <w:r>
        <w:rPr>
          <w:rFonts w:hint="eastAsia" w:ascii="宋体"/>
          <w:sz w:val="24"/>
          <w:u w:val="single"/>
        </w:rPr>
        <w:t xml:space="preserve"> 浙江省烟草公司宁波市公司 </w:t>
      </w:r>
    </w:p>
    <w:p>
      <w:pPr>
        <w:spacing w:line="360" w:lineRule="auto"/>
        <w:ind w:left="2268" w:leftChars="1080"/>
        <w:rPr>
          <w:rFonts w:ascii="宋体"/>
          <w:sz w:val="24"/>
        </w:rPr>
      </w:pPr>
      <w:r>
        <w:rPr>
          <w:rFonts w:hint="eastAsia" w:ascii="宋体"/>
          <w:sz w:val="24"/>
        </w:rPr>
        <w:t>供应方（乙方）：</w:t>
      </w:r>
      <w:r>
        <w:rPr>
          <w:rFonts w:hint="eastAsia" w:ascii="宋体"/>
          <w:sz w:val="24"/>
          <w:u w:val="single"/>
        </w:rPr>
        <w:t xml:space="preserve">                          </w:t>
      </w:r>
    </w:p>
    <w:p>
      <w:pPr>
        <w:spacing w:line="360" w:lineRule="auto"/>
        <w:rPr>
          <w:rFonts w:ascii="宋体"/>
          <w:sz w:val="24"/>
          <w:highlight w:val="yellow"/>
        </w:rPr>
        <w:sectPr>
          <w:headerReference r:id="rId15" w:type="default"/>
          <w:footerReference r:id="rId16" w:type="default"/>
          <w:pgSz w:w="11906" w:h="16838"/>
          <w:pgMar w:top="1236" w:right="1134" w:bottom="1134" w:left="1134" w:header="680" w:footer="680" w:gutter="0"/>
          <w:cols w:space="720" w:num="1"/>
          <w:docGrid w:linePitch="312" w:charSpace="0"/>
        </w:sectPr>
      </w:pPr>
    </w:p>
    <w:p>
      <w:pPr>
        <w:spacing w:line="360" w:lineRule="auto"/>
        <w:rPr>
          <w:rFonts w:ascii="宋体"/>
          <w:sz w:val="24"/>
        </w:rPr>
      </w:pPr>
      <w:r>
        <w:rPr>
          <w:rFonts w:hint="eastAsia" w:ascii="宋体"/>
          <w:sz w:val="24"/>
        </w:rPr>
        <w:t>采购方（以下简称“甲方”）：</w:t>
      </w:r>
      <w:r>
        <w:rPr>
          <w:rFonts w:hint="eastAsia" w:ascii="宋体"/>
          <w:sz w:val="24"/>
          <w:u w:val="single"/>
        </w:rPr>
        <w:t xml:space="preserve"> 浙江省烟草公司宁波市公司 </w:t>
      </w:r>
    </w:p>
    <w:p>
      <w:pPr>
        <w:spacing w:line="360" w:lineRule="auto"/>
        <w:rPr>
          <w:rFonts w:ascii="宋体"/>
          <w:sz w:val="24"/>
        </w:rPr>
      </w:pPr>
      <w:r>
        <w:rPr>
          <w:rFonts w:hint="eastAsia" w:ascii="宋体"/>
          <w:sz w:val="24"/>
        </w:rPr>
        <w:t>供应方（以下简称“乙方”）：</w:t>
      </w:r>
      <w:r>
        <w:rPr>
          <w:rFonts w:hint="eastAsia" w:ascii="宋体"/>
          <w:sz w:val="24"/>
          <w:u w:val="single"/>
        </w:rPr>
        <w:t xml:space="preserve">                          </w:t>
      </w:r>
    </w:p>
    <w:p>
      <w:pPr>
        <w:spacing w:line="360" w:lineRule="auto"/>
        <w:ind w:firstLine="488" w:firstLineChars="200"/>
        <w:rPr>
          <w:rFonts w:ascii="宋体"/>
          <w:bCs/>
          <w:spacing w:val="2"/>
          <w:sz w:val="24"/>
          <w:highlight w:val="yellow"/>
        </w:rPr>
      </w:pPr>
    </w:p>
    <w:p>
      <w:pPr>
        <w:spacing w:line="360" w:lineRule="auto"/>
        <w:ind w:firstLine="488" w:firstLineChars="200"/>
        <w:rPr>
          <w:rFonts w:ascii="宋体"/>
          <w:bCs/>
          <w:spacing w:val="2"/>
          <w:sz w:val="24"/>
        </w:rPr>
      </w:pPr>
      <w:r>
        <w:rPr>
          <w:rFonts w:hint="eastAsia" w:ascii="宋体"/>
          <w:bCs/>
          <w:spacing w:val="2"/>
          <w:sz w:val="24"/>
        </w:rPr>
        <w:t>根据公开招标中标结果及《中华人民共和国民法典》和相关法律、法规，甲、乙双方本着诚实信用、平等互利的原则，签订本合同。</w:t>
      </w:r>
    </w:p>
    <w:p>
      <w:pPr>
        <w:snapToGrid w:val="0"/>
        <w:spacing w:line="360" w:lineRule="auto"/>
        <w:jc w:val="center"/>
        <w:outlineLvl w:val="0"/>
        <w:rPr>
          <w:rFonts w:ascii="宋体"/>
          <w:b/>
          <w:sz w:val="24"/>
        </w:rPr>
      </w:pPr>
      <w:bookmarkStart w:id="159" w:name="_Toc5680"/>
      <w:bookmarkStart w:id="160" w:name="_Toc25519"/>
      <w:bookmarkStart w:id="161" w:name="_Toc31840"/>
      <w:r>
        <w:rPr>
          <w:rFonts w:hint="eastAsia" w:ascii="宋体"/>
          <w:b/>
          <w:sz w:val="24"/>
        </w:rPr>
        <w:t>第一章  合同文件</w:t>
      </w:r>
      <w:bookmarkEnd w:id="159"/>
      <w:bookmarkEnd w:id="160"/>
      <w:bookmarkEnd w:id="161"/>
    </w:p>
    <w:p>
      <w:pPr>
        <w:snapToGrid w:val="0"/>
        <w:spacing w:line="360" w:lineRule="auto"/>
        <w:ind w:firstLine="482" w:firstLineChars="200"/>
        <w:rPr>
          <w:rFonts w:ascii="宋体"/>
          <w:sz w:val="24"/>
        </w:rPr>
      </w:pPr>
      <w:r>
        <w:rPr>
          <w:rFonts w:hint="eastAsia" w:ascii="宋体"/>
          <w:b/>
          <w:bCs/>
          <w:sz w:val="24"/>
          <w:lang w:val="zh-CN"/>
        </w:rPr>
        <w:t>第一条</w:t>
      </w:r>
      <w:r>
        <w:rPr>
          <w:rFonts w:hint="eastAsia" w:ascii="宋体"/>
          <w:b/>
          <w:bCs/>
          <w:sz w:val="24"/>
        </w:rPr>
        <w:t xml:space="preserve"> </w:t>
      </w:r>
      <w:r>
        <w:rPr>
          <w:rFonts w:hint="eastAsia" w:ascii="宋体"/>
          <w:sz w:val="24"/>
        </w:rPr>
        <w:t>下列文件构成本合同的组成部分，应该认为是一个整体，彼此相互解释，相互补充，就同一事项多个文件约定不一致的，以签署时间在后的文件为准：</w:t>
      </w:r>
    </w:p>
    <w:p>
      <w:pPr>
        <w:snapToGrid w:val="0"/>
        <w:spacing w:line="360" w:lineRule="auto"/>
        <w:ind w:firstLine="539"/>
        <w:rPr>
          <w:rFonts w:ascii="宋体"/>
          <w:sz w:val="24"/>
        </w:rPr>
      </w:pPr>
      <w:r>
        <w:rPr>
          <w:rFonts w:hint="eastAsia" w:ascii="宋体"/>
          <w:sz w:val="24"/>
        </w:rPr>
        <w:t>1.本合同书；</w:t>
      </w:r>
    </w:p>
    <w:p>
      <w:pPr>
        <w:snapToGrid w:val="0"/>
        <w:spacing w:line="360" w:lineRule="auto"/>
        <w:ind w:firstLine="539"/>
        <w:rPr>
          <w:rFonts w:ascii="宋体"/>
          <w:sz w:val="24"/>
        </w:rPr>
      </w:pPr>
      <w:r>
        <w:rPr>
          <w:rFonts w:hint="eastAsia" w:ascii="宋体"/>
          <w:sz w:val="24"/>
        </w:rPr>
        <w:t>2.中标通知书；</w:t>
      </w:r>
    </w:p>
    <w:p>
      <w:pPr>
        <w:snapToGrid w:val="0"/>
        <w:spacing w:line="360" w:lineRule="auto"/>
        <w:ind w:firstLine="539"/>
        <w:rPr>
          <w:rFonts w:ascii="宋体"/>
          <w:sz w:val="24"/>
        </w:rPr>
      </w:pPr>
      <w:r>
        <w:rPr>
          <w:rFonts w:hint="eastAsia" w:ascii="宋体"/>
          <w:sz w:val="24"/>
        </w:rPr>
        <w:t>3.变更补充文件；</w:t>
      </w:r>
    </w:p>
    <w:p>
      <w:pPr>
        <w:snapToGrid w:val="0"/>
        <w:spacing w:line="360" w:lineRule="auto"/>
        <w:ind w:firstLine="539"/>
        <w:rPr>
          <w:rFonts w:ascii="宋体"/>
          <w:sz w:val="24"/>
        </w:rPr>
      </w:pPr>
      <w:r>
        <w:rPr>
          <w:rFonts w:hint="eastAsia" w:ascii="宋体"/>
          <w:sz w:val="24"/>
        </w:rPr>
        <w:t>4.招标文件（含澄清修改文件）；</w:t>
      </w:r>
    </w:p>
    <w:p>
      <w:pPr>
        <w:snapToGrid w:val="0"/>
        <w:spacing w:line="360" w:lineRule="auto"/>
        <w:ind w:firstLine="539"/>
        <w:rPr>
          <w:rFonts w:ascii="宋体"/>
          <w:sz w:val="24"/>
        </w:rPr>
      </w:pPr>
      <w:r>
        <w:rPr>
          <w:rFonts w:hint="eastAsia" w:ascii="宋体"/>
          <w:sz w:val="24"/>
        </w:rPr>
        <w:t>5.中标人投标文件（含澄清文件）；</w:t>
      </w:r>
    </w:p>
    <w:p>
      <w:pPr>
        <w:snapToGrid w:val="0"/>
        <w:spacing w:line="360" w:lineRule="auto"/>
        <w:ind w:firstLine="539"/>
        <w:rPr>
          <w:rFonts w:ascii="宋体"/>
          <w:sz w:val="24"/>
        </w:rPr>
      </w:pPr>
      <w:r>
        <w:rPr>
          <w:rFonts w:hint="eastAsia" w:ascii="宋体"/>
          <w:sz w:val="24"/>
        </w:rPr>
        <w:t>6.甲、乙双方商定的其他必要文件。</w:t>
      </w:r>
    </w:p>
    <w:p>
      <w:pPr>
        <w:snapToGrid w:val="0"/>
        <w:spacing w:line="360" w:lineRule="auto"/>
        <w:jc w:val="center"/>
        <w:outlineLvl w:val="0"/>
        <w:rPr>
          <w:rFonts w:ascii="宋体"/>
          <w:b/>
          <w:sz w:val="24"/>
        </w:rPr>
      </w:pPr>
      <w:bookmarkStart w:id="162" w:name="_Toc30700"/>
      <w:bookmarkStart w:id="163" w:name="_Toc4294"/>
      <w:bookmarkStart w:id="164" w:name="_Toc21145"/>
      <w:r>
        <w:rPr>
          <w:rFonts w:hint="eastAsia" w:ascii="宋体"/>
          <w:b/>
          <w:sz w:val="24"/>
        </w:rPr>
        <w:t>第二章  合同标的</w:t>
      </w:r>
      <w:bookmarkEnd w:id="162"/>
      <w:bookmarkEnd w:id="163"/>
      <w:bookmarkEnd w:id="164"/>
    </w:p>
    <w:p>
      <w:pPr>
        <w:snapToGrid w:val="0"/>
        <w:spacing w:line="360" w:lineRule="auto"/>
        <w:ind w:firstLine="482" w:firstLineChars="200"/>
        <w:outlineLvl w:val="1"/>
        <w:rPr>
          <w:rFonts w:ascii="宋体"/>
          <w:sz w:val="24"/>
          <w:u w:val="single"/>
        </w:rPr>
      </w:pPr>
      <w:bookmarkStart w:id="165" w:name="_Toc21230"/>
      <w:bookmarkStart w:id="166" w:name="_Toc13325"/>
      <w:bookmarkStart w:id="167" w:name="_Toc14540"/>
      <w:r>
        <w:rPr>
          <w:rFonts w:hint="eastAsia" w:ascii="宋体"/>
          <w:b/>
          <w:sz w:val="24"/>
        </w:rPr>
        <w:t>第二条</w:t>
      </w:r>
      <w:r>
        <w:rPr>
          <w:rFonts w:hint="eastAsia" w:ascii="宋体"/>
          <w:sz w:val="24"/>
        </w:rPr>
        <w:t xml:space="preserve"> 本合同标的为甲方需要的</w:t>
      </w:r>
      <w:r>
        <w:rPr>
          <w:rFonts w:hint="eastAsia" w:ascii="宋体"/>
          <w:bCs/>
          <w:spacing w:val="2"/>
          <w:sz w:val="24"/>
        </w:rPr>
        <w:t>□</w:t>
      </w:r>
      <w:r>
        <w:rPr>
          <w:rFonts w:hint="eastAsia" w:ascii="宋体"/>
          <w:sz w:val="24"/>
        </w:rPr>
        <w:t>服务</w:t>
      </w:r>
      <w:r>
        <w:rPr>
          <w:rFonts w:ascii="Segoe UI Symbol" w:hAnsi="Segoe UI Symbol" w:cs="Segoe UI Symbol"/>
          <w:bCs/>
          <w:spacing w:val="2"/>
          <w:sz w:val="24"/>
        </w:rPr>
        <w:t>☑</w:t>
      </w:r>
      <w:r>
        <w:rPr>
          <w:rFonts w:hint="eastAsia" w:ascii="宋体"/>
          <w:sz w:val="24"/>
        </w:rPr>
        <w:t>物资，具体包括：</w:t>
      </w:r>
      <w:bookmarkEnd w:id="165"/>
      <w:bookmarkEnd w:id="166"/>
      <w:bookmarkEnd w:id="167"/>
      <w:r>
        <w:rPr>
          <w:rFonts w:hint="eastAsia" w:ascii="宋体"/>
          <w:sz w:val="24"/>
          <w:u w:val="single"/>
        </w:rPr>
        <w:t>详见招标文件第三章“招标内容及要求”。</w:t>
      </w:r>
      <w:bookmarkStart w:id="168" w:name="OLE_LINK2"/>
    </w:p>
    <w:p>
      <w:pPr>
        <w:snapToGrid w:val="0"/>
        <w:spacing w:line="360" w:lineRule="auto"/>
        <w:jc w:val="center"/>
        <w:outlineLvl w:val="0"/>
        <w:rPr>
          <w:rFonts w:ascii="宋体"/>
          <w:b/>
          <w:sz w:val="24"/>
          <w:lang w:val="zh-CN"/>
        </w:rPr>
      </w:pPr>
      <w:bookmarkStart w:id="169" w:name="_Toc32509"/>
      <w:bookmarkStart w:id="170" w:name="_Toc11662"/>
      <w:bookmarkStart w:id="171" w:name="_Toc28350"/>
      <w:r>
        <w:rPr>
          <w:rFonts w:hint="eastAsia" w:ascii="宋体"/>
          <w:b/>
          <w:sz w:val="24"/>
          <w:lang w:val="zh-CN"/>
        </w:rPr>
        <w:t>第三章  合同内容及工期</w:t>
      </w:r>
      <w:bookmarkEnd w:id="169"/>
      <w:bookmarkEnd w:id="170"/>
      <w:bookmarkEnd w:id="171"/>
    </w:p>
    <w:p>
      <w:pPr>
        <w:snapToGrid w:val="0"/>
        <w:spacing w:line="360" w:lineRule="auto"/>
        <w:ind w:firstLine="482" w:firstLineChars="200"/>
        <w:rPr>
          <w:rFonts w:ascii="宋体"/>
          <w:b/>
          <w:sz w:val="24"/>
        </w:rPr>
      </w:pPr>
      <w:r>
        <w:rPr>
          <w:rFonts w:hint="eastAsia" w:ascii="宋体"/>
          <w:b/>
          <w:sz w:val="24"/>
        </w:rPr>
        <w:t xml:space="preserve">第三条 </w:t>
      </w:r>
      <w:r>
        <w:rPr>
          <w:rFonts w:hint="eastAsia" w:ascii="宋体"/>
          <w:bCs/>
          <w:sz w:val="24"/>
        </w:rPr>
        <w:t>项目负责人及</w:t>
      </w:r>
      <w:r>
        <w:rPr>
          <w:rFonts w:hint="eastAsia" w:ascii="宋体"/>
          <w:sz w:val="24"/>
        </w:rPr>
        <w:t>实施地点：</w:t>
      </w:r>
    </w:p>
    <w:p>
      <w:pPr>
        <w:snapToGrid w:val="0"/>
        <w:spacing w:line="360" w:lineRule="auto"/>
        <w:ind w:firstLine="480" w:firstLineChars="200"/>
        <w:rPr>
          <w:rFonts w:ascii="宋体"/>
          <w:bCs/>
          <w:sz w:val="24"/>
        </w:rPr>
      </w:pPr>
      <w:r>
        <w:rPr>
          <w:rFonts w:hint="eastAsia" w:ascii="宋体"/>
          <w:bCs/>
          <w:sz w:val="24"/>
        </w:rPr>
        <w:t>1、甲方项目负责人：</w:t>
      </w:r>
      <w:r>
        <w:rPr>
          <w:rFonts w:hint="eastAsia" w:ascii="宋体"/>
          <w:bCs/>
          <w:sz w:val="24"/>
          <w:u w:val="single"/>
        </w:rPr>
        <w:t xml:space="preserve">                   </w:t>
      </w:r>
      <w:r>
        <w:rPr>
          <w:rFonts w:hint="eastAsia" w:ascii="宋体"/>
          <w:bCs/>
          <w:sz w:val="24"/>
        </w:rPr>
        <w:t>，联系方式：</w:t>
      </w:r>
      <w:r>
        <w:rPr>
          <w:rFonts w:hint="eastAsia" w:ascii="宋体"/>
          <w:bCs/>
          <w:sz w:val="24"/>
          <w:u w:val="single"/>
        </w:rPr>
        <w:t xml:space="preserve">                     </w:t>
      </w:r>
      <w:r>
        <w:rPr>
          <w:rFonts w:hint="eastAsia" w:ascii="宋体"/>
          <w:bCs/>
          <w:sz w:val="24"/>
        </w:rPr>
        <w:t>；</w:t>
      </w:r>
    </w:p>
    <w:p>
      <w:pPr>
        <w:snapToGrid w:val="0"/>
        <w:spacing w:line="360" w:lineRule="auto"/>
        <w:ind w:firstLine="480" w:firstLineChars="200"/>
        <w:rPr>
          <w:rFonts w:ascii="宋体"/>
          <w:bCs/>
          <w:sz w:val="24"/>
        </w:rPr>
      </w:pPr>
      <w:r>
        <w:rPr>
          <w:rFonts w:hint="eastAsia" w:ascii="宋体"/>
          <w:bCs/>
          <w:sz w:val="24"/>
        </w:rPr>
        <w:t>2、乙方项目负责人：</w:t>
      </w:r>
      <w:r>
        <w:rPr>
          <w:rFonts w:hint="eastAsia" w:ascii="宋体"/>
          <w:bCs/>
          <w:sz w:val="24"/>
          <w:u w:val="single"/>
        </w:rPr>
        <w:t xml:space="preserve">                   </w:t>
      </w:r>
      <w:r>
        <w:rPr>
          <w:rFonts w:hint="eastAsia" w:ascii="宋体"/>
          <w:bCs/>
          <w:sz w:val="24"/>
        </w:rPr>
        <w:t>，联系方式：</w:t>
      </w:r>
      <w:r>
        <w:rPr>
          <w:rFonts w:hint="eastAsia" w:ascii="宋体"/>
          <w:bCs/>
          <w:sz w:val="24"/>
          <w:u w:val="single"/>
        </w:rPr>
        <w:t xml:space="preserve">                     </w:t>
      </w:r>
      <w:r>
        <w:rPr>
          <w:rFonts w:hint="eastAsia" w:ascii="宋体"/>
          <w:bCs/>
          <w:sz w:val="24"/>
        </w:rPr>
        <w:t>；</w:t>
      </w:r>
    </w:p>
    <w:p>
      <w:pPr>
        <w:snapToGrid w:val="0"/>
        <w:spacing w:line="360" w:lineRule="auto"/>
        <w:ind w:firstLine="480" w:firstLineChars="200"/>
        <w:rPr>
          <w:rFonts w:ascii="宋体"/>
          <w:bCs/>
          <w:sz w:val="24"/>
        </w:rPr>
      </w:pPr>
      <w:r>
        <w:rPr>
          <w:rFonts w:hint="eastAsia" w:ascii="宋体"/>
          <w:bCs/>
          <w:sz w:val="24"/>
        </w:rPr>
        <w:t>3、实施地点：</w:t>
      </w:r>
      <w:r>
        <w:rPr>
          <w:rFonts w:hint="eastAsia" w:ascii="宋体"/>
          <w:bCs/>
          <w:sz w:val="24"/>
          <w:u w:val="single"/>
        </w:rPr>
        <w:t>浙江省宁波市海曙区科创南路269号宁波烟草卷烟配送中心</w:t>
      </w:r>
      <w:r>
        <w:rPr>
          <w:rFonts w:hint="eastAsia" w:ascii="宋体"/>
          <w:bCs/>
          <w:sz w:val="24"/>
        </w:rPr>
        <w:t>。</w:t>
      </w:r>
    </w:p>
    <w:p>
      <w:pPr>
        <w:snapToGrid w:val="0"/>
        <w:spacing w:line="360" w:lineRule="auto"/>
        <w:ind w:firstLine="482" w:firstLineChars="200"/>
        <w:rPr>
          <w:rFonts w:ascii="宋体"/>
          <w:sz w:val="24"/>
          <w:u w:val="single"/>
        </w:rPr>
      </w:pPr>
      <w:r>
        <w:rPr>
          <w:rFonts w:hint="eastAsia" w:ascii="宋体"/>
          <w:b/>
          <w:sz w:val="24"/>
        </w:rPr>
        <w:t xml:space="preserve">第四条 </w:t>
      </w:r>
      <w:r>
        <w:rPr>
          <w:rFonts w:hint="eastAsia" w:ascii="宋体"/>
          <w:bCs/>
          <w:sz w:val="24"/>
          <w:u w:val="single"/>
          <w:lang w:val="zh-CN"/>
        </w:rPr>
        <w:t>详见招标文件“第三章 招标内容及要求”。</w:t>
      </w:r>
    </w:p>
    <w:p>
      <w:pPr>
        <w:snapToGrid w:val="0"/>
        <w:spacing w:line="360" w:lineRule="auto"/>
        <w:jc w:val="center"/>
        <w:outlineLvl w:val="0"/>
        <w:rPr>
          <w:rFonts w:ascii="宋体"/>
          <w:b/>
          <w:sz w:val="24"/>
          <w:lang w:val="zh-CN"/>
        </w:rPr>
      </w:pPr>
      <w:bookmarkStart w:id="172" w:name="_Toc19072"/>
      <w:bookmarkStart w:id="173" w:name="_Toc16202"/>
      <w:bookmarkStart w:id="174" w:name="_Toc22701"/>
      <w:r>
        <w:rPr>
          <w:rFonts w:hint="eastAsia" w:ascii="宋体"/>
          <w:b/>
          <w:sz w:val="24"/>
          <w:lang w:val="zh-CN"/>
        </w:rPr>
        <w:t>第四章</w:t>
      </w:r>
      <w:r>
        <w:rPr>
          <w:rFonts w:hint="eastAsia" w:ascii="宋体"/>
          <w:b/>
          <w:sz w:val="24"/>
        </w:rPr>
        <w:t xml:space="preserve">  </w:t>
      </w:r>
      <w:r>
        <w:rPr>
          <w:rFonts w:hint="eastAsia" w:ascii="宋体"/>
          <w:b/>
          <w:sz w:val="24"/>
          <w:lang w:val="zh-CN"/>
        </w:rPr>
        <w:t>合同期限</w:t>
      </w:r>
      <w:bookmarkEnd w:id="172"/>
      <w:bookmarkEnd w:id="173"/>
      <w:bookmarkEnd w:id="174"/>
    </w:p>
    <w:p>
      <w:pPr>
        <w:snapToGrid w:val="0"/>
        <w:spacing w:line="360" w:lineRule="auto"/>
        <w:ind w:firstLine="482" w:firstLineChars="200"/>
        <w:jc w:val="left"/>
        <w:rPr>
          <w:rFonts w:ascii="宋体"/>
          <w:bCs/>
          <w:sz w:val="24"/>
          <w:lang w:val="zh-CN"/>
        </w:rPr>
      </w:pPr>
      <w:r>
        <w:rPr>
          <w:rFonts w:hint="eastAsia" w:ascii="宋体"/>
          <w:b/>
          <w:sz w:val="24"/>
          <w:lang w:val="zh-CN"/>
        </w:rPr>
        <w:t>第五条</w:t>
      </w:r>
      <w:r>
        <w:rPr>
          <w:rFonts w:hint="eastAsia" w:ascii="宋体"/>
          <w:b/>
          <w:sz w:val="24"/>
        </w:rPr>
        <w:t xml:space="preserve"> </w:t>
      </w:r>
      <w:r>
        <w:rPr>
          <w:rFonts w:hint="eastAsia" w:ascii="宋体"/>
          <w:bCs/>
          <w:sz w:val="24"/>
        </w:rPr>
        <w:t>工期</w:t>
      </w:r>
      <w:r>
        <w:rPr>
          <w:rFonts w:hint="eastAsia" w:cs="宋体"/>
          <w:bCs/>
          <w:sz w:val="24"/>
        </w:rPr>
        <w:t>：合同签订完毕，自接到甲方供货安装通知后90日历天内完成设备供货、安装、调试，并具备基本生产条件。</w:t>
      </w:r>
    </w:p>
    <w:p>
      <w:pPr>
        <w:snapToGrid w:val="0"/>
        <w:spacing w:line="360" w:lineRule="auto"/>
        <w:jc w:val="center"/>
        <w:outlineLvl w:val="0"/>
        <w:rPr>
          <w:rFonts w:ascii="宋体"/>
          <w:b/>
          <w:sz w:val="24"/>
          <w:lang w:val="zh-CN"/>
        </w:rPr>
      </w:pPr>
      <w:bookmarkStart w:id="175" w:name="_Toc16699"/>
      <w:bookmarkStart w:id="176" w:name="_Toc9235"/>
      <w:bookmarkStart w:id="177" w:name="_Toc31953"/>
      <w:r>
        <w:rPr>
          <w:rFonts w:hint="eastAsia" w:ascii="宋体"/>
          <w:b/>
          <w:sz w:val="24"/>
          <w:lang w:val="zh-CN"/>
        </w:rPr>
        <w:t>第五章</w:t>
      </w:r>
      <w:r>
        <w:rPr>
          <w:rFonts w:hint="eastAsia" w:ascii="宋体"/>
          <w:b/>
          <w:sz w:val="24"/>
        </w:rPr>
        <w:t xml:space="preserve">  </w:t>
      </w:r>
      <w:r>
        <w:rPr>
          <w:rFonts w:hint="eastAsia" w:ascii="宋体"/>
          <w:b/>
          <w:sz w:val="24"/>
          <w:lang w:val="zh-CN"/>
        </w:rPr>
        <w:t>价格及付款</w:t>
      </w:r>
      <w:bookmarkEnd w:id="175"/>
      <w:bookmarkEnd w:id="176"/>
      <w:bookmarkEnd w:id="177"/>
    </w:p>
    <w:bookmarkEnd w:id="168"/>
    <w:p>
      <w:pPr>
        <w:snapToGrid w:val="0"/>
        <w:spacing w:line="360" w:lineRule="auto"/>
        <w:ind w:firstLine="482" w:firstLineChars="200"/>
        <w:jc w:val="left"/>
        <w:rPr>
          <w:rFonts w:ascii="宋体"/>
          <w:b/>
          <w:sz w:val="24"/>
        </w:rPr>
      </w:pPr>
      <w:r>
        <w:rPr>
          <w:rFonts w:hint="eastAsia" w:ascii="宋体"/>
          <w:b/>
          <w:bCs/>
          <w:sz w:val="24"/>
          <w:lang w:val="zh-CN"/>
        </w:rPr>
        <w:t>第六条</w:t>
      </w:r>
      <w:r>
        <w:rPr>
          <w:rFonts w:hint="eastAsia" w:ascii="宋体"/>
          <w:bCs/>
          <w:sz w:val="24"/>
          <w:lang w:val="zh-CN"/>
        </w:rPr>
        <w:t xml:space="preserve"> 乙方需在</w:t>
      </w:r>
      <w:r>
        <w:rPr>
          <w:rFonts w:hint="eastAsia" w:ascii="宋体"/>
          <w:bCs/>
          <w:sz w:val="24"/>
          <w:u w:val="single"/>
        </w:rPr>
        <w:t xml:space="preserve"> </w:t>
      </w:r>
      <w:r>
        <w:rPr>
          <w:rFonts w:hint="eastAsia" w:ascii="宋体"/>
          <w:bCs/>
          <w:sz w:val="24"/>
          <w:u w:val="single"/>
          <w:lang w:val="zh-CN"/>
        </w:rPr>
        <w:t>合同签订之日起5个日历天内</w:t>
      </w:r>
      <w:r>
        <w:rPr>
          <w:rFonts w:hint="eastAsia" w:ascii="宋体"/>
          <w:bCs/>
          <w:sz w:val="24"/>
          <w:u w:val="single"/>
        </w:rPr>
        <w:t xml:space="preserve"> </w:t>
      </w:r>
      <w:r>
        <w:rPr>
          <w:rFonts w:hint="eastAsia" w:ascii="宋体"/>
          <w:bCs/>
          <w:sz w:val="24"/>
          <w:lang w:val="zh-CN"/>
        </w:rPr>
        <w:t>缴纳</w:t>
      </w:r>
      <w:r>
        <w:rPr>
          <w:rFonts w:hint="eastAsia" w:ascii="宋体" w:cs="宋体"/>
          <w:snapToGrid w:val="0"/>
          <w:kern w:val="0"/>
          <w:sz w:val="24"/>
        </w:rPr>
        <w:t>□</w:t>
      </w:r>
      <w:r>
        <w:rPr>
          <w:rFonts w:hint="eastAsia" w:ascii="宋体"/>
          <w:bCs/>
          <w:sz w:val="24"/>
        </w:rPr>
        <w:t>¥</w:t>
      </w:r>
      <w:r>
        <w:rPr>
          <w:rFonts w:hint="eastAsia" w:ascii="宋体"/>
          <w:bCs/>
          <w:sz w:val="24"/>
          <w:u w:val="single"/>
        </w:rPr>
        <w:t xml:space="preserve"> </w:t>
      </w:r>
      <w:r>
        <w:rPr>
          <w:rFonts w:hint="eastAsia" w:ascii="宋体" w:cs="宋体"/>
          <w:sz w:val="24"/>
          <w:u w:val="single"/>
        </w:rPr>
        <w:t xml:space="preserve">          </w:t>
      </w:r>
      <w:r>
        <w:rPr>
          <w:rFonts w:hint="eastAsia" w:ascii="宋体" w:cs="宋体"/>
          <w:sz w:val="24"/>
        </w:rPr>
        <w:t>/</w:t>
      </w:r>
      <w:r>
        <w:rPr>
          <w:rFonts w:ascii="Segoe UI Symbol" w:hAnsi="Segoe UI Symbol" w:cs="Segoe UI Symbol"/>
          <w:snapToGrid w:val="0"/>
          <w:kern w:val="0"/>
          <w:sz w:val="24"/>
        </w:rPr>
        <w:t>☑</w:t>
      </w:r>
      <w:r>
        <w:rPr>
          <w:rFonts w:hint="eastAsia" w:ascii="宋体" w:cs="宋体"/>
          <w:sz w:val="24"/>
        </w:rPr>
        <w:t>合同总价的</w:t>
      </w:r>
      <w:r>
        <w:rPr>
          <w:rFonts w:hint="eastAsia" w:ascii="宋体" w:cs="宋体"/>
          <w:sz w:val="24"/>
          <w:u w:val="single"/>
        </w:rPr>
        <w:t xml:space="preserve">  3  </w:t>
      </w:r>
      <w:r>
        <w:rPr>
          <w:rFonts w:hint="eastAsia" w:ascii="宋体" w:cs="宋体"/>
          <w:sz w:val="24"/>
        </w:rPr>
        <w:t>%</w:t>
      </w:r>
      <w:r>
        <w:rPr>
          <w:rFonts w:hint="eastAsia" w:ascii="宋体"/>
          <w:bCs/>
          <w:sz w:val="24"/>
          <w:lang w:val="zh-CN"/>
        </w:rPr>
        <w:t>作为本合同的履约保证金；若乙方拒交履约保证金的，甲方将取消其中标资格，并不予退还其投标保证金。缴纳方式：</w:t>
      </w:r>
      <w:r>
        <w:rPr>
          <w:rFonts w:ascii="Segoe UI Symbol" w:hAnsi="Segoe UI Symbol" w:cs="Segoe UI Symbol"/>
          <w:bCs/>
          <w:spacing w:val="2"/>
          <w:sz w:val="24"/>
        </w:rPr>
        <w:t>☑</w:t>
      </w:r>
      <w:r>
        <w:rPr>
          <w:rFonts w:hint="eastAsia" w:ascii="宋体"/>
          <w:bCs/>
          <w:sz w:val="24"/>
          <w:lang w:val="zh-CN"/>
        </w:rPr>
        <w:t>银行汇票或</w:t>
      </w:r>
      <w:r>
        <w:rPr>
          <w:rFonts w:ascii="Segoe UI Symbol" w:hAnsi="Segoe UI Symbol" w:cs="Segoe UI Symbol"/>
          <w:bCs/>
          <w:spacing w:val="2"/>
          <w:sz w:val="24"/>
        </w:rPr>
        <w:t>☑</w:t>
      </w:r>
      <w:r>
        <w:rPr>
          <w:rFonts w:hint="eastAsia" w:ascii="宋体"/>
          <w:bCs/>
          <w:sz w:val="24"/>
          <w:lang w:val="zh-CN"/>
        </w:rPr>
        <w:t>转账支票或</w:t>
      </w:r>
      <w:r>
        <w:rPr>
          <w:rFonts w:ascii="Segoe UI Symbol" w:hAnsi="Segoe UI Symbol" w:cs="Segoe UI Symbol"/>
          <w:bCs/>
          <w:spacing w:val="2"/>
          <w:sz w:val="24"/>
        </w:rPr>
        <w:t>☑</w:t>
      </w:r>
      <w:r>
        <w:rPr>
          <w:rFonts w:hint="eastAsia" w:ascii="宋体"/>
          <w:bCs/>
          <w:sz w:val="24"/>
          <w:lang w:val="zh-CN"/>
        </w:rPr>
        <w:t>银行转账或□银行保函</w:t>
      </w:r>
      <w:r>
        <w:rPr>
          <w:rFonts w:hint="eastAsia" w:ascii="宋体"/>
          <w:bCs/>
          <w:sz w:val="24"/>
        </w:rPr>
        <w:t>，</w:t>
      </w:r>
      <w:r>
        <w:rPr>
          <w:rFonts w:hint="eastAsia" w:ascii="宋体"/>
          <w:bCs/>
          <w:sz w:val="24"/>
          <w:lang w:val="zh-CN"/>
        </w:rPr>
        <w:t>缴纳至甲方指定账户（</w:t>
      </w:r>
      <w:r>
        <w:rPr>
          <w:rFonts w:hint="eastAsia" w:ascii="宋体"/>
          <w:bCs/>
          <w:sz w:val="24"/>
        </w:rPr>
        <w:t xml:space="preserve">开户行： </w:t>
      </w:r>
      <w:r>
        <w:rPr>
          <w:rFonts w:hint="eastAsia" w:ascii="宋体"/>
          <w:bCs/>
          <w:sz w:val="24"/>
          <w:u w:val="single"/>
        </w:rPr>
        <w:t xml:space="preserve">           </w:t>
      </w:r>
      <w:r>
        <w:rPr>
          <w:rFonts w:hint="eastAsia" w:ascii="宋体"/>
          <w:bCs/>
          <w:sz w:val="24"/>
        </w:rPr>
        <w:t>；开户账号：</w:t>
      </w:r>
      <w:r>
        <w:rPr>
          <w:rFonts w:hint="eastAsia" w:ascii="宋体"/>
          <w:bCs/>
          <w:sz w:val="24"/>
          <w:u w:val="single"/>
        </w:rPr>
        <w:t xml:space="preserve">            </w:t>
      </w:r>
      <w:r>
        <w:rPr>
          <w:rFonts w:hint="eastAsia" w:ascii="宋体"/>
          <w:bCs/>
          <w:sz w:val="24"/>
          <w:lang w:val="zh-CN"/>
        </w:rPr>
        <w:t>；）履约保证金退还时间：</w:t>
      </w:r>
      <w:r>
        <w:rPr>
          <w:rFonts w:hint="eastAsia" w:ascii="宋体"/>
          <w:bCs/>
          <w:sz w:val="24"/>
        </w:rPr>
        <w:t>合同履约完毕，扣除乙方因违约时所需支付的违约金后，</w:t>
      </w:r>
      <w:r>
        <w:rPr>
          <w:rFonts w:hint="eastAsia" w:ascii="宋体"/>
          <w:bCs/>
          <w:sz w:val="24"/>
          <w:u w:val="single"/>
        </w:rPr>
        <w:t xml:space="preserve"> 30 </w:t>
      </w:r>
      <w:r>
        <w:rPr>
          <w:rFonts w:hint="eastAsia" w:ascii="宋体"/>
          <w:bCs/>
          <w:sz w:val="24"/>
        </w:rPr>
        <w:t>个日历天内退还履约保证金；履约保证金以银行保函以外方式缴纳的，一并退还按央行活期存款基准利率计算的银行同期存款利息。</w:t>
      </w:r>
    </w:p>
    <w:p>
      <w:pPr>
        <w:snapToGrid w:val="0"/>
        <w:spacing w:line="360" w:lineRule="auto"/>
        <w:ind w:firstLine="482" w:firstLineChars="200"/>
        <w:jc w:val="left"/>
        <w:rPr>
          <w:rFonts w:ascii="宋体"/>
          <w:b/>
          <w:iCs/>
          <w:sz w:val="24"/>
        </w:rPr>
      </w:pPr>
      <w:r>
        <w:rPr>
          <w:rFonts w:hint="eastAsia" w:ascii="宋体"/>
          <w:b/>
          <w:sz w:val="24"/>
        </w:rPr>
        <w:t xml:space="preserve">第七条 </w:t>
      </w:r>
      <w:r>
        <w:rPr>
          <w:rFonts w:hint="eastAsia" w:ascii="宋体"/>
          <w:sz w:val="24"/>
        </w:rPr>
        <w:t>本合同</w:t>
      </w:r>
      <w:r>
        <w:rPr>
          <w:rFonts w:hint="eastAsia" w:ascii="宋体"/>
          <w:bCs/>
          <w:sz w:val="24"/>
          <w:lang w:val="zh-CN"/>
        </w:rPr>
        <w:t>☑</w:t>
      </w:r>
      <w:r>
        <w:rPr>
          <w:rFonts w:hint="eastAsia" w:ascii="宋体"/>
          <w:bCs/>
          <w:sz w:val="24"/>
        </w:rPr>
        <w:t>总价¥</w:t>
      </w:r>
      <w:r>
        <w:rPr>
          <w:rFonts w:hint="eastAsia" w:ascii="宋体"/>
          <w:bCs/>
          <w:sz w:val="24"/>
          <w:u w:val="single"/>
        </w:rPr>
        <w:t xml:space="preserve">      </w:t>
      </w:r>
      <w:r>
        <w:rPr>
          <w:rFonts w:hint="eastAsia" w:ascii="宋体"/>
          <w:bCs/>
          <w:sz w:val="24"/>
        </w:rPr>
        <w:t>（</w:t>
      </w:r>
      <w:r>
        <w:rPr>
          <w:rFonts w:hint="eastAsia" w:ascii="宋体"/>
          <w:sz w:val="24"/>
        </w:rPr>
        <w:t>大写：</w:t>
      </w:r>
      <w:r>
        <w:rPr>
          <w:rFonts w:hint="eastAsia" w:ascii="宋体"/>
          <w:bCs/>
          <w:sz w:val="24"/>
        </w:rPr>
        <w:t>人民币</w:t>
      </w:r>
      <w:r>
        <w:rPr>
          <w:rFonts w:hint="eastAsia" w:ascii="宋体"/>
          <w:sz w:val="24"/>
          <w:u w:val="single"/>
        </w:rPr>
        <w:t xml:space="preserve">      </w:t>
      </w:r>
      <w:r>
        <w:rPr>
          <w:rFonts w:hint="eastAsia" w:ascii="宋体"/>
          <w:bCs/>
          <w:sz w:val="24"/>
          <w:lang w:val="zh-CN"/>
        </w:rPr>
        <w:t>元</w:t>
      </w:r>
      <w:r>
        <w:rPr>
          <w:rFonts w:hint="eastAsia" w:ascii="宋体"/>
          <w:sz w:val="24"/>
        </w:rPr>
        <w:t>）</w:t>
      </w:r>
      <w:r>
        <w:rPr>
          <w:rFonts w:hint="eastAsia" w:ascii="宋体"/>
          <w:bCs/>
          <w:sz w:val="24"/>
          <w:lang w:val="zh-CN"/>
        </w:rPr>
        <w:t>□</w:t>
      </w:r>
      <w:r>
        <w:rPr>
          <w:rFonts w:hint="eastAsia" w:ascii="宋体"/>
          <w:bCs/>
          <w:sz w:val="24"/>
        </w:rPr>
        <w:t>费率</w:t>
      </w:r>
      <w:r>
        <w:rPr>
          <w:rFonts w:hint="eastAsia" w:ascii="宋体"/>
          <w:bCs/>
          <w:sz w:val="24"/>
          <w:u w:val="single"/>
        </w:rPr>
        <w:t xml:space="preserve">   </w:t>
      </w:r>
      <w:r>
        <w:rPr>
          <w:rFonts w:hint="eastAsia" w:ascii="宋体"/>
          <w:bCs/>
          <w:sz w:val="24"/>
        </w:rPr>
        <w:t>%</w:t>
      </w:r>
      <w:r>
        <w:rPr>
          <w:rFonts w:hint="eastAsia" w:ascii="宋体"/>
          <w:bCs/>
          <w:sz w:val="24"/>
          <w:lang w:val="zh-CN"/>
        </w:rPr>
        <w:t>□</w:t>
      </w:r>
      <w:r>
        <w:rPr>
          <w:rFonts w:hint="eastAsia" w:ascii="宋体"/>
          <w:bCs/>
          <w:sz w:val="24"/>
        </w:rPr>
        <w:t>单项价格</w:t>
      </w:r>
      <w:r>
        <w:rPr>
          <w:rFonts w:hint="eastAsia" w:ascii="宋体"/>
          <w:bCs/>
          <w:sz w:val="24"/>
          <w:u w:val="single"/>
        </w:rPr>
        <w:t>（须附单价清单）</w:t>
      </w:r>
      <w:r>
        <w:rPr>
          <w:rFonts w:hint="eastAsia" w:ascii="宋体"/>
          <w:sz w:val="24"/>
        </w:rPr>
        <w:t>为</w:t>
      </w:r>
      <w:r>
        <w:rPr>
          <w:rFonts w:hint="eastAsia" w:ascii="宋体"/>
          <w:bCs/>
          <w:sz w:val="24"/>
        </w:rPr>
        <w:t>¥</w:t>
      </w:r>
      <w:r>
        <w:rPr>
          <w:rFonts w:hint="eastAsia" w:ascii="宋体"/>
          <w:bCs/>
          <w:sz w:val="24"/>
          <w:u w:val="single"/>
        </w:rPr>
        <w:t xml:space="preserve">      </w:t>
      </w:r>
      <w:r>
        <w:rPr>
          <w:rFonts w:hint="eastAsia" w:ascii="宋体"/>
          <w:bCs/>
          <w:sz w:val="24"/>
        </w:rPr>
        <w:t>（</w:t>
      </w:r>
      <w:r>
        <w:rPr>
          <w:rFonts w:hint="eastAsia" w:ascii="宋体"/>
          <w:sz w:val="24"/>
        </w:rPr>
        <w:t>大写：</w:t>
      </w:r>
      <w:r>
        <w:rPr>
          <w:rFonts w:hint="eastAsia" w:ascii="宋体"/>
          <w:bCs/>
          <w:sz w:val="24"/>
        </w:rPr>
        <w:t>人民币</w:t>
      </w:r>
      <w:r>
        <w:rPr>
          <w:rFonts w:hint="eastAsia" w:ascii="宋体"/>
          <w:sz w:val="24"/>
          <w:u w:val="single"/>
        </w:rPr>
        <w:t xml:space="preserve">      </w:t>
      </w:r>
      <w:r>
        <w:rPr>
          <w:rFonts w:hint="eastAsia" w:ascii="宋体"/>
          <w:bCs/>
          <w:sz w:val="24"/>
          <w:lang w:val="zh-CN"/>
        </w:rPr>
        <w:t>元</w:t>
      </w:r>
      <w:r>
        <w:rPr>
          <w:rFonts w:hint="eastAsia" w:ascii="宋体"/>
          <w:sz w:val="24"/>
        </w:rPr>
        <w:t>）</w:t>
      </w:r>
      <w:r>
        <w:rPr>
          <w:rFonts w:hint="eastAsia" w:ascii="宋体"/>
          <w:sz w:val="24"/>
          <w:lang w:eastAsia="zh-CN"/>
        </w:rPr>
        <w:t>，</w:t>
      </w:r>
      <w:r>
        <w:rPr>
          <w:rFonts w:hint="eastAsia" w:ascii="宋体"/>
          <w:sz w:val="24"/>
          <w:lang w:val="en-US" w:eastAsia="zh-CN"/>
        </w:rPr>
        <w:t>合同总</w:t>
      </w:r>
      <w:r>
        <w:rPr>
          <w:rFonts w:hint="eastAsia" w:ascii="宋体"/>
          <w:sz w:val="24"/>
        </w:rPr>
        <w:t>价须包含但不限于所供系统设备的设计、制作、采购、运输、装卸、开箱、就位、安装、复原、调试、培训、安全责任、售后服务、系统对接、管理费、税金等完成本项目所需的一切费用。安装过程中甲方不负责提供任何施工工具及人工服务。本合同为固定总价合同，合同总价在合同实施期间保持不变，并不因劳务、材料机械等成本的价格变动而做任何调整。</w:t>
      </w:r>
      <w:bookmarkStart w:id="178" w:name="_Toc16475"/>
      <w:bookmarkStart w:id="179" w:name="_Toc8564"/>
      <w:bookmarkStart w:id="180" w:name="_Toc6862"/>
    </w:p>
    <w:p>
      <w:pPr>
        <w:snapToGrid w:val="0"/>
        <w:spacing w:line="360" w:lineRule="auto"/>
        <w:ind w:firstLine="482" w:firstLineChars="200"/>
        <w:jc w:val="left"/>
        <w:outlineLvl w:val="1"/>
        <w:rPr>
          <w:rFonts w:ascii="宋体"/>
          <w:iCs/>
          <w:sz w:val="24"/>
        </w:rPr>
      </w:pPr>
      <w:r>
        <w:rPr>
          <w:rFonts w:hint="eastAsia" w:ascii="宋体"/>
          <w:b/>
          <w:iCs/>
          <w:sz w:val="24"/>
        </w:rPr>
        <w:t xml:space="preserve">第八条 </w:t>
      </w:r>
      <w:r>
        <w:rPr>
          <w:rFonts w:hint="eastAsia" w:ascii="宋体"/>
          <w:iCs/>
          <w:sz w:val="24"/>
        </w:rPr>
        <w:t>支付方式：</w:t>
      </w:r>
      <w:bookmarkEnd w:id="178"/>
      <w:bookmarkEnd w:id="179"/>
      <w:bookmarkEnd w:id="180"/>
    </w:p>
    <w:p>
      <w:pPr>
        <w:snapToGrid w:val="0"/>
        <w:spacing w:line="360" w:lineRule="auto"/>
        <w:ind w:firstLine="480" w:firstLineChars="200"/>
        <w:jc w:val="left"/>
        <w:outlineLvl w:val="1"/>
        <w:rPr>
          <w:rFonts w:ascii="宋体"/>
          <w:iCs/>
          <w:sz w:val="24"/>
        </w:rPr>
      </w:pPr>
      <w:r>
        <w:rPr>
          <w:rFonts w:hint="eastAsia" w:ascii="宋体"/>
          <w:iCs/>
          <w:sz w:val="24"/>
        </w:rPr>
        <w:t>1、货到现场清点无误之日起30个日历天内，乙方向甲方开具正规等额增值税专用发票，在接下来的30个日历天内甲方向乙方支付合同金额30%的款项；</w:t>
      </w:r>
    </w:p>
    <w:p>
      <w:pPr>
        <w:snapToGrid w:val="0"/>
        <w:spacing w:line="360" w:lineRule="auto"/>
        <w:ind w:firstLine="480" w:firstLineChars="200"/>
        <w:jc w:val="left"/>
        <w:outlineLvl w:val="1"/>
        <w:rPr>
          <w:rFonts w:ascii="宋体"/>
          <w:iCs/>
          <w:sz w:val="24"/>
        </w:rPr>
      </w:pPr>
      <w:r>
        <w:rPr>
          <w:rFonts w:hint="eastAsia" w:ascii="宋体"/>
          <w:iCs/>
          <w:sz w:val="24"/>
        </w:rPr>
        <w:t>2、自本项目实施完毕通过初验（验收考核结果作为该考核周期合同款项的支付依据）起30个日历天内，乙方向甲方开具正规等额增值税专用发票，在接下来的30个日历天内甲方向乙方支付合同金额</w:t>
      </w:r>
      <w:r>
        <w:rPr>
          <w:rFonts w:hint="eastAsia" w:ascii="宋体"/>
          <w:iCs/>
          <w:sz w:val="24"/>
          <w:lang w:val="en-US" w:eastAsia="zh-CN"/>
        </w:rPr>
        <w:t>55</w:t>
      </w:r>
      <w:r>
        <w:rPr>
          <w:rFonts w:hint="eastAsia" w:ascii="宋体"/>
          <w:iCs/>
          <w:sz w:val="24"/>
        </w:rPr>
        <w:t>%的款项；</w:t>
      </w:r>
    </w:p>
    <w:p>
      <w:pPr>
        <w:snapToGrid w:val="0"/>
        <w:spacing w:line="360" w:lineRule="auto"/>
        <w:ind w:firstLine="480" w:firstLineChars="200"/>
        <w:jc w:val="left"/>
        <w:outlineLvl w:val="1"/>
        <w:rPr>
          <w:rFonts w:ascii="宋体"/>
          <w:iCs/>
          <w:sz w:val="24"/>
        </w:rPr>
      </w:pPr>
      <w:r>
        <w:rPr>
          <w:rFonts w:hint="eastAsia" w:ascii="宋体"/>
          <w:iCs/>
          <w:sz w:val="24"/>
        </w:rPr>
        <w:t>3、项目终验前，由甲方选定的第三方结算审计中介机构进行结算审计，以其出具的结算审计报告载明的审计价作为本项目最终结算价。终验合格（以签订验收报告为标志）并正式交付使用后30个日历天内，乙方向甲方开具最终结算价中未支付金额的正规增值税专用发票，在接下来的30个日历天内甲方向乙方支付至最终结算价的97%，剩余的3%转为质保金；</w:t>
      </w:r>
    </w:p>
    <w:p>
      <w:pPr>
        <w:snapToGrid w:val="0"/>
        <w:spacing w:line="360" w:lineRule="auto"/>
        <w:ind w:firstLine="480" w:firstLineChars="200"/>
        <w:jc w:val="left"/>
        <w:outlineLvl w:val="1"/>
        <w:rPr>
          <w:rFonts w:ascii="宋体"/>
          <w:iCs/>
          <w:sz w:val="24"/>
        </w:rPr>
      </w:pPr>
      <w:r>
        <w:rPr>
          <w:rFonts w:hint="eastAsia" w:ascii="宋体"/>
          <w:iCs/>
          <w:sz w:val="24"/>
        </w:rPr>
        <w:t>4、自本项目免费质保期届满后，扣除因乙方质量原因所支付的违约金后，甲方在30个日历天内退还质保金，一并退还按央行活期存款基准利率计算的银行同期存款利息。</w:t>
      </w:r>
    </w:p>
    <w:p>
      <w:pPr>
        <w:snapToGrid w:val="0"/>
        <w:spacing w:line="360" w:lineRule="auto"/>
        <w:jc w:val="center"/>
        <w:outlineLvl w:val="0"/>
        <w:rPr>
          <w:rFonts w:ascii="宋体"/>
          <w:b/>
          <w:sz w:val="24"/>
          <w:lang w:val="zh-CN"/>
        </w:rPr>
      </w:pPr>
      <w:bookmarkStart w:id="181" w:name="_Toc21778"/>
      <w:bookmarkStart w:id="182" w:name="_Toc4022"/>
      <w:bookmarkStart w:id="183" w:name="_Toc28875"/>
      <w:r>
        <w:rPr>
          <w:rFonts w:hint="eastAsia" w:ascii="宋体"/>
          <w:b/>
          <w:sz w:val="24"/>
          <w:lang w:val="zh-CN"/>
        </w:rPr>
        <w:t>第六章 双方的权利义务</w:t>
      </w:r>
      <w:bookmarkEnd w:id="181"/>
      <w:bookmarkEnd w:id="182"/>
      <w:bookmarkEnd w:id="183"/>
    </w:p>
    <w:p>
      <w:pPr>
        <w:snapToGrid w:val="0"/>
        <w:spacing w:line="360" w:lineRule="auto"/>
        <w:jc w:val="center"/>
        <w:outlineLvl w:val="1"/>
        <w:rPr>
          <w:rFonts w:ascii="宋体"/>
          <w:b/>
          <w:sz w:val="24"/>
          <w:lang w:val="zh-CN"/>
        </w:rPr>
      </w:pPr>
      <w:bookmarkStart w:id="184" w:name="_Toc12654"/>
      <w:bookmarkStart w:id="185" w:name="_Toc17331"/>
      <w:bookmarkStart w:id="186" w:name="_Toc15836"/>
      <w:r>
        <w:rPr>
          <w:rFonts w:hint="eastAsia" w:ascii="宋体"/>
          <w:b/>
          <w:sz w:val="24"/>
          <w:lang w:val="zh-CN"/>
        </w:rPr>
        <w:t>第一节 甲方的权利义务</w:t>
      </w:r>
      <w:bookmarkEnd w:id="184"/>
      <w:bookmarkEnd w:id="185"/>
      <w:bookmarkEnd w:id="186"/>
    </w:p>
    <w:p>
      <w:pPr>
        <w:snapToGrid w:val="0"/>
        <w:spacing w:line="360" w:lineRule="auto"/>
        <w:ind w:firstLine="482" w:firstLineChars="200"/>
        <w:jc w:val="left"/>
        <w:rPr>
          <w:rFonts w:ascii="宋体"/>
          <w:bCs/>
          <w:sz w:val="24"/>
          <w:lang w:val="zh-CN"/>
        </w:rPr>
      </w:pPr>
      <w:r>
        <w:rPr>
          <w:rFonts w:hint="eastAsia" w:ascii="宋体"/>
          <w:b/>
          <w:sz w:val="24"/>
          <w:lang w:val="zh-CN"/>
        </w:rPr>
        <w:t>第九条</w:t>
      </w:r>
      <w:r>
        <w:rPr>
          <w:rFonts w:hint="eastAsia" w:ascii="宋体"/>
          <w:bCs/>
          <w:sz w:val="24"/>
          <w:lang w:val="zh-CN"/>
        </w:rPr>
        <w:t xml:space="preserve"> 甲方应按照合同的约定向乙方及时、足额的支付款项。</w:t>
      </w:r>
    </w:p>
    <w:p>
      <w:pPr>
        <w:snapToGrid w:val="0"/>
        <w:spacing w:line="360" w:lineRule="auto"/>
        <w:ind w:firstLine="482" w:firstLineChars="200"/>
        <w:jc w:val="left"/>
        <w:rPr>
          <w:rFonts w:ascii="宋体"/>
          <w:bCs/>
          <w:sz w:val="24"/>
          <w:lang w:val="zh-CN"/>
        </w:rPr>
      </w:pPr>
      <w:r>
        <w:rPr>
          <w:rFonts w:hint="eastAsia" w:ascii="宋体"/>
          <w:b/>
          <w:bCs/>
          <w:sz w:val="24"/>
          <w:lang w:val="zh-CN"/>
        </w:rPr>
        <w:t xml:space="preserve">第十条 </w:t>
      </w:r>
      <w:r>
        <w:rPr>
          <w:rFonts w:hint="eastAsia" w:ascii="宋体"/>
          <w:bCs/>
          <w:sz w:val="24"/>
          <w:lang w:val="zh-CN"/>
        </w:rPr>
        <w:t>甲方有权对乙方提供的</w:t>
      </w:r>
      <w:r>
        <w:rPr>
          <w:rFonts w:ascii="Segoe UI Symbol" w:hAnsi="Segoe UI Symbol" w:cs="Segoe UI Symbol"/>
          <w:iCs/>
          <w:sz w:val="24"/>
        </w:rPr>
        <w:t>☑</w:t>
      </w:r>
      <w:r>
        <w:rPr>
          <w:rFonts w:hint="eastAsia" w:ascii="宋体"/>
          <w:bCs/>
          <w:sz w:val="24"/>
          <w:lang w:val="zh-CN"/>
        </w:rPr>
        <w:t>物资</w:t>
      </w:r>
      <w:r>
        <w:rPr>
          <w:rFonts w:hint="eastAsia" w:ascii="宋体"/>
          <w:bCs/>
          <w:sz w:val="24"/>
        </w:rPr>
        <w:t>□</w:t>
      </w:r>
      <w:r>
        <w:rPr>
          <w:rFonts w:hint="eastAsia" w:ascii="宋体"/>
          <w:bCs/>
          <w:sz w:val="24"/>
          <w:lang w:val="zh-CN"/>
        </w:rPr>
        <w:t>服务为进行考察、评判，以确立、取消、奖励或处罚。</w:t>
      </w:r>
    </w:p>
    <w:p>
      <w:pPr>
        <w:snapToGrid w:val="0"/>
        <w:spacing w:line="360" w:lineRule="auto"/>
        <w:ind w:firstLine="482" w:firstLineChars="200"/>
        <w:jc w:val="left"/>
        <w:rPr>
          <w:rFonts w:ascii="宋体"/>
          <w:bCs/>
          <w:sz w:val="24"/>
          <w:lang w:val="zh-CN"/>
        </w:rPr>
      </w:pPr>
      <w:r>
        <w:rPr>
          <w:rFonts w:hint="eastAsia" w:ascii="宋体"/>
          <w:b/>
          <w:bCs/>
          <w:sz w:val="24"/>
          <w:lang w:val="zh-CN"/>
        </w:rPr>
        <w:t>第十一条</w:t>
      </w:r>
      <w:r>
        <w:rPr>
          <w:rFonts w:hint="eastAsia" w:ascii="宋体"/>
          <w:bCs/>
          <w:sz w:val="24"/>
          <w:lang w:val="zh-CN"/>
        </w:rPr>
        <w:t xml:space="preserve"> 甲方有权对乙方提供的</w:t>
      </w:r>
      <w:r>
        <w:rPr>
          <w:rFonts w:ascii="Segoe UI Symbol" w:hAnsi="Segoe UI Symbol" w:cs="Segoe UI Symbol"/>
          <w:iCs/>
          <w:sz w:val="24"/>
        </w:rPr>
        <w:t>☑</w:t>
      </w:r>
      <w:r>
        <w:rPr>
          <w:rFonts w:hint="eastAsia" w:ascii="宋体"/>
          <w:bCs/>
          <w:sz w:val="24"/>
          <w:lang w:val="zh-CN"/>
        </w:rPr>
        <w:t>物资</w:t>
      </w:r>
      <w:r>
        <w:rPr>
          <w:rFonts w:hint="eastAsia" w:ascii="宋体"/>
          <w:bCs/>
          <w:sz w:val="24"/>
        </w:rPr>
        <w:t>□</w:t>
      </w:r>
      <w:r>
        <w:rPr>
          <w:rFonts w:hint="eastAsia" w:ascii="宋体"/>
          <w:bCs/>
          <w:sz w:val="24"/>
          <w:lang w:val="zh-CN"/>
        </w:rPr>
        <w:t>服务及派驻的工作人员提出改进建议和意见并督促乙方整改到位。</w:t>
      </w:r>
    </w:p>
    <w:p>
      <w:pPr>
        <w:snapToGrid w:val="0"/>
        <w:spacing w:line="360" w:lineRule="auto"/>
        <w:ind w:firstLine="482" w:firstLineChars="200"/>
        <w:jc w:val="left"/>
        <w:rPr>
          <w:rFonts w:ascii="宋体"/>
          <w:b/>
          <w:bCs/>
          <w:sz w:val="24"/>
          <w:lang w:val="zh-CN"/>
        </w:rPr>
      </w:pPr>
      <w:r>
        <w:rPr>
          <w:rFonts w:hint="eastAsia" w:ascii="宋体"/>
          <w:b/>
          <w:bCs/>
          <w:sz w:val="24"/>
          <w:lang w:val="zh-CN"/>
        </w:rPr>
        <w:t>第十二条</w:t>
      </w:r>
      <w:r>
        <w:rPr>
          <w:rFonts w:hint="eastAsia" w:ascii="宋体"/>
          <w:b/>
          <w:bCs/>
          <w:sz w:val="24"/>
        </w:rPr>
        <w:t xml:space="preserve"> </w:t>
      </w:r>
      <w:r>
        <w:rPr>
          <w:rFonts w:hint="eastAsia" w:ascii="宋体"/>
          <w:bCs/>
          <w:sz w:val="24"/>
          <w:u w:val="single"/>
          <w:lang w:val="zh-CN"/>
        </w:rPr>
        <w:t>根据不同项目性质进行细化</w:t>
      </w:r>
    </w:p>
    <w:p>
      <w:pPr>
        <w:snapToGrid w:val="0"/>
        <w:spacing w:line="360" w:lineRule="auto"/>
        <w:jc w:val="center"/>
        <w:outlineLvl w:val="1"/>
        <w:rPr>
          <w:rFonts w:ascii="宋体"/>
          <w:b/>
          <w:sz w:val="24"/>
          <w:lang w:val="zh-CN"/>
        </w:rPr>
      </w:pPr>
      <w:bookmarkStart w:id="187" w:name="_Toc14110"/>
      <w:bookmarkStart w:id="188" w:name="_Toc28774"/>
      <w:bookmarkStart w:id="189" w:name="_Toc21917"/>
      <w:r>
        <w:rPr>
          <w:rFonts w:hint="eastAsia" w:ascii="宋体"/>
          <w:b/>
          <w:sz w:val="24"/>
          <w:lang w:val="zh-CN"/>
        </w:rPr>
        <w:t>第二节 乙方的权利义务</w:t>
      </w:r>
      <w:bookmarkEnd w:id="187"/>
      <w:bookmarkEnd w:id="188"/>
      <w:bookmarkEnd w:id="189"/>
    </w:p>
    <w:p>
      <w:pPr>
        <w:snapToGrid w:val="0"/>
        <w:spacing w:line="360" w:lineRule="auto"/>
        <w:ind w:firstLine="482" w:firstLineChars="200"/>
        <w:rPr>
          <w:rFonts w:ascii="宋体"/>
          <w:bCs/>
          <w:sz w:val="24"/>
          <w:lang w:val="zh-CN"/>
        </w:rPr>
      </w:pPr>
      <w:r>
        <w:rPr>
          <w:rFonts w:hint="eastAsia" w:ascii="宋体"/>
          <w:b/>
          <w:sz w:val="24"/>
        </w:rPr>
        <w:t xml:space="preserve">第十三条 </w:t>
      </w:r>
      <w:r>
        <w:rPr>
          <w:rFonts w:hint="eastAsia" w:ascii="宋体"/>
          <w:bCs/>
          <w:sz w:val="24"/>
          <w:lang w:val="zh-CN"/>
        </w:rPr>
        <w:t>乙方有权按照合同的约定向及时、足额向甲方收取款项。</w:t>
      </w:r>
    </w:p>
    <w:p>
      <w:pPr>
        <w:snapToGrid w:val="0"/>
        <w:spacing w:line="360" w:lineRule="auto"/>
        <w:ind w:firstLine="482" w:firstLineChars="200"/>
        <w:rPr>
          <w:rFonts w:ascii="宋体"/>
          <w:sz w:val="24"/>
        </w:rPr>
      </w:pPr>
      <w:r>
        <w:rPr>
          <w:rFonts w:hint="eastAsia" w:ascii="宋体"/>
          <w:b/>
          <w:sz w:val="24"/>
        </w:rPr>
        <w:t>第十四条</w:t>
      </w:r>
      <w:r>
        <w:rPr>
          <w:rFonts w:hint="eastAsia" w:ascii="宋体"/>
          <w:sz w:val="24"/>
        </w:rPr>
        <w:t xml:space="preserve"> 乙方应确保提供的</w:t>
      </w:r>
      <w:r>
        <w:rPr>
          <w:rFonts w:ascii="Segoe UI Symbol" w:hAnsi="Segoe UI Symbol" w:cs="Segoe UI Symbol"/>
          <w:iCs/>
          <w:sz w:val="24"/>
        </w:rPr>
        <w:t>☑</w:t>
      </w:r>
      <w:r>
        <w:rPr>
          <w:rFonts w:hint="eastAsia" w:ascii="宋体"/>
          <w:bCs/>
          <w:sz w:val="24"/>
          <w:lang w:val="zh-CN"/>
        </w:rPr>
        <w:t>物资</w:t>
      </w:r>
      <w:r>
        <w:rPr>
          <w:rFonts w:hint="eastAsia" w:ascii="宋体"/>
          <w:bCs/>
          <w:sz w:val="24"/>
        </w:rPr>
        <w:t>□</w:t>
      </w:r>
      <w:r>
        <w:rPr>
          <w:rFonts w:hint="eastAsia" w:ascii="宋体"/>
          <w:bCs/>
          <w:sz w:val="24"/>
          <w:lang w:val="zh-CN"/>
        </w:rPr>
        <w:t>服务</w:t>
      </w:r>
      <w:r>
        <w:rPr>
          <w:rFonts w:hint="eastAsia" w:ascii="宋体"/>
          <w:sz w:val="24"/>
        </w:rPr>
        <w:t>符合国家相关标准和规定及甲方的要求。</w:t>
      </w:r>
    </w:p>
    <w:p>
      <w:pPr>
        <w:snapToGrid w:val="0"/>
        <w:spacing w:line="360" w:lineRule="auto"/>
        <w:ind w:firstLine="482" w:firstLineChars="200"/>
        <w:rPr>
          <w:rFonts w:ascii="宋体"/>
          <w:sz w:val="24"/>
        </w:rPr>
      </w:pPr>
      <w:r>
        <w:rPr>
          <w:rFonts w:hint="eastAsia" w:ascii="宋体"/>
          <w:b/>
          <w:sz w:val="24"/>
        </w:rPr>
        <w:t>第十五条</w:t>
      </w:r>
      <w:r>
        <w:rPr>
          <w:rFonts w:hint="eastAsia" w:ascii="宋体"/>
          <w:sz w:val="24"/>
        </w:rPr>
        <w:t xml:space="preserve"> 乙方提供</w:t>
      </w:r>
      <w:r>
        <w:rPr>
          <w:rFonts w:ascii="Segoe UI Symbol" w:hAnsi="Segoe UI Symbol" w:cs="Segoe UI Symbol"/>
          <w:iCs/>
          <w:sz w:val="24"/>
        </w:rPr>
        <w:t>☑</w:t>
      </w:r>
      <w:r>
        <w:rPr>
          <w:rFonts w:hint="eastAsia" w:ascii="宋体"/>
          <w:bCs/>
          <w:sz w:val="24"/>
          <w:lang w:val="zh-CN"/>
        </w:rPr>
        <w:t>物资</w:t>
      </w:r>
      <w:r>
        <w:rPr>
          <w:rFonts w:hint="eastAsia" w:ascii="宋体"/>
          <w:bCs/>
          <w:sz w:val="24"/>
        </w:rPr>
        <w:t>□</w:t>
      </w:r>
      <w:r>
        <w:rPr>
          <w:rFonts w:hint="eastAsia" w:ascii="宋体"/>
          <w:bCs/>
          <w:sz w:val="24"/>
          <w:lang w:val="zh-CN"/>
        </w:rPr>
        <w:t>服务</w:t>
      </w:r>
      <w:r>
        <w:rPr>
          <w:rFonts w:hint="eastAsia" w:ascii="宋体"/>
          <w:sz w:val="24"/>
        </w:rPr>
        <w:t>应严格按照双方约定的要求进行。货物交付验收合格前，货物的灭失、毁损风险由乙方承担。</w:t>
      </w:r>
    </w:p>
    <w:p>
      <w:pPr>
        <w:snapToGrid w:val="0"/>
        <w:spacing w:line="360" w:lineRule="auto"/>
        <w:ind w:firstLine="482" w:firstLineChars="200"/>
        <w:rPr>
          <w:rFonts w:ascii="宋体"/>
          <w:sz w:val="24"/>
        </w:rPr>
      </w:pPr>
      <w:r>
        <w:rPr>
          <w:rFonts w:hint="eastAsia" w:ascii="宋体"/>
          <w:b/>
          <w:sz w:val="24"/>
        </w:rPr>
        <w:t xml:space="preserve">第十六条 </w:t>
      </w:r>
      <w:r>
        <w:rPr>
          <w:rFonts w:hint="eastAsia" w:ascii="宋体"/>
          <w:sz w:val="24"/>
        </w:rPr>
        <w:t>乙方及其所有人员应该遵守并签订</w:t>
      </w:r>
      <w:r>
        <w:rPr>
          <w:rFonts w:hint="eastAsia" w:ascii="宋体"/>
          <w:b/>
          <w:bCs/>
          <w:sz w:val="24"/>
          <w:u w:val="single"/>
        </w:rPr>
        <w:t>《安全生产协议书》（详见附件1）、《浙江烟草专卖商业系统服务商保密协议》（详见附件2）、《浙江烟草专卖商业系统第三方人员保密协议》（详见附件3）、廉洁合同（详见附件4）</w:t>
      </w:r>
      <w:r>
        <w:rPr>
          <w:rFonts w:hint="eastAsia" w:ascii="宋体"/>
          <w:sz w:val="24"/>
          <w:u w:val="single"/>
        </w:rPr>
        <w:t>等要求</w:t>
      </w:r>
      <w:r>
        <w:rPr>
          <w:rFonts w:hint="eastAsia" w:ascii="宋体"/>
          <w:sz w:val="24"/>
        </w:rPr>
        <w:t>。</w:t>
      </w:r>
    </w:p>
    <w:p>
      <w:pPr>
        <w:snapToGrid w:val="0"/>
        <w:spacing w:line="360" w:lineRule="auto"/>
        <w:ind w:firstLine="480"/>
        <w:jc w:val="left"/>
        <w:rPr>
          <w:rFonts w:ascii="宋体"/>
          <w:bCs/>
          <w:sz w:val="24"/>
          <w:lang w:val="zh-CN"/>
        </w:rPr>
      </w:pPr>
      <w:r>
        <w:rPr>
          <w:rFonts w:hint="eastAsia" w:ascii="宋体"/>
          <w:b/>
          <w:sz w:val="24"/>
        </w:rPr>
        <w:t xml:space="preserve">第十七条 </w:t>
      </w:r>
      <w:r>
        <w:rPr>
          <w:rFonts w:hint="eastAsia" w:ascii="宋体"/>
          <w:bCs/>
          <w:sz w:val="24"/>
          <w:lang w:val="zh-CN"/>
        </w:rPr>
        <w:t>乙方应配合甲方对其提供的物资或服务进行考察、评判，接受相关的奖励或处罚。</w:t>
      </w:r>
    </w:p>
    <w:p>
      <w:pPr>
        <w:snapToGrid w:val="0"/>
        <w:spacing w:line="360" w:lineRule="auto"/>
        <w:ind w:firstLine="482" w:firstLineChars="200"/>
        <w:rPr>
          <w:rFonts w:ascii="宋体"/>
          <w:sz w:val="24"/>
        </w:rPr>
      </w:pPr>
      <w:r>
        <w:rPr>
          <w:rFonts w:hint="eastAsia" w:ascii="宋体"/>
          <w:b/>
          <w:sz w:val="24"/>
        </w:rPr>
        <w:t xml:space="preserve">第十八条 </w:t>
      </w:r>
      <w:r>
        <w:rPr>
          <w:rFonts w:hint="eastAsia" w:ascii="宋体"/>
          <w:bCs/>
          <w:sz w:val="24"/>
          <w:u w:val="single"/>
          <w:lang w:val="zh-CN"/>
        </w:rPr>
        <w:t>根据不同项目性质进行细化。</w:t>
      </w:r>
    </w:p>
    <w:p>
      <w:pPr>
        <w:snapToGrid w:val="0"/>
        <w:spacing w:line="360" w:lineRule="auto"/>
        <w:jc w:val="center"/>
        <w:outlineLvl w:val="0"/>
        <w:rPr>
          <w:rFonts w:ascii="宋体"/>
          <w:b/>
          <w:sz w:val="24"/>
          <w:lang w:val="zh-CN"/>
        </w:rPr>
      </w:pPr>
      <w:bookmarkStart w:id="190" w:name="_Toc22444"/>
      <w:bookmarkStart w:id="191" w:name="_Toc5835"/>
      <w:bookmarkStart w:id="192" w:name="_Toc30499"/>
      <w:r>
        <w:rPr>
          <w:rFonts w:hint="eastAsia" w:ascii="宋体"/>
          <w:b/>
          <w:sz w:val="24"/>
          <w:lang w:val="zh-CN"/>
        </w:rPr>
        <w:t>第七章 违约责任</w:t>
      </w:r>
    </w:p>
    <w:p>
      <w:pPr>
        <w:snapToGrid w:val="0"/>
        <w:spacing w:line="360" w:lineRule="auto"/>
        <w:ind w:firstLine="480"/>
        <w:rPr>
          <w:rFonts w:ascii="宋体" w:cs="宋体"/>
          <w:bCs/>
          <w:sz w:val="24"/>
        </w:rPr>
      </w:pPr>
      <w:r>
        <w:rPr>
          <w:rFonts w:hint="eastAsia" w:ascii="宋体" w:cs="宋体"/>
          <w:b/>
          <w:sz w:val="24"/>
        </w:rPr>
        <w:t>第十九条</w:t>
      </w:r>
      <w:r>
        <w:rPr>
          <w:rFonts w:hint="eastAsia" w:ascii="宋体" w:cs="宋体"/>
          <w:bCs/>
          <w:sz w:val="24"/>
        </w:rPr>
        <w:t xml:space="preserve"> 甲方应在规定期限内向乙方支付相关款项，每逾期1日历天，向乙方偿付</w:t>
      </w:r>
      <w:r>
        <w:rPr>
          <w:rFonts w:hint="eastAsia" w:ascii="宋体" w:cs="宋体"/>
          <w:bCs/>
          <w:sz w:val="24"/>
          <w:u w:val="single"/>
        </w:rPr>
        <w:t xml:space="preserve"> 本合同总价款 0.05% </w:t>
      </w:r>
      <w:r>
        <w:rPr>
          <w:rFonts w:hint="eastAsia" w:ascii="宋体" w:cs="宋体"/>
          <w:bCs/>
          <w:sz w:val="24"/>
        </w:rPr>
        <w:t>的违约金。</w:t>
      </w:r>
    </w:p>
    <w:p>
      <w:pPr>
        <w:snapToGrid w:val="0"/>
        <w:spacing w:line="360" w:lineRule="auto"/>
        <w:ind w:firstLine="480"/>
        <w:rPr>
          <w:rFonts w:ascii="宋体" w:cs="宋体"/>
          <w:bCs/>
          <w:sz w:val="24"/>
        </w:rPr>
      </w:pPr>
      <w:r>
        <w:rPr>
          <w:rFonts w:hint="eastAsia" w:ascii="宋体" w:cs="宋体"/>
          <w:b/>
          <w:sz w:val="24"/>
        </w:rPr>
        <w:t>第二十条</w:t>
      </w:r>
      <w:r>
        <w:rPr>
          <w:rFonts w:hint="eastAsia" w:ascii="宋体" w:cs="宋体"/>
          <w:bCs/>
          <w:sz w:val="24"/>
        </w:rPr>
        <w:t xml:space="preserve"> 除本合同约定的分包内容外，乙方不得将本合同的权利、义务全部或部分转让给第三方，否则视为根本违约，甲方有权终止合同并向乙方追究赔偿责任，包括但不限于偿付</w:t>
      </w:r>
      <w:r>
        <w:rPr>
          <w:rFonts w:hint="eastAsia" w:ascii="宋体" w:cs="宋体"/>
          <w:bCs/>
          <w:sz w:val="24"/>
          <w:u w:val="single"/>
        </w:rPr>
        <w:t xml:space="preserve"> 本合同总价款 10% 的违约金 </w:t>
      </w:r>
      <w:r>
        <w:rPr>
          <w:rFonts w:hint="eastAsia" w:ascii="宋体" w:cs="宋体"/>
          <w:bCs/>
          <w:sz w:val="24"/>
        </w:rPr>
        <w:t>、返还全部已支付费用及给甲方造成的其他损失。</w:t>
      </w:r>
    </w:p>
    <w:p>
      <w:pPr>
        <w:snapToGrid w:val="0"/>
        <w:spacing w:line="360" w:lineRule="auto"/>
        <w:ind w:firstLine="480"/>
        <w:rPr>
          <w:rFonts w:ascii="宋体" w:cs="宋体"/>
          <w:bCs/>
          <w:sz w:val="24"/>
        </w:rPr>
      </w:pPr>
      <w:r>
        <w:rPr>
          <w:rFonts w:hint="eastAsia" w:ascii="宋体" w:cs="宋体"/>
          <w:b/>
          <w:sz w:val="24"/>
        </w:rPr>
        <w:t>第二十一条</w:t>
      </w:r>
      <w:r>
        <w:rPr>
          <w:rFonts w:hint="eastAsia" w:ascii="宋体" w:cs="宋体"/>
          <w:bCs/>
          <w:sz w:val="24"/>
        </w:rPr>
        <w:t xml:space="preserve"> 乙方应在规定的期限内向甲方</w:t>
      </w:r>
      <w:r>
        <w:rPr>
          <w:rFonts w:ascii="Segoe UI Symbol" w:hAnsi="Segoe UI Symbol" w:cs="Segoe UI Symbol"/>
          <w:snapToGrid w:val="0"/>
          <w:kern w:val="0"/>
        </w:rPr>
        <w:t>☑</w:t>
      </w:r>
      <w:r>
        <w:rPr>
          <w:rFonts w:hint="eastAsia" w:ascii="宋体" w:cs="宋体"/>
          <w:bCs/>
          <w:sz w:val="24"/>
        </w:rPr>
        <w:t>提供</w:t>
      </w:r>
      <w:r>
        <w:rPr>
          <w:rFonts w:hint="eastAsia" w:ascii="宋体" w:cs="宋体"/>
          <w:bCs/>
          <w:sz w:val="24"/>
          <w:lang w:val="zh-CN"/>
        </w:rPr>
        <w:t>物资</w:t>
      </w:r>
      <w:r>
        <w:rPr>
          <w:rFonts w:hint="eastAsia" w:ascii="宋体" w:cs="宋体"/>
          <w:bCs/>
          <w:sz w:val="24"/>
        </w:rPr>
        <w:t>□进行</w:t>
      </w:r>
      <w:r>
        <w:rPr>
          <w:rFonts w:hint="eastAsia" w:ascii="宋体" w:cs="宋体"/>
          <w:bCs/>
          <w:sz w:val="24"/>
          <w:lang w:val="zh-CN"/>
        </w:rPr>
        <w:t>服务</w:t>
      </w:r>
      <w:r>
        <w:rPr>
          <w:rFonts w:hint="eastAsia" w:ascii="宋体" w:cs="宋体"/>
          <w:bCs/>
          <w:sz w:val="24"/>
        </w:rPr>
        <w:t>，每逾期1日历天，向甲方偿付</w:t>
      </w:r>
      <w:r>
        <w:rPr>
          <w:rFonts w:hint="eastAsia" w:ascii="宋体" w:cs="宋体"/>
          <w:bCs/>
          <w:sz w:val="24"/>
          <w:u w:val="single"/>
        </w:rPr>
        <w:t xml:space="preserve"> 本合同总价款 0.05% </w:t>
      </w:r>
      <w:r>
        <w:rPr>
          <w:rFonts w:hint="eastAsia" w:ascii="宋体" w:cs="宋体"/>
          <w:bCs/>
          <w:sz w:val="24"/>
        </w:rPr>
        <w:t>的违约金；同时，甲方有权延期支付合同款项，并从合同款项中扣除乙方应支付的延期违约金及其他损害赔偿金等。如延期</w:t>
      </w:r>
      <w:r>
        <w:rPr>
          <w:rFonts w:hint="eastAsia" w:ascii="宋体" w:cs="宋体"/>
          <w:bCs/>
          <w:sz w:val="24"/>
          <w:u w:val="single"/>
        </w:rPr>
        <w:t xml:space="preserve"> 10 </w:t>
      </w:r>
      <w:r>
        <w:rPr>
          <w:rFonts w:hint="eastAsia" w:ascii="宋体" w:cs="宋体"/>
          <w:bCs/>
          <w:sz w:val="24"/>
        </w:rPr>
        <w:t>日历天及以上的，甲方有权终止合同并向乙方追究赔偿责任，包括但不限于偿付延期违约金、偿付</w:t>
      </w:r>
      <w:r>
        <w:rPr>
          <w:rFonts w:hint="eastAsia" w:ascii="宋体" w:cs="宋体"/>
          <w:bCs/>
          <w:sz w:val="24"/>
          <w:u w:val="single"/>
        </w:rPr>
        <w:t xml:space="preserve"> 本合同总价款 10% 的违约金 </w:t>
      </w:r>
      <w:r>
        <w:rPr>
          <w:rFonts w:hint="eastAsia" w:ascii="宋体" w:cs="宋体"/>
          <w:bCs/>
          <w:sz w:val="24"/>
        </w:rPr>
        <w:t>、返还全部已支付费用及给甲方造成的其他损失。</w:t>
      </w:r>
    </w:p>
    <w:p>
      <w:pPr>
        <w:snapToGrid w:val="0"/>
        <w:spacing w:line="360" w:lineRule="auto"/>
        <w:ind w:firstLine="480"/>
        <w:rPr>
          <w:rFonts w:ascii="宋体" w:cs="宋体"/>
          <w:bCs/>
          <w:sz w:val="24"/>
        </w:rPr>
      </w:pPr>
      <w:r>
        <w:rPr>
          <w:rFonts w:hint="eastAsia" w:ascii="宋体" w:cs="宋体"/>
          <w:b/>
          <w:sz w:val="24"/>
        </w:rPr>
        <w:t>第二十二条</w:t>
      </w:r>
      <w:r>
        <w:rPr>
          <w:rFonts w:hint="eastAsia" w:ascii="宋体" w:cs="宋体"/>
          <w:bCs/>
          <w:sz w:val="24"/>
        </w:rPr>
        <w:t xml:space="preserve"> 乙方未按本合同规定提供所承诺的服务人员的，应向甲方偿付</w:t>
      </w:r>
      <w:r>
        <w:rPr>
          <w:rFonts w:hint="eastAsia" w:ascii="宋体" w:cs="宋体"/>
          <w:bCs/>
          <w:sz w:val="24"/>
          <w:u w:val="single"/>
        </w:rPr>
        <w:t xml:space="preserve"> 本合同总价款 5% 的违约金 </w:t>
      </w:r>
      <w:r>
        <w:rPr>
          <w:rFonts w:hint="eastAsia" w:ascii="宋体" w:cs="宋体"/>
          <w:bCs/>
          <w:sz w:val="24"/>
        </w:rPr>
        <w:t>，甲方有权采取包括但不限于如下措施：延期支付合同款项，从合同款项中扣除乙方应支付的违约金，终止合同等。</w:t>
      </w:r>
    </w:p>
    <w:p>
      <w:pPr>
        <w:snapToGrid w:val="0"/>
        <w:spacing w:line="360" w:lineRule="auto"/>
        <w:ind w:firstLine="480"/>
        <w:rPr>
          <w:rFonts w:ascii="宋体" w:cs="宋体"/>
          <w:bCs/>
          <w:sz w:val="24"/>
        </w:rPr>
      </w:pPr>
      <w:r>
        <w:rPr>
          <w:rFonts w:hint="eastAsia" w:ascii="宋体" w:cs="宋体"/>
          <w:b/>
          <w:sz w:val="24"/>
        </w:rPr>
        <w:t xml:space="preserve">第二十三条 </w:t>
      </w:r>
      <w:r>
        <w:rPr>
          <w:rFonts w:hint="eastAsia" w:ascii="宋体" w:cs="宋体"/>
          <w:bCs/>
          <w:sz w:val="24"/>
        </w:rPr>
        <w:t>在供货（服务）期间，如发生质量纠纷，甲方有权对被投诉商品送权威机构检测，其检测产生的相关费用由乙方承担。</w:t>
      </w:r>
    </w:p>
    <w:p>
      <w:pPr>
        <w:snapToGrid w:val="0"/>
        <w:spacing w:line="360" w:lineRule="auto"/>
        <w:ind w:firstLine="480"/>
        <w:rPr>
          <w:rFonts w:ascii="宋体"/>
          <w:b/>
          <w:sz w:val="24"/>
          <w:lang w:val="zh-CN"/>
        </w:rPr>
      </w:pPr>
      <w:r>
        <w:rPr>
          <w:rFonts w:hint="eastAsia" w:ascii="宋体" w:cs="宋体"/>
          <w:b/>
          <w:sz w:val="24"/>
        </w:rPr>
        <w:t xml:space="preserve">第二十四条 </w:t>
      </w:r>
      <w:r>
        <w:rPr>
          <w:rFonts w:hint="eastAsia" w:ascii="宋体" w:cs="宋体"/>
          <w:sz w:val="24"/>
          <w:u w:val="single"/>
        </w:rPr>
        <w:t>根据项目内容自行细化。</w:t>
      </w:r>
    </w:p>
    <w:p>
      <w:pPr>
        <w:spacing w:line="360" w:lineRule="auto"/>
        <w:jc w:val="center"/>
        <w:outlineLvl w:val="0"/>
        <w:rPr>
          <w:rFonts w:ascii="宋体"/>
          <w:b/>
          <w:sz w:val="24"/>
          <w:lang w:val="zh-CN"/>
        </w:rPr>
      </w:pPr>
      <w:r>
        <w:rPr>
          <w:rFonts w:hint="eastAsia" w:ascii="宋体"/>
          <w:b/>
          <w:sz w:val="24"/>
          <w:lang w:val="zh-CN"/>
        </w:rPr>
        <w:t>第八章</w:t>
      </w:r>
      <w:r>
        <w:rPr>
          <w:rFonts w:hint="eastAsia" w:ascii="宋体"/>
          <w:b/>
          <w:sz w:val="24"/>
        </w:rPr>
        <w:t xml:space="preserve"> </w:t>
      </w:r>
      <w:r>
        <w:rPr>
          <w:rFonts w:hint="eastAsia" w:ascii="宋体"/>
          <w:b/>
          <w:sz w:val="24"/>
          <w:lang w:val="zh-CN"/>
        </w:rPr>
        <w:t>评价</w:t>
      </w:r>
      <w:r>
        <w:rPr>
          <w:rFonts w:hint="eastAsia" w:ascii="宋体"/>
          <w:b/>
          <w:sz w:val="24"/>
        </w:rPr>
        <w:t>及结果应用</w:t>
      </w:r>
      <w:bookmarkEnd w:id="190"/>
      <w:bookmarkEnd w:id="191"/>
      <w:bookmarkEnd w:id="192"/>
    </w:p>
    <w:p>
      <w:pPr>
        <w:autoSpaceDN w:val="0"/>
        <w:snapToGrid w:val="0"/>
        <w:spacing w:line="360" w:lineRule="auto"/>
        <w:ind w:firstLine="480"/>
        <w:jc w:val="left"/>
        <w:rPr>
          <w:rFonts w:ascii="宋体" w:cs="宋体"/>
          <w:bCs/>
          <w:color w:val="000000"/>
          <w:sz w:val="24"/>
          <w:lang w:val="zh-CN"/>
        </w:rPr>
      </w:pPr>
      <w:r>
        <w:rPr>
          <w:rFonts w:hint="eastAsia" w:ascii="宋体" w:cs="宋体"/>
          <w:b/>
          <w:color w:val="000000"/>
          <w:sz w:val="24"/>
          <w:lang w:val="zh-CN" w:bidi="ar"/>
        </w:rPr>
        <w:t>第</w:t>
      </w:r>
      <w:r>
        <w:rPr>
          <w:rFonts w:hint="eastAsia" w:ascii="宋体" w:cs="宋体"/>
          <w:b/>
          <w:color w:val="000000"/>
          <w:sz w:val="24"/>
          <w:lang w:bidi="ar"/>
        </w:rPr>
        <w:t>二十五</w:t>
      </w:r>
      <w:r>
        <w:rPr>
          <w:rFonts w:hint="eastAsia" w:ascii="宋体" w:cs="宋体"/>
          <w:b/>
          <w:color w:val="000000"/>
          <w:sz w:val="24"/>
          <w:lang w:val="zh-CN" w:bidi="ar"/>
        </w:rPr>
        <w:t>条</w:t>
      </w:r>
      <w:r>
        <w:rPr>
          <w:rFonts w:hint="eastAsia" w:ascii="宋体" w:cs="宋体"/>
          <w:bCs/>
          <w:color w:val="000000"/>
          <w:sz w:val="24"/>
          <w:lang w:val="zh-CN" w:bidi="ar"/>
        </w:rPr>
        <w:t xml:space="preserve"> 评价围绕</w:t>
      </w:r>
      <w:r>
        <w:rPr>
          <w:rFonts w:hint="eastAsia" w:ascii="宋体" w:cs="宋体"/>
          <w:bCs/>
          <w:color w:val="000000"/>
          <w:sz w:val="24"/>
          <w:lang w:bidi="ar"/>
        </w:rPr>
        <w:t>乙方</w:t>
      </w:r>
      <w:r>
        <w:rPr>
          <w:rFonts w:hint="eastAsia" w:ascii="宋体" w:cs="宋体"/>
          <w:bCs/>
          <w:color w:val="000000"/>
          <w:sz w:val="24"/>
          <w:lang w:val="zh-CN" w:bidi="ar"/>
        </w:rPr>
        <w:t>在采购活动及合同履行过程中存在的违法、违规、违约等内容展开，评价种类及频次、</w:t>
      </w:r>
      <w:r>
        <w:rPr>
          <w:rFonts w:hint="eastAsia" w:ascii="宋体" w:cs="宋体"/>
          <w:bCs/>
          <w:color w:val="000000"/>
          <w:sz w:val="24"/>
          <w:lang w:bidi="ar"/>
        </w:rPr>
        <w:t>评价内容</w:t>
      </w:r>
      <w:r>
        <w:rPr>
          <w:rFonts w:hint="eastAsia" w:ascii="宋体" w:cs="宋体"/>
          <w:bCs/>
          <w:color w:val="000000"/>
          <w:sz w:val="24"/>
          <w:lang w:val="zh-CN" w:bidi="ar"/>
        </w:rPr>
        <w:t>等具体内容如下：</w:t>
      </w:r>
    </w:p>
    <w:p>
      <w:pPr>
        <w:autoSpaceDN w:val="0"/>
        <w:snapToGrid w:val="0"/>
        <w:spacing w:line="360" w:lineRule="auto"/>
        <w:ind w:firstLine="480"/>
        <w:jc w:val="left"/>
        <w:rPr>
          <w:rFonts w:ascii="宋体" w:cs="宋体"/>
          <w:bCs/>
          <w:color w:val="000000"/>
          <w:sz w:val="24"/>
          <w:lang w:val="zh-CN"/>
        </w:rPr>
      </w:pPr>
      <w:r>
        <w:rPr>
          <w:rFonts w:hint="eastAsia" w:ascii="宋体" w:cs="宋体"/>
          <w:bCs/>
          <w:color w:val="000000"/>
          <w:sz w:val="24"/>
          <w:lang w:val="zh-CN" w:bidi="ar"/>
        </w:rPr>
        <w:t>（</w:t>
      </w:r>
      <w:r>
        <w:rPr>
          <w:rFonts w:hint="eastAsia" w:ascii="宋体" w:cs="宋体"/>
          <w:bCs/>
          <w:color w:val="000000"/>
          <w:sz w:val="24"/>
          <w:lang w:bidi="ar"/>
        </w:rPr>
        <w:t>一</w:t>
      </w:r>
      <w:r>
        <w:rPr>
          <w:rFonts w:hint="eastAsia" w:ascii="宋体" w:cs="宋体"/>
          <w:bCs/>
          <w:color w:val="000000"/>
          <w:sz w:val="24"/>
          <w:lang w:val="zh-CN" w:bidi="ar"/>
        </w:rPr>
        <w:t>）评价种类及频次：分为付款验收评价和综合评价，付款验收评价是指每次付款前按合同约定进行的单次验收评价；综合评价是指按合同约定对</w:t>
      </w:r>
      <w:r>
        <w:rPr>
          <w:rFonts w:hint="eastAsia" w:ascii="宋体" w:cs="宋体"/>
          <w:bCs/>
          <w:color w:val="000000"/>
          <w:sz w:val="24"/>
          <w:lang w:bidi="ar"/>
        </w:rPr>
        <w:t>乙方</w:t>
      </w:r>
      <w:r>
        <w:rPr>
          <w:rFonts w:hint="eastAsia" w:ascii="宋体" w:cs="宋体"/>
          <w:bCs/>
          <w:color w:val="000000"/>
          <w:sz w:val="24"/>
          <w:lang w:val="zh-CN" w:bidi="ar"/>
        </w:rPr>
        <w:t>进行的年度综合评价；</w:t>
      </w:r>
    </w:p>
    <w:p>
      <w:pPr>
        <w:autoSpaceDN w:val="0"/>
        <w:snapToGrid w:val="0"/>
        <w:spacing w:line="360" w:lineRule="auto"/>
        <w:ind w:firstLine="480"/>
        <w:jc w:val="left"/>
        <w:rPr>
          <w:rFonts w:ascii="宋体" w:cs="宋体"/>
          <w:bCs/>
          <w:sz w:val="24"/>
          <w:lang w:val="zh-CN"/>
        </w:rPr>
      </w:pPr>
      <w:r>
        <w:rPr>
          <w:rFonts w:hint="eastAsia" w:ascii="宋体" w:cs="宋体"/>
          <w:bCs/>
          <w:sz w:val="24"/>
          <w:lang w:val="zh-CN" w:bidi="ar"/>
        </w:rPr>
        <w:t>（</w:t>
      </w:r>
      <w:r>
        <w:rPr>
          <w:rFonts w:hint="eastAsia" w:ascii="宋体" w:cs="宋体"/>
          <w:bCs/>
          <w:sz w:val="24"/>
          <w:lang w:bidi="ar"/>
        </w:rPr>
        <w:t>二</w:t>
      </w:r>
      <w:r>
        <w:rPr>
          <w:rFonts w:hint="eastAsia" w:ascii="宋体" w:cs="宋体"/>
          <w:bCs/>
          <w:sz w:val="24"/>
          <w:lang w:val="zh-CN" w:bidi="ar"/>
        </w:rPr>
        <w:t>）付款验收评价内容及等级：付款验收评价从质量、服务、进度、人员及组织等方面展开，具体内容</w:t>
      </w:r>
      <w:r>
        <w:rPr>
          <w:rFonts w:hint="eastAsia" w:ascii="宋体" w:cs="宋体"/>
          <w:b/>
          <w:sz w:val="24"/>
          <w:lang w:val="zh-CN" w:bidi="ar"/>
        </w:rPr>
        <w:t>详见附件</w:t>
      </w:r>
      <w:r>
        <w:rPr>
          <w:rFonts w:hint="eastAsia" w:ascii="宋体" w:cs="宋体"/>
          <w:b/>
          <w:sz w:val="24"/>
          <w:lang w:bidi="ar"/>
        </w:rPr>
        <w:t>5</w:t>
      </w:r>
      <w:r>
        <w:rPr>
          <w:rFonts w:hint="eastAsia" w:ascii="宋体" w:cs="宋体"/>
          <w:bCs/>
          <w:sz w:val="24"/>
          <w:lang w:val="zh-CN" w:bidi="ar"/>
        </w:rPr>
        <w:t>；评价等级分为A、B、C、D四个等级，得分90分以上的为A；得分80分以上、不足90分的为B；得分70分以上、不足80分的为C；得分不足70分的为D；付款验收评价结果等级为D的，</w:t>
      </w:r>
      <w:r>
        <w:rPr>
          <w:rFonts w:hint="eastAsia" w:ascii="宋体" w:cs="宋体"/>
          <w:bCs/>
          <w:sz w:val="24"/>
          <w:u w:val="single"/>
          <w:lang w:val="zh-CN" w:bidi="ar"/>
        </w:rPr>
        <w:t>须从当期应支付款项中扣减20%。</w:t>
      </w:r>
    </w:p>
    <w:p>
      <w:pPr>
        <w:autoSpaceDN w:val="0"/>
        <w:snapToGrid w:val="0"/>
        <w:spacing w:line="360" w:lineRule="auto"/>
        <w:ind w:firstLine="480"/>
        <w:jc w:val="left"/>
        <w:rPr>
          <w:rFonts w:ascii="宋体" w:cs="宋体"/>
          <w:bCs/>
          <w:sz w:val="24"/>
          <w:u w:val="single"/>
          <w:lang w:val="zh-CN"/>
        </w:rPr>
      </w:pPr>
      <w:r>
        <w:rPr>
          <w:rFonts w:hint="eastAsia" w:ascii="宋体" w:cs="宋体"/>
          <w:bCs/>
          <w:sz w:val="24"/>
          <w:lang w:val="zh-CN" w:bidi="ar"/>
        </w:rPr>
        <w:t>（</w:t>
      </w:r>
      <w:r>
        <w:rPr>
          <w:rFonts w:hint="eastAsia" w:ascii="宋体" w:cs="宋体"/>
          <w:bCs/>
          <w:sz w:val="24"/>
          <w:lang w:bidi="ar"/>
        </w:rPr>
        <w:t>三</w:t>
      </w:r>
      <w:r>
        <w:rPr>
          <w:rFonts w:hint="eastAsia" w:ascii="宋体" w:cs="宋体"/>
          <w:bCs/>
          <w:sz w:val="24"/>
          <w:lang w:val="zh-CN" w:bidi="ar"/>
        </w:rPr>
        <w:t>）综合评价内容及等级：综合评价从历次付款验收评价、综合评议等方面展开，具体内容</w:t>
      </w:r>
      <w:r>
        <w:rPr>
          <w:rFonts w:hint="eastAsia" w:ascii="宋体" w:cs="宋体"/>
          <w:b/>
          <w:sz w:val="24"/>
          <w:lang w:val="zh-CN" w:bidi="ar"/>
        </w:rPr>
        <w:t>详见附件</w:t>
      </w:r>
      <w:r>
        <w:rPr>
          <w:rFonts w:hint="eastAsia" w:ascii="宋体" w:cs="宋体"/>
          <w:b/>
          <w:sz w:val="24"/>
          <w:lang w:bidi="ar"/>
        </w:rPr>
        <w:t>6</w:t>
      </w:r>
      <w:r>
        <w:rPr>
          <w:rFonts w:hint="eastAsia" w:ascii="宋体" w:cs="宋体"/>
          <w:b/>
          <w:sz w:val="24"/>
          <w:lang w:val="zh-CN" w:bidi="ar"/>
        </w:rPr>
        <w:t>。</w:t>
      </w:r>
      <w:r>
        <w:rPr>
          <w:rFonts w:hint="eastAsia" w:ascii="宋体" w:cs="宋体"/>
          <w:bCs/>
          <w:sz w:val="24"/>
          <w:lang w:val="zh-CN" w:bidi="ar"/>
        </w:rPr>
        <w:t>综合评价等级分为优秀、良好、合格、不合格等四个等级，得分90分以上的为优秀；得分80分以上、不足90分的为良好；得分70分以上、不足80分的为合格；得分不足70分的为不合格。</w:t>
      </w:r>
    </w:p>
    <w:p>
      <w:pPr>
        <w:snapToGrid w:val="0"/>
        <w:spacing w:line="360" w:lineRule="auto"/>
        <w:ind w:firstLine="480"/>
        <w:jc w:val="left"/>
        <w:rPr>
          <w:rFonts w:ascii="宋体"/>
          <w:bCs/>
          <w:sz w:val="24"/>
          <w:lang w:val="zh-CN"/>
        </w:rPr>
      </w:pPr>
      <w:r>
        <w:rPr>
          <w:rFonts w:hint="eastAsia" w:ascii="宋体"/>
          <w:b/>
          <w:sz w:val="24"/>
          <w:lang w:val="zh-CN"/>
        </w:rPr>
        <w:t>第</w:t>
      </w:r>
      <w:r>
        <w:rPr>
          <w:rFonts w:hint="eastAsia" w:ascii="宋体"/>
          <w:b/>
          <w:sz w:val="24"/>
        </w:rPr>
        <w:t>二十六</w:t>
      </w:r>
      <w:r>
        <w:rPr>
          <w:rFonts w:hint="eastAsia" w:ascii="宋体"/>
          <w:b/>
          <w:sz w:val="24"/>
          <w:lang w:val="zh-CN"/>
        </w:rPr>
        <w:t>条</w:t>
      </w:r>
      <w:r>
        <w:rPr>
          <w:rFonts w:hint="eastAsia" w:ascii="宋体"/>
          <w:bCs/>
          <w:sz w:val="24"/>
          <w:lang w:val="zh-CN"/>
        </w:rPr>
        <w:t xml:space="preserve"> 不良行为的处理分为列入不良行为供应商名单和列入行贿供应商名单。</w:t>
      </w:r>
    </w:p>
    <w:p>
      <w:pPr>
        <w:snapToGrid w:val="0"/>
        <w:spacing w:line="360" w:lineRule="auto"/>
        <w:ind w:firstLine="480"/>
        <w:jc w:val="left"/>
        <w:rPr>
          <w:rFonts w:ascii="宋体"/>
          <w:bCs/>
          <w:sz w:val="24"/>
          <w:lang w:val="zh-CN"/>
        </w:rPr>
      </w:pPr>
      <w:r>
        <w:rPr>
          <w:rFonts w:hint="eastAsia" w:ascii="宋体"/>
          <w:b/>
          <w:sz w:val="24"/>
          <w:lang w:val="zh-CN"/>
        </w:rPr>
        <w:t>第</w:t>
      </w:r>
      <w:r>
        <w:rPr>
          <w:rFonts w:hint="eastAsia" w:ascii="宋体"/>
          <w:b/>
          <w:sz w:val="24"/>
        </w:rPr>
        <w:t>二十七</w:t>
      </w:r>
      <w:r>
        <w:rPr>
          <w:rFonts w:hint="eastAsia" w:ascii="宋体"/>
          <w:b/>
          <w:sz w:val="24"/>
          <w:lang w:val="zh-CN"/>
        </w:rPr>
        <w:t>条</w:t>
      </w:r>
      <w:r>
        <w:rPr>
          <w:rFonts w:hint="eastAsia" w:ascii="宋体"/>
          <w:bCs/>
          <w:sz w:val="24"/>
          <w:lang w:val="zh-CN"/>
        </w:rPr>
        <w:t xml:space="preserve"> </w:t>
      </w:r>
      <w:r>
        <w:rPr>
          <w:rFonts w:hint="eastAsia" w:ascii="宋体"/>
          <w:bCs/>
          <w:sz w:val="24"/>
        </w:rPr>
        <w:t>乙方</w:t>
      </w:r>
      <w:r>
        <w:rPr>
          <w:rFonts w:hint="eastAsia" w:ascii="宋体"/>
          <w:bCs/>
          <w:sz w:val="24"/>
          <w:lang w:val="zh-CN"/>
        </w:rPr>
        <w:t>在参加采购活动中、日常管理中及评价中被发现且证实有不良行为的，将</w:t>
      </w:r>
      <w:r>
        <w:rPr>
          <w:rFonts w:hint="eastAsia" w:ascii="宋体"/>
          <w:bCs/>
          <w:sz w:val="24"/>
        </w:rPr>
        <w:t>乙方</w:t>
      </w:r>
      <w:r>
        <w:rPr>
          <w:rFonts w:hint="eastAsia" w:ascii="宋体"/>
          <w:bCs/>
          <w:sz w:val="24"/>
          <w:lang w:val="zh-CN"/>
        </w:rPr>
        <w:t>列入不良行为供应商名单，并在出现该情形的</w:t>
      </w:r>
      <w:r>
        <w:rPr>
          <w:rFonts w:hint="eastAsia" w:ascii="宋体"/>
          <w:bCs/>
          <w:sz w:val="24"/>
        </w:rPr>
        <w:t>甲方</w:t>
      </w:r>
      <w:r>
        <w:rPr>
          <w:rFonts w:hint="eastAsia" w:ascii="宋体"/>
          <w:bCs/>
          <w:sz w:val="24"/>
          <w:lang w:val="zh-CN"/>
        </w:rPr>
        <w:t>单位（</w:t>
      </w:r>
      <w:r>
        <w:rPr>
          <w:rFonts w:hint="eastAsia" w:ascii="宋体"/>
          <w:bCs/>
          <w:sz w:val="24"/>
        </w:rPr>
        <w:t>指法人单位</w:t>
      </w:r>
      <w:r>
        <w:rPr>
          <w:rFonts w:hint="eastAsia" w:ascii="宋体"/>
          <w:bCs/>
          <w:sz w:val="24"/>
          <w:lang w:val="zh-CN"/>
        </w:rPr>
        <w:t>）范围内禁止其参加新采购交易活动。</w:t>
      </w:r>
    </w:p>
    <w:p>
      <w:pPr>
        <w:snapToGrid w:val="0"/>
        <w:spacing w:line="360" w:lineRule="auto"/>
        <w:ind w:firstLine="480"/>
        <w:jc w:val="left"/>
        <w:rPr>
          <w:rFonts w:ascii="宋体"/>
          <w:bCs/>
          <w:sz w:val="24"/>
          <w:lang w:val="zh-CN"/>
        </w:rPr>
      </w:pPr>
      <w:r>
        <w:rPr>
          <w:rFonts w:hint="eastAsia" w:ascii="宋体"/>
          <w:bCs/>
          <w:sz w:val="24"/>
          <w:lang w:val="zh-CN"/>
        </w:rPr>
        <w:t>（一）有下列行为之一的，认定为一般不良行为供应商，并在6个月内禁止：</w:t>
      </w:r>
    </w:p>
    <w:p>
      <w:pPr>
        <w:snapToGrid w:val="0"/>
        <w:spacing w:line="360" w:lineRule="auto"/>
        <w:ind w:firstLine="480"/>
        <w:jc w:val="left"/>
        <w:rPr>
          <w:rFonts w:ascii="宋体"/>
          <w:bCs/>
          <w:sz w:val="24"/>
          <w:lang w:val="zh-CN"/>
        </w:rPr>
      </w:pPr>
      <w:r>
        <w:rPr>
          <w:rFonts w:hint="eastAsia" w:ascii="宋体"/>
          <w:bCs/>
          <w:sz w:val="24"/>
          <w:lang w:val="zh-CN"/>
        </w:rPr>
        <w:t>（1）未按约定缴纳履约保证金，或经过催告在规定时间内仍未缴纳的；</w:t>
      </w:r>
    </w:p>
    <w:p>
      <w:pPr>
        <w:snapToGrid w:val="0"/>
        <w:spacing w:line="360" w:lineRule="auto"/>
        <w:ind w:firstLine="480"/>
        <w:jc w:val="left"/>
        <w:rPr>
          <w:rFonts w:ascii="宋体"/>
          <w:bCs/>
          <w:sz w:val="24"/>
          <w:lang w:val="zh-CN"/>
        </w:rPr>
      </w:pPr>
      <w:r>
        <w:rPr>
          <w:rFonts w:hint="eastAsia" w:ascii="宋体"/>
          <w:bCs/>
          <w:sz w:val="24"/>
          <w:lang w:val="zh-CN"/>
        </w:rPr>
        <w:t>（2）收到中标（成交）通知书后未按规定签约，或经过催告在规定时间内仍未签约的；</w:t>
      </w:r>
    </w:p>
    <w:p>
      <w:pPr>
        <w:snapToGrid w:val="0"/>
        <w:spacing w:line="360" w:lineRule="auto"/>
        <w:ind w:firstLine="480"/>
        <w:jc w:val="left"/>
        <w:rPr>
          <w:rFonts w:ascii="宋体"/>
          <w:bCs/>
          <w:sz w:val="24"/>
          <w:lang w:val="zh-CN"/>
        </w:rPr>
      </w:pPr>
      <w:r>
        <w:rPr>
          <w:rFonts w:hint="eastAsia" w:ascii="宋体"/>
          <w:bCs/>
          <w:sz w:val="24"/>
          <w:lang w:val="zh-CN"/>
        </w:rPr>
        <w:t>（3）无正当理由不按期提供物资、服务或工程，经催告后仍未提供的；</w:t>
      </w:r>
    </w:p>
    <w:p>
      <w:pPr>
        <w:snapToGrid w:val="0"/>
        <w:spacing w:line="360" w:lineRule="auto"/>
        <w:ind w:firstLine="480"/>
        <w:jc w:val="left"/>
        <w:rPr>
          <w:rFonts w:ascii="宋体"/>
          <w:bCs/>
          <w:sz w:val="24"/>
          <w:lang w:val="zh-CN"/>
        </w:rPr>
      </w:pPr>
      <w:r>
        <w:rPr>
          <w:rFonts w:hint="eastAsia" w:ascii="宋体"/>
          <w:bCs/>
          <w:sz w:val="24"/>
          <w:lang w:val="zh-CN"/>
        </w:rPr>
        <w:t>（4）在验收时未提供相关产品技术证明文书，经催告后仍未提供的；</w:t>
      </w:r>
    </w:p>
    <w:p>
      <w:pPr>
        <w:snapToGrid w:val="0"/>
        <w:spacing w:line="360" w:lineRule="auto"/>
        <w:ind w:firstLine="480"/>
        <w:jc w:val="left"/>
        <w:rPr>
          <w:rFonts w:ascii="宋体"/>
          <w:bCs/>
          <w:sz w:val="24"/>
          <w:lang w:val="zh-CN"/>
        </w:rPr>
      </w:pPr>
      <w:r>
        <w:rPr>
          <w:rFonts w:hint="eastAsia" w:ascii="宋体"/>
          <w:bCs/>
          <w:sz w:val="24"/>
          <w:lang w:val="zh-CN"/>
        </w:rPr>
        <w:t>（5）物资、工程有质量缺陷或服务质量不合格，经告知后不更换或处理的；</w:t>
      </w:r>
    </w:p>
    <w:p>
      <w:pPr>
        <w:snapToGrid w:val="0"/>
        <w:spacing w:line="360" w:lineRule="auto"/>
        <w:ind w:firstLine="480"/>
        <w:jc w:val="left"/>
        <w:rPr>
          <w:rFonts w:ascii="宋体"/>
          <w:bCs/>
          <w:sz w:val="24"/>
          <w:lang w:val="zh-CN"/>
        </w:rPr>
      </w:pPr>
      <w:r>
        <w:rPr>
          <w:rFonts w:hint="eastAsia" w:ascii="宋体"/>
          <w:bCs/>
          <w:sz w:val="24"/>
          <w:lang w:val="zh-CN"/>
        </w:rPr>
        <w:t>（6）所提供的物资、服务或工程使用过程中出现质量问题，未及时进行整改的；</w:t>
      </w:r>
    </w:p>
    <w:p>
      <w:pPr>
        <w:snapToGrid w:val="0"/>
        <w:spacing w:line="360" w:lineRule="auto"/>
        <w:ind w:firstLine="480"/>
        <w:jc w:val="left"/>
        <w:rPr>
          <w:rFonts w:ascii="宋体"/>
          <w:bCs/>
          <w:sz w:val="24"/>
          <w:lang w:val="zh-CN"/>
        </w:rPr>
      </w:pPr>
      <w:r>
        <w:rPr>
          <w:rFonts w:hint="eastAsia" w:ascii="宋体"/>
          <w:bCs/>
          <w:sz w:val="24"/>
          <w:lang w:val="zh-CN"/>
        </w:rPr>
        <w:t>（7）提供不合规票据办理结算，经告知未按规定要求整改的；</w:t>
      </w:r>
    </w:p>
    <w:p>
      <w:pPr>
        <w:snapToGrid w:val="0"/>
        <w:spacing w:line="360" w:lineRule="auto"/>
        <w:ind w:firstLine="480"/>
        <w:jc w:val="left"/>
        <w:rPr>
          <w:rFonts w:ascii="宋体"/>
          <w:bCs/>
          <w:sz w:val="24"/>
          <w:lang w:val="zh-CN"/>
        </w:rPr>
      </w:pPr>
      <w:r>
        <w:rPr>
          <w:rFonts w:hint="eastAsia" w:ascii="宋体"/>
          <w:bCs/>
          <w:sz w:val="24"/>
          <w:lang w:val="zh-CN"/>
        </w:rPr>
        <w:t>（8）一个自然年度内无正当理由不参加库内采购活动2次以上的；</w:t>
      </w:r>
    </w:p>
    <w:p>
      <w:pPr>
        <w:snapToGrid w:val="0"/>
        <w:spacing w:line="360" w:lineRule="auto"/>
        <w:ind w:firstLine="480"/>
        <w:jc w:val="left"/>
        <w:rPr>
          <w:rFonts w:ascii="宋体"/>
          <w:bCs/>
          <w:sz w:val="24"/>
          <w:lang w:val="zh-CN"/>
        </w:rPr>
      </w:pPr>
      <w:r>
        <w:rPr>
          <w:rFonts w:hint="eastAsia" w:ascii="宋体"/>
          <w:bCs/>
          <w:sz w:val="24"/>
          <w:lang w:val="zh-CN"/>
        </w:rPr>
        <w:t>（9）私自更换项目经理、项目组成员或对接联系人，且拒不改正的；</w:t>
      </w:r>
    </w:p>
    <w:p>
      <w:pPr>
        <w:snapToGrid w:val="0"/>
        <w:spacing w:line="360" w:lineRule="auto"/>
        <w:ind w:firstLine="480"/>
        <w:jc w:val="left"/>
        <w:rPr>
          <w:rFonts w:ascii="宋体"/>
          <w:bCs/>
          <w:sz w:val="24"/>
          <w:lang w:val="zh-CN"/>
        </w:rPr>
      </w:pPr>
      <w:r>
        <w:rPr>
          <w:rFonts w:hint="eastAsia" w:ascii="宋体"/>
          <w:bCs/>
          <w:sz w:val="24"/>
          <w:lang w:val="zh-CN"/>
        </w:rPr>
        <w:t>（10）工商登记、银行账户等信息发生变更未及时告知的；</w:t>
      </w:r>
    </w:p>
    <w:p>
      <w:pPr>
        <w:snapToGrid w:val="0"/>
        <w:spacing w:line="360" w:lineRule="auto"/>
        <w:ind w:firstLine="480"/>
        <w:jc w:val="left"/>
        <w:rPr>
          <w:rFonts w:ascii="宋体"/>
          <w:bCs/>
          <w:sz w:val="24"/>
          <w:lang w:val="zh-CN"/>
        </w:rPr>
      </w:pPr>
      <w:r>
        <w:rPr>
          <w:rFonts w:hint="eastAsia" w:ascii="宋体"/>
          <w:bCs/>
          <w:sz w:val="24"/>
          <w:lang w:val="zh-CN"/>
        </w:rPr>
        <w:t>（11）一个自然年度内出现1次付款验收评价等级为D；</w:t>
      </w:r>
    </w:p>
    <w:p>
      <w:pPr>
        <w:snapToGrid w:val="0"/>
        <w:spacing w:line="360" w:lineRule="auto"/>
        <w:ind w:firstLine="480"/>
        <w:jc w:val="left"/>
        <w:rPr>
          <w:rFonts w:ascii="宋体"/>
          <w:bCs/>
          <w:sz w:val="24"/>
          <w:lang w:val="zh-CN"/>
        </w:rPr>
      </w:pPr>
      <w:r>
        <w:rPr>
          <w:rFonts w:hint="eastAsia" w:ascii="宋体"/>
          <w:bCs/>
          <w:sz w:val="24"/>
          <w:lang w:val="zh-CN"/>
        </w:rPr>
        <w:t>（12）其他一般不良行为。</w:t>
      </w:r>
    </w:p>
    <w:p>
      <w:pPr>
        <w:snapToGrid w:val="0"/>
        <w:spacing w:line="360" w:lineRule="auto"/>
        <w:ind w:firstLine="480"/>
        <w:jc w:val="left"/>
        <w:rPr>
          <w:rFonts w:ascii="宋体"/>
          <w:bCs/>
          <w:sz w:val="24"/>
          <w:lang w:val="zh-CN"/>
        </w:rPr>
      </w:pPr>
      <w:r>
        <w:rPr>
          <w:rFonts w:hint="eastAsia" w:ascii="宋体"/>
          <w:bCs/>
          <w:sz w:val="24"/>
          <w:lang w:val="zh-CN"/>
        </w:rPr>
        <w:t>（二）有下列行为之一的，认定为较严重不良行为供应商，并在1年内禁止：</w:t>
      </w:r>
    </w:p>
    <w:p>
      <w:pPr>
        <w:snapToGrid w:val="0"/>
        <w:spacing w:line="360" w:lineRule="auto"/>
        <w:ind w:firstLine="480"/>
        <w:jc w:val="left"/>
        <w:rPr>
          <w:rFonts w:ascii="宋体"/>
          <w:bCs/>
          <w:sz w:val="24"/>
          <w:lang w:val="zh-CN"/>
        </w:rPr>
      </w:pPr>
      <w:r>
        <w:rPr>
          <w:rFonts w:hint="eastAsia" w:ascii="宋体"/>
          <w:bCs/>
          <w:sz w:val="24"/>
          <w:lang w:val="zh-CN"/>
        </w:rPr>
        <w:t>（1）无正当理由拒不签订合同或不履行合同的；</w:t>
      </w:r>
    </w:p>
    <w:p>
      <w:pPr>
        <w:snapToGrid w:val="0"/>
        <w:spacing w:line="360" w:lineRule="auto"/>
        <w:ind w:firstLine="480"/>
        <w:jc w:val="left"/>
        <w:rPr>
          <w:rFonts w:ascii="宋体"/>
          <w:bCs/>
          <w:sz w:val="24"/>
          <w:lang w:val="zh-CN"/>
        </w:rPr>
      </w:pPr>
      <w:r>
        <w:rPr>
          <w:rFonts w:hint="eastAsia" w:ascii="宋体"/>
          <w:bCs/>
          <w:sz w:val="24"/>
          <w:lang w:val="zh-CN"/>
        </w:rPr>
        <w:t>（2）不得转包、分包的项目，中标（成交）后进行转包、分包的；</w:t>
      </w:r>
    </w:p>
    <w:p>
      <w:pPr>
        <w:snapToGrid w:val="0"/>
        <w:spacing w:line="360" w:lineRule="auto"/>
        <w:ind w:firstLine="480"/>
        <w:jc w:val="left"/>
        <w:rPr>
          <w:rFonts w:ascii="宋体"/>
          <w:bCs/>
          <w:sz w:val="24"/>
          <w:lang w:val="zh-CN"/>
        </w:rPr>
      </w:pPr>
      <w:r>
        <w:rPr>
          <w:rFonts w:hint="eastAsia" w:ascii="宋体"/>
          <w:bCs/>
          <w:sz w:val="24"/>
          <w:lang w:val="zh-CN"/>
        </w:rPr>
        <w:t>（3）擅自变更或者终止采购合同的；</w:t>
      </w:r>
    </w:p>
    <w:p>
      <w:pPr>
        <w:snapToGrid w:val="0"/>
        <w:spacing w:line="360" w:lineRule="auto"/>
        <w:ind w:firstLine="480"/>
        <w:jc w:val="left"/>
        <w:rPr>
          <w:rFonts w:ascii="宋体"/>
          <w:bCs/>
          <w:sz w:val="24"/>
          <w:lang w:val="zh-CN"/>
        </w:rPr>
      </w:pPr>
      <w:r>
        <w:rPr>
          <w:rFonts w:hint="eastAsia" w:ascii="宋体"/>
          <w:bCs/>
          <w:sz w:val="24"/>
          <w:lang w:val="zh-CN"/>
        </w:rPr>
        <w:t>（4）未按期提供物资、服务或工程，经两次以上催告后在合理期间内仍未提供的；</w:t>
      </w:r>
    </w:p>
    <w:p>
      <w:pPr>
        <w:snapToGrid w:val="0"/>
        <w:spacing w:line="360" w:lineRule="auto"/>
        <w:ind w:firstLine="480"/>
        <w:jc w:val="left"/>
        <w:rPr>
          <w:rFonts w:ascii="宋体"/>
          <w:bCs/>
          <w:sz w:val="24"/>
          <w:lang w:val="zh-CN"/>
        </w:rPr>
      </w:pPr>
      <w:r>
        <w:rPr>
          <w:rFonts w:hint="eastAsia" w:ascii="宋体"/>
          <w:bCs/>
          <w:sz w:val="24"/>
          <w:lang w:val="zh-CN"/>
        </w:rPr>
        <w:t>（5）在验收时提供虚假技术证明文书的；</w:t>
      </w:r>
    </w:p>
    <w:p>
      <w:pPr>
        <w:snapToGrid w:val="0"/>
        <w:spacing w:line="360" w:lineRule="auto"/>
        <w:ind w:firstLine="480"/>
        <w:jc w:val="left"/>
        <w:rPr>
          <w:rFonts w:ascii="宋体"/>
          <w:bCs/>
          <w:sz w:val="24"/>
          <w:lang w:val="zh-CN"/>
        </w:rPr>
      </w:pPr>
      <w:r>
        <w:rPr>
          <w:rFonts w:hint="eastAsia" w:ascii="宋体"/>
          <w:bCs/>
          <w:sz w:val="24"/>
          <w:lang w:val="zh-CN"/>
        </w:rPr>
        <w:t>（6）提供假冒伪劣产品，以假充真、以次充好的；</w:t>
      </w:r>
    </w:p>
    <w:p>
      <w:pPr>
        <w:snapToGrid w:val="0"/>
        <w:spacing w:line="360" w:lineRule="auto"/>
        <w:ind w:firstLine="480"/>
        <w:jc w:val="left"/>
        <w:rPr>
          <w:rFonts w:ascii="宋体"/>
          <w:bCs/>
          <w:sz w:val="24"/>
          <w:lang w:val="zh-CN"/>
        </w:rPr>
      </w:pPr>
      <w:r>
        <w:rPr>
          <w:rFonts w:hint="eastAsia" w:ascii="宋体"/>
          <w:bCs/>
          <w:sz w:val="24"/>
          <w:lang w:val="zh-CN"/>
        </w:rPr>
        <w:t>（7）未按合同约定或违反采购文件承诺，擅自更换产品品牌、规格等，经告知后拒不改正的；</w:t>
      </w:r>
    </w:p>
    <w:p>
      <w:pPr>
        <w:snapToGrid w:val="0"/>
        <w:spacing w:line="360" w:lineRule="auto"/>
        <w:ind w:firstLine="480"/>
        <w:jc w:val="left"/>
        <w:rPr>
          <w:rFonts w:ascii="宋体"/>
          <w:bCs/>
          <w:sz w:val="24"/>
          <w:lang w:val="zh-CN"/>
        </w:rPr>
      </w:pPr>
      <w:r>
        <w:rPr>
          <w:rFonts w:hint="eastAsia" w:ascii="宋体"/>
          <w:bCs/>
          <w:sz w:val="24"/>
          <w:lang w:val="zh-CN"/>
        </w:rPr>
        <w:t>（8）因产品或服务质量问题造成安全隐患，影响生产和建设的；</w:t>
      </w:r>
    </w:p>
    <w:p>
      <w:pPr>
        <w:snapToGrid w:val="0"/>
        <w:spacing w:line="360" w:lineRule="auto"/>
        <w:ind w:firstLine="480"/>
        <w:jc w:val="left"/>
        <w:rPr>
          <w:rFonts w:ascii="宋体"/>
          <w:bCs/>
          <w:sz w:val="24"/>
          <w:lang w:val="zh-CN"/>
        </w:rPr>
      </w:pPr>
      <w:r>
        <w:rPr>
          <w:rFonts w:hint="eastAsia" w:ascii="宋体"/>
          <w:bCs/>
          <w:sz w:val="24"/>
          <w:lang w:val="zh-CN"/>
        </w:rPr>
        <w:t>（9）产品存在批次质量问题，拒不进行召回、退还和撤换的；</w:t>
      </w:r>
    </w:p>
    <w:p>
      <w:pPr>
        <w:snapToGrid w:val="0"/>
        <w:spacing w:line="360" w:lineRule="auto"/>
        <w:ind w:firstLine="480"/>
        <w:jc w:val="left"/>
        <w:rPr>
          <w:rFonts w:ascii="宋体"/>
          <w:bCs/>
          <w:sz w:val="24"/>
          <w:lang w:val="zh-CN"/>
        </w:rPr>
      </w:pPr>
      <w:r>
        <w:rPr>
          <w:rFonts w:hint="eastAsia" w:ascii="宋体"/>
          <w:bCs/>
          <w:sz w:val="24"/>
          <w:lang w:val="zh-CN"/>
        </w:rPr>
        <w:t>（10）拒绝采购人有关部门进行监督检查或提供虚假情况的；</w:t>
      </w:r>
    </w:p>
    <w:p>
      <w:pPr>
        <w:snapToGrid w:val="0"/>
        <w:spacing w:line="360" w:lineRule="auto"/>
        <w:ind w:firstLine="480"/>
        <w:jc w:val="left"/>
        <w:rPr>
          <w:rFonts w:ascii="宋体"/>
          <w:bCs/>
          <w:sz w:val="24"/>
          <w:lang w:val="zh-CN"/>
        </w:rPr>
      </w:pPr>
      <w:r>
        <w:rPr>
          <w:rFonts w:hint="eastAsia" w:ascii="宋体"/>
          <w:bCs/>
          <w:sz w:val="24"/>
          <w:lang w:val="zh-CN"/>
        </w:rPr>
        <w:t>（11）一个自然年度内无正当理由累计发生质疑或投诉2次以上的；</w:t>
      </w:r>
    </w:p>
    <w:p>
      <w:pPr>
        <w:snapToGrid w:val="0"/>
        <w:spacing w:line="360" w:lineRule="auto"/>
        <w:ind w:firstLine="480"/>
        <w:jc w:val="left"/>
        <w:rPr>
          <w:rFonts w:ascii="宋体"/>
          <w:bCs/>
          <w:sz w:val="24"/>
          <w:lang w:val="zh-CN"/>
        </w:rPr>
      </w:pPr>
      <w:r>
        <w:rPr>
          <w:rFonts w:hint="eastAsia" w:ascii="宋体"/>
          <w:bCs/>
          <w:sz w:val="24"/>
          <w:lang w:val="zh-CN"/>
        </w:rPr>
        <w:t>（12）一个自然年度内累计出现2次以上付款验收评价等级为D的；</w:t>
      </w:r>
    </w:p>
    <w:p>
      <w:pPr>
        <w:snapToGrid w:val="0"/>
        <w:spacing w:line="360" w:lineRule="auto"/>
        <w:ind w:firstLine="480"/>
        <w:jc w:val="left"/>
        <w:rPr>
          <w:rFonts w:ascii="宋体"/>
          <w:bCs/>
          <w:sz w:val="24"/>
          <w:lang w:val="zh-CN"/>
        </w:rPr>
      </w:pPr>
      <w:r>
        <w:rPr>
          <w:rFonts w:hint="eastAsia" w:ascii="宋体"/>
          <w:bCs/>
          <w:sz w:val="24"/>
          <w:lang w:val="zh-CN"/>
        </w:rPr>
        <w:t>（13）综合评价等级为不合格的；</w:t>
      </w:r>
    </w:p>
    <w:p>
      <w:pPr>
        <w:snapToGrid w:val="0"/>
        <w:spacing w:line="360" w:lineRule="auto"/>
        <w:ind w:firstLine="480"/>
        <w:jc w:val="left"/>
        <w:rPr>
          <w:rFonts w:ascii="宋体"/>
          <w:bCs/>
          <w:sz w:val="24"/>
          <w:lang w:val="zh-CN"/>
        </w:rPr>
      </w:pPr>
      <w:r>
        <w:rPr>
          <w:rFonts w:hint="eastAsia" w:ascii="宋体"/>
          <w:bCs/>
          <w:sz w:val="24"/>
          <w:lang w:val="zh-CN"/>
        </w:rPr>
        <w:t>（14）其他较严重不良行为。</w:t>
      </w:r>
    </w:p>
    <w:p>
      <w:pPr>
        <w:snapToGrid w:val="0"/>
        <w:spacing w:line="360" w:lineRule="auto"/>
        <w:ind w:firstLine="480"/>
        <w:jc w:val="left"/>
        <w:rPr>
          <w:rFonts w:ascii="宋体"/>
          <w:bCs/>
          <w:sz w:val="24"/>
          <w:lang w:val="zh-CN"/>
        </w:rPr>
      </w:pPr>
      <w:r>
        <w:rPr>
          <w:rFonts w:hint="eastAsia" w:ascii="宋体"/>
          <w:bCs/>
          <w:sz w:val="24"/>
          <w:lang w:val="zh-CN"/>
        </w:rPr>
        <w:t>（三）有下列行为之一的，认定为严重不良行为供应商，并在2年内禁止：</w:t>
      </w:r>
    </w:p>
    <w:p>
      <w:pPr>
        <w:snapToGrid w:val="0"/>
        <w:spacing w:line="360" w:lineRule="auto"/>
        <w:ind w:firstLine="480"/>
        <w:jc w:val="left"/>
        <w:rPr>
          <w:rFonts w:ascii="宋体"/>
          <w:bCs/>
          <w:sz w:val="24"/>
          <w:lang w:val="zh-CN"/>
        </w:rPr>
      </w:pPr>
      <w:r>
        <w:rPr>
          <w:rFonts w:hint="eastAsia" w:ascii="宋体"/>
          <w:bCs/>
          <w:sz w:val="24"/>
          <w:lang w:val="zh-CN"/>
        </w:rPr>
        <w:t>（1）招标过程中存在招标投标法及其实施条例所列的串通投标或弄虚作假行为的；</w:t>
      </w:r>
    </w:p>
    <w:p>
      <w:pPr>
        <w:snapToGrid w:val="0"/>
        <w:spacing w:line="360" w:lineRule="auto"/>
        <w:ind w:firstLine="480"/>
        <w:jc w:val="left"/>
        <w:rPr>
          <w:rFonts w:ascii="宋体"/>
          <w:bCs/>
          <w:sz w:val="24"/>
          <w:lang w:val="zh-CN"/>
        </w:rPr>
      </w:pPr>
      <w:r>
        <w:rPr>
          <w:rFonts w:hint="eastAsia" w:ascii="宋体"/>
          <w:bCs/>
          <w:sz w:val="24"/>
          <w:lang w:val="zh-CN"/>
        </w:rPr>
        <w:t>（2）非招标采购过程中存在串通或弄虚作假行为的（其不良行为情形参照前款）；</w:t>
      </w:r>
    </w:p>
    <w:p>
      <w:pPr>
        <w:snapToGrid w:val="0"/>
        <w:spacing w:line="360" w:lineRule="auto"/>
        <w:ind w:firstLine="480"/>
        <w:jc w:val="left"/>
        <w:rPr>
          <w:rFonts w:ascii="宋体"/>
          <w:bCs/>
          <w:sz w:val="24"/>
          <w:lang w:val="zh-CN"/>
        </w:rPr>
      </w:pPr>
      <w:r>
        <w:rPr>
          <w:rFonts w:hint="eastAsia" w:ascii="宋体"/>
          <w:bCs/>
          <w:sz w:val="24"/>
          <w:lang w:val="zh-CN"/>
        </w:rPr>
        <w:t>（3）因产品质量缺陷或服务质量问题造成较大经济损失或安全事故的；</w:t>
      </w:r>
    </w:p>
    <w:p>
      <w:pPr>
        <w:snapToGrid w:val="0"/>
        <w:spacing w:line="360" w:lineRule="auto"/>
        <w:ind w:firstLine="480"/>
        <w:jc w:val="left"/>
        <w:rPr>
          <w:rFonts w:ascii="宋体"/>
          <w:bCs/>
          <w:sz w:val="24"/>
          <w:lang w:val="zh-CN"/>
        </w:rPr>
      </w:pPr>
      <w:r>
        <w:rPr>
          <w:rFonts w:hint="eastAsia" w:ascii="宋体"/>
          <w:bCs/>
          <w:sz w:val="24"/>
          <w:lang w:val="zh-CN"/>
        </w:rPr>
        <w:t>（4）违约或其他不良行为给企业造成经济损失、不良社会影响的；</w:t>
      </w:r>
    </w:p>
    <w:p>
      <w:pPr>
        <w:snapToGrid w:val="0"/>
        <w:spacing w:line="360" w:lineRule="auto"/>
        <w:ind w:firstLine="480"/>
        <w:jc w:val="left"/>
        <w:rPr>
          <w:rFonts w:ascii="宋体"/>
          <w:bCs/>
          <w:sz w:val="24"/>
          <w:lang w:val="zh-CN"/>
        </w:rPr>
      </w:pPr>
      <w:r>
        <w:rPr>
          <w:rFonts w:hint="eastAsia" w:ascii="宋体"/>
          <w:bCs/>
          <w:sz w:val="24"/>
          <w:lang w:val="zh-CN"/>
        </w:rPr>
        <w:t>（5）采用不正当手段维护权益，影响正常经营秩序或造成不良社会影响的；</w:t>
      </w:r>
    </w:p>
    <w:p>
      <w:pPr>
        <w:snapToGrid w:val="0"/>
        <w:spacing w:line="360" w:lineRule="auto"/>
        <w:ind w:firstLine="480"/>
        <w:jc w:val="left"/>
        <w:rPr>
          <w:rFonts w:ascii="宋体"/>
          <w:bCs/>
          <w:sz w:val="24"/>
          <w:lang w:val="zh-CN"/>
        </w:rPr>
      </w:pPr>
      <w:r>
        <w:rPr>
          <w:rFonts w:hint="eastAsia" w:ascii="宋体"/>
          <w:bCs/>
          <w:sz w:val="24"/>
          <w:lang w:val="zh-CN"/>
        </w:rPr>
        <w:t>（6）其他严重不良行为。</w:t>
      </w:r>
    </w:p>
    <w:p>
      <w:pPr>
        <w:snapToGrid w:val="0"/>
        <w:spacing w:line="360" w:lineRule="auto"/>
        <w:ind w:firstLine="480"/>
        <w:jc w:val="left"/>
        <w:rPr>
          <w:rFonts w:ascii="宋体"/>
          <w:bCs/>
          <w:sz w:val="24"/>
          <w:lang w:val="zh-CN"/>
        </w:rPr>
      </w:pPr>
      <w:r>
        <w:rPr>
          <w:rFonts w:hint="eastAsia" w:ascii="宋体"/>
          <w:b/>
          <w:sz w:val="24"/>
          <w:lang w:val="zh-CN"/>
        </w:rPr>
        <w:t>第</w:t>
      </w:r>
      <w:r>
        <w:rPr>
          <w:rFonts w:hint="eastAsia" w:ascii="宋体"/>
          <w:b/>
          <w:sz w:val="24"/>
        </w:rPr>
        <w:t>二十八</w:t>
      </w:r>
      <w:r>
        <w:rPr>
          <w:rFonts w:hint="eastAsia" w:ascii="宋体"/>
          <w:b/>
          <w:sz w:val="24"/>
          <w:lang w:val="zh-CN"/>
        </w:rPr>
        <w:t>条</w:t>
      </w:r>
      <w:r>
        <w:rPr>
          <w:rFonts w:hint="eastAsia" w:ascii="宋体"/>
          <w:bCs/>
          <w:sz w:val="24"/>
          <w:lang w:val="zh-CN"/>
        </w:rPr>
        <w:t xml:space="preserve"> </w:t>
      </w:r>
      <w:r>
        <w:rPr>
          <w:rFonts w:hint="eastAsia" w:ascii="宋体"/>
          <w:bCs/>
          <w:sz w:val="24"/>
        </w:rPr>
        <w:t>中国烟草总公司浙江省公司</w:t>
      </w:r>
      <w:r>
        <w:rPr>
          <w:rFonts w:hint="eastAsia" w:ascii="宋体"/>
          <w:bCs/>
          <w:sz w:val="24"/>
          <w:lang w:val="zh-CN"/>
        </w:rPr>
        <w:t>结合各</w:t>
      </w:r>
      <w:r>
        <w:rPr>
          <w:rFonts w:hint="eastAsia" w:ascii="宋体"/>
          <w:bCs/>
          <w:sz w:val="24"/>
        </w:rPr>
        <w:t>直属</w:t>
      </w:r>
      <w:r>
        <w:rPr>
          <w:rFonts w:hint="eastAsia" w:ascii="宋体"/>
          <w:bCs/>
          <w:sz w:val="24"/>
          <w:lang w:val="zh-CN"/>
        </w:rPr>
        <w:t>单位不良行为供应商处理结果，确定</w:t>
      </w:r>
      <w:r>
        <w:rPr>
          <w:rFonts w:hint="eastAsia" w:ascii="宋体"/>
          <w:bCs/>
          <w:sz w:val="24"/>
        </w:rPr>
        <w:t>是否在浙江省烟草专卖商业</w:t>
      </w:r>
      <w:r>
        <w:rPr>
          <w:rFonts w:hint="eastAsia" w:ascii="宋体"/>
          <w:bCs/>
          <w:sz w:val="24"/>
          <w:lang w:val="zh-CN"/>
        </w:rPr>
        <w:t>系统范围内禁止及禁止期限。</w:t>
      </w:r>
    </w:p>
    <w:p>
      <w:pPr>
        <w:snapToGrid w:val="0"/>
        <w:spacing w:line="360" w:lineRule="auto"/>
        <w:ind w:firstLine="480"/>
        <w:jc w:val="left"/>
        <w:rPr>
          <w:rFonts w:ascii="宋体"/>
          <w:bCs/>
          <w:sz w:val="24"/>
          <w:lang w:val="zh-CN"/>
        </w:rPr>
      </w:pPr>
      <w:r>
        <w:rPr>
          <w:rFonts w:hint="eastAsia" w:ascii="宋体"/>
          <w:b/>
          <w:sz w:val="24"/>
          <w:lang w:val="zh-CN"/>
        </w:rPr>
        <w:t>第</w:t>
      </w:r>
      <w:r>
        <w:rPr>
          <w:rFonts w:hint="eastAsia" w:ascii="宋体"/>
          <w:b/>
          <w:sz w:val="24"/>
        </w:rPr>
        <w:t>二十九</w:t>
      </w:r>
      <w:r>
        <w:rPr>
          <w:rFonts w:hint="eastAsia" w:ascii="宋体"/>
          <w:b/>
          <w:sz w:val="24"/>
          <w:lang w:val="zh-CN"/>
        </w:rPr>
        <w:t>条</w:t>
      </w:r>
      <w:r>
        <w:rPr>
          <w:rFonts w:hint="eastAsia" w:ascii="宋体"/>
          <w:bCs/>
          <w:sz w:val="24"/>
          <w:lang w:val="zh-CN"/>
        </w:rPr>
        <w:t xml:space="preserve"> 2017年10月15日起，</w:t>
      </w:r>
      <w:r>
        <w:rPr>
          <w:rFonts w:hint="eastAsia" w:ascii="宋体"/>
          <w:bCs/>
          <w:sz w:val="24"/>
        </w:rPr>
        <w:t>乙方</w:t>
      </w:r>
      <w:r>
        <w:rPr>
          <w:rFonts w:hint="eastAsia" w:ascii="宋体"/>
          <w:bCs/>
          <w:sz w:val="24"/>
          <w:lang w:val="zh-CN"/>
        </w:rPr>
        <w:t>在参加</w:t>
      </w:r>
      <w:r>
        <w:rPr>
          <w:rFonts w:hint="eastAsia" w:ascii="宋体"/>
          <w:bCs/>
          <w:sz w:val="24"/>
        </w:rPr>
        <w:t>甲方</w:t>
      </w:r>
      <w:r>
        <w:rPr>
          <w:rFonts w:hint="eastAsia" w:ascii="宋体"/>
          <w:bCs/>
          <w:sz w:val="24"/>
          <w:lang w:val="zh-CN"/>
        </w:rPr>
        <w:t>行业采购活动中，向</w:t>
      </w:r>
      <w:r>
        <w:rPr>
          <w:rFonts w:hint="eastAsia" w:ascii="宋体"/>
          <w:bCs/>
          <w:sz w:val="24"/>
        </w:rPr>
        <w:t>甲方</w:t>
      </w:r>
      <w:r>
        <w:rPr>
          <w:rFonts w:hint="eastAsia" w:ascii="宋体"/>
          <w:bCs/>
          <w:sz w:val="24"/>
          <w:lang w:val="zh-CN"/>
        </w:rPr>
        <w:t>单位干部职工行贿的，将其列入存在行贿行为供应商名单，实施严格禁入措施，禁止参加新采购项目，并根据生效的刑事判决书、刑事裁定书、党政纪处分决定书认定的数额，采取如下处理措施：</w:t>
      </w:r>
    </w:p>
    <w:p>
      <w:pPr>
        <w:snapToGrid w:val="0"/>
        <w:spacing w:line="360" w:lineRule="auto"/>
        <w:ind w:firstLine="480"/>
        <w:jc w:val="left"/>
        <w:rPr>
          <w:rFonts w:ascii="宋体"/>
          <w:bCs/>
          <w:sz w:val="24"/>
          <w:lang w:val="zh-CN"/>
        </w:rPr>
      </w:pPr>
      <w:r>
        <w:rPr>
          <w:rFonts w:hint="eastAsia" w:ascii="宋体"/>
          <w:bCs/>
          <w:sz w:val="24"/>
          <w:lang w:val="zh-CN"/>
        </w:rPr>
        <w:t>（一）行贿数额不满10万元的，禁止参加全行业烟草企业新采购项目1年，禁止参加浙江省烟草专卖商业系统新采购项目2年；</w:t>
      </w:r>
    </w:p>
    <w:p>
      <w:pPr>
        <w:snapToGrid w:val="0"/>
        <w:spacing w:line="360" w:lineRule="auto"/>
        <w:ind w:firstLine="480"/>
        <w:jc w:val="left"/>
        <w:rPr>
          <w:rFonts w:ascii="宋体"/>
          <w:bCs/>
          <w:sz w:val="24"/>
          <w:lang w:val="zh-CN"/>
        </w:rPr>
      </w:pPr>
      <w:r>
        <w:rPr>
          <w:rFonts w:hint="eastAsia" w:ascii="宋体"/>
          <w:bCs/>
          <w:sz w:val="24"/>
          <w:lang w:val="zh-CN"/>
        </w:rPr>
        <w:t>（二）行贿数额10万元以上不满50万元的，禁止参加全行业烟草企业新采购项目1年，禁止参加浙江省烟草专卖商业系统新采购项目3年；</w:t>
      </w:r>
    </w:p>
    <w:p>
      <w:pPr>
        <w:snapToGrid w:val="0"/>
        <w:spacing w:line="360" w:lineRule="auto"/>
        <w:ind w:firstLine="480"/>
        <w:jc w:val="left"/>
        <w:rPr>
          <w:rFonts w:ascii="宋体"/>
          <w:bCs/>
          <w:sz w:val="24"/>
          <w:lang w:val="zh-CN"/>
        </w:rPr>
      </w:pPr>
      <w:r>
        <w:rPr>
          <w:rFonts w:hint="eastAsia" w:ascii="宋体"/>
          <w:bCs/>
          <w:sz w:val="24"/>
          <w:lang w:val="zh-CN"/>
        </w:rPr>
        <w:t>（三）行贿数额50万元以上不满100万元的，禁止参加全行业烟草企业新采购项目1年，禁止参加浙江省烟草专卖商业系统新采购项目4年；</w:t>
      </w:r>
    </w:p>
    <w:p>
      <w:pPr>
        <w:snapToGrid w:val="0"/>
        <w:spacing w:line="360" w:lineRule="auto"/>
        <w:ind w:firstLine="480"/>
        <w:jc w:val="left"/>
        <w:rPr>
          <w:rFonts w:ascii="宋体"/>
          <w:bCs/>
          <w:sz w:val="24"/>
          <w:lang w:val="zh-CN"/>
        </w:rPr>
      </w:pPr>
      <w:r>
        <w:rPr>
          <w:rFonts w:hint="eastAsia" w:ascii="宋体"/>
          <w:bCs/>
          <w:sz w:val="24"/>
          <w:lang w:val="zh-CN"/>
        </w:rPr>
        <w:t>（四）行贿数额在100万元以上不满500万元的，禁止参加全行业烟草企业新采购项目2年，禁止参加浙江省烟草专卖商业系统新采购项目5年；</w:t>
      </w:r>
    </w:p>
    <w:p>
      <w:pPr>
        <w:snapToGrid w:val="0"/>
        <w:spacing w:line="360" w:lineRule="auto"/>
        <w:ind w:firstLine="480"/>
        <w:jc w:val="left"/>
        <w:rPr>
          <w:rFonts w:ascii="宋体"/>
          <w:bCs/>
          <w:sz w:val="24"/>
          <w:lang w:val="zh-CN"/>
        </w:rPr>
      </w:pPr>
      <w:r>
        <w:rPr>
          <w:rFonts w:hint="eastAsia" w:ascii="宋体"/>
          <w:bCs/>
          <w:sz w:val="24"/>
          <w:lang w:val="zh-CN"/>
        </w:rPr>
        <w:t>（五）行贿数额在500万元以上的，禁止参加全行业烟草企业新采购项目3年，禁止参加浙江省烟草专卖商业系统新采购项目6年；</w:t>
      </w:r>
    </w:p>
    <w:p>
      <w:pPr>
        <w:snapToGrid w:val="0"/>
        <w:spacing w:line="360" w:lineRule="auto"/>
        <w:ind w:firstLine="480"/>
        <w:jc w:val="left"/>
        <w:rPr>
          <w:rFonts w:ascii="宋体"/>
          <w:bCs/>
          <w:sz w:val="24"/>
          <w:lang w:val="zh-CN"/>
        </w:rPr>
      </w:pPr>
      <w:r>
        <w:rPr>
          <w:rFonts w:hint="eastAsia" w:ascii="宋体"/>
          <w:bCs/>
          <w:sz w:val="24"/>
          <w:lang w:val="zh-CN"/>
        </w:rPr>
        <w:t>（六）向烟草行业行贿两次以上的或者造成恶劣社会影响的，永久禁止参加浙江省烟草专卖商业系统新采购项目；</w:t>
      </w:r>
    </w:p>
    <w:p>
      <w:pPr>
        <w:snapToGrid w:val="0"/>
        <w:spacing w:line="360" w:lineRule="auto"/>
        <w:ind w:firstLine="480"/>
        <w:jc w:val="left"/>
        <w:rPr>
          <w:rFonts w:ascii="宋体"/>
          <w:bCs/>
          <w:sz w:val="24"/>
          <w:lang w:val="zh-CN"/>
        </w:rPr>
      </w:pPr>
      <w:r>
        <w:rPr>
          <w:rFonts w:hint="eastAsia" w:ascii="宋体"/>
          <w:bCs/>
          <w:sz w:val="24"/>
          <w:lang w:val="zh-CN"/>
        </w:rPr>
        <w:t>（七）行贿行为情节特别严重的，永久禁止参加烟草企业新采购项目。</w:t>
      </w:r>
    </w:p>
    <w:p>
      <w:pPr>
        <w:snapToGrid w:val="0"/>
        <w:spacing w:line="360" w:lineRule="auto"/>
        <w:ind w:firstLine="480"/>
        <w:jc w:val="left"/>
        <w:rPr>
          <w:rFonts w:ascii="宋体"/>
          <w:bCs/>
          <w:sz w:val="24"/>
          <w:lang w:val="zh-CN"/>
        </w:rPr>
      </w:pPr>
      <w:r>
        <w:rPr>
          <w:rFonts w:hint="eastAsia" w:ascii="宋体"/>
          <w:b/>
          <w:sz w:val="24"/>
          <w:lang w:val="zh-CN"/>
        </w:rPr>
        <w:t>第</w:t>
      </w:r>
      <w:r>
        <w:rPr>
          <w:rFonts w:hint="eastAsia" w:ascii="宋体"/>
          <w:b/>
          <w:sz w:val="24"/>
        </w:rPr>
        <w:t>三十</w:t>
      </w:r>
      <w:r>
        <w:rPr>
          <w:rFonts w:hint="eastAsia" w:ascii="宋体"/>
          <w:b/>
          <w:sz w:val="24"/>
          <w:lang w:val="zh-CN"/>
        </w:rPr>
        <w:t>条</w:t>
      </w:r>
      <w:r>
        <w:rPr>
          <w:rFonts w:hint="eastAsia" w:ascii="宋体"/>
          <w:bCs/>
          <w:sz w:val="24"/>
          <w:lang w:val="zh-CN"/>
        </w:rPr>
        <w:t xml:space="preserve"> 对存在行贿行为供应商的禁入措施，适用于其法定代表人、主要负责人和行贿人。在禁入期限内，上述人员担任法定代表人、主要负责人或实际控制人的其他企业，均不得参加新采购项目。</w:t>
      </w:r>
    </w:p>
    <w:p>
      <w:pPr>
        <w:snapToGrid w:val="0"/>
        <w:spacing w:line="360" w:lineRule="auto"/>
        <w:ind w:firstLine="480"/>
        <w:jc w:val="left"/>
        <w:rPr>
          <w:rFonts w:ascii="宋体"/>
          <w:bCs/>
          <w:sz w:val="24"/>
        </w:rPr>
      </w:pPr>
      <w:r>
        <w:rPr>
          <w:rFonts w:hint="eastAsia" w:ascii="宋体"/>
          <w:b/>
          <w:sz w:val="24"/>
          <w:lang w:val="zh-CN"/>
        </w:rPr>
        <w:t>第</w:t>
      </w:r>
      <w:r>
        <w:rPr>
          <w:rFonts w:hint="eastAsia" w:ascii="宋体"/>
          <w:b/>
          <w:sz w:val="24"/>
        </w:rPr>
        <w:t>三十一</w:t>
      </w:r>
      <w:r>
        <w:rPr>
          <w:rFonts w:hint="eastAsia" w:ascii="宋体"/>
          <w:b/>
          <w:sz w:val="24"/>
          <w:lang w:val="zh-CN"/>
        </w:rPr>
        <w:t>条</w:t>
      </w:r>
      <w:r>
        <w:rPr>
          <w:rFonts w:hint="eastAsia" w:ascii="宋体"/>
          <w:bCs/>
          <w:sz w:val="24"/>
          <w:lang w:val="zh-CN"/>
        </w:rPr>
        <w:t xml:space="preserve"> </w:t>
      </w:r>
      <w:r>
        <w:rPr>
          <w:rFonts w:hint="eastAsia" w:ascii="宋体"/>
          <w:bCs/>
          <w:sz w:val="24"/>
        </w:rPr>
        <w:t>乙方有本章所列的不良行为和行贿</w:t>
      </w:r>
      <w:r>
        <w:rPr>
          <w:rFonts w:hint="eastAsia" w:ascii="宋体"/>
          <w:bCs/>
          <w:sz w:val="24"/>
          <w:lang w:val="zh-CN"/>
        </w:rPr>
        <w:t>行为之一影响中标（成交）结果、可能影响中标（成交）结果或影响合同履行的，</w:t>
      </w:r>
      <w:r>
        <w:rPr>
          <w:rFonts w:hint="eastAsia" w:ascii="宋体"/>
          <w:bCs/>
          <w:sz w:val="24"/>
        </w:rPr>
        <w:t>甲方有权采取以下措施，产生的一切后果由乙方承担：</w:t>
      </w:r>
    </w:p>
    <w:p>
      <w:pPr>
        <w:snapToGrid w:val="0"/>
        <w:spacing w:line="360" w:lineRule="auto"/>
        <w:ind w:firstLine="480"/>
        <w:jc w:val="left"/>
        <w:rPr>
          <w:rFonts w:ascii="宋体"/>
          <w:bCs/>
          <w:sz w:val="24"/>
          <w:lang w:val="zh-CN"/>
        </w:rPr>
      </w:pPr>
      <w:r>
        <w:rPr>
          <w:rFonts w:hint="eastAsia" w:ascii="宋体"/>
          <w:bCs/>
          <w:sz w:val="24"/>
          <w:lang w:val="zh-CN"/>
        </w:rPr>
        <w:t>（一）未确定</w:t>
      </w:r>
      <w:r>
        <w:rPr>
          <w:rFonts w:hint="eastAsia" w:ascii="宋体"/>
          <w:bCs/>
          <w:sz w:val="24"/>
        </w:rPr>
        <w:t>中标（成交）</w:t>
      </w:r>
      <w:r>
        <w:rPr>
          <w:rFonts w:hint="eastAsia" w:ascii="宋体"/>
          <w:bCs/>
          <w:sz w:val="24"/>
          <w:lang w:val="zh-CN"/>
        </w:rPr>
        <w:t>的，终止采购活动；</w:t>
      </w:r>
    </w:p>
    <w:p>
      <w:pPr>
        <w:snapToGrid w:val="0"/>
        <w:spacing w:line="360" w:lineRule="auto"/>
        <w:ind w:firstLine="480"/>
        <w:jc w:val="left"/>
        <w:rPr>
          <w:rFonts w:ascii="宋体"/>
          <w:bCs/>
          <w:sz w:val="24"/>
          <w:lang w:val="zh-CN"/>
        </w:rPr>
      </w:pPr>
      <w:r>
        <w:rPr>
          <w:rFonts w:hint="eastAsia" w:ascii="宋体"/>
          <w:bCs/>
          <w:sz w:val="24"/>
          <w:lang w:val="zh-CN"/>
        </w:rPr>
        <w:t>（二）</w:t>
      </w:r>
      <w:r>
        <w:rPr>
          <w:rFonts w:hint="eastAsia" w:ascii="宋体"/>
          <w:bCs/>
          <w:sz w:val="24"/>
        </w:rPr>
        <w:t>中标（成交）</w:t>
      </w:r>
      <w:r>
        <w:rPr>
          <w:rFonts w:hint="eastAsia" w:ascii="宋体"/>
          <w:bCs/>
          <w:sz w:val="24"/>
          <w:lang w:val="zh-CN"/>
        </w:rPr>
        <w:t>已确定，但尚未签署合同的，从合格的中标（成交）候选人中另行确定中标（成交）供应商或重新组织采购；</w:t>
      </w:r>
    </w:p>
    <w:p>
      <w:pPr>
        <w:snapToGrid w:val="0"/>
        <w:spacing w:line="360" w:lineRule="auto"/>
        <w:ind w:firstLine="480"/>
        <w:jc w:val="left"/>
        <w:rPr>
          <w:rFonts w:ascii="宋体"/>
          <w:b/>
          <w:sz w:val="24"/>
          <w:lang w:val="zh-CN"/>
        </w:rPr>
      </w:pPr>
      <w:r>
        <w:rPr>
          <w:rFonts w:hint="eastAsia" w:ascii="宋体"/>
          <w:bCs/>
          <w:sz w:val="24"/>
          <w:lang w:val="zh-CN"/>
        </w:rPr>
        <w:t>（三）</w:t>
      </w:r>
      <w:r>
        <w:rPr>
          <w:rFonts w:hint="eastAsia" w:ascii="宋体"/>
          <w:bCs/>
          <w:sz w:val="24"/>
          <w:lang w:val="zh-CN" w:eastAsia="zh-Hans"/>
        </w:rPr>
        <w:t>在合同</w:t>
      </w:r>
      <w:r>
        <w:rPr>
          <w:rFonts w:hint="eastAsia" w:ascii="宋体"/>
          <w:bCs/>
          <w:sz w:val="24"/>
          <w:lang w:val="zh-CN"/>
        </w:rPr>
        <w:t>履约</w:t>
      </w:r>
      <w:r>
        <w:rPr>
          <w:rFonts w:hint="eastAsia" w:ascii="宋体"/>
          <w:bCs/>
          <w:sz w:val="24"/>
          <w:lang w:val="zh-CN" w:eastAsia="zh-Hans"/>
        </w:rPr>
        <w:t>期内，发现</w:t>
      </w:r>
      <w:r>
        <w:rPr>
          <w:rFonts w:hint="eastAsia" w:ascii="宋体"/>
          <w:bCs/>
          <w:sz w:val="24"/>
        </w:rPr>
        <w:t>乙方</w:t>
      </w:r>
      <w:r>
        <w:rPr>
          <w:rFonts w:hint="eastAsia" w:ascii="宋体"/>
          <w:bCs/>
          <w:sz w:val="24"/>
          <w:lang w:val="zh-CN" w:eastAsia="zh-Hans"/>
        </w:rPr>
        <w:t>有不良行为或行贿行为的，采取降低考核评价分数、降低供货份额、缩短服务期限、终止或解除合同等措施</w:t>
      </w:r>
      <w:r>
        <w:rPr>
          <w:rFonts w:hint="eastAsia" w:ascii="宋体"/>
          <w:bCs/>
          <w:sz w:val="24"/>
          <w:lang w:val="zh-CN"/>
        </w:rPr>
        <w:t>；要求乙方将核心技术资料（香精香料配方、软件源代码等）公开，交给其他供应商使用。</w:t>
      </w:r>
    </w:p>
    <w:p>
      <w:pPr>
        <w:snapToGrid w:val="0"/>
        <w:spacing w:line="360" w:lineRule="auto"/>
        <w:jc w:val="center"/>
        <w:outlineLvl w:val="0"/>
        <w:rPr>
          <w:rFonts w:ascii="宋体"/>
          <w:b/>
          <w:sz w:val="24"/>
          <w:lang w:val="zh-CN"/>
        </w:rPr>
      </w:pPr>
      <w:bookmarkStart w:id="193" w:name="_Toc2928"/>
      <w:bookmarkStart w:id="194" w:name="_Toc7485"/>
      <w:bookmarkStart w:id="195" w:name="_Toc26782"/>
      <w:r>
        <w:rPr>
          <w:rFonts w:hint="eastAsia" w:ascii="宋体"/>
          <w:b/>
          <w:sz w:val="24"/>
          <w:lang w:val="zh-CN"/>
        </w:rPr>
        <w:t>第九章 不可抗力及责任免除</w:t>
      </w:r>
      <w:bookmarkEnd w:id="193"/>
      <w:bookmarkEnd w:id="194"/>
      <w:bookmarkEnd w:id="195"/>
    </w:p>
    <w:p>
      <w:pPr>
        <w:snapToGrid w:val="0"/>
        <w:spacing w:line="360" w:lineRule="auto"/>
        <w:ind w:firstLine="482" w:firstLineChars="200"/>
        <w:outlineLvl w:val="1"/>
        <w:rPr>
          <w:rFonts w:ascii="宋体"/>
          <w:sz w:val="24"/>
        </w:rPr>
      </w:pPr>
      <w:bookmarkStart w:id="196" w:name="_Toc8963"/>
      <w:bookmarkStart w:id="197" w:name="_Toc4525"/>
      <w:bookmarkStart w:id="198" w:name="_Toc17319"/>
      <w:r>
        <w:rPr>
          <w:rFonts w:hint="eastAsia" w:ascii="宋体"/>
          <w:b/>
          <w:sz w:val="24"/>
        </w:rPr>
        <w:t xml:space="preserve">第三十二条 </w:t>
      </w:r>
      <w:r>
        <w:rPr>
          <w:rFonts w:hint="eastAsia" w:ascii="宋体"/>
          <w:sz w:val="24"/>
        </w:rPr>
        <w:t>若因不可抗力因素造成的违约，甲乙双方互不承担责任。</w:t>
      </w:r>
      <w:bookmarkEnd w:id="196"/>
      <w:bookmarkEnd w:id="197"/>
      <w:bookmarkEnd w:id="198"/>
    </w:p>
    <w:p>
      <w:pPr>
        <w:snapToGrid w:val="0"/>
        <w:spacing w:line="360" w:lineRule="auto"/>
        <w:ind w:firstLine="482" w:firstLineChars="200"/>
        <w:rPr>
          <w:rFonts w:ascii="宋体"/>
          <w:sz w:val="24"/>
        </w:rPr>
      </w:pPr>
      <w:r>
        <w:rPr>
          <w:rFonts w:hint="eastAsia" w:ascii="宋体"/>
          <w:b/>
          <w:sz w:val="24"/>
        </w:rPr>
        <w:t xml:space="preserve">第三十三条 </w:t>
      </w:r>
      <w:r>
        <w:rPr>
          <w:rFonts w:hint="eastAsia" w:ascii="宋体"/>
          <w:sz w:val="24"/>
        </w:rPr>
        <w:t>“不可抗力”指</w:t>
      </w:r>
      <w:r>
        <w:fldChar w:fldCharType="begin"/>
      </w:r>
      <w:r>
        <w:instrText xml:space="preserve"> HYPERLINK "http://www.64365.com/baike/htdl/" \o "合同订立" </w:instrText>
      </w:r>
      <w:r>
        <w:fldChar w:fldCharType="separate"/>
      </w:r>
      <w:r>
        <w:rPr>
          <w:rFonts w:hint="eastAsia" w:ascii="宋体"/>
          <w:sz w:val="24"/>
        </w:rPr>
        <w:t>合同订立</w:t>
      </w:r>
      <w:r>
        <w:rPr>
          <w:rFonts w:hint="eastAsia" w:ascii="宋体"/>
          <w:sz w:val="24"/>
        </w:rPr>
        <w:fldChar w:fldCharType="end"/>
      </w:r>
      <w:r>
        <w:rPr>
          <w:rFonts w:hint="eastAsia" w:ascii="宋体"/>
          <w:sz w:val="24"/>
        </w:rPr>
        <w:t>时不能预见、不能避免并不能克服的客观情况。由于不可抗力而导致不能履行合同的一方，应以书面通知（传真）对方，并于十五个工作日内提供不可抗力的详细资料，以及有效证明文件解释合同或部分合同不能执行或需要延长合同履行期限的原因。该等证明文件需由不可抗力发生地点的有关当局出具。双方应根据事故对合同的影响协商以决定完全或部分取消本合同或延长合同履行期限。</w:t>
      </w:r>
    </w:p>
    <w:p>
      <w:pPr>
        <w:snapToGrid w:val="0"/>
        <w:spacing w:line="360" w:lineRule="auto"/>
        <w:jc w:val="center"/>
        <w:outlineLvl w:val="0"/>
        <w:rPr>
          <w:rFonts w:ascii="宋体"/>
          <w:b/>
          <w:sz w:val="24"/>
          <w:lang w:val="zh-CN"/>
        </w:rPr>
      </w:pPr>
      <w:bookmarkStart w:id="199" w:name="_Toc26685"/>
      <w:bookmarkStart w:id="200" w:name="_Toc5131"/>
      <w:bookmarkStart w:id="201" w:name="_Toc270"/>
      <w:r>
        <w:rPr>
          <w:rFonts w:hint="eastAsia" w:ascii="宋体"/>
          <w:b/>
          <w:sz w:val="24"/>
          <w:lang w:val="zh-CN"/>
        </w:rPr>
        <w:t>第十章 争议解决</w:t>
      </w:r>
      <w:bookmarkEnd w:id="199"/>
      <w:bookmarkEnd w:id="200"/>
      <w:bookmarkEnd w:id="201"/>
    </w:p>
    <w:p>
      <w:pPr>
        <w:snapToGrid w:val="0"/>
        <w:spacing w:line="360" w:lineRule="auto"/>
        <w:ind w:firstLine="482" w:firstLineChars="200"/>
        <w:rPr>
          <w:rFonts w:ascii="宋体"/>
          <w:sz w:val="24"/>
        </w:rPr>
      </w:pPr>
      <w:r>
        <w:rPr>
          <w:rFonts w:hint="eastAsia" w:ascii="宋体"/>
          <w:b/>
          <w:sz w:val="24"/>
        </w:rPr>
        <w:t xml:space="preserve">第三十四条 </w:t>
      </w:r>
      <w:r>
        <w:rPr>
          <w:rFonts w:hint="eastAsia" w:ascii="宋体"/>
          <w:bCs/>
          <w:sz w:val="24"/>
          <w:lang w:eastAsia="zh-CN"/>
        </w:rPr>
        <w:t>☑</w:t>
      </w:r>
      <w:r>
        <w:rPr>
          <w:rFonts w:hint="eastAsia" w:ascii="宋体"/>
          <w:sz w:val="24"/>
        </w:rPr>
        <w:t>在履行本合同中产生的争执，双方应友好协商解决；如协商不成，可向甲方所在地的</w:t>
      </w:r>
      <w:r>
        <w:rPr>
          <w:rFonts w:hint="eastAsia" w:ascii="宋体"/>
          <w:sz w:val="24"/>
          <w:u w:val="single"/>
          <w:lang w:val="en-US" w:eastAsia="zh-CN"/>
        </w:rPr>
        <w:t xml:space="preserve"> 宁波</w:t>
      </w:r>
      <w:r>
        <w:rPr>
          <w:rFonts w:hint="eastAsia" w:ascii="宋体"/>
          <w:sz w:val="24"/>
          <w:u w:val="single"/>
        </w:rPr>
        <w:t>仲裁</w:t>
      </w:r>
      <w:r>
        <w:rPr>
          <w:rFonts w:hint="eastAsia" w:ascii="宋体"/>
          <w:sz w:val="24"/>
          <w:u w:val="single"/>
          <w:lang w:val="en-US" w:eastAsia="zh-CN"/>
        </w:rPr>
        <w:t xml:space="preserve">委员会 </w:t>
      </w:r>
      <w:r>
        <w:rPr>
          <w:rFonts w:hint="eastAsia" w:ascii="宋体"/>
          <w:sz w:val="24"/>
        </w:rPr>
        <w:t>提起仲裁，仲裁结果为最终结果。</w:t>
      </w:r>
    </w:p>
    <w:p>
      <w:pPr>
        <w:snapToGrid w:val="0"/>
        <w:spacing w:line="360" w:lineRule="auto"/>
        <w:ind w:firstLine="480" w:firstLineChars="200"/>
        <w:rPr>
          <w:rFonts w:ascii="宋体"/>
          <w:sz w:val="24"/>
        </w:rPr>
      </w:pPr>
      <w:r>
        <w:rPr>
          <w:rFonts w:hint="eastAsia" w:ascii="Segoe UI Symbol" w:hAnsi="Segoe UI Symbol" w:cs="Segoe UI Symbol"/>
          <w:bCs/>
          <w:sz w:val="24"/>
          <w:lang w:eastAsia="zh-CN"/>
        </w:rPr>
        <w:t>□</w:t>
      </w:r>
      <w:r>
        <w:rPr>
          <w:rFonts w:hint="eastAsia" w:ascii="宋体"/>
          <w:sz w:val="24"/>
        </w:rPr>
        <w:t>在履行本合同中产生的争执，双方应友好协商解决；如协商不成，可向甲方所在地人民法院提起诉讼。</w:t>
      </w:r>
    </w:p>
    <w:p>
      <w:pPr>
        <w:snapToGrid w:val="0"/>
        <w:spacing w:line="360" w:lineRule="auto"/>
        <w:jc w:val="center"/>
        <w:outlineLvl w:val="0"/>
        <w:rPr>
          <w:rFonts w:ascii="宋体"/>
          <w:b/>
          <w:sz w:val="24"/>
        </w:rPr>
      </w:pPr>
      <w:bookmarkStart w:id="202" w:name="_Toc5702"/>
      <w:bookmarkStart w:id="203" w:name="_Toc23156"/>
      <w:bookmarkStart w:id="204" w:name="_Toc5637"/>
      <w:r>
        <w:rPr>
          <w:rFonts w:hint="eastAsia" w:ascii="宋体"/>
          <w:b/>
          <w:sz w:val="24"/>
          <w:lang w:val="zh-CN"/>
        </w:rPr>
        <w:t>第十一章</w:t>
      </w:r>
      <w:r>
        <w:rPr>
          <w:rFonts w:hint="eastAsia" w:ascii="宋体"/>
          <w:b/>
          <w:sz w:val="24"/>
        </w:rPr>
        <w:t xml:space="preserve"> </w:t>
      </w:r>
      <w:r>
        <w:rPr>
          <w:rFonts w:hint="eastAsia" w:ascii="宋体"/>
          <w:b/>
          <w:sz w:val="24"/>
          <w:lang w:val="zh-CN"/>
        </w:rPr>
        <w:t>合同生效及其他</w:t>
      </w:r>
      <w:bookmarkEnd w:id="202"/>
      <w:bookmarkEnd w:id="203"/>
      <w:bookmarkEnd w:id="204"/>
    </w:p>
    <w:p>
      <w:pPr>
        <w:snapToGrid w:val="0"/>
        <w:spacing w:line="360" w:lineRule="auto"/>
        <w:ind w:firstLine="482" w:firstLineChars="200"/>
        <w:rPr>
          <w:rFonts w:ascii="宋体"/>
          <w:sz w:val="24"/>
        </w:rPr>
      </w:pPr>
      <w:r>
        <w:rPr>
          <w:rFonts w:hint="eastAsia" w:ascii="宋体"/>
          <w:b/>
          <w:sz w:val="24"/>
        </w:rPr>
        <w:t xml:space="preserve">第三十五条 </w:t>
      </w:r>
      <w:r>
        <w:rPr>
          <w:rFonts w:hint="eastAsia" w:ascii="宋体"/>
          <w:sz w:val="24"/>
        </w:rPr>
        <w:t>本合同的订立、效力、解释和履行以及本合同所发生的任何争议均适用中国法律。</w:t>
      </w:r>
    </w:p>
    <w:p>
      <w:pPr>
        <w:snapToGrid w:val="0"/>
        <w:spacing w:line="360" w:lineRule="auto"/>
        <w:ind w:firstLine="482" w:firstLineChars="200"/>
        <w:rPr>
          <w:rFonts w:ascii="宋体"/>
          <w:sz w:val="24"/>
        </w:rPr>
      </w:pPr>
      <w:r>
        <w:rPr>
          <w:rFonts w:hint="eastAsia" w:ascii="宋体"/>
          <w:b/>
          <w:sz w:val="24"/>
        </w:rPr>
        <w:t xml:space="preserve">第三十六条 </w:t>
      </w:r>
      <w:r>
        <w:rPr>
          <w:rFonts w:hint="eastAsia" w:ascii="宋体"/>
          <w:sz w:val="24"/>
        </w:rPr>
        <w:t>本合同原本为中文本，一式</w:t>
      </w:r>
      <w:r>
        <w:rPr>
          <w:rFonts w:hint="eastAsia" w:ascii="宋体"/>
          <w:sz w:val="24"/>
          <w:u w:val="single"/>
        </w:rPr>
        <w:t xml:space="preserve"> 陆 </w:t>
      </w:r>
      <w:r>
        <w:rPr>
          <w:rFonts w:hint="eastAsia" w:ascii="宋体"/>
          <w:sz w:val="24"/>
        </w:rPr>
        <w:t>份，甲方执</w:t>
      </w:r>
      <w:r>
        <w:rPr>
          <w:rFonts w:hint="eastAsia" w:ascii="宋体"/>
          <w:sz w:val="24"/>
          <w:u w:val="single"/>
        </w:rPr>
        <w:t xml:space="preserve"> 叁 </w:t>
      </w:r>
      <w:r>
        <w:rPr>
          <w:rFonts w:hint="eastAsia" w:ascii="宋体"/>
          <w:sz w:val="24"/>
        </w:rPr>
        <w:t>份，乙方执</w:t>
      </w:r>
      <w:r>
        <w:rPr>
          <w:rFonts w:hint="eastAsia" w:ascii="宋体"/>
          <w:sz w:val="24"/>
          <w:u w:val="single"/>
        </w:rPr>
        <w:t xml:space="preserve"> 叁 </w:t>
      </w:r>
      <w:r>
        <w:rPr>
          <w:rFonts w:hint="eastAsia" w:ascii="宋体"/>
          <w:sz w:val="24"/>
        </w:rPr>
        <w:t>份，具有同等法律效力。</w:t>
      </w:r>
    </w:p>
    <w:p>
      <w:pPr>
        <w:snapToGrid w:val="0"/>
        <w:spacing w:line="360" w:lineRule="auto"/>
        <w:ind w:firstLine="482" w:firstLineChars="200"/>
        <w:rPr>
          <w:rFonts w:ascii="宋体"/>
          <w:sz w:val="24"/>
        </w:rPr>
      </w:pPr>
      <w:r>
        <w:rPr>
          <w:rFonts w:hint="eastAsia" w:ascii="宋体"/>
          <w:b/>
          <w:sz w:val="24"/>
        </w:rPr>
        <w:t xml:space="preserve">第三十七条 </w:t>
      </w:r>
      <w:r>
        <w:rPr>
          <w:rFonts w:hint="eastAsia" w:ascii="宋体"/>
          <w:sz w:val="24"/>
        </w:rPr>
        <w:t>在履行本合同中如需对内容做修改或补充，则需由甲、乙双方指定的全权代表签订书面文件方可成立。</w:t>
      </w:r>
    </w:p>
    <w:p>
      <w:pPr>
        <w:tabs>
          <w:tab w:val="left" w:pos="7820"/>
        </w:tabs>
        <w:snapToGrid w:val="0"/>
        <w:spacing w:line="360" w:lineRule="auto"/>
        <w:ind w:firstLine="482" w:firstLineChars="200"/>
        <w:outlineLvl w:val="1"/>
        <w:rPr>
          <w:rFonts w:ascii="宋体"/>
          <w:b/>
          <w:sz w:val="24"/>
        </w:rPr>
      </w:pPr>
      <w:bookmarkStart w:id="205" w:name="_Toc11558"/>
      <w:r>
        <w:rPr>
          <w:rFonts w:hint="eastAsia"/>
          <w:b/>
          <w:sz w:val="24"/>
        </w:rPr>
        <w:t xml:space="preserve">第三十八条 </w:t>
      </w:r>
      <w:r>
        <w:rPr>
          <w:rFonts w:hint="eastAsia"/>
          <w:sz w:val="24"/>
        </w:rPr>
        <w:t>本合同甲乙双方之间发生的一切费用均以人民币结算及支付，汇至乙方指定的银行共管账户，执行</w:t>
      </w:r>
      <w:r>
        <w:rPr>
          <w:rFonts w:hint="eastAsia"/>
          <w:b/>
          <w:bCs/>
          <w:sz w:val="24"/>
          <w:u w:val="single"/>
        </w:rPr>
        <w:t>共管账户管理规定（详见附件7）</w:t>
      </w:r>
      <w:r>
        <w:rPr>
          <w:rFonts w:hint="eastAsia"/>
          <w:sz w:val="24"/>
        </w:rPr>
        <w:t>，同时签订</w:t>
      </w:r>
      <w:r>
        <w:rPr>
          <w:rFonts w:hint="eastAsia"/>
          <w:b/>
          <w:bCs/>
          <w:sz w:val="24"/>
          <w:u w:val="single"/>
        </w:rPr>
        <w:t>工程资金管理协议书（详见附件8）</w:t>
      </w:r>
      <w:r>
        <w:rPr>
          <w:rFonts w:hint="eastAsia"/>
          <w:sz w:val="24"/>
        </w:rPr>
        <w:t>。</w:t>
      </w:r>
      <w:bookmarkEnd w:id="205"/>
    </w:p>
    <w:p>
      <w:pPr>
        <w:tabs>
          <w:tab w:val="left" w:pos="7820"/>
        </w:tabs>
        <w:snapToGrid w:val="0"/>
        <w:spacing w:line="360" w:lineRule="auto"/>
        <w:ind w:firstLine="482" w:firstLineChars="200"/>
        <w:outlineLvl w:val="1"/>
        <w:rPr>
          <w:rFonts w:ascii="宋体"/>
          <w:bCs/>
          <w:sz w:val="24"/>
        </w:rPr>
      </w:pPr>
      <w:r>
        <w:rPr>
          <w:rFonts w:hint="eastAsia" w:ascii="宋体"/>
          <w:b/>
          <w:sz w:val="24"/>
        </w:rPr>
        <w:t xml:space="preserve">第三十九条 </w:t>
      </w:r>
      <w:r>
        <w:rPr>
          <w:rFonts w:hint="eastAsia" w:ascii="宋体"/>
          <w:bCs/>
          <w:sz w:val="24"/>
        </w:rPr>
        <w:t>本合同经甲、乙双方签名、盖章，如需乙方缴纳履约保证金的，履约保证金缴纳后，正式生效。</w:t>
      </w:r>
    </w:p>
    <w:p>
      <w:pPr>
        <w:tabs>
          <w:tab w:val="left" w:pos="7820"/>
        </w:tabs>
        <w:snapToGrid w:val="0"/>
        <w:spacing w:line="360" w:lineRule="auto"/>
        <w:outlineLvl w:val="1"/>
      </w:pPr>
    </w:p>
    <w:p>
      <w:pPr>
        <w:spacing w:line="360" w:lineRule="auto"/>
        <w:rPr>
          <w:sz w:val="24"/>
        </w:rPr>
      </w:pPr>
      <w:r>
        <w:rPr>
          <w:rFonts w:hint="eastAsia"/>
          <w:sz w:val="24"/>
        </w:rPr>
        <w:t>附件1：《安全生产协议书》；</w:t>
      </w:r>
    </w:p>
    <w:p>
      <w:pPr>
        <w:spacing w:line="360" w:lineRule="auto"/>
        <w:rPr>
          <w:sz w:val="24"/>
        </w:rPr>
      </w:pPr>
      <w:r>
        <w:rPr>
          <w:rFonts w:hint="eastAsia"/>
          <w:sz w:val="24"/>
        </w:rPr>
        <w:t>附件2：《浙江烟草专卖商业系统服务商保密协议》；</w:t>
      </w:r>
    </w:p>
    <w:p>
      <w:pPr>
        <w:spacing w:line="360" w:lineRule="auto"/>
        <w:rPr>
          <w:sz w:val="24"/>
        </w:rPr>
      </w:pPr>
      <w:r>
        <w:rPr>
          <w:rFonts w:hint="eastAsia"/>
          <w:sz w:val="24"/>
        </w:rPr>
        <w:t>附件3：《浙江烟草专卖商业系统第三方人员保密协议》；</w:t>
      </w:r>
    </w:p>
    <w:p>
      <w:pPr>
        <w:spacing w:line="360" w:lineRule="auto"/>
        <w:rPr>
          <w:sz w:val="24"/>
        </w:rPr>
      </w:pPr>
      <w:r>
        <w:rPr>
          <w:rFonts w:hint="eastAsia"/>
          <w:sz w:val="24"/>
        </w:rPr>
        <w:t>附件4：《廉洁合同》；</w:t>
      </w:r>
    </w:p>
    <w:p>
      <w:pPr>
        <w:spacing w:line="360" w:lineRule="auto"/>
        <w:rPr>
          <w:sz w:val="24"/>
        </w:rPr>
      </w:pPr>
      <w:r>
        <w:rPr>
          <w:rFonts w:hint="eastAsia"/>
          <w:sz w:val="24"/>
        </w:rPr>
        <w:t>附件5：《付款验收评价表》；</w:t>
      </w:r>
    </w:p>
    <w:p>
      <w:pPr>
        <w:spacing w:line="360" w:lineRule="auto"/>
        <w:rPr>
          <w:sz w:val="24"/>
        </w:rPr>
      </w:pPr>
      <w:r>
        <w:rPr>
          <w:rFonts w:hint="eastAsia"/>
          <w:sz w:val="24"/>
        </w:rPr>
        <w:t>附件6：《供应商履约综合评价表》；</w:t>
      </w:r>
    </w:p>
    <w:p>
      <w:pPr>
        <w:spacing w:line="360" w:lineRule="auto"/>
        <w:rPr>
          <w:sz w:val="24"/>
        </w:rPr>
      </w:pPr>
      <w:r>
        <w:rPr>
          <w:rFonts w:hint="eastAsia"/>
          <w:sz w:val="24"/>
        </w:rPr>
        <w:t>附件7：《宁波市烟草系统重点工程项目共管账户管理规定》；</w:t>
      </w:r>
    </w:p>
    <w:p>
      <w:pPr>
        <w:spacing w:line="360" w:lineRule="auto"/>
        <w:rPr>
          <w:sz w:val="24"/>
        </w:rPr>
      </w:pPr>
      <w:r>
        <w:rPr>
          <w:rFonts w:hint="eastAsia"/>
          <w:sz w:val="24"/>
        </w:rPr>
        <w:t>附件8：《工程资金管理协议书》。</w:t>
      </w:r>
    </w:p>
    <w:p>
      <w:pPr>
        <w:spacing w:line="360" w:lineRule="auto"/>
      </w:pPr>
    </w:p>
    <w:p>
      <w:pPr>
        <w:snapToGrid w:val="0"/>
        <w:spacing w:line="360" w:lineRule="auto"/>
        <w:rPr>
          <w:sz w:val="36"/>
          <w:highlight w:val="yellow"/>
        </w:rPr>
      </w:pPr>
    </w:p>
    <w:tbl>
      <w:tblPr>
        <w:tblStyle w:val="24"/>
        <w:tblW w:w="9900" w:type="dxa"/>
        <w:tblInd w:w="-158" w:type="dxa"/>
        <w:tblLayout w:type="fixed"/>
        <w:tblCellMar>
          <w:top w:w="0" w:type="dxa"/>
          <w:left w:w="108" w:type="dxa"/>
          <w:bottom w:w="0" w:type="dxa"/>
          <w:right w:w="108" w:type="dxa"/>
        </w:tblCellMar>
      </w:tblPr>
      <w:tblGrid>
        <w:gridCol w:w="4932"/>
        <w:gridCol w:w="4968"/>
      </w:tblGrid>
      <w:tr>
        <w:tblPrEx>
          <w:tblCellMar>
            <w:top w:w="0" w:type="dxa"/>
            <w:left w:w="108" w:type="dxa"/>
            <w:bottom w:w="0" w:type="dxa"/>
            <w:right w:w="108" w:type="dxa"/>
          </w:tblCellMar>
        </w:tblPrEx>
        <w:trPr>
          <w:trHeight w:val="454" w:hRule="atLeast"/>
        </w:trPr>
        <w:tc>
          <w:tcPr>
            <w:tcW w:w="4932" w:type="dxa"/>
            <w:vAlign w:val="center"/>
          </w:tcPr>
          <w:p>
            <w:pPr>
              <w:spacing w:line="360" w:lineRule="exact"/>
              <w:rPr>
                <w:sz w:val="24"/>
              </w:rPr>
            </w:pPr>
            <w:r>
              <w:rPr>
                <w:rFonts w:hint="eastAsia" w:ascii="宋体" w:cs="仿宋"/>
                <w:sz w:val="24"/>
              </w:rPr>
              <w:t>甲方（签章）：</w:t>
            </w:r>
            <w:r>
              <w:rPr>
                <w:rFonts w:hint="eastAsia" w:ascii="宋体" w:cs="仿宋"/>
                <w:sz w:val="24"/>
                <w:u w:val="single"/>
              </w:rPr>
              <w:t xml:space="preserve">                         </w:t>
            </w:r>
          </w:p>
        </w:tc>
        <w:tc>
          <w:tcPr>
            <w:tcW w:w="4968" w:type="dxa"/>
            <w:vAlign w:val="center"/>
          </w:tcPr>
          <w:p>
            <w:pPr>
              <w:spacing w:line="360" w:lineRule="exact"/>
              <w:rPr>
                <w:sz w:val="24"/>
              </w:rPr>
            </w:pPr>
            <w:r>
              <w:rPr>
                <w:rFonts w:hint="eastAsia" w:ascii="宋体" w:cs="仿宋"/>
                <w:sz w:val="24"/>
              </w:rPr>
              <w:t>乙方（签章）：</w:t>
            </w:r>
            <w:r>
              <w:rPr>
                <w:rFonts w:hint="eastAsia" w:ascii="宋体" w:cs="仿宋"/>
                <w:sz w:val="24"/>
                <w:u w:val="single"/>
              </w:rPr>
              <w:t xml:space="preserve">                         </w:t>
            </w:r>
          </w:p>
        </w:tc>
      </w:tr>
      <w:tr>
        <w:tblPrEx>
          <w:tblCellMar>
            <w:top w:w="0" w:type="dxa"/>
            <w:left w:w="108" w:type="dxa"/>
            <w:bottom w:w="0" w:type="dxa"/>
            <w:right w:w="108" w:type="dxa"/>
          </w:tblCellMar>
        </w:tblPrEx>
        <w:trPr>
          <w:trHeight w:val="454" w:hRule="atLeast"/>
        </w:trPr>
        <w:tc>
          <w:tcPr>
            <w:tcW w:w="4932" w:type="dxa"/>
            <w:vAlign w:val="center"/>
          </w:tcPr>
          <w:p>
            <w:pPr>
              <w:spacing w:line="360" w:lineRule="exact"/>
              <w:rPr>
                <w:sz w:val="24"/>
              </w:rPr>
            </w:pPr>
            <w:r>
              <w:rPr>
                <w:rFonts w:hint="eastAsia" w:ascii="宋体" w:cs="仿宋"/>
                <w:sz w:val="24"/>
              </w:rPr>
              <w:t>地址：</w:t>
            </w:r>
            <w:r>
              <w:rPr>
                <w:rFonts w:hint="eastAsia" w:ascii="宋体" w:cs="仿宋"/>
                <w:sz w:val="24"/>
                <w:u w:val="single"/>
              </w:rPr>
              <w:t xml:space="preserve">                                 </w:t>
            </w:r>
          </w:p>
        </w:tc>
        <w:tc>
          <w:tcPr>
            <w:tcW w:w="4968" w:type="dxa"/>
            <w:vAlign w:val="center"/>
          </w:tcPr>
          <w:p>
            <w:pPr>
              <w:spacing w:line="360" w:lineRule="exact"/>
              <w:rPr>
                <w:sz w:val="24"/>
              </w:rPr>
            </w:pPr>
            <w:r>
              <w:rPr>
                <w:rFonts w:hint="eastAsia" w:ascii="宋体" w:cs="仿宋"/>
                <w:sz w:val="24"/>
              </w:rPr>
              <w:t>地址：</w:t>
            </w:r>
            <w:r>
              <w:rPr>
                <w:rFonts w:hint="eastAsia" w:ascii="宋体" w:cs="仿宋"/>
                <w:sz w:val="24"/>
                <w:u w:val="single"/>
              </w:rPr>
              <w:t xml:space="preserve">                                 </w:t>
            </w:r>
          </w:p>
        </w:tc>
      </w:tr>
      <w:tr>
        <w:tblPrEx>
          <w:tblCellMar>
            <w:top w:w="0" w:type="dxa"/>
            <w:left w:w="108" w:type="dxa"/>
            <w:bottom w:w="0" w:type="dxa"/>
            <w:right w:w="108" w:type="dxa"/>
          </w:tblCellMar>
        </w:tblPrEx>
        <w:trPr>
          <w:trHeight w:val="454" w:hRule="atLeast"/>
        </w:trPr>
        <w:tc>
          <w:tcPr>
            <w:tcW w:w="4932" w:type="dxa"/>
            <w:vAlign w:val="center"/>
          </w:tcPr>
          <w:p>
            <w:pPr>
              <w:widowControl/>
              <w:spacing w:line="360" w:lineRule="exact"/>
              <w:rPr>
                <w:rFonts w:ascii="宋体" w:cs="仿宋"/>
                <w:sz w:val="24"/>
              </w:rPr>
            </w:pPr>
            <w:r>
              <w:rPr>
                <w:rFonts w:hint="eastAsia" w:ascii="宋体" w:cs="仿宋"/>
                <w:sz w:val="24"/>
              </w:rPr>
              <w:t>法定代表人或被授权委托人（签名）：</w:t>
            </w:r>
            <w:r>
              <w:rPr>
                <w:rFonts w:hint="eastAsia" w:ascii="宋体" w:cs="仿宋"/>
                <w:sz w:val="24"/>
                <w:u w:val="single"/>
              </w:rPr>
              <w:t xml:space="preserve">     </w:t>
            </w:r>
          </w:p>
        </w:tc>
        <w:tc>
          <w:tcPr>
            <w:tcW w:w="4968" w:type="dxa"/>
            <w:vAlign w:val="center"/>
          </w:tcPr>
          <w:p>
            <w:pPr>
              <w:spacing w:line="360" w:lineRule="exact"/>
              <w:rPr>
                <w:sz w:val="24"/>
              </w:rPr>
            </w:pPr>
            <w:r>
              <w:rPr>
                <w:rFonts w:hint="eastAsia" w:ascii="宋体" w:cs="仿宋"/>
                <w:sz w:val="24"/>
              </w:rPr>
              <w:t>法定代表人或被授权委托人（签名）：</w:t>
            </w:r>
            <w:r>
              <w:rPr>
                <w:rFonts w:hint="eastAsia" w:ascii="宋体" w:cs="仿宋"/>
                <w:sz w:val="24"/>
                <w:u w:val="single"/>
              </w:rPr>
              <w:t xml:space="preserve">                     </w:t>
            </w:r>
          </w:p>
        </w:tc>
      </w:tr>
      <w:tr>
        <w:tblPrEx>
          <w:tblCellMar>
            <w:top w:w="0" w:type="dxa"/>
            <w:left w:w="108" w:type="dxa"/>
            <w:bottom w:w="0" w:type="dxa"/>
            <w:right w:w="108" w:type="dxa"/>
          </w:tblCellMar>
        </w:tblPrEx>
        <w:trPr>
          <w:trHeight w:val="454" w:hRule="atLeast"/>
        </w:trPr>
        <w:tc>
          <w:tcPr>
            <w:tcW w:w="4932" w:type="dxa"/>
            <w:vAlign w:val="center"/>
          </w:tcPr>
          <w:p>
            <w:pPr>
              <w:widowControl/>
              <w:spacing w:line="360" w:lineRule="exact"/>
              <w:rPr>
                <w:rFonts w:ascii="宋体" w:cs="仿宋"/>
                <w:sz w:val="24"/>
              </w:rPr>
            </w:pPr>
            <w:r>
              <w:rPr>
                <w:rFonts w:hint="eastAsia" w:ascii="宋体" w:cs="仿宋"/>
                <w:sz w:val="24"/>
              </w:rPr>
              <w:t>联系电话：</w:t>
            </w:r>
            <w:r>
              <w:rPr>
                <w:rFonts w:hint="eastAsia" w:ascii="宋体" w:cs="仿宋"/>
                <w:sz w:val="24"/>
                <w:u w:val="single"/>
              </w:rPr>
              <w:t xml:space="preserve">                             </w:t>
            </w:r>
          </w:p>
        </w:tc>
        <w:tc>
          <w:tcPr>
            <w:tcW w:w="4968" w:type="dxa"/>
            <w:vAlign w:val="center"/>
          </w:tcPr>
          <w:p>
            <w:pPr>
              <w:spacing w:line="360" w:lineRule="exact"/>
              <w:rPr>
                <w:sz w:val="24"/>
              </w:rPr>
            </w:pPr>
            <w:r>
              <w:rPr>
                <w:rFonts w:hint="eastAsia" w:ascii="宋体" w:cs="仿宋"/>
                <w:sz w:val="24"/>
              </w:rPr>
              <w:t>联系电话：</w:t>
            </w:r>
            <w:r>
              <w:rPr>
                <w:rFonts w:hint="eastAsia" w:ascii="宋体" w:cs="仿宋"/>
                <w:sz w:val="24"/>
                <w:u w:val="single"/>
              </w:rPr>
              <w:t xml:space="preserve">                             </w:t>
            </w:r>
          </w:p>
        </w:tc>
      </w:tr>
      <w:tr>
        <w:tblPrEx>
          <w:tblCellMar>
            <w:top w:w="0" w:type="dxa"/>
            <w:left w:w="108" w:type="dxa"/>
            <w:bottom w:w="0" w:type="dxa"/>
            <w:right w:w="108" w:type="dxa"/>
          </w:tblCellMar>
        </w:tblPrEx>
        <w:trPr>
          <w:trHeight w:val="454" w:hRule="atLeast"/>
        </w:trPr>
        <w:tc>
          <w:tcPr>
            <w:tcW w:w="4932" w:type="dxa"/>
            <w:vAlign w:val="center"/>
          </w:tcPr>
          <w:p>
            <w:pPr>
              <w:spacing w:line="360" w:lineRule="exact"/>
              <w:rPr>
                <w:sz w:val="24"/>
              </w:rPr>
            </w:pPr>
            <w:r>
              <w:rPr>
                <w:rFonts w:hint="eastAsia" w:ascii="宋体" w:cs="仿宋"/>
                <w:sz w:val="24"/>
              </w:rPr>
              <w:t>开户银行：</w:t>
            </w:r>
            <w:r>
              <w:rPr>
                <w:rFonts w:hint="eastAsia" w:ascii="宋体" w:cs="仿宋"/>
                <w:sz w:val="24"/>
                <w:u w:val="single"/>
              </w:rPr>
              <w:t xml:space="preserve">                             </w:t>
            </w:r>
          </w:p>
        </w:tc>
        <w:tc>
          <w:tcPr>
            <w:tcW w:w="4968" w:type="dxa"/>
            <w:vAlign w:val="center"/>
          </w:tcPr>
          <w:p>
            <w:pPr>
              <w:spacing w:line="360" w:lineRule="exact"/>
              <w:rPr>
                <w:sz w:val="24"/>
              </w:rPr>
            </w:pPr>
            <w:r>
              <w:rPr>
                <w:rFonts w:hint="eastAsia" w:ascii="宋体" w:cs="仿宋"/>
                <w:sz w:val="24"/>
              </w:rPr>
              <w:t>开户银行：</w:t>
            </w:r>
            <w:r>
              <w:rPr>
                <w:rFonts w:hint="eastAsia" w:ascii="宋体" w:cs="仿宋"/>
                <w:sz w:val="24"/>
                <w:u w:val="single"/>
              </w:rPr>
              <w:t xml:space="preserve">                             </w:t>
            </w:r>
          </w:p>
        </w:tc>
      </w:tr>
      <w:tr>
        <w:tblPrEx>
          <w:tblCellMar>
            <w:top w:w="0" w:type="dxa"/>
            <w:left w:w="108" w:type="dxa"/>
            <w:bottom w:w="0" w:type="dxa"/>
            <w:right w:w="108" w:type="dxa"/>
          </w:tblCellMar>
        </w:tblPrEx>
        <w:trPr>
          <w:trHeight w:val="454" w:hRule="atLeast"/>
        </w:trPr>
        <w:tc>
          <w:tcPr>
            <w:tcW w:w="4932" w:type="dxa"/>
            <w:vAlign w:val="center"/>
          </w:tcPr>
          <w:p>
            <w:pPr>
              <w:spacing w:line="360" w:lineRule="exact"/>
              <w:rPr>
                <w:sz w:val="24"/>
              </w:rPr>
            </w:pPr>
            <w:r>
              <w:rPr>
                <w:rFonts w:hint="eastAsia" w:ascii="宋体" w:cs="仿宋"/>
                <w:sz w:val="24"/>
              </w:rPr>
              <w:t>账号名称：</w:t>
            </w:r>
            <w:r>
              <w:rPr>
                <w:rFonts w:hint="eastAsia" w:ascii="宋体" w:cs="仿宋"/>
                <w:sz w:val="24"/>
                <w:u w:val="single"/>
              </w:rPr>
              <w:t xml:space="preserve">                             </w:t>
            </w:r>
          </w:p>
        </w:tc>
        <w:tc>
          <w:tcPr>
            <w:tcW w:w="4968" w:type="dxa"/>
            <w:vAlign w:val="center"/>
          </w:tcPr>
          <w:p>
            <w:pPr>
              <w:spacing w:line="360" w:lineRule="exact"/>
              <w:rPr>
                <w:sz w:val="24"/>
              </w:rPr>
            </w:pPr>
            <w:r>
              <w:rPr>
                <w:rFonts w:hint="eastAsia" w:ascii="宋体" w:cs="仿宋"/>
                <w:sz w:val="24"/>
              </w:rPr>
              <w:t>账号名称：</w:t>
            </w:r>
            <w:r>
              <w:rPr>
                <w:rFonts w:hint="eastAsia" w:ascii="宋体" w:cs="仿宋"/>
                <w:sz w:val="24"/>
                <w:u w:val="single"/>
              </w:rPr>
              <w:t xml:space="preserve">                             </w:t>
            </w:r>
          </w:p>
        </w:tc>
      </w:tr>
      <w:tr>
        <w:tblPrEx>
          <w:tblCellMar>
            <w:top w:w="0" w:type="dxa"/>
            <w:left w:w="108" w:type="dxa"/>
            <w:bottom w:w="0" w:type="dxa"/>
            <w:right w:w="108" w:type="dxa"/>
          </w:tblCellMar>
        </w:tblPrEx>
        <w:trPr>
          <w:trHeight w:val="454" w:hRule="atLeast"/>
        </w:trPr>
        <w:tc>
          <w:tcPr>
            <w:tcW w:w="4932" w:type="dxa"/>
            <w:vAlign w:val="center"/>
          </w:tcPr>
          <w:p>
            <w:pPr>
              <w:spacing w:line="360" w:lineRule="exact"/>
              <w:rPr>
                <w:rFonts w:ascii="宋体" w:cs="仿宋"/>
                <w:sz w:val="24"/>
              </w:rPr>
            </w:pPr>
            <w:r>
              <w:rPr>
                <w:rFonts w:hint="eastAsia" w:ascii="宋体" w:cs="仿宋"/>
                <w:sz w:val="24"/>
              </w:rPr>
              <w:t>账号：</w:t>
            </w:r>
            <w:r>
              <w:rPr>
                <w:rFonts w:hint="eastAsia" w:ascii="宋体" w:cs="仿宋"/>
                <w:sz w:val="24"/>
                <w:u w:val="single"/>
              </w:rPr>
              <w:t xml:space="preserve">                                 </w:t>
            </w:r>
          </w:p>
        </w:tc>
        <w:tc>
          <w:tcPr>
            <w:tcW w:w="4968" w:type="dxa"/>
            <w:vAlign w:val="center"/>
          </w:tcPr>
          <w:p>
            <w:pPr>
              <w:spacing w:line="360" w:lineRule="exact"/>
              <w:rPr>
                <w:rFonts w:ascii="宋体" w:cs="仿宋"/>
                <w:sz w:val="24"/>
              </w:rPr>
            </w:pPr>
            <w:r>
              <w:rPr>
                <w:rFonts w:hint="eastAsia" w:ascii="宋体" w:cs="仿宋"/>
                <w:sz w:val="24"/>
              </w:rPr>
              <w:t>账号：</w:t>
            </w:r>
            <w:r>
              <w:rPr>
                <w:rFonts w:hint="eastAsia" w:ascii="宋体" w:cs="仿宋"/>
                <w:sz w:val="24"/>
                <w:u w:val="single"/>
              </w:rPr>
              <w:t xml:space="preserve">                                 </w:t>
            </w:r>
          </w:p>
        </w:tc>
      </w:tr>
      <w:tr>
        <w:tblPrEx>
          <w:tblCellMar>
            <w:top w:w="0" w:type="dxa"/>
            <w:left w:w="108" w:type="dxa"/>
            <w:bottom w:w="0" w:type="dxa"/>
            <w:right w:w="108" w:type="dxa"/>
          </w:tblCellMar>
        </w:tblPrEx>
        <w:trPr>
          <w:trHeight w:val="454" w:hRule="atLeast"/>
        </w:trPr>
        <w:tc>
          <w:tcPr>
            <w:tcW w:w="4932" w:type="dxa"/>
            <w:vAlign w:val="center"/>
          </w:tcPr>
          <w:p>
            <w:pPr>
              <w:spacing w:line="360" w:lineRule="exact"/>
              <w:rPr>
                <w:rFonts w:ascii="宋体" w:cs="仿宋"/>
                <w:sz w:val="24"/>
              </w:rPr>
            </w:pPr>
            <w:r>
              <w:rPr>
                <w:rFonts w:hint="eastAsia" w:ascii="宋体" w:cs="仿宋"/>
                <w:sz w:val="24"/>
              </w:rPr>
              <w:t>日期：</w:t>
            </w:r>
            <w:r>
              <w:rPr>
                <w:rFonts w:hint="eastAsia" w:ascii="宋体" w:cs="仿宋"/>
                <w:sz w:val="24"/>
                <w:u w:val="single"/>
              </w:rPr>
              <w:t xml:space="preserve">                                 </w:t>
            </w:r>
          </w:p>
        </w:tc>
        <w:tc>
          <w:tcPr>
            <w:tcW w:w="4968" w:type="dxa"/>
            <w:vAlign w:val="center"/>
          </w:tcPr>
          <w:p>
            <w:pPr>
              <w:spacing w:line="360" w:lineRule="exact"/>
              <w:rPr>
                <w:rFonts w:ascii="宋体" w:cs="仿宋"/>
                <w:sz w:val="24"/>
              </w:rPr>
            </w:pPr>
            <w:r>
              <w:rPr>
                <w:rFonts w:hint="eastAsia" w:ascii="宋体" w:cs="仿宋"/>
                <w:sz w:val="24"/>
              </w:rPr>
              <w:t>日期：</w:t>
            </w:r>
            <w:r>
              <w:rPr>
                <w:rFonts w:hint="eastAsia" w:ascii="宋体" w:cs="仿宋"/>
                <w:sz w:val="24"/>
                <w:u w:val="single"/>
              </w:rPr>
              <w:t xml:space="preserve">                                 </w:t>
            </w:r>
          </w:p>
        </w:tc>
      </w:tr>
    </w:tbl>
    <w:p>
      <w:pPr>
        <w:spacing w:line="360" w:lineRule="auto"/>
        <w:rPr>
          <w:sz w:val="24"/>
        </w:rPr>
      </w:pPr>
      <w:r>
        <w:rPr>
          <w:rFonts w:hint="eastAsia" w:ascii="宋体" w:cs="仿宋"/>
          <w:sz w:val="24"/>
        </w:rPr>
        <w:br w:type="page"/>
      </w:r>
    </w:p>
    <w:p>
      <w:pPr>
        <w:spacing w:line="360" w:lineRule="auto"/>
        <w:rPr>
          <w:rFonts w:ascii="宋体" w:cs="仿宋"/>
          <w:b/>
          <w:bCs/>
          <w:sz w:val="24"/>
        </w:rPr>
      </w:pPr>
      <w:r>
        <w:rPr>
          <w:rFonts w:hint="eastAsia" w:ascii="宋体" w:cs="仿宋"/>
          <w:b/>
          <w:bCs/>
          <w:sz w:val="24"/>
        </w:rPr>
        <w:t>附件1</w:t>
      </w:r>
    </w:p>
    <w:p>
      <w:pPr>
        <w:widowControl/>
        <w:spacing w:line="360" w:lineRule="auto"/>
        <w:jc w:val="center"/>
        <w:rPr>
          <w:rFonts w:ascii="宋体"/>
          <w:b/>
          <w:sz w:val="28"/>
          <w:szCs w:val="21"/>
          <w:u w:val="single"/>
        </w:rPr>
      </w:pPr>
      <w:r>
        <w:rPr>
          <w:rFonts w:hint="eastAsia" w:ascii="宋体"/>
          <w:b/>
          <w:sz w:val="28"/>
          <w:szCs w:val="21"/>
          <w:u w:val="single"/>
        </w:rPr>
        <w:t>安全生产协议书</w:t>
      </w:r>
    </w:p>
    <w:p>
      <w:pPr>
        <w:autoSpaceDE w:val="0"/>
        <w:autoSpaceDN w:val="0"/>
        <w:adjustRightInd w:val="0"/>
        <w:spacing w:line="360" w:lineRule="auto"/>
        <w:jc w:val="left"/>
        <w:rPr>
          <w:rFonts w:ascii="宋体"/>
          <w:bCs/>
          <w:kern w:val="0"/>
          <w:sz w:val="24"/>
          <w:szCs w:val="21"/>
          <w:u w:val="single"/>
        </w:rPr>
      </w:pPr>
      <w:r>
        <w:rPr>
          <w:rFonts w:hint="eastAsia" w:ascii="宋体"/>
          <w:bCs/>
          <w:kern w:val="0"/>
          <w:sz w:val="24"/>
          <w:szCs w:val="21"/>
          <w:u w:val="single"/>
        </w:rPr>
        <w:t xml:space="preserve">甲方（企业名称）：                            </w:t>
      </w:r>
    </w:p>
    <w:p>
      <w:pPr>
        <w:autoSpaceDE w:val="0"/>
        <w:autoSpaceDN w:val="0"/>
        <w:adjustRightInd w:val="0"/>
        <w:spacing w:line="360" w:lineRule="auto"/>
        <w:jc w:val="left"/>
        <w:rPr>
          <w:rFonts w:ascii="宋体"/>
          <w:bCs/>
          <w:kern w:val="0"/>
          <w:sz w:val="24"/>
          <w:szCs w:val="21"/>
          <w:u w:val="single"/>
        </w:rPr>
      </w:pPr>
      <w:r>
        <w:rPr>
          <w:rFonts w:hint="eastAsia" w:ascii="宋体"/>
          <w:bCs/>
          <w:kern w:val="0"/>
          <w:sz w:val="24"/>
          <w:szCs w:val="21"/>
          <w:u w:val="single"/>
        </w:rPr>
        <w:t xml:space="preserve">乙方（企业名称）：                            </w:t>
      </w:r>
    </w:p>
    <w:p>
      <w:pPr>
        <w:autoSpaceDE w:val="0"/>
        <w:autoSpaceDN w:val="0"/>
        <w:adjustRightInd w:val="0"/>
        <w:spacing w:line="360" w:lineRule="auto"/>
        <w:ind w:firstLine="480" w:firstLineChars="200"/>
        <w:jc w:val="left"/>
        <w:rPr>
          <w:rFonts w:ascii="宋体"/>
          <w:bCs/>
          <w:kern w:val="0"/>
          <w:sz w:val="24"/>
          <w:szCs w:val="21"/>
          <w:u w:val="single"/>
        </w:rPr>
      </w:pPr>
    </w:p>
    <w:p>
      <w:pPr>
        <w:widowControl/>
        <w:spacing w:line="360" w:lineRule="auto"/>
        <w:ind w:firstLine="480" w:firstLineChars="200"/>
        <w:jc w:val="left"/>
        <w:rPr>
          <w:rFonts w:ascii="宋体"/>
          <w:sz w:val="24"/>
          <w:szCs w:val="21"/>
          <w:u w:val="single"/>
        </w:rPr>
      </w:pPr>
      <w:r>
        <w:rPr>
          <w:rFonts w:hint="eastAsia" w:ascii="宋体"/>
          <w:sz w:val="24"/>
          <w:szCs w:val="21"/>
          <w:u w:val="single"/>
        </w:rPr>
        <w:t>为维护甲乙双方的共同利益，保证安装施工质量和安全生产，保持良好的工作秩序和安装施工场所的卫生环境，经甲乙双方平等协商，签订本安装施工安全协议。</w:t>
      </w:r>
    </w:p>
    <w:p>
      <w:pPr>
        <w:widowControl/>
        <w:spacing w:line="360" w:lineRule="auto"/>
        <w:ind w:firstLine="482" w:firstLineChars="200"/>
        <w:jc w:val="left"/>
        <w:rPr>
          <w:rFonts w:ascii="宋体"/>
          <w:bCs/>
          <w:sz w:val="24"/>
          <w:szCs w:val="21"/>
          <w:u w:val="single"/>
        </w:rPr>
      </w:pPr>
      <w:r>
        <w:rPr>
          <w:rFonts w:hint="eastAsia" w:ascii="宋体"/>
          <w:b/>
          <w:sz w:val="24"/>
          <w:szCs w:val="21"/>
          <w:u w:val="single"/>
        </w:rPr>
        <w:t>一.项目名称：</w:t>
      </w:r>
      <w:r>
        <w:rPr>
          <w:rFonts w:hint="eastAsia" w:ascii="宋体"/>
          <w:bCs/>
          <w:sz w:val="24"/>
          <w:szCs w:val="21"/>
          <w:u w:val="single"/>
        </w:rPr>
        <w:t>宁波市烟草公司配送中心全品规备货系统扩容技改项目</w:t>
      </w:r>
    </w:p>
    <w:p>
      <w:pPr>
        <w:widowControl/>
        <w:spacing w:line="360" w:lineRule="auto"/>
        <w:ind w:firstLine="482" w:firstLineChars="200"/>
        <w:jc w:val="left"/>
        <w:rPr>
          <w:rFonts w:ascii="宋体"/>
          <w:sz w:val="24"/>
          <w:szCs w:val="21"/>
          <w:u w:val="single"/>
        </w:rPr>
      </w:pPr>
      <w:r>
        <w:rPr>
          <w:rFonts w:hint="eastAsia" w:ascii="宋体"/>
          <w:b/>
          <w:sz w:val="24"/>
          <w:szCs w:val="21"/>
          <w:u w:val="single"/>
        </w:rPr>
        <w:t>二.项目地点：</w:t>
      </w:r>
      <w:r>
        <w:rPr>
          <w:rFonts w:hint="eastAsia" w:ascii="宋体"/>
          <w:bCs/>
          <w:sz w:val="24"/>
          <w:szCs w:val="21"/>
          <w:u w:val="single"/>
        </w:rPr>
        <w:t>浙江省宁波市海曙区科创南路269号宁波烟草卷烟配送中心</w:t>
      </w:r>
    </w:p>
    <w:p>
      <w:pPr>
        <w:widowControl/>
        <w:spacing w:line="360" w:lineRule="auto"/>
        <w:ind w:firstLine="482" w:firstLineChars="200"/>
        <w:jc w:val="left"/>
        <w:rPr>
          <w:rFonts w:ascii="宋体"/>
          <w:sz w:val="24"/>
          <w:szCs w:val="21"/>
          <w:u w:val="single"/>
        </w:rPr>
      </w:pPr>
      <w:r>
        <w:rPr>
          <w:rFonts w:hint="eastAsia" w:ascii="宋体"/>
          <w:b/>
          <w:sz w:val="24"/>
          <w:szCs w:val="21"/>
          <w:u w:val="single"/>
        </w:rPr>
        <w:t>三.项目时间：</w:t>
      </w:r>
      <w:r>
        <w:rPr>
          <w:rFonts w:hint="eastAsia" w:ascii="宋体"/>
          <w:sz w:val="24"/>
          <w:szCs w:val="21"/>
          <w:u w:val="single"/>
        </w:rPr>
        <w:t>合同规定的相应安装施工期（含调试期、验收期）</w:t>
      </w:r>
    </w:p>
    <w:p>
      <w:pPr>
        <w:widowControl/>
        <w:spacing w:line="360" w:lineRule="auto"/>
        <w:ind w:firstLine="482" w:firstLineChars="200"/>
        <w:jc w:val="left"/>
        <w:rPr>
          <w:rFonts w:ascii="宋体"/>
          <w:b/>
          <w:sz w:val="24"/>
          <w:szCs w:val="21"/>
          <w:u w:val="single"/>
        </w:rPr>
      </w:pPr>
      <w:r>
        <w:rPr>
          <w:rFonts w:hint="eastAsia" w:ascii="宋体"/>
          <w:b/>
          <w:sz w:val="24"/>
          <w:szCs w:val="21"/>
          <w:u w:val="single"/>
        </w:rPr>
        <w:t>四.协议内容：</w:t>
      </w:r>
    </w:p>
    <w:p>
      <w:pPr>
        <w:widowControl/>
        <w:spacing w:line="360" w:lineRule="auto"/>
        <w:ind w:firstLine="480" w:firstLineChars="200"/>
        <w:jc w:val="left"/>
        <w:rPr>
          <w:rFonts w:ascii="宋体"/>
          <w:sz w:val="24"/>
          <w:szCs w:val="21"/>
          <w:u w:val="single"/>
        </w:rPr>
      </w:pPr>
      <w:r>
        <w:rPr>
          <w:rFonts w:hint="eastAsia" w:ascii="宋体"/>
          <w:sz w:val="24"/>
          <w:szCs w:val="21"/>
          <w:u w:val="single"/>
        </w:rPr>
        <w:t>1.乙方进场安装施工，必需指定安装施工负责人，安装施工现场设立安全监督员，姓名：          ，联系电话：          ，便于安装施工过程中的协调、联系。</w:t>
      </w:r>
    </w:p>
    <w:p>
      <w:pPr>
        <w:widowControl/>
        <w:spacing w:line="360" w:lineRule="auto"/>
        <w:ind w:firstLine="480" w:firstLineChars="200"/>
        <w:jc w:val="left"/>
        <w:rPr>
          <w:rFonts w:ascii="宋体"/>
          <w:sz w:val="24"/>
          <w:szCs w:val="21"/>
          <w:u w:val="single"/>
        </w:rPr>
      </w:pPr>
      <w:r>
        <w:rPr>
          <w:rFonts w:hint="eastAsia" w:ascii="宋体"/>
          <w:sz w:val="24"/>
          <w:szCs w:val="21"/>
          <w:u w:val="single"/>
        </w:rPr>
        <w:t>2.乙方应对整个安装施工工程的安全负责。安装施工过程中发生的人员伤亡或财产损失均由乙方承担。甲方需做好施工人员安全交底，对进场施工人员进行相关安全制度、规定及要求的安全教育。</w:t>
      </w:r>
    </w:p>
    <w:p>
      <w:pPr>
        <w:widowControl/>
        <w:spacing w:line="360" w:lineRule="auto"/>
        <w:ind w:firstLine="480" w:firstLineChars="200"/>
        <w:jc w:val="left"/>
        <w:rPr>
          <w:rFonts w:ascii="宋体"/>
          <w:sz w:val="24"/>
          <w:szCs w:val="21"/>
          <w:u w:val="single"/>
        </w:rPr>
      </w:pPr>
      <w:r>
        <w:rPr>
          <w:rFonts w:hint="eastAsia" w:ascii="宋体"/>
          <w:sz w:val="24"/>
          <w:szCs w:val="21"/>
          <w:u w:val="single"/>
        </w:rPr>
        <w:t>3.乙方安装施工前，安全监督员必须对安装施工人员进行安全教育；乙方需为安装施工人员配备足够的劳动保护措施，并按有关规定为安装施工人员提供劳动保险。身体状况不佳的安装施工人员不能进场安装施工。严禁乙方野蛮施工和拆装，严禁私自拆装、损坏甲方安全设施设备，乙方承担由于野蛮施工、拆装或自身安全教育缺失、防护不到位造成事故的责任和因此发生的费用。发生伤亡事故，乙方应按有关规定立即通知甲方代表并上报有关部门。甲方为抢救提供必要条件。</w:t>
      </w:r>
    </w:p>
    <w:p>
      <w:pPr>
        <w:widowControl/>
        <w:spacing w:line="360" w:lineRule="auto"/>
        <w:ind w:firstLine="480" w:firstLineChars="200"/>
        <w:jc w:val="left"/>
        <w:rPr>
          <w:rFonts w:ascii="宋体"/>
          <w:sz w:val="24"/>
          <w:szCs w:val="21"/>
          <w:u w:val="single"/>
        </w:rPr>
      </w:pPr>
      <w:r>
        <w:rPr>
          <w:rFonts w:hint="eastAsia" w:ascii="宋体"/>
          <w:sz w:val="24"/>
          <w:szCs w:val="21"/>
          <w:u w:val="single"/>
        </w:rPr>
        <w:t>4.安装施工人员进出甲方大楼做好登记，并配戴相应证件。疫情期间必须接受“量体温+戴口罩+健康码”检查。车辆进入甲方大楼车速不大于20km/h，车辆停放在甲方指定位置，出站必须经门岗值班人员检查登记。特种作业人员还必须携带特种作业操作证，便于甲方人员和上级主管领导检查。</w:t>
      </w:r>
    </w:p>
    <w:p>
      <w:pPr>
        <w:widowControl/>
        <w:spacing w:line="360" w:lineRule="auto"/>
        <w:ind w:firstLine="480" w:firstLineChars="200"/>
        <w:jc w:val="left"/>
        <w:rPr>
          <w:rFonts w:ascii="宋体"/>
          <w:sz w:val="24"/>
          <w:szCs w:val="21"/>
          <w:u w:val="single"/>
        </w:rPr>
      </w:pPr>
      <w:r>
        <w:rPr>
          <w:rFonts w:hint="eastAsia" w:ascii="宋体"/>
          <w:sz w:val="24"/>
          <w:szCs w:val="21"/>
          <w:u w:val="single"/>
        </w:rPr>
        <w:t>5.乙方应在安装施工区域设置明显标志，对于时间较长的集中性安装施工项目要做封闭处理，安装施工人员应在安装施工区域内活动，不得随意进入非安装施工区域，不得在甲方区域内留宿。乙方需对甲方现有设施设备、员工、车辆做好保护，因安装施工保护措施不力发生损坏的，按价赔偿。</w:t>
      </w:r>
    </w:p>
    <w:p>
      <w:pPr>
        <w:widowControl/>
        <w:spacing w:line="360" w:lineRule="auto"/>
        <w:ind w:firstLine="480" w:firstLineChars="200"/>
        <w:jc w:val="left"/>
        <w:rPr>
          <w:rFonts w:ascii="宋体"/>
          <w:sz w:val="24"/>
          <w:szCs w:val="21"/>
          <w:u w:val="single"/>
        </w:rPr>
      </w:pPr>
      <w:r>
        <w:rPr>
          <w:rFonts w:hint="eastAsia" w:ascii="宋体"/>
          <w:sz w:val="24"/>
          <w:szCs w:val="21"/>
          <w:u w:val="single"/>
        </w:rPr>
        <w:t>6.安装施工过程中如需使用水、电等，安装施工单位必须向甲方做出申请单，经甲方同意后，由专业人员指定接水、电地点，电气线路和管路连接规范后方可使用。</w:t>
      </w:r>
    </w:p>
    <w:p>
      <w:pPr>
        <w:widowControl/>
        <w:spacing w:line="360" w:lineRule="auto"/>
        <w:ind w:firstLine="480" w:firstLineChars="200"/>
        <w:jc w:val="left"/>
        <w:rPr>
          <w:rFonts w:ascii="宋体"/>
          <w:sz w:val="24"/>
          <w:szCs w:val="21"/>
          <w:u w:val="single"/>
        </w:rPr>
      </w:pPr>
      <w:r>
        <w:rPr>
          <w:rFonts w:hint="eastAsia" w:ascii="宋体"/>
          <w:sz w:val="24"/>
          <w:szCs w:val="21"/>
          <w:u w:val="single"/>
        </w:rPr>
        <w:t>7.安装施工过程中如需动火作业，应根据动火级别由安装施工单位向甲方有关单位、部门提出申请，经批准并确认达到动火条件、落实安全防范措施后方可进行动火作业。动火作业过程中甲乙双方安全人员必须在现场监护；</w:t>
      </w:r>
    </w:p>
    <w:p>
      <w:pPr>
        <w:widowControl/>
        <w:spacing w:line="360" w:lineRule="auto"/>
        <w:ind w:firstLine="480" w:firstLineChars="200"/>
        <w:jc w:val="left"/>
        <w:rPr>
          <w:rFonts w:ascii="宋体"/>
          <w:sz w:val="24"/>
          <w:szCs w:val="21"/>
          <w:u w:val="single"/>
        </w:rPr>
      </w:pPr>
      <w:r>
        <w:rPr>
          <w:rFonts w:hint="eastAsia" w:ascii="宋体"/>
          <w:sz w:val="24"/>
          <w:szCs w:val="21"/>
          <w:u w:val="single"/>
        </w:rPr>
        <w:t>8.禁止安装施工人员在安装施工现场吸烟，安装施工单位应确立指定吸烟区。</w:t>
      </w:r>
    </w:p>
    <w:p>
      <w:pPr>
        <w:widowControl/>
        <w:spacing w:line="360" w:lineRule="auto"/>
        <w:ind w:firstLine="480" w:firstLineChars="200"/>
        <w:jc w:val="left"/>
        <w:rPr>
          <w:rFonts w:ascii="宋体"/>
          <w:sz w:val="24"/>
          <w:szCs w:val="21"/>
          <w:u w:val="single"/>
        </w:rPr>
      </w:pPr>
      <w:r>
        <w:rPr>
          <w:rFonts w:hint="eastAsia" w:ascii="宋体"/>
          <w:sz w:val="24"/>
          <w:szCs w:val="21"/>
          <w:u w:val="single"/>
        </w:rPr>
        <w:t>9.安装施工队伍的安全防护器材必须配置到位，否则将不得开工作业； 安装施工过程中甲方有权随时进行安全检查，有权制止违章作业，有权对违反安全规定的行为责令安装施工队伍停工整顿直至整改完毕，由此损失的工期由乙方负责；</w:t>
      </w:r>
    </w:p>
    <w:p>
      <w:pPr>
        <w:widowControl/>
        <w:spacing w:line="360" w:lineRule="auto"/>
        <w:ind w:firstLine="480" w:firstLineChars="200"/>
        <w:jc w:val="left"/>
        <w:rPr>
          <w:rFonts w:ascii="宋体"/>
          <w:sz w:val="24"/>
          <w:szCs w:val="21"/>
          <w:u w:val="single"/>
        </w:rPr>
      </w:pPr>
      <w:r>
        <w:rPr>
          <w:rFonts w:hint="eastAsia" w:ascii="宋体"/>
          <w:sz w:val="24"/>
          <w:szCs w:val="21"/>
          <w:u w:val="single"/>
        </w:rPr>
        <w:t>10.乙方在安装施工过程中当天产生的垃圾尽量当日清理干净。安装施工结束后，乙方应对安装施工现场彻底清理，做到工完、料尽、场地清理，清理出的垃圾不能随意堆放在甲方管理的场地内。对外发生的污染、交通等意外事故由乙方负责。</w:t>
      </w:r>
    </w:p>
    <w:p>
      <w:pPr>
        <w:widowControl/>
        <w:spacing w:line="360" w:lineRule="auto"/>
        <w:ind w:firstLine="480" w:firstLineChars="200"/>
        <w:jc w:val="left"/>
        <w:rPr>
          <w:rFonts w:ascii="宋体"/>
          <w:sz w:val="24"/>
          <w:szCs w:val="21"/>
          <w:u w:val="single"/>
        </w:rPr>
      </w:pPr>
      <w:r>
        <w:rPr>
          <w:rFonts w:hint="eastAsia" w:ascii="宋体"/>
          <w:sz w:val="24"/>
          <w:szCs w:val="21"/>
          <w:u w:val="single"/>
        </w:rPr>
        <w:t>11.其它未尽事宜由甲乙双方协商解决。本协议一式陆份，甲乙双方各执叁份，自签订之日起生效。</w:t>
      </w:r>
    </w:p>
    <w:p>
      <w:pPr>
        <w:widowControl/>
        <w:spacing w:line="360" w:lineRule="auto"/>
        <w:ind w:firstLine="420" w:firstLineChars="200"/>
        <w:jc w:val="left"/>
        <w:rPr>
          <w:u w:val="single"/>
        </w:rPr>
      </w:pPr>
    </w:p>
    <w:tbl>
      <w:tblPr>
        <w:tblStyle w:val="24"/>
        <w:tblW w:w="9900" w:type="dxa"/>
        <w:tblInd w:w="-158" w:type="dxa"/>
        <w:tblLayout w:type="fixed"/>
        <w:tblCellMar>
          <w:top w:w="0" w:type="dxa"/>
          <w:left w:w="108" w:type="dxa"/>
          <w:bottom w:w="0" w:type="dxa"/>
          <w:right w:w="108" w:type="dxa"/>
        </w:tblCellMar>
      </w:tblPr>
      <w:tblGrid>
        <w:gridCol w:w="4932"/>
        <w:gridCol w:w="4968"/>
      </w:tblGrid>
      <w:tr>
        <w:tblPrEx>
          <w:tblCellMar>
            <w:top w:w="0" w:type="dxa"/>
            <w:left w:w="108" w:type="dxa"/>
            <w:bottom w:w="0" w:type="dxa"/>
            <w:right w:w="108" w:type="dxa"/>
          </w:tblCellMar>
        </w:tblPrEx>
        <w:tc>
          <w:tcPr>
            <w:tcW w:w="4932" w:type="dxa"/>
          </w:tcPr>
          <w:p>
            <w:pPr>
              <w:spacing w:line="360" w:lineRule="auto"/>
              <w:rPr>
                <w:sz w:val="24"/>
                <w:u w:val="single"/>
              </w:rPr>
            </w:pPr>
            <w:r>
              <w:rPr>
                <w:rFonts w:hint="eastAsia" w:ascii="宋体" w:cs="仿宋"/>
                <w:sz w:val="24"/>
                <w:u w:val="single"/>
              </w:rPr>
              <w:t xml:space="preserve">甲方（签章）：                                     </w:t>
            </w:r>
          </w:p>
        </w:tc>
        <w:tc>
          <w:tcPr>
            <w:tcW w:w="4968" w:type="dxa"/>
          </w:tcPr>
          <w:p>
            <w:pPr>
              <w:spacing w:line="360" w:lineRule="auto"/>
              <w:rPr>
                <w:sz w:val="24"/>
                <w:u w:val="single"/>
              </w:rPr>
            </w:pPr>
            <w:r>
              <w:rPr>
                <w:rFonts w:hint="eastAsia" w:ascii="宋体" w:cs="仿宋"/>
                <w:sz w:val="24"/>
                <w:u w:val="single"/>
              </w:rPr>
              <w:t xml:space="preserve">乙方（签章）：                                  </w:t>
            </w:r>
          </w:p>
        </w:tc>
      </w:tr>
      <w:tr>
        <w:tblPrEx>
          <w:tblCellMar>
            <w:top w:w="0" w:type="dxa"/>
            <w:left w:w="108" w:type="dxa"/>
            <w:bottom w:w="0" w:type="dxa"/>
            <w:right w:w="108" w:type="dxa"/>
          </w:tblCellMar>
        </w:tblPrEx>
        <w:tc>
          <w:tcPr>
            <w:tcW w:w="4932" w:type="dxa"/>
          </w:tcPr>
          <w:p>
            <w:pPr>
              <w:spacing w:line="360" w:lineRule="auto"/>
              <w:rPr>
                <w:sz w:val="24"/>
                <w:u w:val="single"/>
              </w:rPr>
            </w:pPr>
            <w:r>
              <w:rPr>
                <w:rFonts w:hint="eastAsia" w:ascii="宋体" w:cs="仿宋"/>
                <w:sz w:val="24"/>
                <w:u w:val="single"/>
              </w:rPr>
              <w:t xml:space="preserve">地址：                                  </w:t>
            </w:r>
          </w:p>
        </w:tc>
        <w:tc>
          <w:tcPr>
            <w:tcW w:w="4968" w:type="dxa"/>
          </w:tcPr>
          <w:p>
            <w:pPr>
              <w:spacing w:line="360" w:lineRule="auto"/>
              <w:rPr>
                <w:sz w:val="24"/>
                <w:u w:val="single"/>
              </w:rPr>
            </w:pPr>
            <w:r>
              <w:rPr>
                <w:rFonts w:hint="eastAsia" w:ascii="宋体" w:cs="仿宋"/>
                <w:sz w:val="24"/>
                <w:u w:val="single"/>
              </w:rPr>
              <w:t xml:space="preserve">地址：                                  </w:t>
            </w:r>
          </w:p>
        </w:tc>
      </w:tr>
      <w:tr>
        <w:tblPrEx>
          <w:tblCellMar>
            <w:top w:w="0" w:type="dxa"/>
            <w:left w:w="108" w:type="dxa"/>
            <w:bottom w:w="0" w:type="dxa"/>
            <w:right w:w="108" w:type="dxa"/>
          </w:tblCellMar>
        </w:tblPrEx>
        <w:tc>
          <w:tcPr>
            <w:tcW w:w="4932" w:type="dxa"/>
          </w:tcPr>
          <w:p>
            <w:pPr>
              <w:spacing w:line="360" w:lineRule="auto"/>
              <w:rPr>
                <w:rFonts w:ascii="宋体" w:cs="仿宋"/>
                <w:sz w:val="24"/>
                <w:u w:val="single"/>
              </w:rPr>
            </w:pPr>
            <w:r>
              <w:rPr>
                <w:rFonts w:hint="eastAsia" w:ascii="宋体" w:cs="仿宋"/>
                <w:sz w:val="24"/>
                <w:u w:val="single"/>
              </w:rPr>
              <w:t xml:space="preserve">日期：                                  </w:t>
            </w:r>
          </w:p>
        </w:tc>
        <w:tc>
          <w:tcPr>
            <w:tcW w:w="4968" w:type="dxa"/>
          </w:tcPr>
          <w:p>
            <w:pPr>
              <w:spacing w:line="360" w:lineRule="auto"/>
              <w:rPr>
                <w:rFonts w:ascii="宋体" w:cs="仿宋"/>
                <w:sz w:val="24"/>
                <w:u w:val="single"/>
              </w:rPr>
            </w:pPr>
            <w:r>
              <w:rPr>
                <w:rFonts w:hint="eastAsia" w:ascii="宋体" w:cs="仿宋"/>
                <w:sz w:val="24"/>
                <w:u w:val="single"/>
              </w:rPr>
              <w:t xml:space="preserve">日期：                                  </w:t>
            </w:r>
          </w:p>
        </w:tc>
      </w:tr>
    </w:tbl>
    <w:p>
      <w:pPr>
        <w:rPr>
          <w:rFonts w:ascii="宋体"/>
          <w:b/>
          <w:bCs/>
          <w:sz w:val="24"/>
          <w:szCs w:val="21"/>
        </w:rPr>
      </w:pPr>
      <w:r>
        <w:rPr>
          <w:rFonts w:hint="eastAsia" w:ascii="宋体"/>
          <w:b/>
          <w:bCs/>
          <w:sz w:val="24"/>
          <w:szCs w:val="21"/>
        </w:rPr>
        <w:br w:type="page"/>
      </w:r>
    </w:p>
    <w:p>
      <w:pPr>
        <w:widowControl/>
        <w:spacing w:line="360" w:lineRule="auto"/>
        <w:jc w:val="left"/>
        <w:rPr>
          <w:rFonts w:ascii="宋体"/>
          <w:b/>
          <w:bCs/>
          <w:kern w:val="0"/>
          <w:sz w:val="24"/>
          <w:szCs w:val="21"/>
        </w:rPr>
      </w:pPr>
      <w:r>
        <w:rPr>
          <w:rFonts w:hint="eastAsia" w:ascii="宋体"/>
          <w:b/>
          <w:bCs/>
          <w:sz w:val="24"/>
          <w:szCs w:val="21"/>
        </w:rPr>
        <w:t>附件2</w:t>
      </w:r>
    </w:p>
    <w:p>
      <w:pPr>
        <w:spacing w:before="120" w:beforeLines="50" w:after="120" w:afterLines="50" w:line="360" w:lineRule="auto"/>
        <w:jc w:val="center"/>
        <w:rPr>
          <w:sz w:val="28"/>
          <w:szCs w:val="28"/>
        </w:rPr>
      </w:pPr>
      <w:r>
        <w:rPr>
          <w:rFonts w:hint="eastAsia" w:ascii="宋体"/>
          <w:b/>
          <w:bCs/>
          <w:kern w:val="0"/>
          <w:sz w:val="28"/>
          <w:szCs w:val="21"/>
          <w:u w:val="single"/>
        </w:rPr>
        <w:t>浙江省烟草专卖商业系统服务商保密协议</w:t>
      </w:r>
    </w:p>
    <w:p>
      <w:pPr>
        <w:adjustRightInd w:val="0"/>
        <w:snapToGrid w:val="0"/>
        <w:spacing w:line="360" w:lineRule="auto"/>
        <w:rPr>
          <w:rFonts w:ascii="宋体" w:cs="宋体"/>
          <w:sz w:val="24"/>
          <w:u w:val="single"/>
        </w:rPr>
      </w:pPr>
      <w:r>
        <w:rPr>
          <w:rFonts w:hint="eastAsia" w:ascii="宋体" w:cs="宋体"/>
          <w:sz w:val="24"/>
          <w:u w:val="single"/>
        </w:rPr>
        <w:t xml:space="preserve">甲方（企业名称）：                                      </w:t>
      </w:r>
    </w:p>
    <w:p>
      <w:pPr>
        <w:adjustRightInd w:val="0"/>
        <w:snapToGrid w:val="0"/>
        <w:spacing w:line="360" w:lineRule="auto"/>
        <w:rPr>
          <w:rFonts w:ascii="宋体" w:cs="宋体"/>
          <w:sz w:val="24"/>
          <w:u w:val="single"/>
        </w:rPr>
      </w:pPr>
      <w:r>
        <w:rPr>
          <w:rFonts w:hint="eastAsia" w:ascii="宋体" w:cs="宋体"/>
          <w:sz w:val="24"/>
          <w:u w:val="single"/>
        </w:rPr>
        <w:t xml:space="preserve">乙方（企业名称）：                                      </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鉴于乙方与甲方合作，并将获得甲方支付的相应服务费用，且乙方在为甲方服务期间将会获悉甲方的专利技术、技术秘密、产品数据、客户信息、项目信息和商业秘密，为有效保护甲方的合法权益，根据《中华人民共和国民法典》《中华人民共和国网络安全法》《中华人民共和国数据安全法》《中华人民共和国个人信息保护法》《中华人民共和国保守国家秘密法》及相关法律法规和有关规定，双方当事人就乙方在服务期间及之后应当履行的保密义务，本着平等、自愿、公平、诚实、守信的原则签订本协议。</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第一条</w:t>
      </w:r>
      <w:r>
        <w:rPr>
          <w:rFonts w:hint="eastAsia" w:ascii="宋体" w:cs="宋体"/>
          <w:sz w:val="24"/>
          <w:u w:val="single"/>
        </w:rPr>
        <w:t xml:space="preserve"> 本协议所指的“保密信息”是指甲方不为公众知悉，能为甲方带来经济利益或一旦泄露会给甲方带来损害或影响，包括但不限于甲方的技术信息和经营信息。</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技术信息包括但不限于：关键信息基础设施信息、技术方案、工程设计、网络架构、系统代码、演示系统、页面截图、电路设计、工艺流程、制作方法、操作方法、控制方法、测试方法、技术指标、计算机软件、数据库、研究开发记录、技术报告、检测报告、实验数据、试验结果、图纸、样品、样机、模型、模具、操作手册、技术文档、相关的函电等。</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经营信息包括但不限于：管理策略、决策和诀窍、客户信息、个人信息、货源情报、产销策略、生产成本、负债情况、重大诉讼、谈判底线、标底及标书内容、行销计划、发展战略、采购资料、定价政策、财务信息、薪酬信息、审计报告、政务非公开信息、采购合同等。</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第二条</w:t>
      </w:r>
      <w:r>
        <w:rPr>
          <w:rFonts w:hint="eastAsia" w:ascii="宋体" w:cs="宋体"/>
          <w:sz w:val="24"/>
          <w:u w:val="single"/>
        </w:rPr>
        <w:t xml:space="preserve"> 本协议所指的“服务商”包括但不限于：信息化项目建设与运维、固定资产项目建设与维护、委托代理、调查咨询相关中介服务等的服务商。</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第三条</w:t>
      </w:r>
      <w:r>
        <w:rPr>
          <w:rFonts w:hint="eastAsia" w:ascii="宋体" w:cs="宋体"/>
          <w:sz w:val="24"/>
          <w:u w:val="single"/>
        </w:rPr>
        <w:t xml:space="preserve"> 甲方依照法律规定（如在合作过程中知悉其他相对人的保密信息）和在有关协议的约定（如技术合同）中对外承担保密义务的事项，也属本保密协议所称的保密信息。乙方对上述专利技术、技术秘密、产品数据、客户信息、项目信息和商业秘密承担保密义务。</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第四条</w:t>
      </w:r>
      <w:r>
        <w:rPr>
          <w:rFonts w:hint="eastAsia" w:ascii="宋体" w:cs="宋体"/>
          <w:sz w:val="24"/>
          <w:u w:val="single"/>
        </w:rPr>
        <w:t xml:space="preserve"> 乙方在与甲方合作期间，必须遵守甲方规定的保密规章、制度，履行保密职责。</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第五条</w:t>
      </w:r>
      <w:r>
        <w:rPr>
          <w:rFonts w:hint="eastAsia" w:ascii="宋体" w:cs="宋体"/>
          <w:sz w:val="24"/>
          <w:u w:val="single"/>
        </w:rPr>
        <w:t xml:space="preserve"> 甲方的保密制度没有规定或规定不明确之处，乙方亦应本着谨慎、诚实的态度，采取一切必要、合理的措施，维护其获悉的本协议第一条约定的保密信息。</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第六条</w:t>
      </w:r>
      <w:r>
        <w:rPr>
          <w:rFonts w:hint="eastAsia" w:ascii="宋体" w:cs="宋体"/>
          <w:sz w:val="24"/>
          <w:u w:val="single"/>
        </w:rPr>
        <w:t xml:space="preserve"> 乙方承诺，未经甲方同意，不得以任何方式使第三方知悉本协议第一条约定的保密信息，也不得在提供服务之外使用这些保密信息。</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在任何时候，乙方保证不自己实施或帮助（有偿或无偿）任何第三人实施任何形式的侵犯甲方保密信息的行为。</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若乙方发现甲方的保密信息被泄露，应当采取有效措施防止泄露进一步扩大，并第一时间告知甲方，同时出具书面报告说明泄露范围和可能产生的影响。</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第七条</w:t>
      </w:r>
      <w:r>
        <w:rPr>
          <w:rFonts w:hint="eastAsia" w:ascii="宋体" w:cs="宋体"/>
          <w:sz w:val="24"/>
          <w:u w:val="single"/>
        </w:rPr>
        <w:t xml:space="preserve"> 乙方应妥善保管所有与工作有关的文档资料、方案资料、系统信息、账号信息、代码架构、客户信息及用户数据分析报告等。</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第八条</w:t>
      </w:r>
      <w:r>
        <w:rPr>
          <w:rFonts w:hint="eastAsia" w:ascii="宋体" w:cs="宋体"/>
          <w:sz w:val="24"/>
          <w:u w:val="single"/>
        </w:rPr>
        <w:t xml:space="preserve"> 乙方因服务工作需要所持有或保管的一切记录着甲方秘密信息的文件、资料、图表、笔记、报告、信件、传真、仪器以及其他任何形式的载体，均归甲方所有，无论这些秘密信息有无商业价值。</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第九条</w:t>
      </w:r>
      <w:r>
        <w:rPr>
          <w:rFonts w:hint="eastAsia" w:ascii="宋体" w:cs="宋体"/>
          <w:sz w:val="24"/>
          <w:u w:val="single"/>
        </w:rPr>
        <w:t xml:space="preserve"> 乙方所涉及甲方的各类数据要及时清理、复原，处理结果要有文字记录。所有数据不复制、不扩散、不传递，尤其不携带数据外出，因工作特殊需要携带外出的数据需向甲方以书面形式请示审批。</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第十条</w:t>
      </w:r>
      <w:r>
        <w:rPr>
          <w:rFonts w:hint="eastAsia" w:ascii="宋体" w:cs="宋体"/>
          <w:sz w:val="24"/>
          <w:u w:val="single"/>
        </w:rPr>
        <w:t xml:space="preserve"> 乙方在服务期间产生的任何形式的交付物，版权属甲方所有，乙方不得以任何方式致使甲方信息泄密。</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第十一条</w:t>
      </w:r>
      <w:r>
        <w:rPr>
          <w:rFonts w:hint="eastAsia" w:ascii="宋体" w:cs="宋体"/>
          <w:sz w:val="24"/>
          <w:u w:val="single"/>
        </w:rPr>
        <w:t xml:space="preserve"> 经双方确认，乙方在为甲方服务期间产生的发明创造、作品、计算机软件、技术秘密或其他商业秘密信息的知识产权均属甲方所有，乙方应当依甲方的要求，提供必要的服务，包括申请、注册、登记等，协助甲方取得和行使有关的知识产权。</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第十二条</w:t>
      </w:r>
      <w:r>
        <w:rPr>
          <w:rFonts w:hint="eastAsia" w:ascii="宋体" w:cs="宋体"/>
          <w:sz w:val="24"/>
          <w:u w:val="single"/>
        </w:rPr>
        <w:t xml:space="preserve"> 乙方有义务保管好保密资料，不得私自将保密资料携带外出，不得私自传借、披露，更不得利用所掌握的保密信息牟取私利。</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第十三条</w:t>
      </w:r>
      <w:r>
        <w:rPr>
          <w:rFonts w:hint="eastAsia" w:ascii="宋体" w:cs="宋体"/>
          <w:sz w:val="24"/>
          <w:u w:val="single"/>
        </w:rPr>
        <w:t xml:space="preserve"> 乙方应当于服务合同终止前，或者于甲方提出要求时，返还全部属于甲方的物料或按甲方规定予以销毁，包括记载着甲方保密信息的载体，并按甲方规定办理有关交接手续。</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第十四条</w:t>
      </w:r>
      <w:r>
        <w:rPr>
          <w:rFonts w:hint="eastAsia" w:ascii="宋体" w:cs="宋体"/>
          <w:sz w:val="24"/>
          <w:u w:val="single"/>
        </w:rPr>
        <w:t xml:space="preserve"> 本协议未约定但依据诚实守信的原则和有关法律法规的规定，乙方应当遵守甲方的其他保密义务。</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第十五条</w:t>
      </w:r>
      <w:r>
        <w:rPr>
          <w:rFonts w:hint="eastAsia" w:ascii="宋体" w:cs="宋体"/>
          <w:sz w:val="24"/>
          <w:u w:val="single"/>
        </w:rPr>
        <w:t xml:space="preserve"> 乙方在服务合同结束后无限期承担本协议约定的保密义务，直至甲方宣布解密或保密信息合法进入公共领域。</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第十六条</w:t>
      </w:r>
      <w:r>
        <w:rPr>
          <w:rFonts w:hint="eastAsia" w:ascii="宋体" w:cs="宋体"/>
          <w:sz w:val="24"/>
          <w:u w:val="single"/>
        </w:rPr>
        <w:t xml:space="preserve"> 乙方违反协议中的保密义务，给甲方造成损失的，应承担违约责任，包括但不限于经济赔偿和承担相应的法律制裁。</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经济赔偿金标准：乙方不论任何原因的泄密行为（包括损害第三方客户利益），均需向甲方支付合同总额的10%做为赔偿金，如该赔偿金不足以弥补泄密导致的损失或未签订合同的，乙方需按实际损失进行赔偿。如损失无法量化，则由第三方评估损失后进行赔偿。</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第十七条</w:t>
      </w:r>
      <w:r>
        <w:rPr>
          <w:rFonts w:hint="eastAsia" w:ascii="宋体" w:cs="宋体"/>
          <w:sz w:val="24"/>
          <w:u w:val="single"/>
        </w:rPr>
        <w:t xml:space="preserve"> 甲方因调查乙方的违约或侵权行为而支付的合理费用，如律师费、公证费、取证费等，应当包含在损失赔偿额之内。</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第十八条</w:t>
      </w:r>
      <w:r>
        <w:rPr>
          <w:rFonts w:hint="eastAsia" w:ascii="宋体" w:cs="宋体"/>
          <w:sz w:val="24"/>
          <w:u w:val="single"/>
        </w:rPr>
        <w:t xml:space="preserve"> 因乙方的违约或侵权行为侵犯了甲方的专利技术或商业秘密权利的，甲方可以选择根据本协议要求乙方承担违约责任，或者根据国家有关法律、法规要求乙方承担侵权责任。</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第十九条</w:t>
      </w:r>
      <w:r>
        <w:rPr>
          <w:rFonts w:hint="eastAsia" w:ascii="宋体" w:cs="宋体"/>
          <w:sz w:val="24"/>
          <w:u w:val="single"/>
        </w:rPr>
        <w:t xml:space="preserve"> 若乙方违反本协议而导致甲方遭受第三方的侵权指控时，乙方应当承担甲方为应诉而支付的一切费用；甲方因此而承担赔偿责任的，有权向乙方追偿。</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第二十条</w:t>
      </w:r>
      <w:r>
        <w:rPr>
          <w:rFonts w:hint="eastAsia" w:ascii="宋体" w:cs="宋体"/>
          <w:sz w:val="24"/>
          <w:u w:val="single"/>
        </w:rPr>
        <w:t xml:space="preserve"> 甲方保留一切通过法律手段追究乙方违约或侵权责任权利，包括追究其刑事责任。</w:t>
      </w:r>
    </w:p>
    <w:p>
      <w:pPr>
        <w:autoSpaceDE w:val="0"/>
        <w:autoSpaceDN w:val="0"/>
        <w:adjustRightInd w:val="0"/>
        <w:spacing w:line="360" w:lineRule="auto"/>
        <w:ind w:firstLine="482" w:firstLineChars="200"/>
        <w:jc w:val="left"/>
      </w:pPr>
      <w:r>
        <w:rPr>
          <w:rFonts w:hint="eastAsia" w:ascii="宋体" w:cs="宋体"/>
          <w:b/>
          <w:bCs/>
          <w:sz w:val="24"/>
          <w:u w:val="single"/>
        </w:rPr>
        <w:t>第二十一条</w:t>
      </w:r>
      <w:r>
        <w:rPr>
          <w:rFonts w:hint="eastAsia" w:ascii="宋体" w:cs="宋体"/>
          <w:sz w:val="24"/>
          <w:u w:val="single"/>
        </w:rPr>
        <w:t xml:space="preserve"> </w:t>
      </w:r>
      <w:r>
        <w:rPr>
          <w:rFonts w:hint="eastAsia" w:ascii="宋体"/>
          <w:bCs/>
          <w:kern w:val="0"/>
          <w:sz w:val="24"/>
          <w:szCs w:val="21"/>
          <w:u w:val="single"/>
        </w:rPr>
        <w:t>因执行本协议而发生纠纷，可以由双方协商解决。协商不成或者一方不愿意协商的，提交甲方所在地仲裁委员会仲裁</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第二十二条</w:t>
      </w:r>
      <w:r>
        <w:rPr>
          <w:rFonts w:hint="eastAsia" w:ascii="宋体" w:cs="宋体"/>
          <w:sz w:val="24"/>
          <w:u w:val="single"/>
        </w:rPr>
        <w:t xml:space="preserve"> 在签署本协议前，双方已经详细审阅了协议的内容，并完全了解协议各项条款的法律含义。</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第二十三条</w:t>
      </w:r>
      <w:r>
        <w:rPr>
          <w:rFonts w:hint="eastAsia" w:ascii="宋体" w:cs="宋体"/>
          <w:sz w:val="24"/>
          <w:u w:val="single"/>
        </w:rPr>
        <w:t xml:space="preserve"> 本协议一式</w:t>
      </w:r>
      <w:r>
        <w:rPr>
          <w:rFonts w:hint="eastAsia" w:ascii="宋体" w:cs="宋体"/>
          <w:sz w:val="24"/>
          <w:u w:val="single"/>
          <w:lang w:val="en-US" w:eastAsia="zh-CN"/>
        </w:rPr>
        <w:t>两</w:t>
      </w:r>
      <w:r>
        <w:rPr>
          <w:rFonts w:hint="eastAsia" w:ascii="宋体" w:cs="宋体"/>
          <w:sz w:val="24"/>
          <w:u w:val="single"/>
        </w:rPr>
        <w:t>份，甲乙双方各执</w:t>
      </w:r>
      <w:r>
        <w:rPr>
          <w:rFonts w:hint="eastAsia" w:ascii="宋体" w:cs="宋体"/>
          <w:sz w:val="24"/>
          <w:u w:val="single"/>
          <w:lang w:val="en-US" w:eastAsia="zh-CN"/>
        </w:rPr>
        <w:t>一</w:t>
      </w:r>
      <w:r>
        <w:rPr>
          <w:rFonts w:hint="eastAsia" w:ascii="宋体" w:cs="宋体"/>
          <w:sz w:val="24"/>
          <w:u w:val="single"/>
        </w:rPr>
        <w:t>份。签订之日起生效。</w:t>
      </w:r>
    </w:p>
    <w:p>
      <w:pPr>
        <w:autoSpaceDE w:val="0"/>
        <w:autoSpaceDN w:val="0"/>
        <w:adjustRightInd w:val="0"/>
        <w:spacing w:line="360" w:lineRule="auto"/>
        <w:jc w:val="left"/>
        <w:rPr>
          <w:rFonts w:ascii="宋体"/>
          <w:bCs/>
          <w:kern w:val="0"/>
          <w:sz w:val="24"/>
          <w:szCs w:val="21"/>
          <w:u w:val="single"/>
        </w:rPr>
      </w:pPr>
    </w:p>
    <w:tbl>
      <w:tblPr>
        <w:tblStyle w:val="24"/>
        <w:tblW w:w="9900" w:type="dxa"/>
        <w:tblInd w:w="-158" w:type="dxa"/>
        <w:tblLayout w:type="fixed"/>
        <w:tblCellMar>
          <w:top w:w="0" w:type="dxa"/>
          <w:left w:w="108" w:type="dxa"/>
          <w:bottom w:w="0" w:type="dxa"/>
          <w:right w:w="108" w:type="dxa"/>
        </w:tblCellMar>
      </w:tblPr>
      <w:tblGrid>
        <w:gridCol w:w="4932"/>
        <w:gridCol w:w="4968"/>
      </w:tblGrid>
      <w:tr>
        <w:tblPrEx>
          <w:tblCellMar>
            <w:top w:w="0" w:type="dxa"/>
            <w:left w:w="108" w:type="dxa"/>
            <w:bottom w:w="0" w:type="dxa"/>
            <w:right w:w="108" w:type="dxa"/>
          </w:tblCellMar>
        </w:tblPrEx>
        <w:trPr>
          <w:trHeight w:val="454" w:hRule="atLeast"/>
        </w:trPr>
        <w:tc>
          <w:tcPr>
            <w:tcW w:w="4932" w:type="dxa"/>
            <w:vAlign w:val="center"/>
          </w:tcPr>
          <w:p>
            <w:pPr>
              <w:spacing w:line="360" w:lineRule="exact"/>
              <w:rPr>
                <w:sz w:val="24"/>
                <w:u w:val="single"/>
              </w:rPr>
            </w:pPr>
            <w:r>
              <w:rPr>
                <w:rFonts w:hint="eastAsia" w:ascii="宋体" w:cs="仿宋"/>
                <w:sz w:val="24"/>
                <w:u w:val="single"/>
              </w:rPr>
              <w:t xml:space="preserve">甲方（签章）：                         </w:t>
            </w:r>
          </w:p>
        </w:tc>
        <w:tc>
          <w:tcPr>
            <w:tcW w:w="4968" w:type="dxa"/>
            <w:vAlign w:val="center"/>
          </w:tcPr>
          <w:p>
            <w:pPr>
              <w:spacing w:line="360" w:lineRule="exact"/>
              <w:rPr>
                <w:sz w:val="24"/>
                <w:u w:val="single"/>
              </w:rPr>
            </w:pPr>
            <w:r>
              <w:rPr>
                <w:rFonts w:hint="eastAsia" w:ascii="宋体" w:cs="仿宋"/>
                <w:sz w:val="24"/>
                <w:u w:val="single"/>
              </w:rPr>
              <w:t xml:space="preserve">乙方（签章）：                         </w:t>
            </w:r>
          </w:p>
        </w:tc>
      </w:tr>
      <w:tr>
        <w:tblPrEx>
          <w:tblCellMar>
            <w:top w:w="0" w:type="dxa"/>
            <w:left w:w="108" w:type="dxa"/>
            <w:bottom w:w="0" w:type="dxa"/>
            <w:right w:w="108" w:type="dxa"/>
          </w:tblCellMar>
        </w:tblPrEx>
        <w:trPr>
          <w:trHeight w:val="454" w:hRule="atLeast"/>
        </w:trPr>
        <w:tc>
          <w:tcPr>
            <w:tcW w:w="4932" w:type="dxa"/>
            <w:vAlign w:val="center"/>
          </w:tcPr>
          <w:p>
            <w:pPr>
              <w:spacing w:line="360" w:lineRule="exact"/>
              <w:rPr>
                <w:sz w:val="24"/>
                <w:u w:val="single"/>
              </w:rPr>
            </w:pPr>
            <w:r>
              <w:rPr>
                <w:rFonts w:hint="eastAsia" w:ascii="宋体" w:cs="仿宋"/>
                <w:sz w:val="24"/>
                <w:u w:val="single"/>
              </w:rPr>
              <w:t xml:space="preserve">地址：                                 </w:t>
            </w:r>
          </w:p>
        </w:tc>
        <w:tc>
          <w:tcPr>
            <w:tcW w:w="4968" w:type="dxa"/>
            <w:vAlign w:val="center"/>
          </w:tcPr>
          <w:p>
            <w:pPr>
              <w:spacing w:line="360" w:lineRule="exact"/>
              <w:rPr>
                <w:sz w:val="24"/>
                <w:u w:val="single"/>
              </w:rPr>
            </w:pPr>
            <w:r>
              <w:rPr>
                <w:rFonts w:hint="eastAsia" w:ascii="宋体" w:cs="仿宋"/>
                <w:sz w:val="24"/>
                <w:u w:val="single"/>
              </w:rPr>
              <w:t xml:space="preserve">地址：                                 </w:t>
            </w:r>
          </w:p>
        </w:tc>
      </w:tr>
      <w:tr>
        <w:tblPrEx>
          <w:tblCellMar>
            <w:top w:w="0" w:type="dxa"/>
            <w:left w:w="108" w:type="dxa"/>
            <w:bottom w:w="0" w:type="dxa"/>
            <w:right w:w="108" w:type="dxa"/>
          </w:tblCellMar>
        </w:tblPrEx>
        <w:trPr>
          <w:trHeight w:val="454" w:hRule="atLeast"/>
        </w:trPr>
        <w:tc>
          <w:tcPr>
            <w:tcW w:w="4932" w:type="dxa"/>
            <w:vAlign w:val="center"/>
          </w:tcPr>
          <w:p>
            <w:pPr>
              <w:spacing w:line="360" w:lineRule="exact"/>
              <w:rPr>
                <w:rFonts w:ascii="宋体" w:cs="仿宋"/>
                <w:sz w:val="24"/>
                <w:u w:val="single"/>
              </w:rPr>
            </w:pPr>
            <w:r>
              <w:rPr>
                <w:rFonts w:hint="eastAsia" w:ascii="宋体" w:cs="仿宋"/>
                <w:sz w:val="24"/>
                <w:u w:val="single"/>
              </w:rPr>
              <w:t xml:space="preserve">日期：                                 </w:t>
            </w:r>
          </w:p>
        </w:tc>
        <w:tc>
          <w:tcPr>
            <w:tcW w:w="4968" w:type="dxa"/>
            <w:vAlign w:val="center"/>
          </w:tcPr>
          <w:p>
            <w:pPr>
              <w:spacing w:line="360" w:lineRule="exact"/>
              <w:rPr>
                <w:rFonts w:ascii="宋体" w:cs="仿宋"/>
                <w:sz w:val="24"/>
                <w:u w:val="single"/>
              </w:rPr>
            </w:pPr>
            <w:r>
              <w:rPr>
                <w:rFonts w:hint="eastAsia" w:ascii="宋体" w:cs="仿宋"/>
                <w:sz w:val="24"/>
                <w:u w:val="single"/>
              </w:rPr>
              <w:t xml:space="preserve">日期：                                 </w:t>
            </w:r>
          </w:p>
        </w:tc>
      </w:tr>
    </w:tbl>
    <w:p>
      <w:pPr>
        <w:rPr>
          <w:rFonts w:ascii="宋体"/>
          <w:b/>
          <w:bCs/>
          <w:sz w:val="24"/>
          <w:u w:val="single"/>
        </w:rPr>
      </w:pPr>
      <w:r>
        <w:rPr>
          <w:rFonts w:hint="eastAsia" w:ascii="宋体"/>
          <w:b/>
          <w:bCs/>
          <w:sz w:val="24"/>
          <w:u w:val="single"/>
        </w:rPr>
        <w:br w:type="page"/>
      </w:r>
    </w:p>
    <w:p>
      <w:pPr>
        <w:tabs>
          <w:tab w:val="left" w:pos="0"/>
        </w:tabs>
        <w:spacing w:line="360" w:lineRule="auto"/>
        <w:rPr>
          <w:rFonts w:ascii="宋体"/>
          <w:b/>
          <w:bCs/>
          <w:sz w:val="24"/>
        </w:rPr>
      </w:pPr>
      <w:r>
        <w:rPr>
          <w:rFonts w:hint="eastAsia" w:ascii="宋体"/>
          <w:b/>
          <w:bCs/>
          <w:sz w:val="24"/>
        </w:rPr>
        <w:t>附件3</w:t>
      </w:r>
    </w:p>
    <w:p>
      <w:pPr>
        <w:tabs>
          <w:tab w:val="left" w:pos="0"/>
        </w:tabs>
        <w:spacing w:line="360" w:lineRule="auto"/>
        <w:jc w:val="center"/>
        <w:rPr>
          <w:rFonts w:ascii="宋体"/>
          <w:b/>
          <w:sz w:val="28"/>
          <w:u w:val="single"/>
        </w:rPr>
      </w:pPr>
      <w:r>
        <w:rPr>
          <w:rFonts w:hint="eastAsia" w:ascii="宋体"/>
          <w:b/>
          <w:sz w:val="28"/>
          <w:u w:val="single"/>
        </w:rPr>
        <w:t>浙江烟草专卖商业系统第三方人员保密协议</w:t>
      </w:r>
    </w:p>
    <w:p>
      <w:pPr>
        <w:tabs>
          <w:tab w:val="left" w:pos="0"/>
        </w:tabs>
        <w:spacing w:line="360" w:lineRule="auto"/>
        <w:rPr>
          <w:rFonts w:ascii="宋体"/>
          <w:sz w:val="24"/>
          <w:u w:val="single"/>
        </w:rPr>
      </w:pPr>
    </w:p>
    <w:p>
      <w:pPr>
        <w:spacing w:line="360" w:lineRule="auto"/>
        <w:rPr>
          <w:rFonts w:ascii="宋体" w:cs="仿宋"/>
          <w:sz w:val="24"/>
          <w:u w:val="single"/>
        </w:rPr>
      </w:pPr>
      <w:r>
        <w:rPr>
          <w:rFonts w:hint="eastAsia" w:ascii="宋体" w:cs="仿宋"/>
          <w:sz w:val="24"/>
          <w:u w:val="single"/>
        </w:rPr>
        <w:t xml:space="preserve">甲方（企业名称）：                            </w:t>
      </w:r>
    </w:p>
    <w:p>
      <w:pPr>
        <w:spacing w:line="360" w:lineRule="auto"/>
        <w:rPr>
          <w:rFonts w:ascii="宋体" w:cs="仿宋"/>
          <w:sz w:val="24"/>
          <w:u w:val="single"/>
        </w:rPr>
      </w:pPr>
      <w:r>
        <w:rPr>
          <w:rFonts w:hint="eastAsia" w:ascii="宋体" w:cs="仿宋"/>
          <w:sz w:val="24"/>
          <w:u w:val="single"/>
        </w:rPr>
        <w:t xml:space="preserve">乙方（人员姓名）：                     身份证号码：                      </w:t>
      </w:r>
    </w:p>
    <w:p>
      <w:pPr>
        <w:rPr>
          <w:rFonts w:ascii="宋体" w:cs="仿宋"/>
          <w:sz w:val="24"/>
          <w:u w:val="single"/>
        </w:rPr>
      </w:pPr>
    </w:p>
    <w:p>
      <w:pPr>
        <w:adjustRightInd w:val="0"/>
        <w:snapToGrid w:val="0"/>
        <w:spacing w:line="360" w:lineRule="auto"/>
        <w:ind w:firstLine="480" w:firstLineChars="200"/>
        <w:rPr>
          <w:rFonts w:ascii="宋体" w:cs="宋体"/>
          <w:sz w:val="24"/>
          <w:u w:val="single"/>
        </w:rPr>
      </w:pPr>
      <w:r>
        <w:rPr>
          <w:rFonts w:hint="eastAsia" w:ascii="宋体" w:cs="宋体"/>
          <w:sz w:val="24"/>
          <w:u w:val="single"/>
        </w:rPr>
        <w:t>鉴于乙方参与甲方信息化项目建设与运维、固定资产项目建设与维护、委托代理和调查咨询相关中介服务等工作，已经（或将要）知悉甲方关于该项目或服务的保密信息，为了明确乙方的保密义务，甲、乙双方本着平等、自愿、公平、诚信、守信的原则，依据国家有关法律法规和有关规定，订立本保密协议。</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第一条</w:t>
      </w:r>
      <w:r>
        <w:rPr>
          <w:rFonts w:hint="eastAsia" w:ascii="宋体" w:cs="宋体"/>
          <w:sz w:val="24"/>
          <w:u w:val="single"/>
        </w:rPr>
        <w:t xml:space="preserve"> 本协议所指的“保密信息”是指甲方不为公众知悉，能为甲方带来经济利益或一旦泄露会给甲方带来损害或影响，包括但不限于甲方的技术信息和经营信息。</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技术信息包括但不限于：关键信息基础设施信息、技术方案、工程设计、网络架构、系统代码、演示系统、页面截图、账号信息、电路设计、工艺流程、制作方法、操作方法、控制方法、测试方法、技术指标、计算机软件、数据库、研究开发记录、技术报告、检测报告、实验数据、试验结果、图纸、样品、样机、模型、模具、操作手册、技术文档、相关的函电等。</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经营信息包括但不限于：管理策略、决策和诀窍、客户信息、个人信息、货源情报、产销策略、生产成本、负债情况、重大诉讼、谈判底线、标底及标书内容、行销计划、发展战略、采购资料、定价政策、财务信息、薪酬信息、审计报告、政务非公开信息、采购合同等。</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第二条</w:t>
      </w:r>
      <w:r>
        <w:rPr>
          <w:rFonts w:hint="eastAsia" w:ascii="宋体" w:cs="宋体"/>
          <w:sz w:val="24"/>
          <w:u w:val="single"/>
        </w:rPr>
        <w:t xml:space="preserve"> 乙方的保密义务</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1.主动采取保密措施对上述所列及之保密信息进行保护，防止不承担同等保密义务的任何第三方知悉及使用；</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2.不得刺探或者以其他任何不正当手段（包括利用计算机进行检索、浏览、复制，手机拍摄等）获取与本职工作或本身业务无关的甲方关于该项目的保密信息；</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3.不得向不承担同等保密义务的任何第三方披露甲方关于该项目的保密信息；</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4.不允许（包括出借、赠与、出租、转让等行为）或协助不承担同等保密义务的任何第三方使用甲方关于该项目的保密信息；</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 xml:space="preserve">5.项目的保密信息所有权始终全部归属甲方，乙方不得利用自身对项目不同程度的了解申请对于该项目的保密信息所有权； </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6.如发现甲方关于该项目的保密信息被泄露或者自己过失泄露秘密，应当采取有效措施防止泄密进一步扩大，并及时向甲方报告。</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第三条</w:t>
      </w:r>
      <w:r>
        <w:rPr>
          <w:rFonts w:hint="eastAsia" w:ascii="宋体" w:cs="宋体"/>
          <w:sz w:val="24"/>
          <w:u w:val="single"/>
        </w:rPr>
        <w:t xml:space="preserve"> 甲、乙双方确认，乙方的保密义务自本协议签订时开始，到甲方关于该项目的保密信息公开时止。乙方是否继续参与甲方关于该项目的工作，不影响保密义务的承担。</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第四条</w:t>
      </w:r>
      <w:r>
        <w:rPr>
          <w:rFonts w:hint="eastAsia" w:ascii="宋体" w:cs="宋体"/>
          <w:sz w:val="24"/>
          <w:u w:val="single"/>
        </w:rPr>
        <w:t xml:space="preserve"> 违约责任</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1.如因乙方未履行本协议所规定的保密义务，但尚未给甲方造成损失或严重后果的应承担人民币5000元的违约金；</w:t>
      </w:r>
    </w:p>
    <w:p>
      <w:pPr>
        <w:adjustRightInd w:val="0"/>
        <w:snapToGrid w:val="0"/>
        <w:spacing w:line="360" w:lineRule="auto"/>
        <w:ind w:firstLine="480" w:firstLineChars="200"/>
        <w:rPr>
          <w:rFonts w:ascii="宋体" w:cs="宋体"/>
          <w:sz w:val="24"/>
          <w:u w:val="single"/>
        </w:rPr>
      </w:pPr>
      <w:r>
        <w:rPr>
          <w:rFonts w:hint="eastAsia" w:ascii="宋体" w:cs="宋体"/>
          <w:sz w:val="24"/>
          <w:u w:val="single"/>
        </w:rPr>
        <w:t>2.如因乙方未履行本协议所规定的保密义务，造成甲方损失或严重后果的，乙方应赔偿由此给甲方造成的损失。甲方保留追究乙方及乙方所属公司其他法律责任的权利。</w:t>
      </w:r>
    </w:p>
    <w:p>
      <w:pPr>
        <w:autoSpaceDE w:val="0"/>
        <w:autoSpaceDN w:val="0"/>
        <w:adjustRightInd w:val="0"/>
        <w:spacing w:line="360" w:lineRule="auto"/>
        <w:ind w:firstLine="482" w:firstLineChars="200"/>
        <w:jc w:val="left"/>
        <w:rPr>
          <w:rFonts w:hint="eastAsia" w:ascii="宋体" w:eastAsia="宋体" w:cs="宋体"/>
          <w:sz w:val="24"/>
          <w:u w:val="single"/>
          <w:lang w:eastAsia="zh-CN"/>
        </w:rPr>
      </w:pPr>
      <w:r>
        <w:rPr>
          <w:rFonts w:hint="eastAsia" w:ascii="宋体" w:cs="宋体"/>
          <w:b/>
          <w:bCs/>
          <w:sz w:val="24"/>
          <w:u w:val="single"/>
        </w:rPr>
        <w:t>第五条</w:t>
      </w:r>
      <w:r>
        <w:rPr>
          <w:rFonts w:hint="eastAsia" w:ascii="宋体" w:cs="宋体"/>
          <w:sz w:val="24"/>
          <w:u w:val="single"/>
        </w:rPr>
        <w:t xml:space="preserve"> </w:t>
      </w:r>
      <w:r>
        <w:rPr>
          <w:rFonts w:hint="eastAsia" w:ascii="宋体"/>
          <w:bCs/>
          <w:kern w:val="0"/>
          <w:sz w:val="24"/>
          <w:szCs w:val="21"/>
          <w:u w:val="single"/>
        </w:rPr>
        <w:t>因执行本协议而发生纠纷，可以由双方协商解决。协商不成或者一方不愿意协商的，提交甲方所在地仲裁委员会仲裁</w:t>
      </w:r>
      <w:r>
        <w:rPr>
          <w:rFonts w:hint="eastAsia" w:ascii="宋体"/>
          <w:bCs/>
          <w:kern w:val="0"/>
          <w:sz w:val="24"/>
          <w:szCs w:val="21"/>
          <w:u w:val="single"/>
          <w:lang w:eastAsia="zh-CN"/>
        </w:rPr>
        <w:t>。</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第六条</w:t>
      </w:r>
      <w:r>
        <w:rPr>
          <w:rFonts w:hint="eastAsia" w:ascii="宋体" w:cs="宋体"/>
          <w:sz w:val="24"/>
          <w:u w:val="single"/>
        </w:rPr>
        <w:t xml:space="preserve"> 本协议的任何修改必须经过双方的书面同意。协议未尽事宜由双方协商解决。</w:t>
      </w:r>
    </w:p>
    <w:p>
      <w:pPr>
        <w:adjustRightInd w:val="0"/>
        <w:snapToGrid w:val="0"/>
        <w:spacing w:line="360" w:lineRule="auto"/>
        <w:ind w:firstLine="482" w:firstLineChars="200"/>
        <w:rPr>
          <w:rFonts w:ascii="宋体" w:cs="宋体"/>
          <w:sz w:val="24"/>
          <w:u w:val="single"/>
        </w:rPr>
      </w:pPr>
      <w:r>
        <w:rPr>
          <w:rFonts w:hint="eastAsia" w:ascii="宋体" w:cs="宋体"/>
          <w:b/>
          <w:bCs/>
          <w:sz w:val="24"/>
          <w:u w:val="single"/>
        </w:rPr>
        <w:t>第七条</w:t>
      </w:r>
      <w:r>
        <w:rPr>
          <w:rFonts w:hint="eastAsia" w:ascii="宋体" w:cs="宋体"/>
          <w:sz w:val="24"/>
          <w:u w:val="single"/>
        </w:rPr>
        <w:t xml:space="preserve"> 本协议一式</w:t>
      </w:r>
      <w:r>
        <w:rPr>
          <w:rFonts w:hint="eastAsia" w:ascii="宋体" w:cs="宋体"/>
          <w:sz w:val="24"/>
          <w:u w:val="single"/>
          <w:lang w:val="en-US" w:eastAsia="zh-CN"/>
        </w:rPr>
        <w:t>两</w:t>
      </w:r>
      <w:r>
        <w:rPr>
          <w:rFonts w:hint="eastAsia" w:ascii="宋体" w:cs="宋体"/>
          <w:sz w:val="24"/>
          <w:u w:val="single"/>
        </w:rPr>
        <w:t>份，甲乙双方各执</w:t>
      </w:r>
      <w:r>
        <w:rPr>
          <w:rFonts w:hint="eastAsia" w:ascii="宋体" w:cs="宋体"/>
          <w:sz w:val="24"/>
          <w:u w:val="single"/>
          <w:lang w:val="en-US" w:eastAsia="zh-CN"/>
        </w:rPr>
        <w:t>一</w:t>
      </w:r>
      <w:r>
        <w:rPr>
          <w:rFonts w:hint="eastAsia" w:ascii="宋体" w:cs="宋体"/>
          <w:sz w:val="24"/>
          <w:u w:val="single"/>
        </w:rPr>
        <w:t>份。签订之日起生效。</w:t>
      </w:r>
    </w:p>
    <w:p>
      <w:pPr>
        <w:rPr>
          <w:rFonts w:ascii="宋体" w:cs="仿宋"/>
          <w:sz w:val="24"/>
          <w:u w:val="single"/>
        </w:rPr>
      </w:pPr>
    </w:p>
    <w:p>
      <w:pPr>
        <w:rPr>
          <w:rFonts w:ascii="宋体" w:cs="仿宋"/>
          <w:sz w:val="24"/>
          <w:u w:val="single"/>
        </w:rPr>
      </w:pPr>
    </w:p>
    <w:tbl>
      <w:tblPr>
        <w:tblStyle w:val="24"/>
        <w:tblW w:w="9900" w:type="dxa"/>
        <w:tblInd w:w="-158" w:type="dxa"/>
        <w:tblLayout w:type="fixed"/>
        <w:tblCellMar>
          <w:top w:w="0" w:type="dxa"/>
          <w:left w:w="108" w:type="dxa"/>
          <w:bottom w:w="0" w:type="dxa"/>
          <w:right w:w="108" w:type="dxa"/>
        </w:tblCellMar>
      </w:tblPr>
      <w:tblGrid>
        <w:gridCol w:w="4932"/>
        <w:gridCol w:w="4968"/>
      </w:tblGrid>
      <w:tr>
        <w:tblPrEx>
          <w:tblCellMar>
            <w:top w:w="0" w:type="dxa"/>
            <w:left w:w="108" w:type="dxa"/>
            <w:bottom w:w="0" w:type="dxa"/>
            <w:right w:w="108" w:type="dxa"/>
          </w:tblCellMar>
        </w:tblPrEx>
        <w:tc>
          <w:tcPr>
            <w:tcW w:w="4932" w:type="dxa"/>
          </w:tcPr>
          <w:p>
            <w:pPr>
              <w:spacing w:line="360" w:lineRule="auto"/>
              <w:rPr>
                <w:sz w:val="24"/>
                <w:u w:val="single"/>
              </w:rPr>
            </w:pPr>
            <w:r>
              <w:rPr>
                <w:rFonts w:hint="eastAsia" w:ascii="宋体" w:cs="仿宋"/>
                <w:sz w:val="24"/>
                <w:u w:val="single"/>
              </w:rPr>
              <w:t xml:space="preserve">甲方（签章）：                                     </w:t>
            </w:r>
          </w:p>
        </w:tc>
        <w:tc>
          <w:tcPr>
            <w:tcW w:w="4968" w:type="dxa"/>
          </w:tcPr>
          <w:p>
            <w:pPr>
              <w:spacing w:line="360" w:lineRule="auto"/>
              <w:rPr>
                <w:sz w:val="24"/>
                <w:u w:val="single"/>
              </w:rPr>
            </w:pPr>
            <w:r>
              <w:rPr>
                <w:rFonts w:hint="eastAsia" w:ascii="宋体" w:cs="仿宋"/>
                <w:sz w:val="24"/>
                <w:u w:val="single"/>
              </w:rPr>
              <w:t xml:space="preserve">乙方（签名）：                                  </w:t>
            </w:r>
          </w:p>
        </w:tc>
      </w:tr>
      <w:tr>
        <w:tblPrEx>
          <w:tblCellMar>
            <w:top w:w="0" w:type="dxa"/>
            <w:left w:w="108" w:type="dxa"/>
            <w:bottom w:w="0" w:type="dxa"/>
            <w:right w:w="108" w:type="dxa"/>
          </w:tblCellMar>
        </w:tblPrEx>
        <w:tc>
          <w:tcPr>
            <w:tcW w:w="4932" w:type="dxa"/>
          </w:tcPr>
          <w:p>
            <w:pPr>
              <w:spacing w:line="360" w:lineRule="auto"/>
              <w:rPr>
                <w:sz w:val="24"/>
                <w:u w:val="single"/>
              </w:rPr>
            </w:pPr>
            <w:r>
              <w:rPr>
                <w:rFonts w:hint="eastAsia" w:ascii="宋体" w:cs="仿宋"/>
                <w:sz w:val="24"/>
                <w:u w:val="single"/>
              </w:rPr>
              <w:t xml:space="preserve">地址：                                  </w:t>
            </w:r>
          </w:p>
        </w:tc>
        <w:tc>
          <w:tcPr>
            <w:tcW w:w="4968" w:type="dxa"/>
          </w:tcPr>
          <w:p>
            <w:pPr>
              <w:spacing w:line="360" w:lineRule="auto"/>
              <w:rPr>
                <w:sz w:val="24"/>
                <w:u w:val="single"/>
              </w:rPr>
            </w:pPr>
            <w:r>
              <w:rPr>
                <w:rFonts w:hint="eastAsia" w:ascii="宋体" w:cs="仿宋"/>
                <w:sz w:val="24"/>
                <w:u w:val="single"/>
              </w:rPr>
              <w:t xml:space="preserve">地址：                                  </w:t>
            </w:r>
          </w:p>
        </w:tc>
      </w:tr>
      <w:tr>
        <w:tblPrEx>
          <w:tblCellMar>
            <w:top w:w="0" w:type="dxa"/>
            <w:left w:w="108" w:type="dxa"/>
            <w:bottom w:w="0" w:type="dxa"/>
            <w:right w:w="108" w:type="dxa"/>
          </w:tblCellMar>
        </w:tblPrEx>
        <w:tc>
          <w:tcPr>
            <w:tcW w:w="4932" w:type="dxa"/>
          </w:tcPr>
          <w:p>
            <w:pPr>
              <w:spacing w:line="360" w:lineRule="auto"/>
              <w:rPr>
                <w:rFonts w:ascii="宋体" w:cs="仿宋"/>
                <w:sz w:val="24"/>
                <w:u w:val="single"/>
              </w:rPr>
            </w:pPr>
            <w:r>
              <w:rPr>
                <w:rFonts w:hint="eastAsia" w:ascii="宋体" w:cs="仿宋"/>
                <w:sz w:val="24"/>
                <w:u w:val="single"/>
              </w:rPr>
              <w:t xml:space="preserve">日期：                                  </w:t>
            </w:r>
          </w:p>
        </w:tc>
        <w:tc>
          <w:tcPr>
            <w:tcW w:w="4968" w:type="dxa"/>
          </w:tcPr>
          <w:p>
            <w:pPr>
              <w:spacing w:line="360" w:lineRule="auto"/>
              <w:rPr>
                <w:rFonts w:ascii="宋体" w:cs="仿宋"/>
                <w:sz w:val="24"/>
                <w:u w:val="single"/>
              </w:rPr>
            </w:pPr>
            <w:r>
              <w:rPr>
                <w:rFonts w:hint="eastAsia" w:ascii="宋体" w:cs="仿宋"/>
                <w:sz w:val="24"/>
                <w:u w:val="single"/>
              </w:rPr>
              <w:t xml:space="preserve">日期：                                  </w:t>
            </w:r>
          </w:p>
        </w:tc>
      </w:tr>
    </w:tbl>
    <w:p>
      <w:pPr>
        <w:spacing w:line="600" w:lineRule="exact"/>
        <w:rPr>
          <w:rFonts w:ascii="宋体"/>
          <w:sz w:val="24"/>
          <w:u w:val="single"/>
        </w:rPr>
      </w:pPr>
    </w:p>
    <w:p>
      <w:pPr>
        <w:pStyle w:val="30"/>
        <w:jc w:val="both"/>
        <w:sectPr>
          <w:pgSz w:w="11906" w:h="16838"/>
          <w:pgMar w:top="1236" w:right="1134" w:bottom="1134" w:left="1134" w:header="680" w:footer="680" w:gutter="0"/>
          <w:cols w:space="720" w:num="1"/>
          <w:docGrid w:linePitch="312" w:charSpace="0"/>
        </w:sectPr>
      </w:pPr>
    </w:p>
    <w:p>
      <w:pPr>
        <w:tabs>
          <w:tab w:val="left" w:pos="0"/>
        </w:tabs>
        <w:spacing w:line="360" w:lineRule="auto"/>
        <w:rPr>
          <w:rFonts w:ascii="宋体"/>
          <w:b/>
          <w:bCs/>
          <w:sz w:val="24"/>
        </w:rPr>
      </w:pPr>
      <w:r>
        <w:rPr>
          <w:rFonts w:hint="eastAsia" w:ascii="宋体"/>
          <w:b/>
          <w:bCs/>
          <w:sz w:val="24"/>
        </w:rPr>
        <w:t>附件4</w:t>
      </w:r>
    </w:p>
    <w:p>
      <w:pPr>
        <w:spacing w:line="360" w:lineRule="auto"/>
        <w:ind w:firstLine="562" w:firstLineChars="200"/>
        <w:jc w:val="center"/>
        <w:rPr>
          <w:rFonts w:ascii="宋体" w:cs="仿宋"/>
          <w:b/>
          <w:bCs/>
          <w:sz w:val="28"/>
          <w:szCs w:val="28"/>
        </w:rPr>
      </w:pPr>
      <w:r>
        <w:rPr>
          <w:rFonts w:hint="eastAsia" w:ascii="宋体" w:cs="仿宋"/>
          <w:b/>
          <w:bCs/>
          <w:sz w:val="28"/>
          <w:szCs w:val="28"/>
        </w:rPr>
        <w:t>廉  洁  合  同</w:t>
      </w:r>
    </w:p>
    <w:p>
      <w:pPr>
        <w:spacing w:line="360" w:lineRule="auto"/>
        <w:ind w:firstLine="480" w:firstLineChars="200"/>
        <w:rPr>
          <w:rFonts w:ascii="宋体" w:cs="仿宋"/>
          <w:sz w:val="24"/>
        </w:rPr>
      </w:pPr>
      <w:r>
        <w:rPr>
          <w:rFonts w:hint="eastAsia" w:ascii="宋体" w:cs="仿宋"/>
          <w:sz w:val="24"/>
        </w:rPr>
        <w:t>甲方：</w:t>
      </w:r>
      <w:r>
        <w:rPr>
          <w:rFonts w:hint="eastAsia" w:ascii="宋体" w:cs="仿宋"/>
          <w:sz w:val="24"/>
          <w:u w:val="single"/>
        </w:rPr>
        <w:t xml:space="preserve">                                   </w:t>
      </w:r>
    </w:p>
    <w:p>
      <w:pPr>
        <w:spacing w:line="360" w:lineRule="auto"/>
        <w:ind w:firstLine="480" w:firstLineChars="200"/>
        <w:rPr>
          <w:rFonts w:ascii="宋体" w:cs="仿宋"/>
          <w:sz w:val="24"/>
        </w:rPr>
      </w:pPr>
      <w:r>
        <w:rPr>
          <w:rFonts w:hint="eastAsia" w:ascii="宋体" w:cs="仿宋"/>
          <w:sz w:val="24"/>
        </w:rPr>
        <w:t>乙方：</w:t>
      </w:r>
      <w:r>
        <w:rPr>
          <w:rFonts w:hint="eastAsia" w:ascii="宋体" w:cs="仿宋"/>
          <w:sz w:val="24"/>
          <w:u w:val="single"/>
        </w:rPr>
        <w:t xml:space="preserve">                                   </w:t>
      </w:r>
    </w:p>
    <w:p>
      <w:pPr>
        <w:spacing w:line="360" w:lineRule="auto"/>
        <w:ind w:firstLine="480" w:firstLineChars="200"/>
        <w:rPr>
          <w:rFonts w:ascii="宋体" w:cs="仿宋"/>
          <w:sz w:val="24"/>
        </w:rPr>
      </w:pPr>
    </w:p>
    <w:p>
      <w:pPr>
        <w:spacing w:line="360" w:lineRule="auto"/>
        <w:ind w:firstLine="480" w:firstLineChars="200"/>
        <w:rPr>
          <w:rFonts w:ascii="宋体" w:cs="仿宋"/>
          <w:sz w:val="24"/>
        </w:rPr>
      </w:pPr>
      <w:r>
        <w:rPr>
          <w:rFonts w:hint="eastAsia" w:ascii="宋体" w:cs="仿宋"/>
          <w:sz w:val="24"/>
        </w:rPr>
        <w:t>根据《中华人民共和国招标投标法》《浙江省烟草专卖商业系统行贿供应商管理实施细则（暂行）》等规定，甲乙双方同意，在此次合同签订、履行过程中将严格遵守国家法律法规的要求，双方郑重承诺：</w:t>
      </w:r>
    </w:p>
    <w:p>
      <w:pPr>
        <w:spacing w:line="360" w:lineRule="auto"/>
        <w:ind w:firstLine="480" w:firstLineChars="200"/>
        <w:rPr>
          <w:rFonts w:ascii="宋体" w:cs="仿宋"/>
          <w:sz w:val="24"/>
        </w:rPr>
      </w:pPr>
      <w:r>
        <w:rPr>
          <w:rFonts w:hint="eastAsia" w:ascii="宋体" w:cs="仿宋"/>
          <w:sz w:val="24"/>
        </w:rPr>
        <w:t>一、不向项目有关人员及部门赠送礼金礼物、有价证券、回扣以及中介费、介绍费、咨询费等好处费；</w:t>
      </w:r>
    </w:p>
    <w:p>
      <w:pPr>
        <w:spacing w:line="360" w:lineRule="auto"/>
        <w:ind w:firstLine="480" w:firstLineChars="200"/>
        <w:rPr>
          <w:rFonts w:ascii="宋体" w:cs="仿宋"/>
          <w:sz w:val="24"/>
        </w:rPr>
      </w:pPr>
      <w:r>
        <w:rPr>
          <w:rFonts w:hint="eastAsia" w:ascii="宋体" w:cs="仿宋"/>
          <w:sz w:val="24"/>
        </w:rPr>
        <w:t>二、不为项目有关人员及部门报销应由对方单位或个人支付的费用；</w:t>
      </w:r>
    </w:p>
    <w:p>
      <w:pPr>
        <w:spacing w:line="360" w:lineRule="auto"/>
        <w:ind w:firstLine="480" w:firstLineChars="200"/>
        <w:rPr>
          <w:rFonts w:ascii="宋体" w:cs="仿宋"/>
          <w:sz w:val="24"/>
        </w:rPr>
      </w:pPr>
      <w:r>
        <w:rPr>
          <w:rFonts w:hint="eastAsia" w:ascii="宋体" w:cs="仿宋"/>
          <w:sz w:val="24"/>
        </w:rPr>
        <w:t>三、不向项目有关人员及部门提供有可能影响公正的宴请和健身娱乐等活动；</w:t>
      </w:r>
    </w:p>
    <w:p>
      <w:pPr>
        <w:spacing w:line="360" w:lineRule="auto"/>
        <w:ind w:firstLine="480" w:firstLineChars="200"/>
        <w:rPr>
          <w:rFonts w:ascii="宋体" w:cs="仿宋"/>
          <w:sz w:val="24"/>
        </w:rPr>
      </w:pPr>
      <w:r>
        <w:rPr>
          <w:rFonts w:hint="eastAsia" w:ascii="宋体" w:cs="仿宋"/>
          <w:sz w:val="24"/>
        </w:rPr>
        <w:t>四、不为项目有关人员及部门出国（境）、旅游等提供方便；</w:t>
      </w:r>
    </w:p>
    <w:p>
      <w:pPr>
        <w:spacing w:line="360" w:lineRule="auto"/>
        <w:ind w:firstLine="480" w:firstLineChars="200"/>
        <w:rPr>
          <w:rFonts w:ascii="宋体" w:cs="仿宋"/>
          <w:sz w:val="24"/>
        </w:rPr>
      </w:pPr>
      <w:r>
        <w:rPr>
          <w:rFonts w:hint="eastAsia" w:ascii="宋体" w:cs="仿宋"/>
          <w:sz w:val="24"/>
        </w:rPr>
        <w:t>五、不为项目有关人员个人装修住房、婚丧嫁娶、配偶子女工作安排等提供好处；</w:t>
      </w:r>
    </w:p>
    <w:p>
      <w:pPr>
        <w:spacing w:line="360" w:lineRule="auto"/>
        <w:ind w:firstLine="480" w:firstLineChars="200"/>
        <w:rPr>
          <w:rFonts w:ascii="宋体" w:cs="仿宋"/>
          <w:sz w:val="24"/>
        </w:rPr>
      </w:pPr>
      <w:r>
        <w:rPr>
          <w:rFonts w:hint="eastAsia" w:ascii="宋体" w:cs="仿宋"/>
          <w:sz w:val="24"/>
        </w:rPr>
        <w:t>六、严格遵守招标投标法、民法典等法律，诚实守信，合法经营，坚决抵制各种违法违纪行为；</w:t>
      </w:r>
    </w:p>
    <w:p>
      <w:pPr>
        <w:spacing w:line="360" w:lineRule="auto"/>
        <w:ind w:firstLine="480" w:firstLineChars="200"/>
        <w:rPr>
          <w:rFonts w:ascii="宋体" w:cs="仿宋"/>
          <w:sz w:val="24"/>
        </w:rPr>
      </w:pPr>
      <w:r>
        <w:rPr>
          <w:rFonts w:hint="eastAsia" w:ascii="宋体" w:cs="仿宋"/>
          <w:sz w:val="24"/>
        </w:rPr>
        <w:t>七、乙方在接受相关案件查办时，有配合提供依据、作证的义务，如果发生拒不配合监委调查工作的情形，甲方有权采取警示约谈、降低考核评价分数、降低供货份额、缩短服务期限、终止或解除合同等多种处理措施。</w:t>
      </w:r>
    </w:p>
    <w:p>
      <w:pPr>
        <w:spacing w:line="360" w:lineRule="auto"/>
        <w:ind w:firstLine="480" w:firstLineChars="200"/>
        <w:rPr>
          <w:rFonts w:ascii="宋体" w:cs="仿宋"/>
          <w:sz w:val="24"/>
        </w:rPr>
      </w:pPr>
      <w:r>
        <w:rPr>
          <w:rFonts w:hint="eastAsia" w:ascii="宋体" w:cs="仿宋"/>
          <w:sz w:val="24"/>
        </w:rPr>
        <w:t>如违反上述承诺，甲乙双方均有权立即解除合同，并在一定时期内有权拒绝与对方进行合作。由此引起的相应损失均由过错方承担。</w:t>
      </w:r>
    </w:p>
    <w:p>
      <w:pPr>
        <w:spacing w:line="360" w:lineRule="auto"/>
        <w:ind w:firstLine="720" w:firstLineChars="200"/>
        <w:rPr>
          <w:sz w:val="36"/>
          <w:highlight w:val="yellow"/>
        </w:rPr>
      </w:pPr>
    </w:p>
    <w:tbl>
      <w:tblPr>
        <w:tblStyle w:val="24"/>
        <w:tblW w:w="9900" w:type="dxa"/>
        <w:tblInd w:w="-158" w:type="dxa"/>
        <w:tblLayout w:type="fixed"/>
        <w:tblCellMar>
          <w:top w:w="0" w:type="dxa"/>
          <w:left w:w="108" w:type="dxa"/>
          <w:bottom w:w="0" w:type="dxa"/>
          <w:right w:w="108" w:type="dxa"/>
        </w:tblCellMar>
      </w:tblPr>
      <w:tblGrid>
        <w:gridCol w:w="4932"/>
        <w:gridCol w:w="4968"/>
      </w:tblGrid>
      <w:tr>
        <w:tblPrEx>
          <w:tblCellMar>
            <w:top w:w="0" w:type="dxa"/>
            <w:left w:w="108" w:type="dxa"/>
            <w:bottom w:w="0" w:type="dxa"/>
            <w:right w:w="108" w:type="dxa"/>
          </w:tblCellMar>
        </w:tblPrEx>
        <w:tc>
          <w:tcPr>
            <w:tcW w:w="4932" w:type="dxa"/>
            <w:vAlign w:val="center"/>
          </w:tcPr>
          <w:p>
            <w:pPr>
              <w:spacing w:line="360" w:lineRule="auto"/>
              <w:rPr>
                <w:sz w:val="24"/>
              </w:rPr>
            </w:pPr>
            <w:r>
              <w:rPr>
                <w:rFonts w:hint="eastAsia" w:ascii="宋体" w:cs="仿宋"/>
                <w:sz w:val="24"/>
              </w:rPr>
              <w:t>甲方（签章）：</w:t>
            </w:r>
            <w:r>
              <w:rPr>
                <w:rFonts w:hint="eastAsia" w:ascii="宋体" w:cs="仿宋"/>
                <w:sz w:val="24"/>
                <w:u w:val="single"/>
              </w:rPr>
              <w:t xml:space="preserve">                                     </w:t>
            </w:r>
          </w:p>
        </w:tc>
        <w:tc>
          <w:tcPr>
            <w:tcW w:w="4968" w:type="dxa"/>
            <w:vAlign w:val="center"/>
          </w:tcPr>
          <w:p>
            <w:pPr>
              <w:spacing w:line="360" w:lineRule="auto"/>
              <w:rPr>
                <w:sz w:val="24"/>
              </w:rPr>
            </w:pPr>
            <w:r>
              <w:rPr>
                <w:rFonts w:hint="eastAsia" w:ascii="宋体" w:cs="仿宋"/>
                <w:sz w:val="24"/>
              </w:rPr>
              <w:t>乙方（签章）：</w:t>
            </w:r>
            <w:r>
              <w:rPr>
                <w:rFonts w:hint="eastAsia" w:ascii="宋体" w:cs="仿宋"/>
                <w:sz w:val="24"/>
                <w:u w:val="single"/>
              </w:rPr>
              <w:t xml:space="preserve">                                  </w:t>
            </w:r>
          </w:p>
        </w:tc>
      </w:tr>
      <w:tr>
        <w:tblPrEx>
          <w:tblCellMar>
            <w:top w:w="0" w:type="dxa"/>
            <w:left w:w="108" w:type="dxa"/>
            <w:bottom w:w="0" w:type="dxa"/>
            <w:right w:w="108" w:type="dxa"/>
          </w:tblCellMar>
        </w:tblPrEx>
        <w:tc>
          <w:tcPr>
            <w:tcW w:w="4932" w:type="dxa"/>
            <w:vAlign w:val="center"/>
          </w:tcPr>
          <w:p>
            <w:pPr>
              <w:spacing w:line="360" w:lineRule="auto"/>
              <w:rPr>
                <w:sz w:val="24"/>
              </w:rPr>
            </w:pPr>
            <w:r>
              <w:rPr>
                <w:rFonts w:hint="eastAsia" w:ascii="宋体" w:cs="仿宋"/>
                <w:sz w:val="24"/>
              </w:rPr>
              <w:t>地址：</w:t>
            </w:r>
            <w:r>
              <w:rPr>
                <w:rFonts w:hint="eastAsia" w:ascii="宋体" w:cs="仿宋"/>
                <w:sz w:val="24"/>
                <w:u w:val="single"/>
              </w:rPr>
              <w:t xml:space="preserve">                                  </w:t>
            </w:r>
          </w:p>
        </w:tc>
        <w:tc>
          <w:tcPr>
            <w:tcW w:w="4968" w:type="dxa"/>
            <w:vAlign w:val="center"/>
          </w:tcPr>
          <w:p>
            <w:pPr>
              <w:spacing w:line="360" w:lineRule="auto"/>
              <w:rPr>
                <w:sz w:val="24"/>
              </w:rPr>
            </w:pPr>
            <w:r>
              <w:rPr>
                <w:rFonts w:hint="eastAsia" w:ascii="宋体" w:cs="仿宋"/>
                <w:sz w:val="24"/>
              </w:rPr>
              <w:t>地址：</w:t>
            </w:r>
            <w:r>
              <w:rPr>
                <w:rFonts w:hint="eastAsia" w:ascii="宋体" w:cs="仿宋"/>
                <w:sz w:val="24"/>
                <w:u w:val="single"/>
              </w:rPr>
              <w:t xml:space="preserve">                                  </w:t>
            </w:r>
          </w:p>
        </w:tc>
      </w:tr>
      <w:tr>
        <w:tblPrEx>
          <w:tblCellMar>
            <w:top w:w="0" w:type="dxa"/>
            <w:left w:w="108" w:type="dxa"/>
            <w:bottom w:w="0" w:type="dxa"/>
            <w:right w:w="108" w:type="dxa"/>
          </w:tblCellMar>
        </w:tblPrEx>
        <w:tc>
          <w:tcPr>
            <w:tcW w:w="4932" w:type="dxa"/>
            <w:vAlign w:val="center"/>
          </w:tcPr>
          <w:p>
            <w:pPr>
              <w:spacing w:line="360" w:lineRule="auto"/>
              <w:rPr>
                <w:rFonts w:ascii="宋体" w:cs="仿宋"/>
                <w:sz w:val="24"/>
              </w:rPr>
            </w:pPr>
            <w:r>
              <w:rPr>
                <w:rFonts w:hint="eastAsia" w:ascii="宋体" w:cs="仿宋"/>
                <w:sz w:val="24"/>
              </w:rPr>
              <w:t>日期：</w:t>
            </w:r>
            <w:r>
              <w:rPr>
                <w:rFonts w:hint="eastAsia" w:ascii="宋体" w:cs="仿宋"/>
                <w:sz w:val="24"/>
                <w:u w:val="single"/>
              </w:rPr>
              <w:t xml:space="preserve">                                  </w:t>
            </w:r>
          </w:p>
        </w:tc>
        <w:tc>
          <w:tcPr>
            <w:tcW w:w="4968" w:type="dxa"/>
            <w:vAlign w:val="center"/>
          </w:tcPr>
          <w:p>
            <w:pPr>
              <w:spacing w:line="360" w:lineRule="auto"/>
              <w:rPr>
                <w:rFonts w:ascii="宋体" w:cs="仿宋"/>
                <w:sz w:val="24"/>
              </w:rPr>
            </w:pPr>
            <w:r>
              <w:rPr>
                <w:rFonts w:hint="eastAsia" w:ascii="宋体" w:cs="仿宋"/>
                <w:sz w:val="24"/>
              </w:rPr>
              <w:t>日期：</w:t>
            </w:r>
            <w:r>
              <w:rPr>
                <w:rFonts w:hint="eastAsia" w:ascii="宋体" w:cs="仿宋"/>
                <w:sz w:val="24"/>
                <w:u w:val="single"/>
              </w:rPr>
              <w:t xml:space="preserve">                                  </w:t>
            </w:r>
          </w:p>
        </w:tc>
      </w:tr>
    </w:tbl>
    <w:p>
      <w:pPr>
        <w:spacing w:line="360" w:lineRule="auto"/>
        <w:rPr>
          <w:rFonts w:ascii="宋体" w:cs="仿宋"/>
          <w:sz w:val="24"/>
          <w:highlight w:val="yellow"/>
        </w:rPr>
      </w:pPr>
    </w:p>
    <w:p>
      <w:pPr>
        <w:widowControl/>
        <w:tabs>
          <w:tab w:val="left" w:pos="0"/>
        </w:tabs>
        <w:spacing w:line="360" w:lineRule="auto"/>
        <w:jc w:val="left"/>
        <w:rPr>
          <w:rFonts w:ascii="宋体" w:cs="宋体"/>
          <w:b/>
          <w:bCs/>
          <w:sz w:val="28"/>
        </w:rPr>
      </w:pPr>
      <w:r>
        <w:rPr>
          <w:rFonts w:hint="eastAsia" w:ascii="宋体" w:cs="仿宋"/>
          <w:sz w:val="24"/>
          <w:highlight w:val="yellow"/>
        </w:rPr>
        <w:br w:type="page"/>
      </w:r>
      <w:bookmarkStart w:id="206" w:name="_Toc26243"/>
      <w:bookmarkStart w:id="207" w:name="_Toc21682"/>
      <w:r>
        <w:rPr>
          <w:rFonts w:hint="eastAsia" w:ascii="宋体"/>
          <w:b/>
          <w:bCs/>
          <w:sz w:val="24"/>
        </w:rPr>
        <w:t>附件</w:t>
      </w:r>
      <w:bookmarkEnd w:id="206"/>
      <w:bookmarkEnd w:id="207"/>
      <w:r>
        <w:rPr>
          <w:rFonts w:hint="eastAsia" w:ascii="宋体"/>
          <w:b/>
          <w:bCs/>
          <w:sz w:val="24"/>
        </w:rPr>
        <w:t>5</w:t>
      </w:r>
    </w:p>
    <w:p>
      <w:pPr>
        <w:spacing w:line="360" w:lineRule="auto"/>
        <w:jc w:val="center"/>
      </w:pPr>
      <w:r>
        <w:rPr>
          <w:rFonts w:hint="eastAsia" w:ascii="宋体" w:cs="仿宋"/>
          <w:b/>
          <w:bCs/>
          <w:sz w:val="28"/>
          <w:szCs w:val="28"/>
        </w:rPr>
        <w:t>付款验收评价表</w:t>
      </w:r>
    </w:p>
    <w:tbl>
      <w:tblPr>
        <w:tblStyle w:val="24"/>
        <w:tblW w:w="96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268"/>
        <w:gridCol w:w="466"/>
        <w:gridCol w:w="1661"/>
        <w:gridCol w:w="789"/>
        <w:gridCol w:w="1270"/>
        <w:gridCol w:w="783"/>
        <w:gridCol w:w="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pPr>
              <w:widowControl/>
              <w:spacing w:line="360" w:lineRule="exact"/>
              <w:jc w:val="center"/>
              <w:rPr>
                <w:rFonts w:ascii="宋体"/>
                <w:kern w:val="0"/>
              </w:rPr>
            </w:pPr>
            <w:r>
              <w:rPr>
                <w:rFonts w:hint="eastAsia" w:ascii="宋体"/>
                <w:kern w:val="0"/>
              </w:rPr>
              <w:t>项目名称</w:t>
            </w:r>
          </w:p>
        </w:tc>
        <w:tc>
          <w:tcPr>
            <w:tcW w:w="7920" w:type="dxa"/>
            <w:gridSpan w:val="7"/>
            <w:vAlign w:val="center"/>
          </w:tcPr>
          <w:p>
            <w:pPr>
              <w:widowControl/>
              <w:spacing w:line="360" w:lineRule="exact"/>
              <w:jc w:val="center"/>
              <w:rPr>
                <w:rFonts w:ascii="宋体"/>
                <w:kern w:val="0"/>
              </w:rPr>
            </w:pPr>
            <w:r>
              <w:rPr>
                <w:rFonts w:hint="eastAsia" w:ascii="宋体"/>
                <w:kern w:val="0"/>
              </w:rPr>
              <w:t>宁波市烟草公司配送中心全品规备货系统扩容技改项目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pPr>
              <w:widowControl/>
              <w:spacing w:line="360" w:lineRule="exact"/>
              <w:jc w:val="center"/>
              <w:rPr>
                <w:rFonts w:ascii="宋体"/>
                <w:kern w:val="0"/>
              </w:rPr>
            </w:pPr>
            <w:r>
              <w:rPr>
                <w:rFonts w:hint="eastAsia" w:ascii="宋体"/>
                <w:kern w:val="0"/>
              </w:rPr>
              <w:t>供应商名称</w:t>
            </w:r>
          </w:p>
        </w:tc>
        <w:tc>
          <w:tcPr>
            <w:tcW w:w="7920" w:type="dxa"/>
            <w:gridSpan w:val="7"/>
            <w:vAlign w:val="center"/>
          </w:tcPr>
          <w:p>
            <w:pPr>
              <w:widowControl/>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pPr>
              <w:widowControl/>
              <w:spacing w:line="360" w:lineRule="exact"/>
              <w:jc w:val="center"/>
              <w:rPr>
                <w:rFonts w:ascii="宋体"/>
                <w:kern w:val="0"/>
              </w:rPr>
            </w:pPr>
            <w:r>
              <w:rPr>
                <w:rFonts w:hint="eastAsia" w:ascii="宋体"/>
                <w:kern w:val="0"/>
              </w:rPr>
              <w:t>验收部门</w:t>
            </w:r>
          </w:p>
        </w:tc>
        <w:tc>
          <w:tcPr>
            <w:tcW w:w="2268" w:type="dxa"/>
            <w:vAlign w:val="center"/>
          </w:tcPr>
          <w:p>
            <w:pPr>
              <w:widowControl/>
              <w:spacing w:line="360" w:lineRule="exact"/>
              <w:jc w:val="center"/>
              <w:rPr>
                <w:rFonts w:ascii="宋体"/>
                <w:kern w:val="0"/>
              </w:rPr>
            </w:pPr>
          </w:p>
        </w:tc>
        <w:tc>
          <w:tcPr>
            <w:tcW w:w="2127" w:type="dxa"/>
            <w:gridSpan w:val="2"/>
            <w:vAlign w:val="center"/>
          </w:tcPr>
          <w:p>
            <w:pPr>
              <w:widowControl/>
              <w:spacing w:line="360" w:lineRule="exact"/>
              <w:jc w:val="center"/>
              <w:rPr>
                <w:rFonts w:ascii="宋体"/>
                <w:kern w:val="0"/>
              </w:rPr>
            </w:pPr>
            <w:r>
              <w:rPr>
                <w:rFonts w:hint="eastAsia" w:ascii="宋体"/>
                <w:kern w:val="0"/>
              </w:rPr>
              <w:t>合同起止时间</w:t>
            </w:r>
          </w:p>
        </w:tc>
        <w:tc>
          <w:tcPr>
            <w:tcW w:w="3525" w:type="dxa"/>
            <w:gridSpan w:val="4"/>
            <w:vAlign w:val="center"/>
          </w:tcPr>
          <w:p>
            <w:pPr>
              <w:widowControl/>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pPr>
              <w:widowControl/>
              <w:spacing w:line="360" w:lineRule="exact"/>
              <w:rPr>
                <w:rFonts w:ascii="宋体"/>
                <w:b/>
                <w:bCs/>
                <w:kern w:val="0"/>
              </w:rPr>
            </w:pPr>
            <w:r>
              <w:rPr>
                <w:rFonts w:hint="eastAsia" w:ascii="宋体"/>
                <w:b/>
                <w:bCs/>
                <w:kern w:val="0"/>
              </w:rPr>
              <w:t>评价项（分数）</w:t>
            </w:r>
          </w:p>
        </w:tc>
        <w:tc>
          <w:tcPr>
            <w:tcW w:w="2268" w:type="dxa"/>
            <w:vAlign w:val="center"/>
          </w:tcPr>
          <w:p>
            <w:pPr>
              <w:widowControl/>
              <w:spacing w:line="360" w:lineRule="exact"/>
              <w:jc w:val="center"/>
              <w:rPr>
                <w:rFonts w:ascii="宋体"/>
                <w:b/>
                <w:bCs/>
                <w:kern w:val="0"/>
              </w:rPr>
            </w:pPr>
            <w:r>
              <w:rPr>
                <w:rFonts w:hint="eastAsia" w:ascii="宋体"/>
                <w:b/>
                <w:bCs/>
                <w:kern w:val="0"/>
              </w:rPr>
              <w:t>评价内容</w:t>
            </w:r>
          </w:p>
        </w:tc>
        <w:tc>
          <w:tcPr>
            <w:tcW w:w="4186" w:type="dxa"/>
            <w:gridSpan w:val="4"/>
            <w:vAlign w:val="center"/>
          </w:tcPr>
          <w:p>
            <w:pPr>
              <w:widowControl/>
              <w:spacing w:line="360" w:lineRule="exact"/>
              <w:jc w:val="center"/>
              <w:rPr>
                <w:rFonts w:ascii="宋体"/>
                <w:b/>
                <w:bCs/>
                <w:kern w:val="0"/>
              </w:rPr>
            </w:pPr>
            <w:r>
              <w:rPr>
                <w:rFonts w:hint="eastAsia" w:ascii="宋体"/>
                <w:b/>
                <w:bCs/>
                <w:kern w:val="0"/>
              </w:rPr>
              <w:t>评分标准</w:t>
            </w:r>
          </w:p>
        </w:tc>
        <w:tc>
          <w:tcPr>
            <w:tcW w:w="783" w:type="dxa"/>
            <w:vAlign w:val="center"/>
          </w:tcPr>
          <w:p>
            <w:pPr>
              <w:widowControl/>
              <w:spacing w:line="360" w:lineRule="exact"/>
              <w:jc w:val="center"/>
              <w:rPr>
                <w:rFonts w:ascii="宋体"/>
                <w:b/>
                <w:bCs/>
                <w:kern w:val="0"/>
              </w:rPr>
            </w:pPr>
            <w:r>
              <w:rPr>
                <w:rFonts w:hint="eastAsia" w:ascii="宋体"/>
                <w:b/>
                <w:bCs/>
                <w:kern w:val="0"/>
              </w:rPr>
              <w:t>得分</w:t>
            </w:r>
          </w:p>
        </w:tc>
        <w:tc>
          <w:tcPr>
            <w:tcW w:w="683" w:type="dxa"/>
            <w:vAlign w:val="center"/>
          </w:tcPr>
          <w:p>
            <w:pPr>
              <w:widowControl/>
              <w:spacing w:line="360" w:lineRule="exact"/>
              <w:jc w:val="center"/>
              <w:rPr>
                <w:rFonts w:ascii="宋体"/>
                <w:b/>
                <w:bCs/>
                <w:kern w:val="0"/>
              </w:rPr>
            </w:pPr>
            <w:r>
              <w:rPr>
                <w:rFonts w:hint="eastAsia" w:ascii="宋体"/>
                <w:b/>
                <w:bCs/>
                <w:kern w:val="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restart"/>
            <w:vAlign w:val="center"/>
          </w:tcPr>
          <w:p>
            <w:pPr>
              <w:widowControl/>
              <w:spacing w:line="360" w:lineRule="exact"/>
              <w:rPr>
                <w:rFonts w:ascii="宋体"/>
                <w:kern w:val="0"/>
              </w:rPr>
            </w:pPr>
            <w:r>
              <w:rPr>
                <w:rFonts w:hint="eastAsia" w:ascii="宋体"/>
                <w:kern w:val="0"/>
              </w:rPr>
              <w:t>质量（40分）</w:t>
            </w:r>
          </w:p>
        </w:tc>
        <w:tc>
          <w:tcPr>
            <w:tcW w:w="2268" w:type="dxa"/>
            <w:vAlign w:val="center"/>
          </w:tcPr>
          <w:p>
            <w:pPr>
              <w:widowControl/>
              <w:snapToGrid w:val="0"/>
              <w:spacing w:line="360" w:lineRule="exact"/>
              <w:jc w:val="left"/>
              <w:rPr>
                <w:rFonts w:ascii="宋体" w:cs="宋体"/>
                <w:kern w:val="0"/>
              </w:rPr>
            </w:pPr>
            <w:r>
              <w:rPr>
                <w:rFonts w:hint="eastAsia" w:ascii="宋体" w:cs="宋体"/>
                <w:kern w:val="0"/>
              </w:rPr>
              <w:t>商品质量/服务质量/施工质量（按照合同要求等进行评价）</w:t>
            </w:r>
            <w:r>
              <w:rPr>
                <w:rFonts w:hint="eastAsia" w:ascii="宋体"/>
                <w:kern w:val="0"/>
              </w:rPr>
              <w:t>（30分）</w:t>
            </w:r>
          </w:p>
        </w:tc>
        <w:tc>
          <w:tcPr>
            <w:tcW w:w="4186" w:type="dxa"/>
            <w:gridSpan w:val="4"/>
            <w:vAlign w:val="center"/>
          </w:tcPr>
          <w:p>
            <w:pPr>
              <w:widowControl/>
              <w:spacing w:line="360" w:lineRule="exact"/>
              <w:jc w:val="center"/>
              <w:rPr>
                <w:rFonts w:ascii="宋体" w:cs="宋体"/>
                <w:kern w:val="0"/>
              </w:rPr>
            </w:pPr>
            <w:r>
              <w:rPr>
                <w:rFonts w:hint="eastAsia" w:ascii="宋体" w:cs="宋体"/>
                <w:kern w:val="0"/>
              </w:rPr>
              <w:t>优秀（27</w:t>
            </w:r>
            <w:r>
              <w:rPr>
                <w:rFonts w:hint="eastAsia" w:ascii="宋体" w:cs="宋体"/>
              </w:rPr>
              <w:t>≤得分≤</w:t>
            </w:r>
            <w:r>
              <w:rPr>
                <w:rFonts w:hint="eastAsia" w:ascii="宋体" w:cs="宋体"/>
                <w:kern w:val="0"/>
              </w:rPr>
              <w:t>30分）；良好（24</w:t>
            </w:r>
            <w:r>
              <w:rPr>
                <w:rFonts w:hint="eastAsia" w:ascii="宋体" w:cs="宋体"/>
              </w:rPr>
              <w:t>≤得分＜</w:t>
            </w:r>
            <w:r>
              <w:rPr>
                <w:rFonts w:hint="eastAsia" w:ascii="宋体" w:cs="宋体"/>
                <w:kern w:val="0"/>
              </w:rPr>
              <w:t>27分）；合格（21</w:t>
            </w:r>
            <w:r>
              <w:rPr>
                <w:rFonts w:hint="eastAsia" w:ascii="宋体" w:cs="宋体"/>
              </w:rPr>
              <w:t>≤得分＜</w:t>
            </w:r>
            <w:r>
              <w:rPr>
                <w:rFonts w:hint="eastAsia" w:ascii="宋体" w:cs="宋体"/>
                <w:kern w:val="0"/>
              </w:rPr>
              <w:t>24分）；不合格（0</w:t>
            </w:r>
            <w:r>
              <w:rPr>
                <w:rFonts w:hint="eastAsia" w:ascii="宋体" w:cs="宋体"/>
              </w:rPr>
              <w:t>≤得分＜</w:t>
            </w:r>
            <w:r>
              <w:rPr>
                <w:rFonts w:hint="eastAsia" w:ascii="宋体" w:cs="宋体"/>
                <w:kern w:val="0"/>
              </w:rPr>
              <w:t>21分）</w:t>
            </w:r>
          </w:p>
        </w:tc>
        <w:tc>
          <w:tcPr>
            <w:tcW w:w="783" w:type="dxa"/>
            <w:vAlign w:val="center"/>
          </w:tcPr>
          <w:p>
            <w:pPr>
              <w:widowControl/>
              <w:snapToGrid w:val="0"/>
              <w:spacing w:line="360" w:lineRule="exact"/>
              <w:jc w:val="center"/>
              <w:rPr>
                <w:rFonts w:ascii="宋体" w:cs="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continue"/>
            <w:vAlign w:val="center"/>
          </w:tcPr>
          <w:p>
            <w:pPr>
              <w:spacing w:line="360" w:lineRule="exact"/>
            </w:pPr>
          </w:p>
        </w:tc>
        <w:tc>
          <w:tcPr>
            <w:tcW w:w="2268" w:type="dxa"/>
            <w:vAlign w:val="center"/>
          </w:tcPr>
          <w:p>
            <w:pPr>
              <w:widowControl/>
              <w:snapToGrid w:val="0"/>
              <w:spacing w:line="360" w:lineRule="exact"/>
              <w:jc w:val="left"/>
              <w:rPr>
                <w:rFonts w:ascii="宋体" w:cs="宋体"/>
                <w:kern w:val="0"/>
              </w:rPr>
            </w:pPr>
            <w:r>
              <w:rPr>
                <w:rFonts w:hint="eastAsia" w:ascii="宋体" w:cs="宋体"/>
                <w:kern w:val="0"/>
              </w:rPr>
              <w:t>配套包装、安装、配件、质量证明等（按照合同要求等进行评价）</w:t>
            </w:r>
            <w:r>
              <w:rPr>
                <w:rFonts w:hint="eastAsia" w:ascii="宋体"/>
                <w:kern w:val="0"/>
              </w:rPr>
              <w:t>（10分）</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优秀（9</w:t>
            </w:r>
            <w:r>
              <w:rPr>
                <w:rFonts w:hint="eastAsia" w:ascii="宋体" w:cs="宋体"/>
              </w:rPr>
              <w:t>≤得分≤</w:t>
            </w:r>
            <w:r>
              <w:rPr>
                <w:rFonts w:hint="eastAsia" w:ascii="宋体" w:cs="宋体"/>
                <w:kern w:val="0"/>
              </w:rPr>
              <w:t>10分）；良好（8</w:t>
            </w:r>
            <w:r>
              <w:rPr>
                <w:rFonts w:hint="eastAsia" w:ascii="宋体" w:cs="宋体"/>
              </w:rPr>
              <w:t>≤得分＜</w:t>
            </w:r>
            <w:r>
              <w:rPr>
                <w:rFonts w:hint="eastAsia" w:ascii="宋体" w:cs="宋体"/>
                <w:kern w:val="0"/>
              </w:rPr>
              <w:t>9分）；合格（7</w:t>
            </w:r>
            <w:r>
              <w:rPr>
                <w:rFonts w:hint="eastAsia" w:ascii="宋体" w:cs="宋体"/>
              </w:rPr>
              <w:t>≤得分＜8</w:t>
            </w:r>
            <w:r>
              <w:rPr>
                <w:rFonts w:hint="eastAsia" w:ascii="宋体" w:cs="宋体"/>
                <w:kern w:val="0"/>
              </w:rPr>
              <w:t>分）；不合格（0</w:t>
            </w:r>
            <w:r>
              <w:rPr>
                <w:rFonts w:hint="eastAsia" w:ascii="宋体" w:cs="宋体"/>
              </w:rPr>
              <w:t>≤得分＜7</w:t>
            </w:r>
            <w:r>
              <w:rPr>
                <w:rFonts w:hint="eastAsia" w:ascii="宋体" w:cs="宋体"/>
                <w:kern w:val="0"/>
              </w:rPr>
              <w:t>分）</w:t>
            </w:r>
          </w:p>
        </w:tc>
        <w:tc>
          <w:tcPr>
            <w:tcW w:w="783" w:type="dxa"/>
            <w:vAlign w:val="center"/>
          </w:tcPr>
          <w:p>
            <w:pPr>
              <w:widowControl/>
              <w:snapToGrid w:val="0"/>
              <w:spacing w:line="360" w:lineRule="exact"/>
              <w:jc w:val="center"/>
              <w:rPr>
                <w:rFonts w:ascii="宋体" w:cs="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restart"/>
            <w:vAlign w:val="center"/>
          </w:tcPr>
          <w:p>
            <w:pPr>
              <w:widowControl/>
              <w:spacing w:line="360" w:lineRule="exact"/>
              <w:rPr>
                <w:rFonts w:ascii="宋体" w:cs="宋体"/>
                <w:kern w:val="0"/>
              </w:rPr>
            </w:pPr>
            <w:r>
              <w:rPr>
                <w:rFonts w:hint="eastAsia" w:ascii="宋体" w:cs="宋体"/>
                <w:kern w:val="0"/>
              </w:rPr>
              <w:t>服务</w:t>
            </w:r>
            <w:r>
              <w:rPr>
                <w:rFonts w:hint="eastAsia" w:ascii="宋体"/>
                <w:kern w:val="0"/>
              </w:rPr>
              <w:t>（25分）</w:t>
            </w:r>
          </w:p>
        </w:tc>
        <w:tc>
          <w:tcPr>
            <w:tcW w:w="2268" w:type="dxa"/>
            <w:vAlign w:val="center"/>
          </w:tcPr>
          <w:p>
            <w:pPr>
              <w:widowControl/>
              <w:snapToGrid w:val="0"/>
              <w:spacing w:line="360" w:lineRule="exact"/>
              <w:jc w:val="left"/>
              <w:rPr>
                <w:rFonts w:ascii="宋体" w:cs="宋体"/>
                <w:kern w:val="0"/>
              </w:rPr>
            </w:pPr>
            <w:r>
              <w:rPr>
                <w:rFonts w:hint="eastAsia" w:ascii="宋体" w:cs="宋体"/>
                <w:kern w:val="0"/>
              </w:rPr>
              <w:t>配合度（服务完整性、主动性、服务态度等）</w:t>
            </w:r>
            <w:r>
              <w:rPr>
                <w:rFonts w:hint="eastAsia" w:ascii="宋体"/>
                <w:kern w:val="0"/>
              </w:rPr>
              <w:t>（10分）</w:t>
            </w:r>
          </w:p>
        </w:tc>
        <w:tc>
          <w:tcPr>
            <w:tcW w:w="4186" w:type="dxa"/>
            <w:gridSpan w:val="4"/>
            <w:vAlign w:val="center"/>
          </w:tcPr>
          <w:p>
            <w:pPr>
              <w:widowControl/>
              <w:snapToGrid w:val="0"/>
              <w:spacing w:line="360" w:lineRule="exact"/>
              <w:jc w:val="center"/>
              <w:rPr>
                <w:rFonts w:ascii="宋体"/>
              </w:rPr>
            </w:pPr>
            <w:r>
              <w:rPr>
                <w:rFonts w:hint="eastAsia" w:ascii="宋体" w:cs="宋体"/>
                <w:kern w:val="0"/>
              </w:rPr>
              <w:t>优秀（9</w:t>
            </w:r>
            <w:r>
              <w:rPr>
                <w:rFonts w:hint="eastAsia" w:ascii="宋体" w:cs="宋体"/>
              </w:rPr>
              <w:t>≤得分≤</w:t>
            </w:r>
            <w:r>
              <w:rPr>
                <w:rFonts w:hint="eastAsia" w:ascii="宋体" w:cs="宋体"/>
                <w:kern w:val="0"/>
              </w:rPr>
              <w:t>10分）；良好（8</w:t>
            </w:r>
            <w:r>
              <w:rPr>
                <w:rFonts w:hint="eastAsia" w:ascii="宋体" w:cs="宋体"/>
              </w:rPr>
              <w:t>≤得分＜</w:t>
            </w:r>
            <w:r>
              <w:rPr>
                <w:rFonts w:hint="eastAsia" w:ascii="宋体" w:cs="宋体"/>
                <w:kern w:val="0"/>
              </w:rPr>
              <w:t>9分）；合格（7</w:t>
            </w:r>
            <w:r>
              <w:rPr>
                <w:rFonts w:hint="eastAsia" w:ascii="宋体" w:cs="宋体"/>
              </w:rPr>
              <w:t>≤得分＜8</w:t>
            </w:r>
            <w:r>
              <w:rPr>
                <w:rFonts w:hint="eastAsia" w:ascii="宋体" w:cs="宋体"/>
                <w:kern w:val="0"/>
              </w:rPr>
              <w:t>分）；不合格（0</w:t>
            </w:r>
            <w:r>
              <w:rPr>
                <w:rFonts w:hint="eastAsia" w:ascii="宋体" w:cs="宋体"/>
              </w:rPr>
              <w:t>≤得分＜7</w:t>
            </w:r>
            <w:r>
              <w:rPr>
                <w:rFonts w:hint="eastAsia" w:ascii="宋体" w:cs="宋体"/>
                <w:kern w:val="0"/>
              </w:rPr>
              <w:t>分）</w:t>
            </w:r>
          </w:p>
        </w:tc>
        <w:tc>
          <w:tcPr>
            <w:tcW w:w="783" w:type="dxa"/>
            <w:vAlign w:val="center"/>
          </w:tcPr>
          <w:p>
            <w:pPr>
              <w:widowControl/>
              <w:spacing w:line="360" w:lineRule="exact"/>
              <w:rPr>
                <w:rFonts w:ascii="Calibri" w:hAnsi="Calibri"/>
              </w:rPr>
            </w:pPr>
          </w:p>
          <w:p>
            <w:pPr>
              <w:widowControl/>
              <w:snapToGrid w:val="0"/>
              <w:spacing w:line="360" w:lineRule="exact"/>
              <w:jc w:val="center"/>
              <w:rPr>
                <w:rFonts w:ascii="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continue"/>
            <w:vAlign w:val="center"/>
          </w:tcPr>
          <w:p>
            <w:pPr>
              <w:spacing w:line="360" w:lineRule="exact"/>
            </w:pPr>
          </w:p>
        </w:tc>
        <w:tc>
          <w:tcPr>
            <w:tcW w:w="2268" w:type="dxa"/>
            <w:vAlign w:val="center"/>
          </w:tcPr>
          <w:p>
            <w:pPr>
              <w:widowControl/>
              <w:snapToGrid w:val="0"/>
              <w:spacing w:line="360" w:lineRule="exact"/>
              <w:jc w:val="left"/>
              <w:rPr>
                <w:rFonts w:ascii="宋体" w:cs="宋体"/>
                <w:kern w:val="0"/>
              </w:rPr>
            </w:pPr>
            <w:r>
              <w:rPr>
                <w:rFonts w:hint="eastAsia" w:ascii="宋体" w:cs="宋体"/>
                <w:kern w:val="0"/>
              </w:rPr>
              <w:t>响应度（服务响应、单据提交、问题处理的及时性）</w:t>
            </w:r>
            <w:r>
              <w:rPr>
                <w:rFonts w:hint="eastAsia" w:ascii="宋体"/>
                <w:kern w:val="0"/>
              </w:rPr>
              <w:t>（10分）</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优秀（9</w:t>
            </w:r>
            <w:r>
              <w:rPr>
                <w:rFonts w:hint="eastAsia" w:ascii="宋体" w:cs="宋体"/>
              </w:rPr>
              <w:t>≤得分≤</w:t>
            </w:r>
            <w:r>
              <w:rPr>
                <w:rFonts w:hint="eastAsia" w:ascii="宋体" w:cs="宋体"/>
                <w:kern w:val="0"/>
              </w:rPr>
              <w:t>10分）；良好（8</w:t>
            </w:r>
            <w:r>
              <w:rPr>
                <w:rFonts w:hint="eastAsia" w:ascii="宋体" w:cs="宋体"/>
              </w:rPr>
              <w:t>≤得分＜</w:t>
            </w:r>
            <w:r>
              <w:rPr>
                <w:rFonts w:hint="eastAsia" w:ascii="宋体" w:cs="宋体"/>
                <w:kern w:val="0"/>
              </w:rPr>
              <w:t>9分）；合格（7</w:t>
            </w:r>
            <w:r>
              <w:rPr>
                <w:rFonts w:hint="eastAsia" w:ascii="宋体" w:cs="宋体"/>
              </w:rPr>
              <w:t>≤得分＜8</w:t>
            </w:r>
            <w:r>
              <w:rPr>
                <w:rFonts w:hint="eastAsia" w:ascii="宋体" w:cs="宋体"/>
                <w:kern w:val="0"/>
              </w:rPr>
              <w:t>分）；不合格（0</w:t>
            </w:r>
            <w:r>
              <w:rPr>
                <w:rFonts w:hint="eastAsia" w:ascii="宋体" w:cs="宋体"/>
              </w:rPr>
              <w:t>≤得分＜7</w:t>
            </w:r>
            <w:r>
              <w:rPr>
                <w:rFonts w:hint="eastAsia" w:ascii="宋体" w:cs="宋体"/>
                <w:kern w:val="0"/>
              </w:rPr>
              <w:t>分）</w:t>
            </w:r>
          </w:p>
        </w:tc>
        <w:tc>
          <w:tcPr>
            <w:tcW w:w="783" w:type="dxa"/>
            <w:vAlign w:val="center"/>
          </w:tcPr>
          <w:p>
            <w:pPr>
              <w:widowControl/>
              <w:snapToGrid w:val="0"/>
              <w:spacing w:line="360" w:lineRule="exact"/>
              <w:jc w:val="center"/>
              <w:rPr>
                <w:rFonts w:ascii="宋体" w:cs="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continue"/>
            <w:vAlign w:val="center"/>
          </w:tcPr>
          <w:p>
            <w:pPr>
              <w:spacing w:line="360" w:lineRule="exact"/>
            </w:pPr>
          </w:p>
        </w:tc>
        <w:tc>
          <w:tcPr>
            <w:tcW w:w="2268" w:type="dxa"/>
            <w:vAlign w:val="center"/>
          </w:tcPr>
          <w:p>
            <w:pPr>
              <w:widowControl/>
              <w:snapToGrid w:val="0"/>
              <w:spacing w:line="360" w:lineRule="exact"/>
              <w:jc w:val="left"/>
              <w:rPr>
                <w:rFonts w:ascii="宋体" w:cs="宋体"/>
                <w:kern w:val="0"/>
              </w:rPr>
            </w:pPr>
            <w:r>
              <w:rPr>
                <w:rFonts w:hint="eastAsia" w:ascii="宋体" w:cs="宋体"/>
                <w:kern w:val="0"/>
              </w:rPr>
              <w:t>偏差度（是否存在价格偏差、数量偏差、单据错误等）</w:t>
            </w:r>
            <w:r>
              <w:rPr>
                <w:rFonts w:hint="eastAsia" w:ascii="宋体"/>
                <w:kern w:val="0"/>
              </w:rPr>
              <w:t>（5分）</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优秀（4.5</w:t>
            </w:r>
            <w:r>
              <w:rPr>
                <w:rFonts w:hint="eastAsia" w:ascii="宋体" w:cs="宋体"/>
              </w:rPr>
              <w:t>≤得分≤</w:t>
            </w:r>
            <w:r>
              <w:rPr>
                <w:rFonts w:hint="eastAsia" w:ascii="宋体" w:cs="宋体"/>
                <w:kern w:val="0"/>
              </w:rPr>
              <w:t>5分）；良好（4</w:t>
            </w:r>
            <w:r>
              <w:rPr>
                <w:rFonts w:hint="eastAsia" w:ascii="宋体" w:cs="宋体"/>
              </w:rPr>
              <w:t>≤得分＜</w:t>
            </w:r>
            <w:r>
              <w:rPr>
                <w:rFonts w:hint="eastAsia" w:ascii="宋体" w:cs="宋体"/>
                <w:kern w:val="0"/>
              </w:rPr>
              <w:t>4.5分）；合格（3.5</w:t>
            </w:r>
            <w:r>
              <w:rPr>
                <w:rFonts w:hint="eastAsia" w:ascii="宋体" w:cs="宋体"/>
              </w:rPr>
              <w:t>≤得分＜4</w:t>
            </w:r>
            <w:r>
              <w:rPr>
                <w:rFonts w:hint="eastAsia" w:ascii="宋体" w:cs="宋体"/>
                <w:kern w:val="0"/>
              </w:rPr>
              <w:t>分）；不合格（0</w:t>
            </w:r>
            <w:r>
              <w:rPr>
                <w:rFonts w:hint="eastAsia" w:ascii="宋体" w:cs="宋体"/>
              </w:rPr>
              <w:t>≤得分＜</w:t>
            </w:r>
            <w:r>
              <w:rPr>
                <w:rFonts w:hint="eastAsia" w:ascii="宋体" w:cs="宋体"/>
                <w:kern w:val="0"/>
              </w:rPr>
              <w:t>3.5分）</w:t>
            </w:r>
          </w:p>
        </w:tc>
        <w:tc>
          <w:tcPr>
            <w:tcW w:w="783" w:type="dxa"/>
            <w:vAlign w:val="center"/>
          </w:tcPr>
          <w:p>
            <w:pPr>
              <w:widowControl/>
              <w:snapToGrid w:val="0"/>
              <w:spacing w:line="360" w:lineRule="exact"/>
              <w:jc w:val="center"/>
              <w:rPr>
                <w:rFonts w:ascii="宋体" w:cs="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restart"/>
            <w:vAlign w:val="center"/>
          </w:tcPr>
          <w:p>
            <w:pPr>
              <w:widowControl/>
              <w:spacing w:line="360" w:lineRule="exact"/>
              <w:rPr>
                <w:rFonts w:ascii="宋体"/>
                <w:kern w:val="0"/>
              </w:rPr>
            </w:pPr>
            <w:r>
              <w:rPr>
                <w:rFonts w:hint="eastAsia" w:ascii="宋体"/>
                <w:kern w:val="0"/>
              </w:rPr>
              <w:t>进度（15分）</w:t>
            </w:r>
          </w:p>
        </w:tc>
        <w:tc>
          <w:tcPr>
            <w:tcW w:w="2268" w:type="dxa"/>
            <w:vAlign w:val="center"/>
          </w:tcPr>
          <w:p>
            <w:pPr>
              <w:widowControl/>
              <w:snapToGrid w:val="0"/>
              <w:spacing w:line="360" w:lineRule="exact"/>
              <w:jc w:val="left"/>
              <w:rPr>
                <w:rFonts w:ascii="宋体" w:cs="宋体"/>
                <w:kern w:val="0"/>
              </w:rPr>
            </w:pPr>
            <w:r>
              <w:rPr>
                <w:rFonts w:hint="eastAsia" w:ascii="宋体"/>
                <w:kern w:val="0"/>
              </w:rPr>
              <w:t>进度安排的科学合理性（5分）</w:t>
            </w:r>
            <w:r>
              <w:rPr>
                <w:rFonts w:hint="eastAsia" w:ascii="宋体" w:cs="宋体"/>
                <w:kern w:val="0"/>
              </w:rPr>
              <w:t xml:space="preserve"> </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优秀（4.5</w:t>
            </w:r>
            <w:r>
              <w:rPr>
                <w:rFonts w:hint="eastAsia" w:ascii="宋体" w:cs="宋体"/>
              </w:rPr>
              <w:t>≤得分≤</w:t>
            </w:r>
            <w:r>
              <w:rPr>
                <w:rFonts w:hint="eastAsia" w:ascii="宋体" w:cs="宋体"/>
                <w:kern w:val="0"/>
              </w:rPr>
              <w:t>5分）；良好（4</w:t>
            </w:r>
            <w:r>
              <w:rPr>
                <w:rFonts w:hint="eastAsia" w:ascii="宋体" w:cs="宋体"/>
              </w:rPr>
              <w:t>≤得分＜</w:t>
            </w:r>
            <w:r>
              <w:rPr>
                <w:rFonts w:hint="eastAsia" w:ascii="宋体" w:cs="宋体"/>
                <w:kern w:val="0"/>
              </w:rPr>
              <w:t>4.5分）；合格（3.5</w:t>
            </w:r>
            <w:r>
              <w:rPr>
                <w:rFonts w:hint="eastAsia" w:ascii="宋体" w:cs="宋体"/>
              </w:rPr>
              <w:t>≤得分＜4</w:t>
            </w:r>
            <w:r>
              <w:rPr>
                <w:rFonts w:hint="eastAsia" w:ascii="宋体" w:cs="宋体"/>
                <w:kern w:val="0"/>
              </w:rPr>
              <w:t>分）；不合格（0</w:t>
            </w:r>
            <w:r>
              <w:rPr>
                <w:rFonts w:hint="eastAsia" w:ascii="宋体" w:cs="宋体"/>
              </w:rPr>
              <w:t>≤得分＜</w:t>
            </w:r>
            <w:r>
              <w:rPr>
                <w:rFonts w:hint="eastAsia" w:ascii="宋体" w:cs="宋体"/>
                <w:kern w:val="0"/>
              </w:rPr>
              <w:t>3.5分）</w:t>
            </w:r>
          </w:p>
        </w:tc>
        <w:tc>
          <w:tcPr>
            <w:tcW w:w="783" w:type="dxa"/>
            <w:vAlign w:val="center"/>
          </w:tcPr>
          <w:p>
            <w:pPr>
              <w:widowControl/>
              <w:snapToGrid w:val="0"/>
              <w:spacing w:line="360" w:lineRule="exact"/>
              <w:jc w:val="center"/>
              <w:rPr>
                <w:rFonts w:ascii="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continue"/>
            <w:vAlign w:val="center"/>
          </w:tcPr>
          <w:p>
            <w:pPr>
              <w:spacing w:line="360" w:lineRule="exact"/>
            </w:pPr>
          </w:p>
        </w:tc>
        <w:tc>
          <w:tcPr>
            <w:tcW w:w="2268" w:type="dxa"/>
            <w:vAlign w:val="center"/>
          </w:tcPr>
          <w:p>
            <w:pPr>
              <w:widowControl/>
              <w:snapToGrid w:val="0"/>
              <w:spacing w:line="360" w:lineRule="exact"/>
              <w:jc w:val="left"/>
              <w:rPr>
                <w:rFonts w:ascii="宋体" w:cs="宋体"/>
                <w:kern w:val="0"/>
              </w:rPr>
            </w:pPr>
            <w:r>
              <w:rPr>
                <w:rFonts w:hint="eastAsia" w:ascii="宋体"/>
                <w:kern w:val="0"/>
              </w:rPr>
              <w:t>按期交货、按期服务、按期施工等情况（按照合同要求等进行评价）（10分）</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优秀（9</w:t>
            </w:r>
            <w:r>
              <w:rPr>
                <w:rFonts w:hint="eastAsia" w:ascii="宋体" w:cs="宋体"/>
              </w:rPr>
              <w:t>≤得分≤</w:t>
            </w:r>
            <w:r>
              <w:rPr>
                <w:rFonts w:hint="eastAsia" w:ascii="宋体" w:cs="宋体"/>
                <w:kern w:val="0"/>
              </w:rPr>
              <w:t>10分）；良好（8</w:t>
            </w:r>
            <w:r>
              <w:rPr>
                <w:rFonts w:hint="eastAsia" w:ascii="宋体" w:cs="宋体"/>
              </w:rPr>
              <w:t>≤得分＜</w:t>
            </w:r>
            <w:r>
              <w:rPr>
                <w:rFonts w:hint="eastAsia" w:ascii="宋体" w:cs="宋体"/>
                <w:kern w:val="0"/>
              </w:rPr>
              <w:t>9分）；合格（7</w:t>
            </w:r>
            <w:r>
              <w:rPr>
                <w:rFonts w:hint="eastAsia" w:ascii="宋体" w:cs="宋体"/>
              </w:rPr>
              <w:t>≤得分＜8</w:t>
            </w:r>
            <w:r>
              <w:rPr>
                <w:rFonts w:hint="eastAsia" w:ascii="宋体" w:cs="宋体"/>
                <w:kern w:val="0"/>
              </w:rPr>
              <w:t>分）；不合格（0</w:t>
            </w:r>
            <w:r>
              <w:rPr>
                <w:rFonts w:hint="eastAsia" w:ascii="宋体" w:cs="宋体"/>
              </w:rPr>
              <w:t>≤得分＜7</w:t>
            </w:r>
            <w:r>
              <w:rPr>
                <w:rFonts w:hint="eastAsia" w:ascii="宋体" w:cs="宋体"/>
                <w:kern w:val="0"/>
              </w:rPr>
              <w:t>分）</w:t>
            </w:r>
          </w:p>
        </w:tc>
        <w:tc>
          <w:tcPr>
            <w:tcW w:w="783" w:type="dxa"/>
            <w:vAlign w:val="center"/>
          </w:tcPr>
          <w:p>
            <w:pPr>
              <w:widowControl/>
              <w:snapToGrid w:val="0"/>
              <w:spacing w:line="360" w:lineRule="exact"/>
              <w:jc w:val="center"/>
              <w:rPr>
                <w:rFonts w:ascii="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restart"/>
            <w:vAlign w:val="center"/>
          </w:tcPr>
          <w:p>
            <w:pPr>
              <w:widowControl/>
              <w:spacing w:line="360" w:lineRule="exact"/>
              <w:rPr>
                <w:rFonts w:ascii="宋体"/>
                <w:kern w:val="0"/>
              </w:rPr>
            </w:pPr>
            <w:r>
              <w:rPr>
                <w:rFonts w:hint="eastAsia" w:ascii="宋体"/>
                <w:kern w:val="0"/>
              </w:rPr>
              <w:t>人员及组织（20分）</w:t>
            </w:r>
          </w:p>
        </w:tc>
        <w:tc>
          <w:tcPr>
            <w:tcW w:w="2268" w:type="dxa"/>
            <w:vAlign w:val="center"/>
          </w:tcPr>
          <w:p>
            <w:pPr>
              <w:widowControl/>
              <w:snapToGrid w:val="0"/>
              <w:spacing w:line="360" w:lineRule="exact"/>
              <w:jc w:val="left"/>
              <w:rPr>
                <w:rFonts w:ascii="宋体" w:cs="宋体"/>
                <w:kern w:val="0"/>
              </w:rPr>
            </w:pPr>
            <w:r>
              <w:rPr>
                <w:rFonts w:hint="eastAsia" w:ascii="宋体"/>
                <w:kern w:val="0"/>
              </w:rPr>
              <w:t>人员保障（为项目配置的人力情况、根据采购方的要求更换情况等）（5分）</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优秀（4.5</w:t>
            </w:r>
            <w:r>
              <w:rPr>
                <w:rFonts w:hint="eastAsia" w:ascii="宋体" w:cs="宋体"/>
              </w:rPr>
              <w:t>≤得分≤</w:t>
            </w:r>
            <w:r>
              <w:rPr>
                <w:rFonts w:hint="eastAsia" w:ascii="宋体" w:cs="宋体"/>
                <w:kern w:val="0"/>
              </w:rPr>
              <w:t>5分）；良好（4</w:t>
            </w:r>
            <w:r>
              <w:rPr>
                <w:rFonts w:hint="eastAsia" w:ascii="宋体" w:cs="宋体"/>
              </w:rPr>
              <w:t>≤得分＜</w:t>
            </w:r>
            <w:r>
              <w:rPr>
                <w:rFonts w:hint="eastAsia" w:ascii="宋体" w:cs="宋体"/>
                <w:kern w:val="0"/>
              </w:rPr>
              <w:t>4.5分）；合格（3.5</w:t>
            </w:r>
            <w:r>
              <w:rPr>
                <w:rFonts w:hint="eastAsia" w:ascii="宋体" w:cs="宋体"/>
              </w:rPr>
              <w:t>≤得分＜4</w:t>
            </w:r>
            <w:r>
              <w:rPr>
                <w:rFonts w:hint="eastAsia" w:ascii="宋体" w:cs="宋体"/>
                <w:kern w:val="0"/>
              </w:rPr>
              <w:t>分）；不合格（0</w:t>
            </w:r>
            <w:r>
              <w:rPr>
                <w:rFonts w:hint="eastAsia" w:ascii="宋体" w:cs="宋体"/>
              </w:rPr>
              <w:t>≤得分＜</w:t>
            </w:r>
            <w:r>
              <w:rPr>
                <w:rFonts w:hint="eastAsia" w:ascii="宋体" w:cs="宋体"/>
                <w:kern w:val="0"/>
              </w:rPr>
              <w:t>3.5分）</w:t>
            </w:r>
          </w:p>
        </w:tc>
        <w:tc>
          <w:tcPr>
            <w:tcW w:w="783" w:type="dxa"/>
            <w:vAlign w:val="center"/>
          </w:tcPr>
          <w:p>
            <w:pPr>
              <w:widowControl/>
              <w:snapToGrid w:val="0"/>
              <w:spacing w:line="360" w:lineRule="exact"/>
              <w:jc w:val="center"/>
              <w:rPr>
                <w:rFonts w:ascii="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continue"/>
            <w:vAlign w:val="center"/>
          </w:tcPr>
          <w:p>
            <w:pPr>
              <w:spacing w:line="360" w:lineRule="exact"/>
            </w:pPr>
          </w:p>
        </w:tc>
        <w:tc>
          <w:tcPr>
            <w:tcW w:w="2268" w:type="dxa"/>
            <w:vAlign w:val="center"/>
          </w:tcPr>
          <w:p>
            <w:pPr>
              <w:widowControl/>
              <w:snapToGrid w:val="0"/>
              <w:spacing w:line="360" w:lineRule="exact"/>
              <w:jc w:val="left"/>
              <w:rPr>
                <w:rFonts w:ascii="宋体"/>
                <w:kern w:val="0"/>
              </w:rPr>
            </w:pPr>
            <w:r>
              <w:rPr>
                <w:rFonts w:hint="eastAsia" w:ascii="宋体"/>
                <w:kern w:val="0"/>
              </w:rPr>
              <w:t>能力水平（人员资质、能力、技术水平等）</w:t>
            </w:r>
          </w:p>
          <w:p>
            <w:pPr>
              <w:widowControl/>
              <w:snapToGrid w:val="0"/>
              <w:spacing w:line="360" w:lineRule="exact"/>
              <w:jc w:val="left"/>
              <w:rPr>
                <w:rFonts w:ascii="宋体" w:cs="宋体"/>
                <w:kern w:val="0"/>
              </w:rPr>
            </w:pPr>
            <w:r>
              <w:rPr>
                <w:rFonts w:hint="eastAsia" w:ascii="宋体"/>
                <w:kern w:val="0"/>
              </w:rPr>
              <w:t>（5分）</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优秀（4.5</w:t>
            </w:r>
            <w:r>
              <w:rPr>
                <w:rFonts w:hint="eastAsia" w:ascii="宋体" w:cs="宋体"/>
              </w:rPr>
              <w:t>≤得分≤</w:t>
            </w:r>
            <w:r>
              <w:rPr>
                <w:rFonts w:hint="eastAsia" w:ascii="宋体" w:cs="宋体"/>
                <w:kern w:val="0"/>
              </w:rPr>
              <w:t>5分）；良好（4</w:t>
            </w:r>
            <w:r>
              <w:rPr>
                <w:rFonts w:hint="eastAsia" w:ascii="宋体" w:cs="宋体"/>
              </w:rPr>
              <w:t>≤得分＜</w:t>
            </w:r>
            <w:r>
              <w:rPr>
                <w:rFonts w:hint="eastAsia" w:ascii="宋体" w:cs="宋体"/>
                <w:kern w:val="0"/>
              </w:rPr>
              <w:t>4.5分）；合格（3.5</w:t>
            </w:r>
            <w:r>
              <w:rPr>
                <w:rFonts w:hint="eastAsia" w:ascii="宋体" w:cs="宋体"/>
              </w:rPr>
              <w:t>≤得分＜4</w:t>
            </w:r>
            <w:r>
              <w:rPr>
                <w:rFonts w:hint="eastAsia" w:ascii="宋体" w:cs="宋体"/>
                <w:kern w:val="0"/>
              </w:rPr>
              <w:t>分）；不合格（0</w:t>
            </w:r>
            <w:r>
              <w:rPr>
                <w:rFonts w:hint="eastAsia" w:ascii="宋体" w:cs="宋体"/>
              </w:rPr>
              <w:t>≤得分＜</w:t>
            </w:r>
            <w:r>
              <w:rPr>
                <w:rFonts w:hint="eastAsia" w:ascii="宋体" w:cs="宋体"/>
                <w:kern w:val="0"/>
              </w:rPr>
              <w:t>3.5分）</w:t>
            </w:r>
          </w:p>
        </w:tc>
        <w:tc>
          <w:tcPr>
            <w:tcW w:w="783" w:type="dxa"/>
            <w:vAlign w:val="center"/>
          </w:tcPr>
          <w:p>
            <w:pPr>
              <w:widowControl/>
              <w:snapToGrid w:val="0"/>
              <w:spacing w:line="360" w:lineRule="exact"/>
              <w:jc w:val="center"/>
              <w:rPr>
                <w:rFonts w:ascii="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Merge w:val="continue"/>
            <w:vAlign w:val="center"/>
          </w:tcPr>
          <w:p>
            <w:pPr>
              <w:spacing w:line="360" w:lineRule="exact"/>
            </w:pPr>
          </w:p>
        </w:tc>
        <w:tc>
          <w:tcPr>
            <w:tcW w:w="2268" w:type="dxa"/>
            <w:vAlign w:val="center"/>
          </w:tcPr>
          <w:p>
            <w:pPr>
              <w:widowControl/>
              <w:snapToGrid w:val="0"/>
              <w:spacing w:line="360" w:lineRule="exact"/>
              <w:jc w:val="left"/>
              <w:rPr>
                <w:rFonts w:ascii="宋体"/>
                <w:kern w:val="0"/>
              </w:rPr>
            </w:pPr>
            <w:r>
              <w:rPr>
                <w:rFonts w:hint="eastAsia" w:ascii="宋体"/>
                <w:kern w:val="0"/>
              </w:rPr>
              <w:t>项目组织管理水平（包括现场管理等）（10分）</w:t>
            </w:r>
          </w:p>
        </w:tc>
        <w:tc>
          <w:tcPr>
            <w:tcW w:w="4186" w:type="dxa"/>
            <w:gridSpan w:val="4"/>
            <w:vAlign w:val="center"/>
          </w:tcPr>
          <w:p>
            <w:pPr>
              <w:widowControl/>
              <w:snapToGrid w:val="0"/>
              <w:spacing w:line="360" w:lineRule="exact"/>
              <w:jc w:val="center"/>
              <w:rPr>
                <w:rFonts w:ascii="宋体" w:cs="宋体"/>
                <w:kern w:val="0"/>
              </w:rPr>
            </w:pPr>
            <w:r>
              <w:rPr>
                <w:rFonts w:hint="eastAsia" w:ascii="宋体" w:cs="宋体"/>
                <w:kern w:val="0"/>
              </w:rPr>
              <w:t>优秀（9</w:t>
            </w:r>
            <w:r>
              <w:rPr>
                <w:rFonts w:hint="eastAsia" w:ascii="宋体" w:cs="宋体"/>
              </w:rPr>
              <w:t>≤得分≤</w:t>
            </w:r>
            <w:r>
              <w:rPr>
                <w:rFonts w:hint="eastAsia" w:ascii="宋体" w:cs="宋体"/>
                <w:kern w:val="0"/>
              </w:rPr>
              <w:t>10分）；良好（8</w:t>
            </w:r>
            <w:r>
              <w:rPr>
                <w:rFonts w:hint="eastAsia" w:ascii="宋体" w:cs="宋体"/>
              </w:rPr>
              <w:t>≤得分＜</w:t>
            </w:r>
            <w:r>
              <w:rPr>
                <w:rFonts w:hint="eastAsia" w:ascii="宋体" w:cs="宋体"/>
                <w:kern w:val="0"/>
              </w:rPr>
              <w:t>9分）；合格（7</w:t>
            </w:r>
            <w:r>
              <w:rPr>
                <w:rFonts w:hint="eastAsia" w:ascii="宋体" w:cs="宋体"/>
              </w:rPr>
              <w:t>≤得分＜8</w:t>
            </w:r>
            <w:r>
              <w:rPr>
                <w:rFonts w:hint="eastAsia" w:ascii="宋体" w:cs="宋体"/>
                <w:kern w:val="0"/>
              </w:rPr>
              <w:t>分）；不合格（0</w:t>
            </w:r>
            <w:r>
              <w:rPr>
                <w:rFonts w:hint="eastAsia" w:ascii="宋体" w:cs="宋体"/>
              </w:rPr>
              <w:t>≤得分＜7</w:t>
            </w:r>
            <w:r>
              <w:rPr>
                <w:rFonts w:hint="eastAsia" w:ascii="宋体" w:cs="宋体"/>
                <w:kern w:val="0"/>
              </w:rPr>
              <w:t>分）</w:t>
            </w:r>
          </w:p>
        </w:tc>
        <w:tc>
          <w:tcPr>
            <w:tcW w:w="783" w:type="dxa"/>
            <w:vAlign w:val="center"/>
          </w:tcPr>
          <w:p>
            <w:pPr>
              <w:widowControl/>
              <w:snapToGrid w:val="0"/>
              <w:spacing w:line="360" w:lineRule="exact"/>
              <w:jc w:val="center"/>
              <w:rPr>
                <w:rFonts w:ascii="宋体"/>
                <w:kern w:val="0"/>
              </w:rPr>
            </w:pPr>
          </w:p>
        </w:tc>
        <w:tc>
          <w:tcPr>
            <w:tcW w:w="683" w:type="dxa"/>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0" w:type="dxa"/>
            <w:gridSpan w:val="6"/>
            <w:vAlign w:val="center"/>
          </w:tcPr>
          <w:p>
            <w:pPr>
              <w:widowControl/>
              <w:snapToGrid w:val="0"/>
              <w:spacing w:line="360" w:lineRule="exact"/>
              <w:jc w:val="center"/>
              <w:rPr>
                <w:rFonts w:ascii="宋体" w:cs="宋体"/>
                <w:kern w:val="0"/>
              </w:rPr>
            </w:pPr>
            <w:r>
              <w:rPr>
                <w:rFonts w:hint="eastAsia" w:ascii="宋体" w:cs="宋体"/>
                <w:kern w:val="0"/>
              </w:rPr>
              <w:t>合  计</w:t>
            </w:r>
          </w:p>
        </w:tc>
        <w:tc>
          <w:tcPr>
            <w:tcW w:w="1466" w:type="dxa"/>
            <w:gridSpan w:val="2"/>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pPr>
              <w:widowControl/>
              <w:spacing w:line="360" w:lineRule="exact"/>
              <w:jc w:val="center"/>
              <w:rPr>
                <w:rFonts w:ascii="宋体"/>
                <w:kern w:val="0"/>
              </w:rPr>
            </w:pPr>
            <w:r>
              <w:rPr>
                <w:rFonts w:hint="eastAsia" w:ascii="宋体" w:cs="宋体"/>
                <w:kern w:val="0"/>
              </w:rPr>
              <w:t>评价结果</w:t>
            </w:r>
          </w:p>
        </w:tc>
        <w:tc>
          <w:tcPr>
            <w:tcW w:w="7920" w:type="dxa"/>
            <w:gridSpan w:val="7"/>
            <w:vAlign w:val="center"/>
          </w:tcPr>
          <w:p>
            <w:pPr>
              <w:widowControl/>
              <w:snapToGrid w:val="0"/>
              <w:spacing w:line="360" w:lineRule="exact"/>
              <w:jc w:val="center"/>
              <w:rPr>
                <w:rFonts w:ascii="宋体"/>
                <w:kern w:val="0"/>
              </w:rPr>
            </w:pPr>
            <w:r>
              <w:rPr>
                <w:rFonts w:hint="eastAsia" w:ascii="宋体" w:cs="宋体"/>
              </w:rPr>
              <w:t>A（   ）   B（   ）   C（   ）   D（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pPr>
              <w:widowControl/>
              <w:spacing w:line="360" w:lineRule="exact"/>
              <w:jc w:val="center"/>
              <w:rPr>
                <w:rFonts w:ascii="宋体"/>
                <w:kern w:val="0"/>
              </w:rPr>
            </w:pPr>
            <w:r>
              <w:rPr>
                <w:rFonts w:hint="eastAsia" w:ascii="宋体" w:cs="宋体"/>
              </w:rPr>
              <w:t>验收人（签字）</w:t>
            </w:r>
          </w:p>
        </w:tc>
        <w:tc>
          <w:tcPr>
            <w:tcW w:w="2734" w:type="dxa"/>
            <w:gridSpan w:val="2"/>
            <w:vAlign w:val="center"/>
          </w:tcPr>
          <w:p>
            <w:pPr>
              <w:widowControl/>
              <w:snapToGrid w:val="0"/>
              <w:spacing w:line="360" w:lineRule="exact"/>
              <w:jc w:val="center"/>
              <w:rPr>
                <w:rFonts w:ascii="宋体"/>
                <w:kern w:val="0"/>
              </w:rPr>
            </w:pPr>
          </w:p>
        </w:tc>
        <w:tc>
          <w:tcPr>
            <w:tcW w:w="2450" w:type="dxa"/>
            <w:gridSpan w:val="2"/>
            <w:vAlign w:val="center"/>
          </w:tcPr>
          <w:p>
            <w:pPr>
              <w:widowControl/>
              <w:snapToGrid w:val="0"/>
              <w:spacing w:line="360" w:lineRule="exact"/>
              <w:jc w:val="center"/>
              <w:rPr>
                <w:rFonts w:ascii="宋体" w:cs="宋体"/>
              </w:rPr>
            </w:pPr>
            <w:r>
              <w:rPr>
                <w:rFonts w:hint="eastAsia" w:ascii="宋体" w:cs="宋体"/>
              </w:rPr>
              <w:t>部门负责人（签字）</w:t>
            </w:r>
          </w:p>
        </w:tc>
        <w:tc>
          <w:tcPr>
            <w:tcW w:w="2736" w:type="dxa"/>
            <w:gridSpan w:val="3"/>
            <w:vAlign w:val="center"/>
          </w:tcPr>
          <w:p>
            <w:pPr>
              <w:widowControl/>
              <w:snapToGrid w:val="0"/>
              <w:spacing w:line="360" w:lineRule="exact"/>
              <w:jc w:val="center"/>
              <w:rPr>
                <w:rFonts w:ascii="宋体"/>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6" w:type="dxa"/>
            <w:vAlign w:val="center"/>
          </w:tcPr>
          <w:p>
            <w:pPr>
              <w:widowControl/>
              <w:spacing w:line="360" w:lineRule="exact"/>
              <w:jc w:val="center"/>
              <w:rPr>
                <w:rFonts w:ascii="宋体"/>
              </w:rPr>
            </w:pPr>
            <w:r>
              <w:rPr>
                <w:rFonts w:hint="eastAsia" w:ascii="宋体" w:cs="宋体"/>
              </w:rPr>
              <w:t>备注</w:t>
            </w:r>
          </w:p>
        </w:tc>
        <w:tc>
          <w:tcPr>
            <w:tcW w:w="7920" w:type="dxa"/>
            <w:gridSpan w:val="7"/>
            <w:vAlign w:val="center"/>
          </w:tcPr>
          <w:p>
            <w:pPr>
              <w:widowControl/>
              <w:snapToGrid w:val="0"/>
              <w:spacing w:line="360" w:lineRule="exact"/>
              <w:jc w:val="left"/>
              <w:rPr>
                <w:rFonts w:ascii="宋体" w:cs="宋体"/>
              </w:rPr>
            </w:pPr>
            <w:r>
              <w:rPr>
                <w:rFonts w:hint="eastAsia" w:ascii="宋体" w:cs="宋体"/>
              </w:rPr>
              <w:t>1、供应商付款验收评价分为四个等级：A（得分≥90分）、B（80分≤得分＜90分）、C（70分≤得分＜80分）、D（得分＜70分）；</w:t>
            </w:r>
          </w:p>
          <w:p>
            <w:pPr>
              <w:widowControl/>
              <w:spacing w:line="360" w:lineRule="exact"/>
              <w:rPr>
                <w:rFonts w:ascii="宋体"/>
              </w:rPr>
            </w:pPr>
            <w:r>
              <w:rPr>
                <w:rFonts w:hint="eastAsia" w:ascii="宋体"/>
              </w:rPr>
              <w:t>2、评价周期：每次付款前评价。</w:t>
            </w:r>
          </w:p>
        </w:tc>
      </w:tr>
      <w:bookmarkEnd w:id="157"/>
    </w:tbl>
    <w:p>
      <w:pPr>
        <w:widowControl/>
        <w:autoSpaceDN w:val="0"/>
        <w:spacing w:line="360" w:lineRule="auto"/>
        <w:rPr>
          <w:rFonts w:ascii="宋体" w:cs="宋体"/>
          <w:b/>
          <w:bCs/>
          <w:color w:val="000000"/>
          <w:sz w:val="24"/>
          <w:lang w:bidi="ar"/>
        </w:rPr>
      </w:pPr>
      <w:bookmarkStart w:id="208" w:name="_Toc7207"/>
    </w:p>
    <w:p>
      <w:pPr>
        <w:pStyle w:val="30"/>
        <w:rPr>
          <w:lang w:bidi="ar"/>
        </w:rPr>
      </w:pPr>
      <w:r>
        <w:rPr>
          <w:lang w:bidi="ar"/>
        </w:rPr>
        <w:br w:type="page"/>
      </w:r>
    </w:p>
    <w:p>
      <w:pPr>
        <w:widowControl/>
        <w:autoSpaceDN w:val="0"/>
        <w:spacing w:line="360" w:lineRule="auto"/>
        <w:rPr>
          <w:rFonts w:ascii="宋体" w:cs="宋体"/>
          <w:b/>
          <w:bCs/>
          <w:color w:val="000000"/>
          <w:sz w:val="24"/>
        </w:rPr>
      </w:pPr>
      <w:r>
        <w:rPr>
          <w:rFonts w:hint="eastAsia" w:ascii="宋体" w:cs="宋体"/>
          <w:b/>
          <w:bCs/>
          <w:color w:val="000000"/>
          <w:sz w:val="24"/>
          <w:lang w:bidi="ar"/>
        </w:rPr>
        <w:t>附件6</w:t>
      </w:r>
    </w:p>
    <w:p>
      <w:pPr>
        <w:widowControl/>
        <w:autoSpaceDN w:val="0"/>
        <w:spacing w:line="360" w:lineRule="auto"/>
        <w:ind w:firstLine="2811" w:firstLineChars="1000"/>
        <w:rPr>
          <w:rFonts w:ascii="宋体" w:cs="宋体"/>
          <w:b/>
          <w:bCs/>
          <w:color w:val="000000"/>
          <w:sz w:val="28"/>
          <w:szCs w:val="20"/>
        </w:rPr>
      </w:pPr>
      <w:r>
        <w:rPr>
          <w:rFonts w:hint="eastAsia" w:ascii="宋体" w:cs="宋体"/>
          <w:b/>
          <w:bCs/>
          <w:color w:val="000000"/>
          <w:sz w:val="28"/>
          <w:szCs w:val="20"/>
          <w:lang w:bidi="ar"/>
        </w:rPr>
        <w:t>供应商履约综合评价表（</w:t>
      </w:r>
      <w:r>
        <w:rPr>
          <w:rFonts w:hint="eastAsia" w:ascii="宋体" w:cs="宋体"/>
          <w:b/>
          <w:color w:val="000000"/>
          <w:sz w:val="24"/>
          <w:lang w:bidi="ar"/>
        </w:rPr>
        <w:t xml:space="preserve">   年度</w:t>
      </w:r>
      <w:r>
        <w:rPr>
          <w:rFonts w:hint="eastAsia" w:ascii="宋体" w:cs="宋体"/>
          <w:b/>
          <w:bCs/>
          <w:color w:val="000000"/>
          <w:sz w:val="28"/>
          <w:szCs w:val="20"/>
          <w:lang w:bidi="ar"/>
        </w:rPr>
        <w:t>）</w:t>
      </w:r>
    </w:p>
    <w:p>
      <w:pPr>
        <w:widowControl/>
        <w:autoSpaceDN w:val="0"/>
        <w:spacing w:line="360" w:lineRule="auto"/>
        <w:ind w:firstLine="5040" w:firstLineChars="2400"/>
        <w:jc w:val="right"/>
        <w:rPr>
          <w:rFonts w:ascii="宋体" w:cs="宋体"/>
          <w:b/>
          <w:bCs/>
          <w:color w:val="000000"/>
          <w:sz w:val="28"/>
          <w:szCs w:val="20"/>
        </w:rPr>
      </w:pPr>
      <w:r>
        <w:rPr>
          <w:rFonts w:hint="eastAsia" w:ascii="宋体" w:cs="宋体"/>
          <w:color w:val="000000"/>
          <w:kern w:val="0"/>
          <w:szCs w:val="21"/>
          <w:lang w:bidi="ar"/>
        </w:rPr>
        <w:t>评价时间：     年     月    日</w:t>
      </w:r>
    </w:p>
    <w:tbl>
      <w:tblPr>
        <w:tblStyle w:val="24"/>
        <w:tblW w:w="9606"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497"/>
        <w:gridCol w:w="2032"/>
        <w:gridCol w:w="4536"/>
        <w:gridCol w:w="770"/>
        <w:gridCol w:w="771"/>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12" w:space="0"/>
              <w:left w:val="single" w:color="auto" w:sz="12"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项目名称</w:t>
            </w:r>
          </w:p>
        </w:tc>
        <w:tc>
          <w:tcPr>
            <w:tcW w:w="8109" w:type="dxa"/>
            <w:gridSpan w:val="4"/>
            <w:tcBorders>
              <w:top w:val="single" w:color="auto" w:sz="12"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kern w:val="0"/>
                <w:szCs w:val="21"/>
              </w:rPr>
              <w:t>宁波市烟草公司配送中心全品规备货系统扩容技改项目</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采购单位</w:t>
            </w: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采购计划编号</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供应商名称</w:t>
            </w: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合同起止时间</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restart"/>
            <w:tcBorders>
              <w:top w:val="single" w:color="auto" w:sz="6" w:space="0"/>
              <w:left w:val="single" w:color="auto" w:sz="12" w:space="0"/>
              <w:bottom w:val="single" w:color="auto" w:sz="6" w:space="0"/>
              <w:right w:val="single" w:color="auto" w:sz="6" w:space="0"/>
            </w:tcBorders>
            <w:vAlign w:val="center"/>
          </w:tcPr>
          <w:p>
            <w:pPr>
              <w:autoSpaceDN w:val="0"/>
              <w:spacing w:line="360" w:lineRule="exact"/>
              <w:jc w:val="center"/>
              <w:rPr>
                <w:rFonts w:cs="宋体"/>
                <w:b/>
                <w:color w:val="000000"/>
                <w:kern w:val="0"/>
                <w:szCs w:val="21"/>
              </w:rPr>
            </w:pPr>
            <w:r>
              <w:rPr>
                <w:rFonts w:hint="eastAsia" w:cs="宋体"/>
                <w:color w:val="000000"/>
                <w:kern w:val="0"/>
                <w:szCs w:val="21"/>
                <w:lang w:bidi="ar"/>
              </w:rPr>
              <w:t>一票否决项</w:t>
            </w: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b/>
                <w:color w:val="000000"/>
                <w:kern w:val="0"/>
                <w:szCs w:val="21"/>
              </w:rPr>
            </w:pPr>
            <w:r>
              <w:rPr>
                <w:rFonts w:cs="等线"/>
                <w:color w:val="000000"/>
                <w:kern w:val="0"/>
                <w:szCs w:val="21"/>
                <w:lang w:bidi="ar"/>
              </w:rPr>
              <w:t>资质资格复查复审</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b/>
                <w:color w:val="000000"/>
                <w:kern w:val="0"/>
                <w:szCs w:val="21"/>
              </w:rPr>
            </w:pPr>
            <w:r>
              <w:rPr>
                <w:rFonts w:cs="等线"/>
                <w:color w:val="000000"/>
                <w:kern w:val="0"/>
                <w:szCs w:val="21"/>
                <w:lang w:bidi="ar"/>
              </w:rPr>
              <w:t>擅自变更项目负责人；资质资格文件失效或变更未备案的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转包行为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招标后进行转包的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违约分包行为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招标后进行非法分包的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提供假发票行为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提供虚假发票且采购人财务部门被查实的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不按期供货行为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因未按需求计划及时交货（服务）经三次以上催告并导致停工待料或影响工期（服务）的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偷工减料行为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未按照相关标准及合同约定施工，减少工序、材料投入或提供的原材料、配件等以次充好</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提供不合格产品行为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采购货物在使用后发现存有质量缺陷造成较大经济损失或安全事故，情况情节严重的；或合同期间提供的服务质量未达到双方约定，经催告拒不整改的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弄虚作假骗取中标行为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弄虚作假、隐瞒真实情况骗取采购供应商市场准入资格的；提供虚假材料谋取中标、成交的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跑单行为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中标后无正当理由不与采购单位签订采购合同的；擅自变更或者终止采购合同的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违法违规行为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招投标中存在围标、串标行为的；与采购单位、采购代理机构或者其他供应商恶意串通的；采用不正当手段诋毁、排挤其他供应商的；</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行贿受贿行为</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行贿受贿行为：合同期内有行贿行为的（以行业下发的行贿行为供应商名单、生效的刑事判决书、刑事裁定书、党政纪处分决定书为准）</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有</w:t>
            </w:r>
            <w:r>
              <w:rPr>
                <w:rFonts w:hint="eastAsia" w:cs="宋体"/>
                <w:bCs/>
                <w:color w:val="000000"/>
                <w:szCs w:val="21"/>
                <w:lang w:bidi="ar"/>
              </w:rPr>
              <w:t xml:space="preserve">□ </w:t>
            </w:r>
            <w:r>
              <w:rPr>
                <w:rFonts w:hint="eastAsia" w:cs="宋体"/>
                <w:color w:val="000000"/>
                <w:szCs w:val="21"/>
                <w:lang w:bidi="ar"/>
              </w:rPr>
              <w:t>无</w:t>
            </w:r>
            <w:r>
              <w:rPr>
                <w:rFonts w:hint="eastAsia" w:cs="宋体"/>
                <w:bCs/>
                <w:color w:val="000000"/>
                <w:szCs w:val="21"/>
                <w:lang w:bidi="ar"/>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6" w:space="0"/>
              <w:right w:val="single" w:color="auto" w:sz="6" w:space="0"/>
            </w:tcBorders>
            <w:vAlign w:val="center"/>
          </w:tcPr>
          <w:p>
            <w:pPr>
              <w:widowControl/>
              <w:autoSpaceDN w:val="0"/>
              <w:spacing w:line="360" w:lineRule="exact"/>
              <w:jc w:val="center"/>
              <w:rPr>
                <w:rFonts w:cs="宋体"/>
                <w:b/>
                <w:color w:val="000000"/>
                <w:kern w:val="0"/>
                <w:szCs w:val="21"/>
              </w:rPr>
            </w:pPr>
            <w:r>
              <w:rPr>
                <w:rFonts w:hint="eastAsia" w:cs="宋体"/>
                <w:b/>
                <w:color w:val="000000"/>
                <w:kern w:val="0"/>
                <w:szCs w:val="21"/>
                <w:lang w:bidi="ar"/>
              </w:rPr>
              <w:t>评价项及权重</w:t>
            </w: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b/>
                <w:color w:val="000000"/>
                <w:kern w:val="0"/>
                <w:szCs w:val="21"/>
              </w:rPr>
            </w:pPr>
            <w:r>
              <w:rPr>
                <w:rFonts w:hint="eastAsia" w:cs="宋体"/>
                <w:b/>
                <w:color w:val="000000"/>
                <w:kern w:val="0"/>
                <w:szCs w:val="21"/>
                <w:lang w:bidi="ar"/>
              </w:rPr>
              <w:t>评价内容</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b/>
                <w:color w:val="000000"/>
                <w:kern w:val="0"/>
                <w:szCs w:val="21"/>
              </w:rPr>
            </w:pPr>
            <w:r>
              <w:rPr>
                <w:rFonts w:hint="eastAsia" w:cs="宋体"/>
                <w:b/>
                <w:color w:val="000000"/>
                <w:kern w:val="0"/>
                <w:szCs w:val="21"/>
                <w:lang w:bidi="ar"/>
              </w:rPr>
              <w:t>评分标准</w:t>
            </w:r>
          </w:p>
        </w:tc>
        <w:tc>
          <w:tcPr>
            <w:tcW w:w="770"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b/>
                <w:color w:val="000000"/>
                <w:kern w:val="0"/>
                <w:szCs w:val="21"/>
              </w:rPr>
            </w:pPr>
            <w:r>
              <w:rPr>
                <w:rFonts w:hint="eastAsia" w:cs="宋体"/>
                <w:b/>
                <w:color w:val="000000"/>
                <w:kern w:val="0"/>
                <w:szCs w:val="21"/>
                <w:lang w:bidi="ar"/>
              </w:rPr>
              <w:t>得分</w:t>
            </w:r>
          </w:p>
        </w:tc>
        <w:tc>
          <w:tcPr>
            <w:tcW w:w="771" w:type="dxa"/>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b/>
                <w:color w:val="000000"/>
                <w:kern w:val="0"/>
                <w:szCs w:val="21"/>
              </w:rPr>
            </w:pPr>
            <w:r>
              <w:rPr>
                <w:rFonts w:hint="eastAsia" w:cs="宋体"/>
                <w:b/>
                <w:color w:val="000000"/>
                <w:kern w:val="0"/>
                <w:szCs w:val="21"/>
                <w:lang w:bidi="ar"/>
              </w:rPr>
              <w:t>备注</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6" w:space="0"/>
              <w:right w:val="single" w:color="auto" w:sz="6" w:space="0"/>
            </w:tcBorders>
            <w:vAlign w:val="center"/>
          </w:tcPr>
          <w:p>
            <w:pPr>
              <w:autoSpaceDN w:val="0"/>
              <w:spacing w:line="360" w:lineRule="exact"/>
              <w:jc w:val="center"/>
              <w:rPr>
                <w:rFonts w:cs="宋体"/>
                <w:color w:val="000000"/>
                <w:kern w:val="0"/>
                <w:szCs w:val="21"/>
              </w:rPr>
            </w:pPr>
            <w:r>
              <w:rPr>
                <w:rFonts w:hint="eastAsia" w:cs="宋体"/>
                <w:color w:val="000000"/>
                <w:kern w:val="0"/>
                <w:szCs w:val="21"/>
                <w:lang w:bidi="ar"/>
              </w:rPr>
              <w:t>日常评价情况（70%）</w:t>
            </w:r>
          </w:p>
        </w:tc>
        <w:tc>
          <w:tcPr>
            <w:tcW w:w="6568" w:type="dxa"/>
            <w:gridSpan w:val="2"/>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b/>
                <w:color w:val="000000"/>
                <w:kern w:val="0"/>
                <w:szCs w:val="21"/>
              </w:rPr>
            </w:pPr>
            <w:r>
              <w:rPr>
                <w:rFonts w:cs="宋体"/>
                <w:b/>
                <w:color w:val="000000"/>
                <w:kern w:val="0"/>
                <w:szCs w:val="21"/>
                <w:lang w:bidi="ar"/>
              </w:rPr>
              <w:t>取评价年度付款验收评价均值并按</w:t>
            </w:r>
            <w:r>
              <w:rPr>
                <w:rFonts w:hint="eastAsia" w:cs="宋体"/>
                <w:b/>
                <w:color w:val="000000"/>
                <w:kern w:val="0"/>
                <w:szCs w:val="21"/>
                <w:lang w:bidi="ar"/>
              </w:rPr>
              <w:t>70%</w:t>
            </w:r>
            <w:r>
              <w:rPr>
                <w:rFonts w:cs="宋体"/>
                <w:b/>
                <w:color w:val="000000"/>
                <w:kern w:val="0"/>
                <w:szCs w:val="21"/>
                <w:lang w:bidi="ar"/>
              </w:rPr>
              <w:t>权重计算</w:t>
            </w:r>
          </w:p>
        </w:tc>
        <w:tc>
          <w:tcPr>
            <w:tcW w:w="770"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771" w:type="dxa"/>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restart"/>
            <w:tcBorders>
              <w:top w:val="single" w:color="auto" w:sz="6" w:space="0"/>
              <w:left w:val="single" w:color="auto" w:sz="12" w:space="0"/>
              <w:bottom w:val="single" w:color="auto" w:sz="6" w:space="0"/>
              <w:right w:val="single" w:color="auto" w:sz="6" w:space="0"/>
            </w:tcBorders>
            <w:vAlign w:val="center"/>
          </w:tcPr>
          <w:p>
            <w:pPr>
              <w:autoSpaceDN w:val="0"/>
              <w:spacing w:line="360" w:lineRule="exact"/>
              <w:jc w:val="center"/>
              <w:rPr>
                <w:rFonts w:cs="宋体"/>
                <w:color w:val="000000"/>
                <w:kern w:val="0"/>
                <w:szCs w:val="21"/>
              </w:rPr>
            </w:pPr>
            <w:r>
              <w:rPr>
                <w:rFonts w:hint="eastAsia" w:cs="宋体"/>
                <w:color w:val="000000"/>
                <w:kern w:val="0"/>
                <w:szCs w:val="21"/>
                <w:lang w:bidi="ar"/>
              </w:rPr>
              <w:t>综合服务评价（30%）</w:t>
            </w: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配套售后服务能力（10%）</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left"/>
              <w:rPr>
                <w:rFonts w:cs="宋体"/>
                <w:color w:val="000000"/>
                <w:kern w:val="0"/>
                <w:szCs w:val="21"/>
              </w:rPr>
            </w:pPr>
            <w:r>
              <w:rPr>
                <w:rFonts w:hint="eastAsia" w:cs="宋体"/>
                <w:color w:val="000000"/>
                <w:kern w:val="0"/>
                <w:szCs w:val="21"/>
                <w:lang w:bidi="ar"/>
              </w:rPr>
              <w:t>优秀（8.5-10分）；良好（7-8.5分）；合格（6-7分）；不合格（0-6分）</w:t>
            </w:r>
          </w:p>
        </w:tc>
        <w:tc>
          <w:tcPr>
            <w:tcW w:w="770"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771" w:type="dxa"/>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服务态度（10%）</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left"/>
              <w:rPr>
                <w:rFonts w:cs="宋体"/>
                <w:color w:val="000000"/>
                <w:kern w:val="0"/>
                <w:szCs w:val="21"/>
              </w:rPr>
            </w:pPr>
            <w:r>
              <w:rPr>
                <w:rFonts w:hint="eastAsia" w:cs="宋体"/>
                <w:color w:val="000000"/>
                <w:kern w:val="0"/>
                <w:szCs w:val="21"/>
                <w:lang w:bidi="ar"/>
              </w:rPr>
              <w:t>优秀（8.5-10分）；良好（7-8.5分）；合格（6-7分）；不合格（0-6分）</w:t>
            </w:r>
          </w:p>
        </w:tc>
        <w:tc>
          <w:tcPr>
            <w:tcW w:w="770"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771" w:type="dxa"/>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exact"/>
              <w:rPr>
                <w:szCs w:val="21"/>
              </w:rPr>
            </w:pP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问题处理能力（10%）</w:t>
            </w: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left"/>
              <w:rPr>
                <w:rFonts w:cs="宋体"/>
                <w:color w:val="000000"/>
                <w:kern w:val="0"/>
                <w:szCs w:val="21"/>
              </w:rPr>
            </w:pPr>
            <w:r>
              <w:rPr>
                <w:rFonts w:hint="eastAsia" w:cs="宋体"/>
                <w:color w:val="000000"/>
                <w:kern w:val="0"/>
                <w:szCs w:val="21"/>
                <w:lang w:bidi="ar"/>
              </w:rPr>
              <w:t>优秀（8.5-10分）；良好（7-8.5分）；合格（6-7分）；不合格（0-6分）</w:t>
            </w:r>
          </w:p>
        </w:tc>
        <w:tc>
          <w:tcPr>
            <w:tcW w:w="770"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771" w:type="dxa"/>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6" w:space="0"/>
              <w:right w:val="single" w:color="auto" w:sz="6" w:space="0"/>
            </w:tcBorders>
            <w:vAlign w:val="center"/>
          </w:tcPr>
          <w:p>
            <w:pPr>
              <w:autoSpaceDN w:val="0"/>
              <w:spacing w:line="360" w:lineRule="exact"/>
              <w:jc w:val="center"/>
              <w:rPr>
                <w:rFonts w:cs="宋体"/>
                <w:color w:val="000000"/>
                <w:szCs w:val="21"/>
              </w:rPr>
            </w:pPr>
            <w:r>
              <w:rPr>
                <w:rFonts w:hint="eastAsia" w:cs="宋体"/>
                <w:color w:val="000000"/>
                <w:szCs w:val="21"/>
                <w:lang w:bidi="ar"/>
              </w:rPr>
              <w:t>奖惩项</w:t>
            </w:r>
          </w:p>
        </w:tc>
        <w:tc>
          <w:tcPr>
            <w:tcW w:w="6568" w:type="dxa"/>
            <w:gridSpan w:val="2"/>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left"/>
              <w:rPr>
                <w:rFonts w:cs="宋体"/>
                <w:color w:val="000000"/>
                <w:szCs w:val="21"/>
              </w:rPr>
            </w:pPr>
            <w:r>
              <w:rPr>
                <w:rFonts w:hint="eastAsia" w:cs="宋体"/>
                <w:color w:val="000000"/>
                <w:szCs w:val="21"/>
                <w:lang w:bidi="ar"/>
              </w:rPr>
              <w:t>每发生一次整改不合格事项的扣5分；</w:t>
            </w:r>
          </w:p>
          <w:p>
            <w:pPr>
              <w:widowControl/>
              <w:autoSpaceDN w:val="0"/>
              <w:spacing w:line="360" w:lineRule="exact"/>
              <w:jc w:val="left"/>
              <w:rPr>
                <w:rFonts w:cs="宋体"/>
                <w:color w:val="000000"/>
                <w:kern w:val="0"/>
                <w:szCs w:val="21"/>
              </w:rPr>
            </w:pPr>
            <w:r>
              <w:rPr>
                <w:rFonts w:hint="eastAsia" w:cs="宋体"/>
                <w:color w:val="000000"/>
                <w:szCs w:val="21"/>
                <w:lang w:bidi="ar"/>
              </w:rPr>
              <w:t>主动为本项目服务提供合理化建议并被采纳的每一项加5分。</w:t>
            </w:r>
          </w:p>
        </w:tc>
        <w:tc>
          <w:tcPr>
            <w:tcW w:w="770"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771" w:type="dxa"/>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8065" w:type="dxa"/>
            <w:gridSpan w:val="3"/>
            <w:tcBorders>
              <w:top w:val="single" w:color="auto" w:sz="6" w:space="0"/>
              <w:left w:val="single" w:color="auto" w:sz="12" w:space="0"/>
              <w:bottom w:val="nil"/>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合计</w:t>
            </w:r>
          </w:p>
        </w:tc>
        <w:tc>
          <w:tcPr>
            <w:tcW w:w="1541" w:type="dxa"/>
            <w:gridSpan w:val="2"/>
            <w:tcBorders>
              <w:top w:val="single" w:color="auto" w:sz="6" w:space="0"/>
              <w:left w:val="single" w:color="auto" w:sz="6" w:space="0"/>
              <w:bottom w:val="nil"/>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kern w:val="0"/>
                <w:szCs w:val="21"/>
                <w:lang w:bidi="ar"/>
              </w:rPr>
              <w:t>评价结果</w:t>
            </w:r>
          </w:p>
        </w:tc>
        <w:tc>
          <w:tcPr>
            <w:tcW w:w="8109" w:type="dxa"/>
            <w:gridSpan w:val="4"/>
            <w:tcBorders>
              <w:top w:val="single" w:color="auto" w:sz="4"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优秀（）良好（）合格（）不合格（）</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经办人（签字）</w:t>
            </w:r>
          </w:p>
        </w:tc>
        <w:tc>
          <w:tcPr>
            <w:tcW w:w="2032"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p>
        </w:tc>
        <w:tc>
          <w:tcPr>
            <w:tcW w:w="4536" w:type="dxa"/>
            <w:tcBorders>
              <w:top w:val="single" w:color="auto" w:sz="6" w:space="0"/>
              <w:left w:val="single" w:color="auto" w:sz="6" w:space="0"/>
              <w:bottom w:val="single" w:color="auto" w:sz="6" w:space="0"/>
              <w:right w:val="single" w:color="auto" w:sz="6" w:space="0"/>
            </w:tcBorders>
            <w:vAlign w:val="center"/>
          </w:tcPr>
          <w:p>
            <w:pPr>
              <w:widowControl/>
              <w:autoSpaceDN w:val="0"/>
              <w:spacing w:line="360" w:lineRule="exact"/>
              <w:jc w:val="center"/>
              <w:rPr>
                <w:rFonts w:cs="宋体"/>
                <w:color w:val="000000"/>
                <w:kern w:val="0"/>
                <w:szCs w:val="21"/>
              </w:rPr>
            </w:pPr>
            <w:r>
              <w:rPr>
                <w:rFonts w:hint="eastAsia" w:cs="宋体"/>
                <w:color w:val="000000"/>
                <w:szCs w:val="21"/>
                <w:lang w:bidi="ar"/>
              </w:rPr>
              <w:t>部门负责人（签字）</w:t>
            </w:r>
          </w:p>
        </w:tc>
        <w:tc>
          <w:tcPr>
            <w:tcW w:w="1541" w:type="dxa"/>
            <w:gridSpan w:val="2"/>
            <w:tcBorders>
              <w:top w:val="single" w:color="auto" w:sz="6" w:space="0"/>
              <w:left w:val="single" w:color="auto" w:sz="6" w:space="0"/>
              <w:bottom w:val="single" w:color="auto" w:sz="6" w:space="0"/>
              <w:right w:val="single" w:color="auto" w:sz="12" w:space="0"/>
            </w:tcBorders>
            <w:vAlign w:val="center"/>
          </w:tcPr>
          <w:p>
            <w:pPr>
              <w:widowControl/>
              <w:autoSpaceDN w:val="0"/>
              <w:spacing w:line="360" w:lineRule="exact"/>
              <w:jc w:val="center"/>
              <w:rPr>
                <w:rFonts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497" w:type="dxa"/>
            <w:tcBorders>
              <w:top w:val="single" w:color="auto" w:sz="6" w:space="0"/>
              <w:left w:val="single" w:color="auto" w:sz="12" w:space="0"/>
              <w:bottom w:val="single" w:color="auto" w:sz="12" w:space="0"/>
              <w:right w:val="single" w:color="auto" w:sz="6" w:space="0"/>
            </w:tcBorders>
            <w:vAlign w:val="center"/>
          </w:tcPr>
          <w:p>
            <w:pPr>
              <w:widowControl/>
              <w:autoSpaceDN w:val="0"/>
              <w:spacing w:line="360" w:lineRule="exact"/>
              <w:jc w:val="center"/>
              <w:rPr>
                <w:rFonts w:cs="宋体"/>
                <w:color w:val="000000"/>
                <w:szCs w:val="21"/>
              </w:rPr>
            </w:pPr>
            <w:r>
              <w:rPr>
                <w:rFonts w:hint="eastAsia" w:cs="宋体"/>
                <w:color w:val="000000"/>
                <w:szCs w:val="21"/>
                <w:lang w:bidi="ar"/>
              </w:rPr>
              <w:t>备注</w:t>
            </w:r>
          </w:p>
        </w:tc>
        <w:tc>
          <w:tcPr>
            <w:tcW w:w="8109" w:type="dxa"/>
            <w:gridSpan w:val="4"/>
            <w:tcBorders>
              <w:top w:val="single" w:color="auto" w:sz="6" w:space="0"/>
              <w:left w:val="single" w:color="auto" w:sz="6" w:space="0"/>
              <w:bottom w:val="single" w:color="auto" w:sz="12" w:space="0"/>
              <w:right w:val="single" w:color="auto" w:sz="12" w:space="0"/>
            </w:tcBorders>
            <w:vAlign w:val="center"/>
          </w:tcPr>
          <w:p>
            <w:pPr>
              <w:widowControl/>
              <w:autoSpaceDN w:val="0"/>
              <w:spacing w:line="360" w:lineRule="exact"/>
              <w:jc w:val="left"/>
              <w:rPr>
                <w:rFonts w:cs="宋体"/>
                <w:color w:val="000000"/>
                <w:szCs w:val="21"/>
              </w:rPr>
            </w:pPr>
            <w:r>
              <w:rPr>
                <w:rFonts w:hint="eastAsia" w:cs="宋体"/>
                <w:color w:val="000000"/>
                <w:szCs w:val="21"/>
                <w:lang w:bidi="ar"/>
              </w:rPr>
              <w:t>1、供应商如有一票否决项所列行为的，列入不良供应商名录并进行相关处理，标准详见合同部分中不良供应商认定及处理措施；</w:t>
            </w:r>
          </w:p>
          <w:p>
            <w:pPr>
              <w:autoSpaceDN w:val="0"/>
              <w:spacing w:line="360" w:lineRule="exact"/>
              <w:jc w:val="left"/>
              <w:rPr>
                <w:rFonts w:cs="宋体"/>
                <w:color w:val="000000"/>
                <w:szCs w:val="21"/>
              </w:rPr>
            </w:pPr>
            <w:r>
              <w:rPr>
                <w:rFonts w:hint="eastAsia" w:cs="宋体"/>
                <w:color w:val="000000"/>
                <w:szCs w:val="21"/>
                <w:lang w:bidi="ar"/>
              </w:rPr>
              <w:t>2、供应商被发现的行为中有行贿行为的，列入行贿供应商黑名单并进行相关处理，标准详见合同部分行贿供应商处理措施；</w:t>
            </w:r>
          </w:p>
          <w:p>
            <w:pPr>
              <w:autoSpaceDN w:val="0"/>
              <w:spacing w:line="360" w:lineRule="exact"/>
              <w:jc w:val="left"/>
              <w:rPr>
                <w:rFonts w:cs="宋体"/>
                <w:color w:val="000000"/>
                <w:szCs w:val="21"/>
              </w:rPr>
            </w:pPr>
            <w:r>
              <w:rPr>
                <w:rFonts w:hint="eastAsia" w:cs="宋体"/>
                <w:color w:val="000000"/>
                <w:szCs w:val="21"/>
                <w:lang w:bidi="ar"/>
              </w:rPr>
              <w:t>3、供应商资质资格复查复审不通过或履约过程被列入不良供应商名录或行贿供应商黑名单的不再进行综合评分，直接取0分；</w:t>
            </w:r>
          </w:p>
          <w:p>
            <w:pPr>
              <w:autoSpaceDN w:val="0"/>
              <w:spacing w:line="360" w:lineRule="exact"/>
              <w:jc w:val="left"/>
              <w:rPr>
                <w:rFonts w:cs="宋体"/>
                <w:color w:val="000000"/>
                <w:szCs w:val="21"/>
              </w:rPr>
            </w:pPr>
            <w:r>
              <w:rPr>
                <w:rFonts w:hint="eastAsia" w:cs="宋体"/>
                <w:color w:val="000000"/>
                <w:szCs w:val="21"/>
                <w:lang w:bidi="ar"/>
              </w:rPr>
              <w:t>4、综合评价等级分为优秀、良好、合格、不合格等四个等级，得分90分以上的为优秀；得分80分以上、不足90分的为良好；得分70分以上、不足80分的为合格；得分不足70分的为不合格。</w:t>
            </w:r>
          </w:p>
          <w:p>
            <w:pPr>
              <w:autoSpaceDN w:val="0"/>
              <w:spacing w:line="360" w:lineRule="exact"/>
              <w:jc w:val="left"/>
              <w:rPr>
                <w:rFonts w:cs="宋体"/>
                <w:color w:val="000000"/>
                <w:szCs w:val="21"/>
              </w:rPr>
            </w:pPr>
            <w:r>
              <w:rPr>
                <w:rFonts w:hint="eastAsia" w:cs="宋体"/>
                <w:color w:val="000000"/>
                <w:szCs w:val="21"/>
                <w:lang w:bidi="ar"/>
              </w:rPr>
              <w:t>5、评价周期：每考核周期开展一次。</w:t>
            </w:r>
          </w:p>
        </w:tc>
      </w:tr>
    </w:tbl>
    <w:p>
      <w:pPr>
        <w:autoSpaceDN w:val="0"/>
        <w:snapToGrid w:val="0"/>
        <w:spacing w:before="120" w:beforeLines="50" w:line="360" w:lineRule="auto"/>
        <w:rPr>
          <w:rFonts w:ascii="宋体" w:cs="宋体"/>
          <w:color w:val="000000"/>
          <w:szCs w:val="21"/>
        </w:rPr>
      </w:pPr>
      <w:r>
        <w:rPr>
          <w:rFonts w:hint="eastAsia" w:ascii="宋体" w:cs="宋体"/>
          <w:color w:val="000000"/>
          <w:szCs w:val="21"/>
          <w:lang w:bidi="ar"/>
        </w:rPr>
        <w:t>备注：综合服务评价内容可根据招投标响应内容签订合同时进行调整。</w:t>
      </w:r>
    </w:p>
    <w:p>
      <w:pPr>
        <w:rPr>
          <w:b/>
          <w:bCs/>
          <w:sz w:val="24"/>
        </w:rPr>
      </w:pPr>
      <w:r>
        <w:rPr>
          <w:rFonts w:hint="eastAsia"/>
          <w:b/>
          <w:bCs/>
          <w:sz w:val="24"/>
        </w:rPr>
        <w:br w:type="page"/>
      </w:r>
    </w:p>
    <w:p>
      <w:pPr>
        <w:snapToGrid w:val="0"/>
        <w:spacing w:line="360" w:lineRule="auto"/>
        <w:jc w:val="left"/>
        <w:rPr>
          <w:rFonts w:hint="eastAsia" w:ascii="宋体" w:hAnsi="宋体"/>
          <w:b/>
          <w:bCs/>
          <w:sz w:val="24"/>
        </w:rPr>
      </w:pPr>
      <w:r>
        <w:rPr>
          <w:rFonts w:hint="eastAsia"/>
          <w:b/>
          <w:bCs/>
          <w:sz w:val="24"/>
        </w:rPr>
        <w:t>附件7</w:t>
      </w:r>
    </w:p>
    <w:p>
      <w:pPr>
        <w:widowControl/>
        <w:spacing w:line="360" w:lineRule="auto"/>
        <w:jc w:val="center"/>
        <w:rPr>
          <w:rFonts w:cs="宋体"/>
          <w:b/>
          <w:kern w:val="0"/>
          <w:sz w:val="28"/>
          <w:szCs w:val="28"/>
        </w:rPr>
      </w:pPr>
      <w:r>
        <w:rPr>
          <w:rFonts w:hint="eastAsia" w:cs="方正小标宋简体"/>
          <w:b/>
          <w:bCs/>
          <w:kern w:val="0"/>
          <w:sz w:val="28"/>
          <w:szCs w:val="28"/>
        </w:rPr>
        <w:t>宁波市烟草系统重点工程项目共管账户管理规定</w:t>
      </w:r>
    </w:p>
    <w:p>
      <w:pPr>
        <w:widowControl/>
        <w:spacing w:line="360" w:lineRule="auto"/>
        <w:jc w:val="center"/>
        <w:rPr>
          <w:rFonts w:cs="仿宋_GB2312"/>
          <w:b/>
          <w:kern w:val="0"/>
          <w:szCs w:val="21"/>
        </w:rPr>
      </w:pPr>
      <w:r>
        <w:rPr>
          <w:rFonts w:hint="eastAsia" w:cs="仿宋_GB2312"/>
          <w:b/>
          <w:kern w:val="0"/>
          <w:szCs w:val="21"/>
        </w:rPr>
        <w:t>第一章  总则</w:t>
      </w:r>
    </w:p>
    <w:p>
      <w:pPr>
        <w:widowControl/>
        <w:numPr>
          <w:ilvl w:val="0"/>
          <w:numId w:val="2"/>
        </w:numPr>
        <w:spacing w:line="360" w:lineRule="auto"/>
        <w:ind w:left="0" w:firstLine="482"/>
        <w:rPr>
          <w:rFonts w:cs="仿宋_GB2312"/>
          <w:kern w:val="0"/>
          <w:szCs w:val="21"/>
        </w:rPr>
      </w:pPr>
      <w:r>
        <w:rPr>
          <w:rFonts w:hint="eastAsia" w:cs="仿宋_GB2312"/>
          <w:b/>
          <w:kern w:val="0"/>
          <w:szCs w:val="21"/>
        </w:rPr>
        <w:t xml:space="preserve"> </w:t>
      </w:r>
      <w:r>
        <w:rPr>
          <w:rFonts w:hint="eastAsia" w:cs="仿宋_GB2312"/>
          <w:kern w:val="0"/>
          <w:szCs w:val="21"/>
        </w:rPr>
        <w:t>为加强重点工程项目资金管理，保证专款专用，确保项目资金安全，现根据国家局有关规定，特制定本管理规定。</w:t>
      </w:r>
    </w:p>
    <w:p>
      <w:pPr>
        <w:widowControl/>
        <w:numPr>
          <w:ilvl w:val="0"/>
          <w:numId w:val="2"/>
        </w:numPr>
        <w:spacing w:line="360" w:lineRule="auto"/>
        <w:ind w:left="0" w:firstLine="480"/>
        <w:rPr>
          <w:rFonts w:cs="仿宋_GB2312"/>
          <w:kern w:val="0"/>
          <w:szCs w:val="21"/>
        </w:rPr>
      </w:pPr>
      <w:r>
        <w:rPr>
          <w:rFonts w:hint="eastAsia" w:cs="仿宋_GB2312"/>
          <w:kern w:val="0"/>
          <w:szCs w:val="21"/>
        </w:rPr>
        <w:t xml:space="preserve"> 300万以上的项目必须设立共管账户，加强对承包人资金流向的监控，防止承包方非法转包违反合同约定分包的行为。</w:t>
      </w:r>
    </w:p>
    <w:p>
      <w:pPr>
        <w:widowControl/>
        <w:numPr>
          <w:ilvl w:val="0"/>
          <w:numId w:val="2"/>
        </w:numPr>
        <w:spacing w:line="360" w:lineRule="auto"/>
        <w:ind w:left="0" w:firstLine="480"/>
        <w:rPr>
          <w:rFonts w:cs="仿宋_GB2312"/>
          <w:kern w:val="0"/>
          <w:szCs w:val="21"/>
        </w:rPr>
      </w:pPr>
      <w:r>
        <w:rPr>
          <w:rFonts w:hint="eastAsia" w:cs="仿宋_GB2312"/>
          <w:kern w:val="0"/>
          <w:szCs w:val="21"/>
        </w:rPr>
        <w:t>发包方、承包方、银行三方在遵守国家法律、法规和政策的基础上，按照“平等自愿、协商一致、诚实信用”原则，以维护三方的利益、信誉、实现共赢为目标，签订银行共管账户共管协议。</w:t>
      </w:r>
    </w:p>
    <w:p>
      <w:pPr>
        <w:widowControl/>
        <w:numPr>
          <w:ilvl w:val="0"/>
          <w:numId w:val="2"/>
        </w:numPr>
        <w:spacing w:line="360" w:lineRule="auto"/>
        <w:ind w:left="0" w:firstLine="480"/>
        <w:rPr>
          <w:rFonts w:cs="仿宋_GB2312"/>
          <w:kern w:val="0"/>
          <w:szCs w:val="21"/>
        </w:rPr>
      </w:pPr>
      <w:r>
        <w:rPr>
          <w:rFonts w:hint="eastAsia" w:cs="仿宋_GB2312"/>
          <w:kern w:val="0"/>
          <w:szCs w:val="21"/>
        </w:rPr>
        <w:t xml:space="preserve"> 银行共管账户共管期为：从账户设立之日始至工程结算完毕之日止。</w:t>
      </w:r>
    </w:p>
    <w:p>
      <w:pPr>
        <w:widowControl/>
        <w:numPr>
          <w:ilvl w:val="0"/>
          <w:numId w:val="2"/>
        </w:numPr>
        <w:spacing w:line="360" w:lineRule="auto"/>
        <w:ind w:left="0" w:firstLine="480"/>
        <w:rPr>
          <w:rFonts w:cs="仿宋_GB2312"/>
          <w:kern w:val="0"/>
          <w:szCs w:val="21"/>
        </w:rPr>
      </w:pPr>
      <w:r>
        <w:rPr>
          <w:rFonts w:hint="eastAsia" w:cs="仿宋_GB2312"/>
          <w:kern w:val="0"/>
          <w:szCs w:val="21"/>
        </w:rPr>
        <w:t xml:space="preserve"> 共管期内承包方有权监督、查询银行共管账户内发生的资金收支活动。</w:t>
      </w:r>
    </w:p>
    <w:p>
      <w:pPr>
        <w:widowControl/>
        <w:spacing w:line="360" w:lineRule="auto"/>
        <w:jc w:val="center"/>
        <w:rPr>
          <w:rFonts w:cs="仿宋_GB2312"/>
          <w:b/>
          <w:kern w:val="0"/>
          <w:szCs w:val="21"/>
        </w:rPr>
      </w:pPr>
      <w:r>
        <w:rPr>
          <w:rFonts w:hint="eastAsia" w:cs="仿宋_GB2312"/>
          <w:b/>
          <w:kern w:val="0"/>
          <w:szCs w:val="21"/>
        </w:rPr>
        <w:t>第二章  银行共管账户设立</w:t>
      </w:r>
    </w:p>
    <w:p>
      <w:pPr>
        <w:widowControl/>
        <w:numPr>
          <w:ilvl w:val="0"/>
          <w:numId w:val="2"/>
        </w:numPr>
        <w:spacing w:line="360" w:lineRule="auto"/>
        <w:ind w:left="0" w:firstLine="480"/>
        <w:rPr>
          <w:rFonts w:cs="仿宋_GB2312"/>
          <w:kern w:val="0"/>
          <w:szCs w:val="21"/>
        </w:rPr>
      </w:pPr>
      <w:r>
        <w:rPr>
          <w:rFonts w:hint="eastAsia" w:cs="仿宋_GB2312"/>
          <w:kern w:val="0"/>
          <w:szCs w:val="21"/>
        </w:rPr>
        <w:t xml:space="preserve"> 由承包方设立银行共管账户，并按本管理规定签订银行共管账户协议。承包方不得撤销或者更改该共管账户性质，不得将此账户对外抵押或担保。</w:t>
      </w:r>
    </w:p>
    <w:p>
      <w:pPr>
        <w:widowControl/>
        <w:numPr>
          <w:ilvl w:val="0"/>
          <w:numId w:val="2"/>
        </w:numPr>
        <w:spacing w:line="360" w:lineRule="auto"/>
        <w:ind w:left="0" w:firstLine="480"/>
        <w:rPr>
          <w:rFonts w:cs="仿宋_GB2312"/>
          <w:kern w:val="0"/>
          <w:szCs w:val="21"/>
        </w:rPr>
      </w:pPr>
      <w:r>
        <w:rPr>
          <w:rFonts w:hint="eastAsia" w:cs="仿宋_GB2312"/>
          <w:b/>
          <w:kern w:val="0"/>
          <w:szCs w:val="21"/>
        </w:rPr>
        <w:t xml:space="preserve"> </w:t>
      </w:r>
      <w:r>
        <w:rPr>
          <w:rFonts w:hint="eastAsia" w:cs="仿宋_GB2312"/>
          <w:kern w:val="0"/>
          <w:szCs w:val="21"/>
        </w:rPr>
        <w:t>银行共管账户应于工程承包合同签订后并于发包方向承包方支付合同预付款前开设完毕。银行共管账户预留银行印签应为承包方财务专用章、单位法人印鉴章和发包方单位法人专用章，未经发包方书面同意，不得私自更换预留印签。</w:t>
      </w:r>
    </w:p>
    <w:p>
      <w:pPr>
        <w:widowControl/>
        <w:numPr>
          <w:ilvl w:val="0"/>
          <w:numId w:val="2"/>
        </w:numPr>
        <w:spacing w:line="360" w:lineRule="auto"/>
        <w:ind w:left="0" w:firstLine="480"/>
        <w:rPr>
          <w:rFonts w:cs="仿宋_GB2312"/>
          <w:kern w:val="0"/>
          <w:szCs w:val="21"/>
        </w:rPr>
      </w:pPr>
      <w:r>
        <w:rPr>
          <w:rFonts w:hint="eastAsia" w:cs="仿宋_GB2312"/>
          <w:b/>
          <w:kern w:val="0"/>
          <w:szCs w:val="21"/>
        </w:rPr>
        <w:t xml:space="preserve"> </w:t>
      </w:r>
      <w:r>
        <w:rPr>
          <w:rFonts w:hint="eastAsia" w:cs="仿宋_GB2312"/>
          <w:kern w:val="0"/>
          <w:szCs w:val="21"/>
        </w:rPr>
        <w:t>银行共管账户在共管期内仅用于承包方中标项目的资金收支使用，包括：发包方向承包方支付工程预付款、进度款和结算款；承包方工程施工过程中的主要原材料和设备采购、劳务费、设备租赁费以及采购费等相关非现金款项支出。承包方与该项目无关的收入支出均不得通过银行共管账户。</w:t>
      </w:r>
    </w:p>
    <w:p>
      <w:pPr>
        <w:widowControl/>
        <w:numPr>
          <w:ilvl w:val="0"/>
          <w:numId w:val="2"/>
        </w:numPr>
        <w:spacing w:line="360" w:lineRule="auto"/>
        <w:ind w:left="0" w:firstLine="480"/>
        <w:rPr>
          <w:rFonts w:cs="仿宋_GB2312"/>
          <w:kern w:val="0"/>
          <w:szCs w:val="21"/>
        </w:rPr>
      </w:pPr>
      <w:r>
        <w:rPr>
          <w:rFonts w:hint="eastAsia" w:cs="仿宋_GB2312"/>
          <w:kern w:val="0"/>
          <w:szCs w:val="21"/>
        </w:rPr>
        <w:t> 银行共管账户的支出只能通过开户银行柜台支付方式；银行共管账户采用转账支票结算方式的，不得背书转让；银行共管账户只能开通网银查询功能，不能开通网银支付功能。</w:t>
      </w:r>
    </w:p>
    <w:p>
      <w:pPr>
        <w:widowControl/>
        <w:spacing w:line="360" w:lineRule="auto"/>
        <w:jc w:val="center"/>
        <w:rPr>
          <w:rFonts w:cs="仿宋_GB2312"/>
          <w:b/>
          <w:kern w:val="0"/>
          <w:szCs w:val="21"/>
        </w:rPr>
      </w:pPr>
      <w:r>
        <w:rPr>
          <w:rFonts w:hint="eastAsia" w:cs="仿宋_GB2312"/>
          <w:b/>
          <w:kern w:val="0"/>
          <w:szCs w:val="21"/>
        </w:rPr>
        <w:t>第三章  银行共管账户管理流程</w:t>
      </w:r>
    </w:p>
    <w:p>
      <w:pPr>
        <w:widowControl/>
        <w:numPr>
          <w:ilvl w:val="0"/>
          <w:numId w:val="2"/>
        </w:numPr>
        <w:spacing w:line="360" w:lineRule="auto"/>
        <w:ind w:left="0" w:firstLine="480"/>
        <w:rPr>
          <w:rFonts w:cs="仿宋_GB2312"/>
          <w:kern w:val="0"/>
          <w:szCs w:val="21"/>
        </w:rPr>
      </w:pPr>
      <w:r>
        <w:rPr>
          <w:rFonts w:hint="eastAsia" w:cs="仿宋_GB2312"/>
          <w:kern w:val="0"/>
          <w:szCs w:val="21"/>
        </w:rPr>
        <w:t xml:space="preserve"> 发包方按照合同将工程款项按时划入银行共管账户。</w:t>
      </w:r>
    </w:p>
    <w:p>
      <w:pPr>
        <w:widowControl/>
        <w:numPr>
          <w:ilvl w:val="0"/>
          <w:numId w:val="2"/>
        </w:numPr>
        <w:spacing w:line="360" w:lineRule="auto"/>
        <w:ind w:left="0" w:firstLine="480"/>
        <w:rPr>
          <w:rFonts w:cs="仿宋_GB2312"/>
          <w:kern w:val="0"/>
          <w:szCs w:val="21"/>
        </w:rPr>
      </w:pPr>
      <w:r>
        <w:rPr>
          <w:rFonts w:hint="eastAsia" w:cs="仿宋_GB2312"/>
          <w:kern w:val="0"/>
          <w:szCs w:val="21"/>
        </w:rPr>
        <w:t>发包方有权无偿从银行获取承包方有关银行共管账户的资料，包括对帐单、存款余额、账户资金收支明细资料以及网上银行查询权等。承包方承诺不向第三方泄漏银行共管账户的资料、信息。</w:t>
      </w:r>
    </w:p>
    <w:p>
      <w:pPr>
        <w:widowControl/>
        <w:numPr>
          <w:ilvl w:val="0"/>
          <w:numId w:val="2"/>
        </w:numPr>
        <w:spacing w:line="360" w:lineRule="auto"/>
        <w:ind w:left="0" w:firstLine="480"/>
        <w:rPr>
          <w:rFonts w:cs="仿宋_GB2312"/>
          <w:kern w:val="0"/>
          <w:szCs w:val="21"/>
        </w:rPr>
      </w:pPr>
      <w:r>
        <w:rPr>
          <w:rFonts w:hint="eastAsia" w:cs="仿宋_GB2312"/>
          <w:kern w:val="0"/>
          <w:szCs w:val="21"/>
        </w:rPr>
        <w:t>承包方在与主要材料、重要设备供应商（分包商）签订合同、协议后须将相关资料报发包方备案。</w:t>
      </w:r>
    </w:p>
    <w:p>
      <w:pPr>
        <w:widowControl/>
        <w:spacing w:line="360" w:lineRule="auto"/>
        <w:ind w:firstLine="420" w:firstLineChars="200"/>
        <w:rPr>
          <w:rFonts w:cs="仿宋_GB2312"/>
          <w:kern w:val="0"/>
          <w:szCs w:val="21"/>
        </w:rPr>
      </w:pPr>
      <w:r>
        <w:rPr>
          <w:rFonts w:hint="eastAsia" w:cs="仿宋_GB2312"/>
          <w:kern w:val="0"/>
          <w:szCs w:val="21"/>
        </w:rPr>
        <w:t>主要材料是指承包方中标工程单笔付款金额在20万元及以上的材料；重要设备是指承包方中标工程所需采购的单台（套）设备金额在10万元以上的设备。在发包方、承包方签订施工合同前，双方共同确定本项工程所涉及的主要材料、重要设备的范围。</w:t>
      </w:r>
    </w:p>
    <w:p>
      <w:pPr>
        <w:widowControl/>
        <w:spacing w:line="360" w:lineRule="auto"/>
        <w:ind w:firstLine="420" w:firstLineChars="200"/>
        <w:rPr>
          <w:rFonts w:cs="仿宋_GB2312"/>
          <w:kern w:val="0"/>
          <w:szCs w:val="21"/>
        </w:rPr>
      </w:pPr>
      <w:r>
        <w:rPr>
          <w:rFonts w:hint="eastAsia" w:cs="仿宋_GB2312"/>
          <w:kern w:val="0"/>
          <w:szCs w:val="21"/>
        </w:rPr>
        <w:t>相关资料包括：供应商（分包商）营业执照、税务登记证、合同或协议等复印件，结算户银行账号。</w:t>
      </w:r>
    </w:p>
    <w:p>
      <w:pPr>
        <w:widowControl/>
        <w:numPr>
          <w:ilvl w:val="0"/>
          <w:numId w:val="2"/>
        </w:numPr>
        <w:spacing w:line="360" w:lineRule="auto"/>
        <w:ind w:left="0" w:firstLine="480"/>
        <w:rPr>
          <w:rFonts w:cs="仿宋_GB2312"/>
          <w:kern w:val="0"/>
          <w:szCs w:val="21"/>
        </w:rPr>
      </w:pPr>
      <w:r>
        <w:rPr>
          <w:rFonts w:hint="eastAsia" w:cs="仿宋_GB2312"/>
          <w:kern w:val="0"/>
          <w:szCs w:val="21"/>
        </w:rPr>
        <w:t>承包方支付款项实行书面告知制度。支付款项前，承包方须书面告知发包方后方可通过银行支付。</w:t>
      </w:r>
    </w:p>
    <w:p>
      <w:pPr>
        <w:widowControl/>
        <w:numPr>
          <w:ilvl w:val="0"/>
          <w:numId w:val="2"/>
        </w:numPr>
        <w:spacing w:line="360" w:lineRule="auto"/>
        <w:ind w:left="0" w:firstLine="480"/>
        <w:rPr>
          <w:rFonts w:cs="仿宋_GB2312"/>
          <w:kern w:val="0"/>
          <w:szCs w:val="21"/>
        </w:rPr>
      </w:pPr>
      <w:r>
        <w:rPr>
          <w:rFonts w:hint="eastAsia" w:cs="仿宋_GB2312"/>
          <w:kern w:val="0"/>
          <w:szCs w:val="21"/>
        </w:rPr>
        <w:t>承包方付款项书面告知相关资料要求如下：</w:t>
      </w:r>
    </w:p>
    <w:p>
      <w:pPr>
        <w:widowControl/>
        <w:spacing w:line="360" w:lineRule="auto"/>
        <w:ind w:firstLine="420" w:firstLineChars="200"/>
        <w:rPr>
          <w:rFonts w:cs="仿宋_GB2312"/>
          <w:kern w:val="0"/>
          <w:szCs w:val="21"/>
        </w:rPr>
      </w:pPr>
      <w:r>
        <w:rPr>
          <w:rFonts w:hint="eastAsia" w:cs="仿宋_GB2312"/>
          <w:kern w:val="0"/>
          <w:szCs w:val="21"/>
        </w:rPr>
        <w:t>（一）支付主要材料、主要设备款项：需提供材料进场验收单（销售发票）、购销合同等。若是支付预付款，可先提供购销合同，材料进场验收单或销售发票待支付此笔款项前提交。</w:t>
      </w:r>
    </w:p>
    <w:p>
      <w:pPr>
        <w:widowControl/>
        <w:spacing w:line="360" w:lineRule="auto"/>
        <w:ind w:firstLine="420" w:firstLineChars="200"/>
        <w:rPr>
          <w:rFonts w:cs="仿宋_GB2312"/>
          <w:kern w:val="0"/>
          <w:szCs w:val="21"/>
        </w:rPr>
      </w:pPr>
      <w:r>
        <w:rPr>
          <w:rFonts w:hint="eastAsia" w:cs="仿宋_GB2312"/>
          <w:kern w:val="0"/>
          <w:szCs w:val="21"/>
        </w:rPr>
        <w:t>（二）支付人员工资、劳务费、利润及管理费：需提供工资发放计划、工资表或者劳务供应商的营业发票。支付利润及管理费需提供申请书，预付款部分不得支付利润及管理费。</w:t>
      </w:r>
    </w:p>
    <w:p>
      <w:pPr>
        <w:widowControl/>
        <w:spacing w:line="360" w:lineRule="auto"/>
        <w:ind w:firstLine="420" w:firstLineChars="200"/>
        <w:rPr>
          <w:rFonts w:cs="仿宋_GB2312"/>
          <w:kern w:val="0"/>
          <w:szCs w:val="21"/>
        </w:rPr>
      </w:pPr>
      <w:r>
        <w:rPr>
          <w:rFonts w:hint="eastAsia" w:cs="仿宋_GB2312"/>
          <w:kern w:val="0"/>
          <w:szCs w:val="21"/>
        </w:rPr>
        <w:t>（三）支付零星材料、其他支出款项：须在月初将本月打算支付的款项预算报“项目实施小组”备案，在支付时将款项打包打入承包方基本账户。</w:t>
      </w:r>
    </w:p>
    <w:p>
      <w:pPr>
        <w:widowControl/>
        <w:spacing w:line="360" w:lineRule="auto"/>
        <w:ind w:firstLine="420" w:firstLineChars="200"/>
        <w:rPr>
          <w:rFonts w:cs="仿宋_GB2312"/>
          <w:kern w:val="0"/>
          <w:szCs w:val="21"/>
        </w:rPr>
      </w:pPr>
      <w:r>
        <w:rPr>
          <w:rFonts w:hint="eastAsia" w:cs="仿宋_GB2312"/>
          <w:kern w:val="0"/>
          <w:szCs w:val="21"/>
        </w:rPr>
        <w:t>（四）其他类别付款参照执行。</w:t>
      </w:r>
    </w:p>
    <w:p>
      <w:pPr>
        <w:widowControl/>
        <w:numPr>
          <w:ilvl w:val="0"/>
          <w:numId w:val="2"/>
        </w:numPr>
        <w:spacing w:line="360" w:lineRule="auto"/>
        <w:ind w:left="0" w:firstLine="480"/>
        <w:rPr>
          <w:rFonts w:cs="仿宋_GB2312"/>
          <w:kern w:val="0"/>
          <w:szCs w:val="21"/>
        </w:rPr>
      </w:pPr>
      <w:r>
        <w:rPr>
          <w:rFonts w:hint="eastAsia" w:cs="仿宋_GB2312"/>
          <w:kern w:val="0"/>
          <w:szCs w:val="21"/>
        </w:rPr>
        <w:t>银行应主动配合发包方加强对银行共管账户使用的监督管理，及时提供对帐单、存款余额、账户资金收支明细资料以及开通网上银行查询等功能。银行应于每月15日前向发包方提供上月银行共管账户对帐单（书面或电子版）。</w:t>
      </w:r>
    </w:p>
    <w:p>
      <w:pPr>
        <w:widowControl/>
        <w:numPr>
          <w:ilvl w:val="0"/>
          <w:numId w:val="2"/>
        </w:numPr>
        <w:spacing w:line="360" w:lineRule="auto"/>
        <w:ind w:left="0" w:firstLine="480"/>
        <w:rPr>
          <w:rFonts w:cs="仿宋_GB2312"/>
          <w:kern w:val="0"/>
          <w:szCs w:val="21"/>
        </w:rPr>
      </w:pPr>
      <w:r>
        <w:rPr>
          <w:rFonts w:hint="eastAsia" w:cs="仿宋_GB2312"/>
          <w:kern w:val="0"/>
          <w:szCs w:val="21"/>
        </w:rPr>
        <w:t>项目办将承包方向银行提供的款项支付明细表和书面对帐单进行检查、核对，确定是否有出入，并报项目监督管理小组。</w:t>
      </w:r>
    </w:p>
    <w:p>
      <w:pPr>
        <w:widowControl/>
        <w:spacing w:line="360" w:lineRule="auto"/>
        <w:jc w:val="center"/>
        <w:rPr>
          <w:rFonts w:cs="仿宋_GB2312"/>
          <w:b/>
          <w:kern w:val="0"/>
          <w:szCs w:val="21"/>
        </w:rPr>
      </w:pPr>
      <w:r>
        <w:rPr>
          <w:rFonts w:hint="eastAsia" w:cs="仿宋_GB2312"/>
          <w:b/>
          <w:kern w:val="0"/>
          <w:szCs w:val="21"/>
        </w:rPr>
        <w:t>第四章  共管责任</w:t>
      </w:r>
    </w:p>
    <w:p>
      <w:pPr>
        <w:widowControl/>
        <w:numPr>
          <w:ilvl w:val="0"/>
          <w:numId w:val="2"/>
        </w:numPr>
        <w:spacing w:line="360" w:lineRule="auto"/>
        <w:ind w:left="0" w:firstLine="480"/>
        <w:rPr>
          <w:rFonts w:cs="仿宋_GB2312"/>
          <w:kern w:val="0"/>
          <w:szCs w:val="21"/>
        </w:rPr>
      </w:pPr>
      <w:r>
        <w:rPr>
          <w:rFonts w:hint="eastAsia" w:cs="仿宋_GB2312"/>
          <w:kern w:val="0"/>
          <w:szCs w:val="21"/>
        </w:rPr>
        <w:t>承包方未能遵守承诺应履行备案义务而未备案的，发包方有权通知银行停止向未备案的账户支付款项。</w:t>
      </w:r>
    </w:p>
    <w:p>
      <w:pPr>
        <w:widowControl/>
        <w:numPr>
          <w:ilvl w:val="0"/>
          <w:numId w:val="2"/>
        </w:numPr>
        <w:spacing w:line="360" w:lineRule="auto"/>
        <w:ind w:left="0" w:firstLine="480"/>
        <w:rPr>
          <w:rFonts w:cs="仿宋_GB2312"/>
          <w:kern w:val="0"/>
          <w:szCs w:val="21"/>
        </w:rPr>
      </w:pPr>
      <w:r>
        <w:rPr>
          <w:rFonts w:hint="eastAsia" w:cs="仿宋_GB2312"/>
          <w:kern w:val="0"/>
          <w:szCs w:val="21"/>
        </w:rPr>
        <w:t>承包方未能遵守承诺在应履行告知义务而未告知，或未能遵守本办法其他条款的，承包方下一期进度款将暂停支付，直至书面材料送达方可支付下一期进度款。</w:t>
      </w:r>
    </w:p>
    <w:p>
      <w:pPr>
        <w:widowControl/>
        <w:numPr>
          <w:ilvl w:val="0"/>
          <w:numId w:val="2"/>
        </w:numPr>
        <w:spacing w:line="360" w:lineRule="auto"/>
        <w:ind w:left="0" w:firstLine="480"/>
        <w:rPr>
          <w:rFonts w:cs="仿宋_GB2312"/>
          <w:kern w:val="0"/>
          <w:szCs w:val="21"/>
        </w:rPr>
      </w:pPr>
      <w:r>
        <w:rPr>
          <w:rFonts w:hint="eastAsia" w:cs="仿宋_GB2312"/>
          <w:kern w:val="0"/>
          <w:szCs w:val="21"/>
        </w:rPr>
        <w:t>承包方如不履行或不遵守本规定所载明的条款而导致的一切损失和法律责任由承包方自行负责。</w:t>
      </w:r>
    </w:p>
    <w:p>
      <w:pPr>
        <w:widowControl/>
        <w:numPr>
          <w:ilvl w:val="0"/>
          <w:numId w:val="2"/>
        </w:numPr>
        <w:spacing w:line="360" w:lineRule="auto"/>
        <w:ind w:left="0" w:firstLine="420" w:firstLineChars="200"/>
        <w:jc w:val="left"/>
        <w:rPr>
          <w:rFonts w:cs="宋体"/>
          <w:kern w:val="0"/>
          <w:szCs w:val="21"/>
        </w:rPr>
      </w:pPr>
      <w:r>
        <w:rPr>
          <w:rFonts w:hint="eastAsia" w:cs="仿宋_GB2312"/>
          <w:kern w:val="0"/>
          <w:szCs w:val="21"/>
        </w:rPr>
        <w:t>发包方如未履行或未遵守本规定所载明的条款而导致的一切损失和法律责任由发包方自行负责。</w:t>
      </w:r>
    </w:p>
    <w:p>
      <w:pPr>
        <w:widowControl/>
        <w:spacing w:line="360" w:lineRule="auto"/>
        <w:jc w:val="left"/>
        <w:rPr>
          <w:rFonts w:hint="eastAsia" w:ascii="宋体" w:hAnsi="宋体"/>
          <w:b/>
          <w:bCs/>
          <w:szCs w:val="28"/>
        </w:rPr>
      </w:pPr>
      <w:r>
        <w:rPr>
          <w:rFonts w:ascii="宋体" w:hAnsi="宋体" w:cs="宋体"/>
          <w:szCs w:val="21"/>
        </w:rPr>
        <w:br w:type="page"/>
      </w:r>
      <w:r>
        <w:rPr>
          <w:rFonts w:hint="eastAsia"/>
          <w:b/>
          <w:bCs/>
          <w:sz w:val="24"/>
        </w:rPr>
        <w:t>附件8</w:t>
      </w:r>
    </w:p>
    <w:p>
      <w:pPr>
        <w:pStyle w:val="52"/>
        <w:autoSpaceDE w:val="0"/>
        <w:autoSpaceDN w:val="0"/>
        <w:spacing w:before="0" w:after="0" w:line="360" w:lineRule="auto"/>
        <w:ind w:firstLine="211"/>
        <w:textAlignment w:val="bottom"/>
        <w:rPr>
          <w:rFonts w:ascii="Times New Roman" w:eastAsia="宋体" w:cs="仿宋"/>
          <w:b/>
          <w:bCs/>
          <w:kern w:val="2"/>
          <w:szCs w:val="28"/>
        </w:rPr>
      </w:pPr>
      <w:r>
        <w:rPr>
          <w:rFonts w:ascii="Times New Roman" w:eastAsia="宋体" w:cs="仿宋"/>
          <w:b/>
          <w:bCs/>
          <w:kern w:val="2"/>
          <w:szCs w:val="28"/>
        </w:rPr>
        <w:t>工程资金管理协议书</w:t>
      </w:r>
    </w:p>
    <w:p>
      <w:pPr>
        <w:spacing w:line="360" w:lineRule="auto"/>
        <w:rPr>
          <w:szCs w:val="21"/>
        </w:rPr>
      </w:pPr>
      <w:r>
        <w:rPr>
          <w:szCs w:val="21"/>
        </w:rPr>
        <w:t>业    主：</w:t>
      </w:r>
      <w:r>
        <w:rPr>
          <w:rFonts w:hint="eastAsia"/>
          <w:bCs/>
          <w:szCs w:val="21"/>
          <w:u w:val="single"/>
        </w:rPr>
        <w:t>浙江省烟草公司宁波市公司</w:t>
      </w:r>
      <w:r>
        <w:rPr>
          <w:szCs w:val="21"/>
        </w:rPr>
        <w:t>（以下简称</w:t>
      </w:r>
      <w:r>
        <w:rPr>
          <w:rFonts w:hint="eastAsia"/>
          <w:szCs w:val="21"/>
        </w:rPr>
        <w:t>“</w:t>
      </w:r>
      <w:r>
        <w:rPr>
          <w:szCs w:val="21"/>
        </w:rPr>
        <w:t>甲方</w:t>
      </w:r>
      <w:r>
        <w:rPr>
          <w:rFonts w:hint="eastAsia"/>
          <w:szCs w:val="21"/>
        </w:rPr>
        <w:t>”</w:t>
      </w:r>
      <w:r>
        <w:rPr>
          <w:szCs w:val="21"/>
        </w:rPr>
        <w:t>）</w:t>
      </w:r>
    </w:p>
    <w:p>
      <w:pPr>
        <w:spacing w:line="360" w:lineRule="auto"/>
        <w:rPr>
          <w:szCs w:val="21"/>
        </w:rPr>
      </w:pPr>
      <w:r>
        <w:rPr>
          <w:szCs w:val="21"/>
        </w:rPr>
        <w:t>承 包 人：</w:t>
      </w:r>
      <w:r>
        <w:rPr>
          <w:rFonts w:hint="eastAsia" w:cs="宋体"/>
          <w:bCs/>
          <w:kern w:val="0"/>
          <w:szCs w:val="21"/>
          <w:u w:val="single"/>
        </w:rPr>
        <w:t xml:space="preserve">                      </w:t>
      </w:r>
      <w:r>
        <w:rPr>
          <w:rFonts w:hint="eastAsia"/>
          <w:bCs/>
          <w:kern w:val="0"/>
          <w:szCs w:val="21"/>
          <w:u w:val="single"/>
        </w:rPr>
        <w:t xml:space="preserve">  </w:t>
      </w:r>
      <w:r>
        <w:rPr>
          <w:szCs w:val="21"/>
        </w:rPr>
        <w:t>（以下简称</w:t>
      </w:r>
      <w:r>
        <w:rPr>
          <w:rFonts w:hint="eastAsia"/>
          <w:szCs w:val="21"/>
        </w:rPr>
        <w:t>“</w:t>
      </w:r>
      <w:r>
        <w:rPr>
          <w:szCs w:val="21"/>
        </w:rPr>
        <w:t>乙方</w:t>
      </w:r>
      <w:r>
        <w:rPr>
          <w:rFonts w:hint="eastAsia"/>
          <w:szCs w:val="21"/>
        </w:rPr>
        <w:t>”</w:t>
      </w:r>
      <w:r>
        <w:rPr>
          <w:szCs w:val="21"/>
        </w:rPr>
        <w:t>）</w:t>
      </w:r>
    </w:p>
    <w:p>
      <w:pPr>
        <w:spacing w:line="360" w:lineRule="auto"/>
        <w:rPr>
          <w:szCs w:val="21"/>
        </w:rPr>
      </w:pPr>
      <w:r>
        <w:rPr>
          <w:szCs w:val="21"/>
        </w:rPr>
        <w:t>经办银行：</w:t>
      </w:r>
      <w:r>
        <w:rPr>
          <w:szCs w:val="21"/>
          <w:u w:val="single"/>
        </w:rPr>
        <w:t xml:space="preserve"> </w:t>
      </w:r>
      <w:r>
        <w:rPr>
          <w:rFonts w:hint="eastAsia"/>
          <w:szCs w:val="21"/>
          <w:u w:val="single"/>
        </w:rPr>
        <w:t xml:space="preserve">                     </w:t>
      </w:r>
      <w:r>
        <w:rPr>
          <w:szCs w:val="21"/>
          <w:u w:val="single"/>
        </w:rPr>
        <w:t xml:space="preserve">  </w:t>
      </w:r>
      <w:r>
        <w:rPr>
          <w:szCs w:val="21"/>
        </w:rPr>
        <w:t>（以下简称</w:t>
      </w:r>
      <w:r>
        <w:rPr>
          <w:rFonts w:hint="eastAsia"/>
          <w:szCs w:val="21"/>
        </w:rPr>
        <w:t>“</w:t>
      </w:r>
      <w:r>
        <w:rPr>
          <w:szCs w:val="21"/>
        </w:rPr>
        <w:t>丙方</w:t>
      </w:r>
      <w:r>
        <w:rPr>
          <w:rFonts w:hint="eastAsia"/>
          <w:szCs w:val="21"/>
        </w:rPr>
        <w:t>”</w:t>
      </w:r>
      <w:r>
        <w:rPr>
          <w:szCs w:val="21"/>
        </w:rPr>
        <w:t>）</w:t>
      </w:r>
    </w:p>
    <w:p>
      <w:pPr>
        <w:spacing w:line="360" w:lineRule="auto"/>
        <w:ind w:firstLine="420" w:firstLineChars="200"/>
        <w:rPr>
          <w:szCs w:val="21"/>
        </w:rPr>
      </w:pPr>
      <w:r>
        <w:rPr>
          <w:szCs w:val="21"/>
        </w:rPr>
        <w:t>为了确保</w:t>
      </w:r>
      <w:r>
        <w:rPr>
          <w:rFonts w:hint="eastAsia"/>
          <w:szCs w:val="21"/>
        </w:rPr>
        <w:t>本</w:t>
      </w:r>
      <w:r>
        <w:rPr>
          <w:szCs w:val="21"/>
        </w:rPr>
        <w:t>项目的顺利实施，管好用好建设资金，确保工程资金专款专用，同时为施工承包单位提供便捷有效的银行业务服务，根据</w:t>
      </w:r>
      <w:r>
        <w:rPr>
          <w:rFonts w:hint="eastAsia"/>
          <w:kern w:val="0"/>
          <w:szCs w:val="21"/>
          <w:u w:val="single"/>
        </w:rPr>
        <w:t>宁波市烟草公司配送中心全品规备货系统扩容技改项目</w:t>
      </w:r>
      <w:r>
        <w:rPr>
          <w:szCs w:val="21"/>
        </w:rPr>
        <w:t>合同专用条款有关</w:t>
      </w:r>
      <w:r>
        <w:rPr>
          <w:rFonts w:hint="eastAsia"/>
          <w:szCs w:val="21"/>
        </w:rPr>
        <w:t>约定</w:t>
      </w:r>
      <w:r>
        <w:rPr>
          <w:szCs w:val="21"/>
        </w:rPr>
        <w:t>，经甲、乙、丙三方协商，达成协议如下：</w:t>
      </w:r>
    </w:p>
    <w:p>
      <w:pPr>
        <w:spacing w:line="360" w:lineRule="auto"/>
        <w:ind w:firstLine="420" w:firstLineChars="200"/>
        <w:rPr>
          <w:szCs w:val="21"/>
        </w:rPr>
      </w:pPr>
      <w:r>
        <w:rPr>
          <w:szCs w:val="21"/>
        </w:rPr>
        <w:t>一、资金管理内容</w:t>
      </w:r>
    </w:p>
    <w:p>
      <w:pPr>
        <w:spacing w:line="360" w:lineRule="auto"/>
        <w:ind w:firstLine="420" w:firstLineChars="200"/>
        <w:rPr>
          <w:szCs w:val="21"/>
        </w:rPr>
      </w:pPr>
      <w:r>
        <w:rPr>
          <w:szCs w:val="21"/>
        </w:rPr>
        <w:t>1</w:t>
      </w:r>
      <w:r>
        <w:rPr>
          <w:rFonts w:hint="eastAsia"/>
          <w:szCs w:val="21"/>
        </w:rPr>
        <w:t>、</w:t>
      </w:r>
      <w:r>
        <w:rPr>
          <w:szCs w:val="21"/>
        </w:rPr>
        <w:t>乙方为完成</w:t>
      </w:r>
      <w:r>
        <w:rPr>
          <w:rFonts w:hint="eastAsia"/>
          <w:kern w:val="0"/>
          <w:szCs w:val="21"/>
          <w:u w:val="single"/>
        </w:rPr>
        <w:t>宁波市烟草公司配送中心全品规备货系统扩容技改项目</w:t>
      </w:r>
      <w:r>
        <w:rPr>
          <w:szCs w:val="21"/>
        </w:rPr>
        <w:t>成立的项目经理部在丙方开设</w:t>
      </w:r>
      <w:r>
        <w:rPr>
          <w:rFonts w:hint="eastAsia"/>
          <w:szCs w:val="21"/>
        </w:rPr>
        <w:t>监管账户，户名：</w:t>
      </w:r>
      <w:r>
        <w:rPr>
          <w:rFonts w:hint="eastAsia" w:cs="宋体"/>
          <w:szCs w:val="21"/>
          <w:u w:val="single"/>
        </w:rPr>
        <w:t xml:space="preserve">                      </w:t>
      </w:r>
      <w:r>
        <w:rPr>
          <w:rFonts w:hint="eastAsia"/>
          <w:szCs w:val="21"/>
        </w:rPr>
        <w:t>，账号：</w:t>
      </w:r>
      <w:r>
        <w:rPr>
          <w:rFonts w:hint="eastAsia" w:cs="宋体"/>
          <w:szCs w:val="21"/>
          <w:u w:val="single"/>
        </w:rPr>
        <w:t xml:space="preserve">                    </w:t>
      </w:r>
      <w:r>
        <w:rPr>
          <w:rFonts w:hint="eastAsia"/>
          <w:szCs w:val="21"/>
        </w:rPr>
        <w:t>。</w:t>
      </w:r>
    </w:p>
    <w:p>
      <w:pPr>
        <w:spacing w:line="360" w:lineRule="auto"/>
        <w:ind w:firstLine="420" w:firstLineChars="200"/>
        <w:rPr>
          <w:szCs w:val="21"/>
        </w:rPr>
      </w:pPr>
      <w:r>
        <w:rPr>
          <w:szCs w:val="21"/>
        </w:rPr>
        <w:t>2</w:t>
      </w:r>
      <w:r>
        <w:rPr>
          <w:rFonts w:hint="eastAsia"/>
          <w:szCs w:val="21"/>
        </w:rPr>
        <w:t>、</w:t>
      </w:r>
      <w:r>
        <w:rPr>
          <w:szCs w:val="21"/>
        </w:rPr>
        <w:t>甲方应按合同</w:t>
      </w:r>
      <w:r>
        <w:rPr>
          <w:rFonts w:hint="eastAsia"/>
          <w:szCs w:val="21"/>
        </w:rPr>
        <w:t>约定</w:t>
      </w:r>
      <w:r>
        <w:rPr>
          <w:szCs w:val="21"/>
        </w:rPr>
        <w:t>及按工程进度完成情况，将工程款（保留金除外）汇入乙方开设的帐户；</w:t>
      </w:r>
    </w:p>
    <w:p>
      <w:pPr>
        <w:spacing w:line="360" w:lineRule="auto"/>
        <w:ind w:firstLine="420" w:firstLineChars="200"/>
        <w:rPr>
          <w:szCs w:val="21"/>
        </w:rPr>
      </w:pPr>
      <w:r>
        <w:rPr>
          <w:szCs w:val="21"/>
        </w:rPr>
        <w:t>3</w:t>
      </w:r>
      <w:r>
        <w:rPr>
          <w:rFonts w:hint="eastAsia"/>
          <w:szCs w:val="21"/>
        </w:rPr>
        <w:t>、</w:t>
      </w:r>
      <w:r>
        <w:rPr>
          <w:szCs w:val="21"/>
        </w:rPr>
        <w:t>乙方应将项目自有资金及甲方所拨付资金专项用于</w:t>
      </w:r>
      <w:r>
        <w:rPr>
          <w:rFonts w:hint="eastAsia"/>
          <w:szCs w:val="21"/>
        </w:rPr>
        <w:t>本项目的</w:t>
      </w:r>
      <w:r>
        <w:rPr>
          <w:szCs w:val="21"/>
        </w:rPr>
        <w:t>建设；</w:t>
      </w:r>
    </w:p>
    <w:p>
      <w:pPr>
        <w:spacing w:line="360" w:lineRule="auto"/>
        <w:ind w:firstLine="420" w:firstLineChars="200"/>
        <w:rPr>
          <w:szCs w:val="21"/>
        </w:rPr>
      </w:pPr>
      <w:r>
        <w:rPr>
          <w:szCs w:val="21"/>
        </w:rPr>
        <w:t>4</w:t>
      </w:r>
      <w:r>
        <w:rPr>
          <w:rFonts w:hint="eastAsia"/>
          <w:szCs w:val="21"/>
        </w:rPr>
        <w:t>、</w:t>
      </w:r>
      <w:r>
        <w:rPr>
          <w:szCs w:val="21"/>
        </w:rPr>
        <w:t>丙方应为乙方提供便捷有效的银行业务服务，并接受甲</w:t>
      </w:r>
      <w:r>
        <w:rPr>
          <w:rFonts w:hint="eastAsia"/>
          <w:szCs w:val="21"/>
        </w:rPr>
        <w:t>乙双</w:t>
      </w:r>
      <w:r>
        <w:rPr>
          <w:szCs w:val="21"/>
        </w:rPr>
        <w:t>方委托对乙方在丙方开设的</w:t>
      </w:r>
      <w:r>
        <w:rPr>
          <w:rFonts w:hint="eastAsia"/>
          <w:szCs w:val="21"/>
        </w:rPr>
        <w:t>监管账户</w:t>
      </w:r>
      <w:r>
        <w:rPr>
          <w:szCs w:val="21"/>
        </w:rPr>
        <w:t>资金使用情况进行监督。</w:t>
      </w:r>
    </w:p>
    <w:p>
      <w:pPr>
        <w:spacing w:line="360" w:lineRule="auto"/>
        <w:ind w:firstLine="420" w:firstLineChars="200"/>
        <w:rPr>
          <w:szCs w:val="21"/>
        </w:rPr>
      </w:pPr>
      <w:r>
        <w:rPr>
          <w:szCs w:val="21"/>
        </w:rPr>
        <w:t>5</w:t>
      </w:r>
      <w:r>
        <w:rPr>
          <w:rFonts w:hint="eastAsia"/>
          <w:szCs w:val="21"/>
        </w:rPr>
        <w:t>、</w:t>
      </w:r>
      <w:r>
        <w:rPr>
          <w:szCs w:val="21"/>
        </w:rPr>
        <w:t>甲、乙、丙三方</w:t>
      </w:r>
      <w:r>
        <w:rPr>
          <w:rFonts w:hint="eastAsia"/>
          <w:szCs w:val="21"/>
        </w:rPr>
        <w:t>分别针对该项目确定业务联络人为：</w:t>
      </w:r>
    </w:p>
    <w:p>
      <w:pPr>
        <w:spacing w:line="360" w:lineRule="auto"/>
        <w:ind w:firstLine="420" w:firstLineChars="200"/>
        <w:rPr>
          <w:szCs w:val="21"/>
          <w:u w:val="single"/>
        </w:rPr>
      </w:pPr>
      <w:r>
        <w:rPr>
          <w:rFonts w:hint="eastAsia"/>
          <w:szCs w:val="21"/>
        </w:rPr>
        <w:t>甲方业务联络人：</w:t>
      </w:r>
      <w:r>
        <w:rPr>
          <w:rFonts w:hint="eastAsia"/>
          <w:szCs w:val="21"/>
          <w:u w:val="single"/>
        </w:rPr>
        <w:t>林俊帆</w:t>
      </w:r>
      <w:r>
        <w:rPr>
          <w:rFonts w:hint="eastAsia"/>
          <w:szCs w:val="21"/>
        </w:rPr>
        <w:t>，联系电话：</w:t>
      </w:r>
      <w:r>
        <w:rPr>
          <w:szCs w:val="21"/>
          <w:u w:val="single"/>
        </w:rPr>
        <w:t>0574-87849383</w:t>
      </w:r>
      <w:r>
        <w:rPr>
          <w:rFonts w:hint="eastAsia"/>
          <w:szCs w:val="21"/>
        </w:rPr>
        <w:t>，邮箱：</w:t>
      </w:r>
      <w:r>
        <w:rPr>
          <w:rFonts w:hint="eastAsia"/>
          <w:szCs w:val="21"/>
          <w:u w:val="single"/>
        </w:rPr>
        <w:t>407987548@qq.com</w:t>
      </w:r>
      <w:r>
        <w:rPr>
          <w:rFonts w:hint="eastAsia"/>
          <w:szCs w:val="21"/>
        </w:rPr>
        <w:t>；</w:t>
      </w:r>
    </w:p>
    <w:p>
      <w:pPr>
        <w:spacing w:line="360" w:lineRule="auto"/>
        <w:ind w:firstLine="420" w:firstLineChars="200"/>
        <w:rPr>
          <w:szCs w:val="21"/>
          <w:u w:val="single"/>
        </w:rPr>
      </w:pPr>
      <w:r>
        <w:rPr>
          <w:rFonts w:hint="eastAsia"/>
          <w:szCs w:val="21"/>
        </w:rPr>
        <w:t>乙方业务联络人：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，邮箱：</w:t>
      </w:r>
      <w:r>
        <w:rPr>
          <w:rFonts w:hint="eastAsia"/>
          <w:szCs w:val="21"/>
          <w:u w:val="single"/>
        </w:rPr>
        <w:t xml:space="preserve">                </w:t>
      </w:r>
      <w:r>
        <w:rPr>
          <w:rFonts w:hint="eastAsia"/>
          <w:szCs w:val="21"/>
        </w:rPr>
        <w:t>；</w:t>
      </w:r>
    </w:p>
    <w:p>
      <w:pPr>
        <w:spacing w:line="360" w:lineRule="auto"/>
        <w:ind w:firstLine="420" w:firstLineChars="200"/>
        <w:rPr>
          <w:szCs w:val="21"/>
          <w:u w:val="single"/>
        </w:rPr>
      </w:pPr>
      <w:r>
        <w:rPr>
          <w:rFonts w:hint="eastAsia"/>
          <w:szCs w:val="21"/>
        </w:rPr>
        <w:t>丙方业务联络人：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，邮箱：</w:t>
      </w:r>
      <w:r>
        <w:rPr>
          <w:rFonts w:hint="eastAsia"/>
          <w:szCs w:val="21"/>
          <w:u w:val="single"/>
        </w:rPr>
        <w:t xml:space="preserve">                </w:t>
      </w:r>
      <w:r>
        <w:rPr>
          <w:rFonts w:hint="eastAsia"/>
          <w:szCs w:val="21"/>
        </w:rPr>
        <w:t>。</w:t>
      </w:r>
    </w:p>
    <w:p>
      <w:pPr>
        <w:spacing w:line="360" w:lineRule="auto"/>
        <w:ind w:firstLine="420" w:firstLineChars="200"/>
        <w:rPr>
          <w:szCs w:val="21"/>
        </w:rPr>
      </w:pPr>
      <w:r>
        <w:rPr>
          <w:szCs w:val="21"/>
        </w:rPr>
        <w:t>二、甲方的权责</w:t>
      </w:r>
    </w:p>
    <w:p>
      <w:pPr>
        <w:spacing w:line="360" w:lineRule="auto"/>
        <w:ind w:firstLine="420" w:firstLineChars="200"/>
        <w:rPr>
          <w:szCs w:val="21"/>
        </w:rPr>
      </w:pPr>
      <w:r>
        <w:rPr>
          <w:szCs w:val="21"/>
        </w:rPr>
        <w:t>1</w:t>
      </w:r>
      <w:r>
        <w:rPr>
          <w:rFonts w:hint="eastAsia"/>
          <w:szCs w:val="21"/>
        </w:rPr>
        <w:t>、</w:t>
      </w:r>
      <w:r>
        <w:rPr>
          <w:szCs w:val="21"/>
        </w:rPr>
        <w:t>按照</w:t>
      </w:r>
      <w:r>
        <w:rPr>
          <w:rFonts w:hint="eastAsia"/>
          <w:kern w:val="0"/>
          <w:szCs w:val="21"/>
          <w:u w:val="single"/>
        </w:rPr>
        <w:t>宁波市烟草公司配送中心全品规备货系统扩容技改项目</w:t>
      </w:r>
      <w:r>
        <w:rPr>
          <w:szCs w:val="21"/>
        </w:rPr>
        <w:t>施工合同有关条款规定的时间和方式，向乙方支付工程款；</w:t>
      </w:r>
    </w:p>
    <w:p>
      <w:pPr>
        <w:spacing w:line="360" w:lineRule="auto"/>
        <w:ind w:firstLine="420" w:firstLineChars="200"/>
        <w:rPr>
          <w:szCs w:val="21"/>
        </w:rPr>
      </w:pPr>
      <w:r>
        <w:rPr>
          <w:szCs w:val="21"/>
        </w:rPr>
        <w:t>2</w:t>
      </w:r>
      <w:r>
        <w:rPr>
          <w:rFonts w:hint="eastAsia"/>
          <w:szCs w:val="21"/>
        </w:rPr>
        <w:t>、</w:t>
      </w:r>
      <w:r>
        <w:rPr>
          <w:szCs w:val="21"/>
        </w:rPr>
        <w:t>发现乙方将本项目资金挪用、转移、转让、抵押、担保时，甲方有权中止工程款支付，直至乙方改正为止；</w:t>
      </w:r>
    </w:p>
    <w:p>
      <w:pPr>
        <w:spacing w:line="360" w:lineRule="auto"/>
        <w:ind w:firstLine="420" w:firstLineChars="200"/>
        <w:rPr>
          <w:szCs w:val="21"/>
        </w:rPr>
      </w:pPr>
      <w:r>
        <w:rPr>
          <w:szCs w:val="21"/>
        </w:rPr>
        <w:t>3</w:t>
      </w:r>
      <w:r>
        <w:rPr>
          <w:rFonts w:hint="eastAsia"/>
          <w:szCs w:val="21"/>
        </w:rPr>
        <w:t>、</w:t>
      </w:r>
      <w:r>
        <w:rPr>
          <w:szCs w:val="21"/>
        </w:rPr>
        <w:t>不定期审查丙方对乙方的资金使用监督情况，如丙方不能履行其责任，甲方有权随时终止本协议；</w:t>
      </w:r>
    </w:p>
    <w:p>
      <w:pPr>
        <w:spacing w:line="360" w:lineRule="auto"/>
        <w:ind w:firstLine="420" w:firstLineChars="200"/>
        <w:rPr>
          <w:szCs w:val="21"/>
        </w:rPr>
      </w:pPr>
      <w:r>
        <w:rPr>
          <w:szCs w:val="21"/>
        </w:rPr>
        <w:t>4</w:t>
      </w:r>
      <w:r>
        <w:rPr>
          <w:rFonts w:hint="eastAsia"/>
          <w:szCs w:val="21"/>
        </w:rPr>
        <w:t>、</w:t>
      </w:r>
      <w:r>
        <w:rPr>
          <w:szCs w:val="21"/>
        </w:rPr>
        <w:t>在乙、丙双方发生争议时，甲方应负责协调、解决；</w:t>
      </w:r>
    </w:p>
    <w:p>
      <w:pPr>
        <w:spacing w:line="360" w:lineRule="auto"/>
        <w:ind w:firstLine="420" w:firstLineChars="200"/>
        <w:rPr>
          <w:szCs w:val="21"/>
        </w:rPr>
      </w:pPr>
      <w:r>
        <w:rPr>
          <w:szCs w:val="21"/>
        </w:rPr>
        <w:t>5</w:t>
      </w:r>
      <w:r>
        <w:rPr>
          <w:rFonts w:hint="eastAsia"/>
          <w:szCs w:val="21"/>
        </w:rPr>
        <w:t>、</w:t>
      </w:r>
      <w:r>
        <w:rPr>
          <w:szCs w:val="21"/>
        </w:rPr>
        <w:t>发现丙方管理不力或服务不佳</w:t>
      </w:r>
      <w:r>
        <w:rPr>
          <w:rFonts w:hint="eastAsia"/>
          <w:szCs w:val="21"/>
        </w:rPr>
        <w:t>导致无法实现本协议根本目的</w:t>
      </w:r>
      <w:r>
        <w:rPr>
          <w:szCs w:val="21"/>
        </w:rPr>
        <w:t>时，</w:t>
      </w:r>
      <w:r>
        <w:rPr>
          <w:rFonts w:hint="eastAsia"/>
          <w:szCs w:val="21"/>
        </w:rPr>
        <w:t>甲方有权终止本协议，并</w:t>
      </w:r>
      <w:r>
        <w:rPr>
          <w:szCs w:val="21"/>
        </w:rPr>
        <w:t>有权要求乙方另行开设</w:t>
      </w:r>
      <w:r>
        <w:rPr>
          <w:rFonts w:hint="eastAsia"/>
          <w:szCs w:val="21"/>
        </w:rPr>
        <w:t>监管账户</w:t>
      </w:r>
      <w:r>
        <w:rPr>
          <w:szCs w:val="21"/>
        </w:rPr>
        <w:t>。</w:t>
      </w:r>
    </w:p>
    <w:p>
      <w:pPr>
        <w:pStyle w:val="9"/>
        <w:spacing w:after="0" w:line="360" w:lineRule="auto"/>
        <w:ind w:firstLineChars="200"/>
        <w:rPr>
          <w:szCs w:val="21"/>
        </w:rPr>
      </w:pPr>
      <w:r>
        <w:rPr>
          <w:rFonts w:hint="eastAsia"/>
          <w:szCs w:val="21"/>
        </w:rPr>
        <w:t>6、甲方承诺与本协议有关的任何活动均符合法律法规，并保证委托监管资金的来源和用途合法。因违反法律法规并给丙方造成任何损失的，应对丙方的损失承担赔偿责任。</w:t>
      </w:r>
    </w:p>
    <w:p>
      <w:pPr>
        <w:spacing w:line="360" w:lineRule="auto"/>
        <w:ind w:firstLine="420" w:firstLineChars="200"/>
        <w:rPr>
          <w:szCs w:val="21"/>
        </w:rPr>
      </w:pPr>
      <w:r>
        <w:rPr>
          <w:szCs w:val="21"/>
        </w:rPr>
        <w:t>三、乙方的权责</w:t>
      </w:r>
    </w:p>
    <w:p>
      <w:pPr>
        <w:spacing w:line="360" w:lineRule="auto"/>
        <w:ind w:firstLine="420" w:firstLineChars="200"/>
        <w:rPr>
          <w:szCs w:val="21"/>
        </w:rPr>
      </w:pPr>
      <w:r>
        <w:rPr>
          <w:szCs w:val="21"/>
        </w:rPr>
        <w:t>1</w:t>
      </w:r>
      <w:r>
        <w:rPr>
          <w:rFonts w:hint="eastAsia"/>
          <w:szCs w:val="21"/>
        </w:rPr>
        <w:t>、</w:t>
      </w:r>
      <w:r>
        <w:rPr>
          <w:szCs w:val="21"/>
        </w:rPr>
        <w:t>确保本项目监管资金专款专用，不发生挪用、转移资金的现象；保证不通过抵押、担保等任何其他方式使用</w:t>
      </w:r>
      <w:r>
        <w:rPr>
          <w:rFonts w:hint="eastAsia"/>
          <w:szCs w:val="21"/>
        </w:rPr>
        <w:t>监管账户</w:t>
      </w:r>
      <w:r>
        <w:rPr>
          <w:szCs w:val="21"/>
        </w:rPr>
        <w:t>的资金；</w:t>
      </w:r>
    </w:p>
    <w:p>
      <w:pPr>
        <w:spacing w:line="360" w:lineRule="auto"/>
        <w:ind w:firstLine="420" w:firstLineChars="200"/>
        <w:rPr>
          <w:szCs w:val="21"/>
        </w:rPr>
      </w:pPr>
      <w:r>
        <w:rPr>
          <w:rFonts w:hint="eastAsia"/>
          <w:szCs w:val="21"/>
        </w:rPr>
        <w:t>2.、</w:t>
      </w:r>
      <w:r>
        <w:rPr>
          <w:szCs w:val="21"/>
        </w:rPr>
        <w:t>办理材料、设备等采购业务（包括使用同城转账支票）时，应</w:t>
      </w:r>
      <w:r>
        <w:rPr>
          <w:rFonts w:hint="eastAsia"/>
          <w:szCs w:val="21"/>
        </w:rPr>
        <w:t>向甲方</w:t>
      </w:r>
      <w:r>
        <w:rPr>
          <w:szCs w:val="21"/>
        </w:rPr>
        <w:t>出示购货合同、协议和发票；在办理单笔支付金额超过50万元以上的采购业务时，</w:t>
      </w:r>
      <w:r>
        <w:rPr>
          <w:rFonts w:hint="eastAsia"/>
          <w:szCs w:val="21"/>
        </w:rPr>
        <w:t>除向甲方出示交易证明材料之外，还</w:t>
      </w:r>
      <w:r>
        <w:rPr>
          <w:szCs w:val="21"/>
        </w:rPr>
        <w:t>应将合同、协议和发票复印件送丙方备案；购买应急材料、设备时</w:t>
      </w:r>
      <w:r>
        <w:rPr>
          <w:rFonts w:hint="eastAsia"/>
          <w:szCs w:val="21"/>
        </w:rPr>
        <w:t>，经丙方通过邮件或短信向甲方业务联络人确认同意后，</w:t>
      </w:r>
      <w:r>
        <w:rPr>
          <w:szCs w:val="21"/>
        </w:rPr>
        <w:t>可先办理支付手续，但事后必须补备有关资料；</w:t>
      </w:r>
    </w:p>
    <w:p>
      <w:pPr>
        <w:spacing w:line="360" w:lineRule="auto"/>
        <w:ind w:firstLine="420" w:firstLineChars="200"/>
        <w:rPr>
          <w:szCs w:val="21"/>
        </w:rPr>
      </w:pPr>
      <w:r>
        <w:rPr>
          <w:rFonts w:hint="eastAsia"/>
          <w:szCs w:val="21"/>
        </w:rPr>
        <w:t>3、</w:t>
      </w:r>
      <w:r>
        <w:rPr>
          <w:szCs w:val="21"/>
        </w:rPr>
        <w:t>向分包单位支付工程进度款时，应附甲方批准分包的文件；</w:t>
      </w:r>
    </w:p>
    <w:p>
      <w:pPr>
        <w:spacing w:line="360" w:lineRule="auto"/>
        <w:ind w:firstLine="420" w:firstLineChars="200"/>
        <w:rPr>
          <w:szCs w:val="21"/>
        </w:rPr>
      </w:pPr>
      <w:r>
        <w:rPr>
          <w:rFonts w:hint="eastAsia"/>
          <w:szCs w:val="21"/>
        </w:rPr>
        <w:t>4、</w:t>
      </w:r>
      <w:r>
        <w:rPr>
          <w:szCs w:val="21"/>
        </w:rPr>
        <w:t>向上级单位缴纳管理费、机械设备及周转材料租赁摊销费、职工保险、养老及医疗统筹基金、工会经费等款项时，应附上级单位出具的转账通知等有关资料，以确保资金专款专用；</w:t>
      </w:r>
    </w:p>
    <w:p>
      <w:pPr>
        <w:spacing w:line="360" w:lineRule="auto"/>
        <w:ind w:firstLine="420" w:firstLineChars="200"/>
        <w:rPr>
          <w:szCs w:val="21"/>
        </w:rPr>
      </w:pPr>
      <w:r>
        <w:rPr>
          <w:rFonts w:hint="eastAsia"/>
          <w:szCs w:val="21"/>
        </w:rPr>
        <w:t>5、</w:t>
      </w:r>
      <w:r>
        <w:rPr>
          <w:szCs w:val="21"/>
        </w:rPr>
        <w:t>接受并配合甲方对项目资金的监督和管理，按季将工程项目的进展情况书面报送甲方同时抄送丙方。</w:t>
      </w:r>
    </w:p>
    <w:p>
      <w:pPr>
        <w:pStyle w:val="9"/>
        <w:spacing w:after="0" w:line="360" w:lineRule="auto"/>
        <w:ind w:firstLineChars="200"/>
        <w:rPr>
          <w:szCs w:val="21"/>
        </w:rPr>
      </w:pPr>
      <w:r>
        <w:rPr>
          <w:rFonts w:hint="eastAsia"/>
          <w:szCs w:val="21"/>
        </w:rPr>
        <w:t>6、乙方承诺与本协议有关的任何活动均符合法律法规，并保证委托监管资金的来源和用途合法。因违反法律法规并给丙方造成任何损失的，应对丙方的损失承担赔偿责任。</w:t>
      </w:r>
    </w:p>
    <w:p>
      <w:pPr>
        <w:spacing w:line="360" w:lineRule="auto"/>
        <w:ind w:firstLine="420" w:firstLineChars="200"/>
        <w:rPr>
          <w:szCs w:val="21"/>
        </w:rPr>
      </w:pPr>
      <w:r>
        <w:rPr>
          <w:szCs w:val="21"/>
        </w:rPr>
        <w:t>四、丙方的权责</w:t>
      </w:r>
    </w:p>
    <w:p>
      <w:pPr>
        <w:spacing w:line="360" w:lineRule="auto"/>
        <w:ind w:firstLine="420" w:firstLineChars="200"/>
        <w:rPr>
          <w:szCs w:val="21"/>
        </w:rPr>
      </w:pPr>
      <w:r>
        <w:rPr>
          <w:rFonts w:hint="eastAsia"/>
          <w:szCs w:val="21"/>
        </w:rPr>
        <w:t>1、监管期限内，资金划转时，丙方对乙方提交的出款申请材料进行形式审核，丙方通过邮件或短信向甲方业务联络人确认同意出款并审核通过的，予以办理支付结算业务，审核不通过的，</w:t>
      </w:r>
      <w:r>
        <w:rPr>
          <w:szCs w:val="21"/>
        </w:rPr>
        <w:t>有权拒绝办理，并及时报告甲方；</w:t>
      </w:r>
    </w:p>
    <w:p>
      <w:pPr>
        <w:spacing w:line="360" w:lineRule="auto"/>
        <w:ind w:firstLine="420" w:firstLineChars="200"/>
        <w:rPr>
          <w:szCs w:val="21"/>
        </w:rPr>
      </w:pPr>
      <w:r>
        <w:rPr>
          <w:rFonts w:hint="eastAsia"/>
          <w:szCs w:val="21"/>
        </w:rPr>
        <w:t>2</w:t>
      </w:r>
      <w:r>
        <w:rPr>
          <w:szCs w:val="21"/>
        </w:rPr>
        <w:t>.</w:t>
      </w:r>
      <w:r>
        <w:rPr>
          <w:rFonts w:hint="eastAsia"/>
          <w:szCs w:val="21"/>
        </w:rPr>
        <w:t>、</w:t>
      </w:r>
      <w:r>
        <w:rPr>
          <w:szCs w:val="21"/>
        </w:rPr>
        <w:t>派专人为乙方</w:t>
      </w:r>
      <w:r>
        <w:rPr>
          <w:rFonts w:hint="eastAsia"/>
          <w:szCs w:val="21"/>
        </w:rPr>
        <w:t>上门收取账户资料、结算凭证或上门送达回单、对账单</w:t>
      </w:r>
      <w:r>
        <w:rPr>
          <w:szCs w:val="21"/>
        </w:rPr>
        <w:t>；</w:t>
      </w:r>
    </w:p>
    <w:p>
      <w:pPr>
        <w:spacing w:line="360" w:lineRule="auto"/>
        <w:ind w:firstLine="420" w:firstLineChars="200"/>
        <w:rPr>
          <w:szCs w:val="21"/>
        </w:rPr>
      </w:pPr>
      <w:r>
        <w:rPr>
          <w:rFonts w:hint="eastAsia"/>
          <w:szCs w:val="21"/>
        </w:rPr>
        <w:t>3、</w:t>
      </w:r>
      <w:r>
        <w:rPr>
          <w:szCs w:val="21"/>
        </w:rPr>
        <w:t>按月向甲方书面报告项目资金的使用情况，乙方复印备案的材料一并送甲方；</w:t>
      </w:r>
    </w:p>
    <w:p>
      <w:pPr>
        <w:spacing w:line="360" w:lineRule="auto"/>
        <w:ind w:firstLine="420" w:firstLineChars="200"/>
        <w:rPr>
          <w:szCs w:val="21"/>
        </w:rPr>
      </w:pPr>
      <w:r>
        <w:rPr>
          <w:rFonts w:hint="eastAsia"/>
          <w:szCs w:val="21"/>
        </w:rPr>
        <w:t>4、</w:t>
      </w:r>
      <w:r>
        <w:rPr>
          <w:szCs w:val="21"/>
        </w:rPr>
        <w:t>丙方承诺为甲方提供的资金监管服务为免费服务。</w:t>
      </w:r>
    </w:p>
    <w:p>
      <w:pPr>
        <w:pStyle w:val="9"/>
        <w:spacing w:after="0" w:line="360" w:lineRule="auto"/>
        <w:ind w:firstLineChars="200"/>
        <w:rPr>
          <w:szCs w:val="21"/>
        </w:rPr>
      </w:pPr>
      <w:r>
        <w:rPr>
          <w:rFonts w:hint="eastAsia"/>
          <w:szCs w:val="21"/>
        </w:rPr>
        <w:t>5、监管期间，甲乙双方应自行办理背景业务的相关手续，丙方不参与及监管甲乙双方的背景业务的任何环节。甲乙双方承诺的背景业务有误，或任何甲方和乙方的背景业务纠纷均与丙方无关。丙方对甲乙双方之间的背景业务本身的合法性、可行性、交易价格以及其他与甲乙双方之间背景业务有关的任何问题均无任何保证、监管等义务。</w:t>
      </w:r>
    </w:p>
    <w:p>
      <w:pPr>
        <w:pStyle w:val="9"/>
        <w:spacing w:after="0" w:line="360" w:lineRule="auto"/>
        <w:ind w:firstLineChars="200"/>
        <w:rPr>
          <w:szCs w:val="21"/>
        </w:rPr>
      </w:pPr>
      <w:r>
        <w:rPr>
          <w:rFonts w:hint="eastAsia"/>
          <w:szCs w:val="21"/>
        </w:rPr>
        <w:t>6、丙方对于甲乙双方提交丙方的任何资料，仅进行形式审查后即办理监管资金的相关操作，由此产生的法律后果由甲乙双方自行承担，而不论甲乙双方是否存在争议，也不论丙方对甲乙双方的争议是否知晓或应当知晓。</w:t>
      </w:r>
    </w:p>
    <w:p>
      <w:pPr>
        <w:pStyle w:val="9"/>
        <w:spacing w:after="0" w:line="360" w:lineRule="auto"/>
        <w:ind w:firstLineChars="200"/>
        <w:rPr>
          <w:szCs w:val="21"/>
        </w:rPr>
      </w:pPr>
      <w:r>
        <w:rPr>
          <w:rFonts w:hint="eastAsia"/>
          <w:szCs w:val="21"/>
        </w:rPr>
        <w:t>7、如果支付凭证划转资金金额大于本协议项下监管账户内资金金额，或存在其他不符合银行业监管及丙方内部管理合法要求的情形，丙方对该划款指令不予处理，由此引起的任何损失丙方不承担任何责任。</w:t>
      </w:r>
    </w:p>
    <w:p>
      <w:pPr>
        <w:pStyle w:val="9"/>
        <w:spacing w:after="0" w:line="360" w:lineRule="auto"/>
        <w:ind w:firstLineChars="200"/>
        <w:rPr>
          <w:szCs w:val="21"/>
        </w:rPr>
      </w:pPr>
      <w:r>
        <w:rPr>
          <w:rFonts w:hint="eastAsia"/>
          <w:szCs w:val="21"/>
        </w:rPr>
        <w:t>8、本协议项下的监管账户及账户内资金在监管期间被国家有权机关采取查封、冻结或扣划措施，或遇其他不可抗力，由此导致不能按照本协议约定拨付账户内资金的，丙方对此不承担任何责任 导致乙方不能实际收取、划付监管资金的，由其自行承担相关责任，丙方对此不承担任何责任。</w:t>
      </w:r>
    </w:p>
    <w:p>
      <w:pPr>
        <w:spacing w:line="360" w:lineRule="auto"/>
        <w:ind w:firstLine="420" w:firstLineChars="200"/>
        <w:rPr>
          <w:szCs w:val="21"/>
        </w:rPr>
      </w:pPr>
      <w:r>
        <w:rPr>
          <w:szCs w:val="21"/>
        </w:rPr>
        <w:t>五、甲、乙、丙三方都应履行保密责任，不得将业务情况透露给三方以外的其他单位或个人</w:t>
      </w:r>
      <w:r>
        <w:rPr>
          <w:rFonts w:hint="eastAsia"/>
          <w:szCs w:val="21"/>
        </w:rPr>
        <w:t>，但法律法规另有规定，有权机关另有要求的除外</w:t>
      </w:r>
      <w:r>
        <w:rPr>
          <w:szCs w:val="21"/>
        </w:rPr>
        <w:t>。</w:t>
      </w:r>
      <w:r>
        <w:rPr>
          <w:rFonts w:hint="eastAsia"/>
          <w:szCs w:val="21"/>
        </w:rPr>
        <w:t>本保密条款不因本协议的解除或终止而丧失法律效力。</w:t>
      </w:r>
    </w:p>
    <w:p>
      <w:pPr>
        <w:spacing w:line="360" w:lineRule="auto"/>
        <w:ind w:firstLine="420" w:firstLineChars="200"/>
        <w:rPr>
          <w:szCs w:val="21"/>
        </w:rPr>
      </w:pPr>
      <w:r>
        <w:rPr>
          <w:szCs w:val="21"/>
        </w:rPr>
        <w:t>六、本协议有效期自乙方在丙方开户起至工程交工验收，甲方向乙方颁发交工验收证书后结束。</w:t>
      </w:r>
      <w:r>
        <w:rPr>
          <w:rFonts w:hint="eastAsia"/>
          <w:szCs w:val="21"/>
        </w:rPr>
        <w:t>但若甲乙双方出现关于监管账户资金使用等争议时，任何一方出具解决完毕上述争议的生效裁判文书，并由丙方根据裁判文书裁决的结果处理之日，本协议有效期终止。</w:t>
      </w:r>
    </w:p>
    <w:p>
      <w:pPr>
        <w:spacing w:line="360" w:lineRule="auto"/>
        <w:ind w:firstLine="420" w:firstLineChars="200"/>
        <w:rPr>
          <w:szCs w:val="21"/>
        </w:rPr>
      </w:pPr>
      <w:r>
        <w:rPr>
          <w:szCs w:val="21"/>
        </w:rPr>
        <w:t>七、协议</w:t>
      </w:r>
      <w:r>
        <w:rPr>
          <w:rFonts w:hint="eastAsia"/>
          <w:szCs w:val="21"/>
        </w:rPr>
        <w:t>未</w:t>
      </w:r>
      <w:r>
        <w:rPr>
          <w:szCs w:val="21"/>
        </w:rPr>
        <w:t>尽事宜，由甲方牵头，三方协商解决。</w:t>
      </w:r>
    </w:p>
    <w:p>
      <w:pPr>
        <w:pStyle w:val="9"/>
        <w:spacing w:after="0" w:line="360" w:lineRule="auto"/>
        <w:ind w:firstLineChars="200"/>
        <w:rPr>
          <w:szCs w:val="21"/>
        </w:rPr>
      </w:pPr>
      <w:r>
        <w:rPr>
          <w:szCs w:val="21"/>
        </w:rPr>
        <w:t>八、</w:t>
      </w:r>
      <w:r>
        <w:rPr>
          <w:rFonts w:hint="eastAsia"/>
          <w:szCs w:val="21"/>
        </w:rPr>
        <w:t>本协议书是原中标合同的补充，《工程资金管理协议书》的权利义务和资金管理要求以本协议书约定为准。</w:t>
      </w:r>
    </w:p>
    <w:p>
      <w:pPr>
        <w:spacing w:line="360" w:lineRule="auto"/>
        <w:ind w:firstLine="420" w:firstLineChars="200"/>
        <w:rPr>
          <w:szCs w:val="21"/>
        </w:rPr>
      </w:pPr>
      <w:r>
        <w:rPr>
          <w:rFonts w:hint="eastAsia"/>
          <w:szCs w:val="21"/>
        </w:rPr>
        <w:t>九</w:t>
      </w:r>
      <w:r>
        <w:rPr>
          <w:szCs w:val="21"/>
        </w:rPr>
        <w:t>、</w:t>
      </w:r>
      <w:r>
        <w:rPr>
          <w:rFonts w:hint="eastAsia"/>
          <w:szCs w:val="21"/>
        </w:rPr>
        <w:t>本协议自三方法定代表人/负责人或委托代理人签名或盖名章，并加盖公章或合同专用章之日起生效。本协议一式陆份，甲方持肆份，乙方持壹份，丙方持壹份。</w:t>
      </w:r>
    </w:p>
    <w:p>
      <w:pPr>
        <w:pStyle w:val="53"/>
        <w:spacing w:line="360" w:lineRule="auto"/>
        <w:ind w:left="0" w:right="0" w:firstLine="0"/>
        <w:rPr>
          <w:kern w:val="2"/>
          <w:sz w:val="21"/>
          <w:szCs w:val="21"/>
        </w:rPr>
      </w:pPr>
    </w:p>
    <w:p>
      <w:pPr>
        <w:pStyle w:val="53"/>
        <w:spacing w:line="360" w:lineRule="auto"/>
        <w:ind w:left="0" w:right="0" w:firstLine="0"/>
        <w:rPr>
          <w:kern w:val="2"/>
          <w:sz w:val="21"/>
          <w:szCs w:val="21"/>
        </w:rPr>
      </w:pPr>
    </w:p>
    <w:p>
      <w:pPr>
        <w:pStyle w:val="53"/>
        <w:spacing w:line="360" w:lineRule="auto"/>
        <w:ind w:left="0" w:right="0" w:firstLine="0"/>
        <w:rPr>
          <w:kern w:val="2"/>
          <w:sz w:val="21"/>
          <w:szCs w:val="21"/>
        </w:rPr>
      </w:pPr>
      <w:r>
        <w:rPr>
          <w:rFonts w:hint="eastAsia"/>
          <w:kern w:val="2"/>
          <w:sz w:val="21"/>
          <w:szCs w:val="21"/>
        </w:rPr>
        <w:t>甲方</w:t>
      </w:r>
      <w:r>
        <w:rPr>
          <w:kern w:val="2"/>
          <w:sz w:val="21"/>
          <w:szCs w:val="21"/>
        </w:rPr>
        <w:t>（盖章）</w:t>
      </w:r>
      <w:r>
        <w:rPr>
          <w:rFonts w:hint="eastAsia"/>
          <w:kern w:val="2"/>
          <w:sz w:val="21"/>
          <w:szCs w:val="21"/>
        </w:rPr>
        <w:t>：浙江省烟草公司宁波市公司</w:t>
      </w:r>
    </w:p>
    <w:p>
      <w:pPr>
        <w:pStyle w:val="53"/>
        <w:spacing w:line="360" w:lineRule="auto"/>
        <w:ind w:left="0" w:right="0" w:firstLine="0"/>
        <w:rPr>
          <w:kern w:val="2"/>
          <w:sz w:val="21"/>
          <w:szCs w:val="21"/>
        </w:rPr>
      </w:pPr>
      <w:r>
        <w:rPr>
          <w:kern w:val="2"/>
          <w:sz w:val="21"/>
          <w:szCs w:val="21"/>
        </w:rPr>
        <w:t>法定代表人或其委托代理人：（签</w:t>
      </w:r>
      <w:r>
        <w:rPr>
          <w:rFonts w:hint="eastAsia"/>
          <w:kern w:val="2"/>
          <w:sz w:val="21"/>
          <w:szCs w:val="21"/>
        </w:rPr>
        <w:t>名</w:t>
      </w:r>
      <w:r>
        <w:rPr>
          <w:kern w:val="2"/>
          <w:sz w:val="21"/>
          <w:szCs w:val="21"/>
        </w:rPr>
        <w:t>）</w:t>
      </w:r>
    </w:p>
    <w:p>
      <w:pPr>
        <w:pStyle w:val="53"/>
        <w:spacing w:line="360" w:lineRule="auto"/>
        <w:ind w:left="0" w:right="0" w:firstLine="0"/>
        <w:rPr>
          <w:kern w:val="2"/>
          <w:sz w:val="21"/>
          <w:szCs w:val="21"/>
        </w:rPr>
      </w:pPr>
      <w:r>
        <w:rPr>
          <w:kern w:val="2"/>
          <w:sz w:val="21"/>
          <w:szCs w:val="21"/>
        </w:rPr>
        <w:t>电话：</w:t>
      </w:r>
    </w:p>
    <w:p>
      <w:pPr>
        <w:pStyle w:val="53"/>
        <w:spacing w:line="360" w:lineRule="auto"/>
        <w:ind w:left="0" w:right="0" w:firstLine="0"/>
        <w:rPr>
          <w:kern w:val="2"/>
          <w:sz w:val="21"/>
          <w:szCs w:val="21"/>
        </w:rPr>
      </w:pPr>
      <w:r>
        <w:rPr>
          <w:kern w:val="2"/>
          <w:sz w:val="21"/>
          <w:szCs w:val="21"/>
        </w:rPr>
        <w:t xml:space="preserve">日期：    </w:t>
      </w:r>
      <w:r>
        <w:rPr>
          <w:rFonts w:hint="eastAsia"/>
          <w:kern w:val="2"/>
          <w:sz w:val="21"/>
          <w:szCs w:val="21"/>
        </w:rPr>
        <w:t xml:space="preserve">    </w:t>
      </w:r>
      <w:r>
        <w:rPr>
          <w:kern w:val="2"/>
          <w:sz w:val="21"/>
          <w:szCs w:val="21"/>
        </w:rPr>
        <w:t xml:space="preserve">年 </w:t>
      </w:r>
      <w:r>
        <w:rPr>
          <w:rFonts w:hint="eastAsia"/>
          <w:kern w:val="2"/>
          <w:sz w:val="21"/>
          <w:szCs w:val="21"/>
        </w:rPr>
        <w:t xml:space="preserve">    </w:t>
      </w:r>
      <w:r>
        <w:rPr>
          <w:kern w:val="2"/>
          <w:sz w:val="21"/>
          <w:szCs w:val="21"/>
        </w:rPr>
        <w:t xml:space="preserve"> 月 </w:t>
      </w:r>
      <w:r>
        <w:rPr>
          <w:rFonts w:hint="eastAsia"/>
          <w:kern w:val="2"/>
          <w:sz w:val="21"/>
          <w:szCs w:val="21"/>
        </w:rPr>
        <w:t xml:space="preserve">    </w:t>
      </w:r>
      <w:r>
        <w:rPr>
          <w:kern w:val="2"/>
          <w:sz w:val="21"/>
          <w:szCs w:val="21"/>
        </w:rPr>
        <w:t xml:space="preserve"> 日</w:t>
      </w:r>
    </w:p>
    <w:p>
      <w:pPr>
        <w:pStyle w:val="53"/>
        <w:spacing w:line="360" w:lineRule="auto"/>
        <w:ind w:left="0" w:right="0" w:firstLine="0"/>
        <w:rPr>
          <w:kern w:val="2"/>
          <w:sz w:val="21"/>
          <w:szCs w:val="21"/>
        </w:rPr>
      </w:pPr>
    </w:p>
    <w:p>
      <w:pPr>
        <w:pStyle w:val="53"/>
        <w:spacing w:line="360" w:lineRule="auto"/>
        <w:ind w:left="0" w:right="0" w:firstLine="0"/>
        <w:rPr>
          <w:kern w:val="2"/>
          <w:sz w:val="21"/>
          <w:szCs w:val="21"/>
        </w:rPr>
      </w:pPr>
    </w:p>
    <w:p>
      <w:pPr>
        <w:pStyle w:val="53"/>
        <w:spacing w:line="360" w:lineRule="auto"/>
        <w:ind w:left="0" w:right="0" w:firstLine="0"/>
        <w:rPr>
          <w:kern w:val="2"/>
          <w:sz w:val="21"/>
          <w:szCs w:val="21"/>
        </w:rPr>
      </w:pPr>
      <w:r>
        <w:rPr>
          <w:rFonts w:hint="eastAsia"/>
          <w:kern w:val="2"/>
          <w:sz w:val="21"/>
          <w:szCs w:val="21"/>
        </w:rPr>
        <w:t>乙方</w:t>
      </w:r>
      <w:r>
        <w:rPr>
          <w:kern w:val="2"/>
          <w:sz w:val="21"/>
          <w:szCs w:val="21"/>
        </w:rPr>
        <w:t>（盖章）</w:t>
      </w:r>
      <w:r>
        <w:rPr>
          <w:rFonts w:hint="eastAsia"/>
          <w:kern w:val="2"/>
          <w:sz w:val="21"/>
          <w:szCs w:val="21"/>
        </w:rPr>
        <w:t>：</w:t>
      </w:r>
    </w:p>
    <w:p>
      <w:pPr>
        <w:pStyle w:val="53"/>
        <w:spacing w:line="360" w:lineRule="auto"/>
        <w:ind w:left="0" w:right="0" w:firstLine="0"/>
        <w:rPr>
          <w:kern w:val="2"/>
          <w:sz w:val="21"/>
          <w:szCs w:val="21"/>
        </w:rPr>
      </w:pPr>
      <w:r>
        <w:rPr>
          <w:kern w:val="2"/>
          <w:sz w:val="21"/>
          <w:szCs w:val="21"/>
        </w:rPr>
        <w:t>法定代表人或其委托代理人：（签</w:t>
      </w:r>
      <w:r>
        <w:rPr>
          <w:rFonts w:hint="eastAsia"/>
          <w:kern w:val="2"/>
          <w:sz w:val="21"/>
          <w:szCs w:val="21"/>
        </w:rPr>
        <w:t>名</w:t>
      </w:r>
      <w:r>
        <w:rPr>
          <w:kern w:val="2"/>
          <w:sz w:val="21"/>
          <w:szCs w:val="21"/>
        </w:rPr>
        <w:t>）</w:t>
      </w:r>
    </w:p>
    <w:p>
      <w:pPr>
        <w:pStyle w:val="53"/>
        <w:spacing w:line="360" w:lineRule="auto"/>
        <w:ind w:left="0" w:right="0" w:firstLine="0"/>
        <w:rPr>
          <w:kern w:val="2"/>
          <w:sz w:val="21"/>
          <w:szCs w:val="21"/>
        </w:rPr>
      </w:pPr>
      <w:r>
        <w:rPr>
          <w:kern w:val="2"/>
          <w:sz w:val="21"/>
          <w:szCs w:val="21"/>
        </w:rPr>
        <w:t>电话：</w:t>
      </w:r>
    </w:p>
    <w:p>
      <w:pPr>
        <w:pStyle w:val="53"/>
        <w:spacing w:line="360" w:lineRule="auto"/>
        <w:ind w:left="0" w:right="0" w:firstLine="0"/>
        <w:rPr>
          <w:kern w:val="2"/>
          <w:sz w:val="21"/>
          <w:szCs w:val="21"/>
        </w:rPr>
      </w:pPr>
      <w:r>
        <w:rPr>
          <w:kern w:val="2"/>
          <w:sz w:val="21"/>
          <w:szCs w:val="21"/>
        </w:rPr>
        <w:t xml:space="preserve">日期：    </w:t>
      </w:r>
      <w:r>
        <w:rPr>
          <w:rFonts w:hint="eastAsia"/>
          <w:kern w:val="2"/>
          <w:sz w:val="21"/>
          <w:szCs w:val="21"/>
        </w:rPr>
        <w:t xml:space="preserve">    </w:t>
      </w:r>
      <w:r>
        <w:rPr>
          <w:kern w:val="2"/>
          <w:sz w:val="21"/>
          <w:szCs w:val="21"/>
        </w:rPr>
        <w:t xml:space="preserve">年 </w:t>
      </w:r>
      <w:r>
        <w:rPr>
          <w:rFonts w:hint="eastAsia"/>
          <w:kern w:val="2"/>
          <w:sz w:val="21"/>
          <w:szCs w:val="21"/>
        </w:rPr>
        <w:t xml:space="preserve">    </w:t>
      </w:r>
      <w:r>
        <w:rPr>
          <w:kern w:val="2"/>
          <w:sz w:val="21"/>
          <w:szCs w:val="21"/>
        </w:rPr>
        <w:t xml:space="preserve"> 月 </w:t>
      </w:r>
      <w:r>
        <w:rPr>
          <w:rFonts w:hint="eastAsia"/>
          <w:kern w:val="2"/>
          <w:sz w:val="21"/>
          <w:szCs w:val="21"/>
        </w:rPr>
        <w:t xml:space="preserve">    </w:t>
      </w:r>
      <w:r>
        <w:rPr>
          <w:kern w:val="2"/>
          <w:sz w:val="21"/>
          <w:szCs w:val="21"/>
        </w:rPr>
        <w:t xml:space="preserve"> 日</w:t>
      </w:r>
    </w:p>
    <w:p>
      <w:pPr>
        <w:pStyle w:val="53"/>
        <w:spacing w:line="360" w:lineRule="auto"/>
        <w:ind w:left="0" w:right="0" w:firstLine="0"/>
        <w:rPr>
          <w:kern w:val="2"/>
          <w:sz w:val="21"/>
          <w:szCs w:val="21"/>
        </w:rPr>
      </w:pPr>
    </w:p>
    <w:p>
      <w:pPr>
        <w:pStyle w:val="53"/>
        <w:spacing w:line="360" w:lineRule="auto"/>
        <w:ind w:left="0" w:right="0" w:firstLine="0"/>
        <w:rPr>
          <w:kern w:val="2"/>
          <w:sz w:val="21"/>
          <w:szCs w:val="21"/>
        </w:rPr>
      </w:pPr>
    </w:p>
    <w:p>
      <w:pPr>
        <w:pStyle w:val="53"/>
        <w:spacing w:line="360" w:lineRule="auto"/>
        <w:ind w:left="0" w:right="0" w:firstLine="0"/>
        <w:rPr>
          <w:kern w:val="2"/>
          <w:sz w:val="21"/>
          <w:szCs w:val="21"/>
        </w:rPr>
      </w:pPr>
      <w:r>
        <w:rPr>
          <w:rFonts w:hint="eastAsia"/>
          <w:kern w:val="2"/>
          <w:sz w:val="21"/>
          <w:szCs w:val="21"/>
        </w:rPr>
        <w:t>丙方</w:t>
      </w:r>
      <w:r>
        <w:rPr>
          <w:kern w:val="2"/>
          <w:sz w:val="21"/>
          <w:szCs w:val="21"/>
        </w:rPr>
        <w:t>（盖章）：</w:t>
      </w:r>
    </w:p>
    <w:p>
      <w:pPr>
        <w:pStyle w:val="53"/>
        <w:spacing w:line="360" w:lineRule="auto"/>
        <w:ind w:left="0" w:right="0" w:firstLine="0"/>
        <w:rPr>
          <w:kern w:val="2"/>
          <w:sz w:val="21"/>
          <w:szCs w:val="21"/>
        </w:rPr>
      </w:pPr>
      <w:r>
        <w:rPr>
          <w:rFonts w:hint="eastAsia"/>
          <w:kern w:val="2"/>
          <w:sz w:val="21"/>
          <w:szCs w:val="21"/>
        </w:rPr>
        <w:t>负责人</w:t>
      </w:r>
      <w:r>
        <w:rPr>
          <w:kern w:val="2"/>
          <w:sz w:val="21"/>
          <w:szCs w:val="21"/>
        </w:rPr>
        <w:t>或其委托代理人：（签</w:t>
      </w:r>
      <w:r>
        <w:rPr>
          <w:rFonts w:hint="eastAsia"/>
          <w:kern w:val="2"/>
          <w:sz w:val="21"/>
          <w:szCs w:val="21"/>
        </w:rPr>
        <w:t>名</w:t>
      </w:r>
      <w:r>
        <w:rPr>
          <w:kern w:val="2"/>
          <w:sz w:val="21"/>
          <w:szCs w:val="21"/>
        </w:rPr>
        <w:t>）</w:t>
      </w:r>
    </w:p>
    <w:p>
      <w:pPr>
        <w:pStyle w:val="53"/>
        <w:spacing w:line="360" w:lineRule="auto"/>
        <w:ind w:left="0" w:right="0" w:firstLine="0"/>
        <w:rPr>
          <w:kern w:val="2"/>
          <w:sz w:val="21"/>
          <w:szCs w:val="21"/>
        </w:rPr>
      </w:pPr>
      <w:r>
        <w:rPr>
          <w:kern w:val="2"/>
          <w:sz w:val="21"/>
          <w:szCs w:val="21"/>
        </w:rPr>
        <w:t>电话</w:t>
      </w:r>
      <w:r>
        <w:rPr>
          <w:rFonts w:hint="eastAsia"/>
          <w:kern w:val="2"/>
          <w:sz w:val="21"/>
          <w:szCs w:val="21"/>
        </w:rPr>
        <w:t>：</w:t>
      </w:r>
    </w:p>
    <w:p>
      <w:pPr>
        <w:widowControl/>
        <w:spacing w:line="360" w:lineRule="auto"/>
        <w:jc w:val="left"/>
        <w:rPr>
          <w:b/>
          <w:kern w:val="44"/>
          <w:sz w:val="36"/>
          <w:szCs w:val="20"/>
          <w:lang w:bidi="ar"/>
        </w:rPr>
      </w:pPr>
      <w:r>
        <w:rPr>
          <w:szCs w:val="21"/>
        </w:rPr>
        <w:t xml:space="preserve">日期：    </w:t>
      </w:r>
      <w:r>
        <w:rPr>
          <w:rFonts w:hint="eastAsia"/>
          <w:szCs w:val="21"/>
        </w:rPr>
        <w:t xml:space="preserve">    </w:t>
      </w: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r>
        <w:rPr>
          <w:lang w:bidi="ar"/>
        </w:rPr>
        <w:br w:type="page"/>
      </w:r>
    </w:p>
    <w:p>
      <w:pPr>
        <w:pStyle w:val="2"/>
      </w:pPr>
      <w:r>
        <w:rPr>
          <w:rFonts w:hint="eastAsia"/>
          <w:lang w:bidi="ar"/>
        </w:rPr>
        <w:t>第六章 投标文件格式</w:t>
      </w:r>
      <w:bookmarkEnd w:id="208"/>
    </w:p>
    <w:p>
      <w:pPr>
        <w:adjustRightInd w:val="0"/>
        <w:snapToGrid w:val="0"/>
        <w:spacing w:line="360" w:lineRule="auto"/>
        <w:ind w:firstLine="482" w:firstLineChars="200"/>
        <w:jc w:val="left"/>
        <w:rPr>
          <w:rFonts w:ascii="宋体" w:cs="宋体"/>
          <w:b/>
          <w:bCs/>
          <w:kern w:val="0"/>
          <w:sz w:val="24"/>
          <w:lang w:bidi="ar"/>
        </w:rPr>
      </w:pPr>
      <w:r>
        <w:rPr>
          <w:rFonts w:hint="eastAsia" w:ascii="宋体" w:cs="宋体"/>
          <w:b/>
          <w:bCs/>
          <w:kern w:val="0"/>
          <w:sz w:val="24"/>
          <w:lang w:bidi="ar"/>
        </w:rPr>
        <w:t>一、资格文件、商务技术文件、报价文件均需单独提供索引目录，具体格式如下表：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5177"/>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dxa"/>
            <w:vAlign w:val="center"/>
          </w:tcPr>
          <w:p>
            <w:pPr>
              <w:topLinePunct/>
              <w:spacing w:line="360" w:lineRule="exact"/>
              <w:jc w:val="center"/>
              <w:rPr>
                <w:rFonts w:ascii="宋体" w:cs="宋体"/>
                <w:sz w:val="24"/>
              </w:rPr>
            </w:pPr>
            <w:r>
              <w:rPr>
                <w:rFonts w:hint="eastAsia" w:ascii="宋体" w:cs="宋体"/>
                <w:sz w:val="24"/>
                <w:lang w:bidi="ar"/>
              </w:rPr>
              <w:t>评审模块</w:t>
            </w:r>
          </w:p>
        </w:tc>
        <w:tc>
          <w:tcPr>
            <w:tcW w:w="5177" w:type="dxa"/>
            <w:vAlign w:val="center"/>
          </w:tcPr>
          <w:p>
            <w:pPr>
              <w:topLinePunct/>
              <w:spacing w:line="360" w:lineRule="exact"/>
              <w:jc w:val="center"/>
              <w:rPr>
                <w:rFonts w:ascii="宋体" w:cs="宋体"/>
                <w:sz w:val="24"/>
              </w:rPr>
            </w:pPr>
            <w:r>
              <w:rPr>
                <w:rFonts w:hint="eastAsia" w:ascii="宋体" w:cs="宋体"/>
                <w:sz w:val="24"/>
                <w:lang w:bidi="ar"/>
              </w:rPr>
              <w:t>组成部分</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对应投标文件页码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restart"/>
            <w:vAlign w:val="center"/>
          </w:tcPr>
          <w:p>
            <w:pPr>
              <w:topLinePunct/>
              <w:spacing w:line="360" w:lineRule="exact"/>
              <w:ind w:left="-2" w:firstLine="1"/>
              <w:jc w:val="center"/>
              <w:rPr>
                <w:rFonts w:ascii="宋体" w:cs="宋体"/>
                <w:sz w:val="24"/>
                <w:lang w:bidi="ar"/>
              </w:rPr>
            </w:pPr>
            <w:r>
              <w:rPr>
                <w:rFonts w:hint="eastAsia" w:ascii="宋体" w:cs="宋体"/>
                <w:sz w:val="24"/>
                <w:lang w:bidi="ar"/>
              </w:rPr>
              <w:t>1.资格文件</w:t>
            </w:r>
          </w:p>
        </w:tc>
        <w:tc>
          <w:tcPr>
            <w:tcW w:w="5177" w:type="dxa"/>
            <w:vAlign w:val="center"/>
          </w:tcPr>
          <w:p>
            <w:pPr>
              <w:topLinePunct/>
              <w:spacing w:line="360" w:lineRule="exact"/>
              <w:jc w:val="left"/>
              <w:rPr>
                <w:rFonts w:ascii="宋体" w:cs="宋体"/>
                <w:sz w:val="24"/>
                <w:lang w:bidi="ar"/>
              </w:rPr>
            </w:pPr>
            <w:r>
              <w:rPr>
                <w:rFonts w:hint="eastAsia" w:ascii="宋体" w:cs="宋体"/>
                <w:sz w:val="24"/>
                <w:lang w:bidi="ar"/>
              </w:rPr>
              <w:t>1.1资格文件封面</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bidi="ar"/>
              </w:rPr>
              <w:t>1.2有效营业执照（或者事业单位法人证书、社会团体法人登记证书、其他组织登记证明文件）</w:t>
            </w:r>
          </w:p>
        </w:tc>
        <w:tc>
          <w:tcPr>
            <w:tcW w:w="2488" w:type="dxa"/>
            <w:vAlign w:val="center"/>
          </w:tcPr>
          <w:p>
            <w:pPr>
              <w:topLinePunct/>
              <w:spacing w:line="360" w:lineRule="exact"/>
              <w:jc w:val="center"/>
              <w:rPr>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bidi="ar"/>
              </w:rPr>
              <w:t>1.3投标人、法定代表人、</w:t>
            </w:r>
            <w:r>
              <w:rPr>
                <w:rFonts w:ascii="Segoe UI Symbol" w:hAnsi="Segoe UI Symbol" w:cs="Segoe UI Symbol"/>
                <w:snapToGrid w:val="0"/>
                <w:kern w:val="0"/>
                <w:sz w:val="24"/>
              </w:rPr>
              <w:t>☑</w:t>
            </w:r>
            <w:r>
              <w:rPr>
                <w:rFonts w:hint="eastAsia" w:ascii="宋体" w:cs="宋体"/>
                <w:sz w:val="24"/>
                <w:lang w:bidi="ar"/>
              </w:rPr>
              <w:t>项目负责人无行贿行为记录</w:t>
            </w:r>
          </w:p>
        </w:tc>
        <w:tc>
          <w:tcPr>
            <w:tcW w:w="2488" w:type="dxa"/>
            <w:vAlign w:val="center"/>
          </w:tcPr>
          <w:p>
            <w:pPr>
              <w:topLinePunct/>
              <w:spacing w:line="360" w:lineRule="exact"/>
              <w:jc w:val="center"/>
              <w:rPr>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bidi="ar"/>
              </w:rPr>
              <w:t>1.4投标人在经营活动中无重大违法记录</w:t>
            </w:r>
          </w:p>
        </w:tc>
        <w:tc>
          <w:tcPr>
            <w:tcW w:w="2488" w:type="dxa"/>
            <w:vAlign w:val="center"/>
          </w:tcPr>
          <w:p>
            <w:pPr>
              <w:topLinePunct/>
              <w:spacing w:line="360" w:lineRule="exact"/>
              <w:jc w:val="center"/>
              <w:rPr>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bidi="ar"/>
              </w:rPr>
              <w:t>1.5</w:t>
            </w:r>
            <w:r>
              <w:rPr>
                <w:rFonts w:hint="eastAsia" w:ascii="宋体" w:cs="宋体"/>
                <w:snapToGrid w:val="0"/>
                <w:kern w:val="0"/>
                <w:sz w:val="24"/>
              </w:rPr>
              <w:t>☑</w:t>
            </w:r>
            <w:r>
              <w:rPr>
                <w:rFonts w:hint="eastAsia" w:ascii="宋体" w:cs="宋体"/>
                <w:sz w:val="24"/>
                <w:lang w:bidi="ar"/>
              </w:rPr>
              <w:t>投标人类似项目业绩案例证明</w:t>
            </w:r>
          </w:p>
        </w:tc>
        <w:tc>
          <w:tcPr>
            <w:tcW w:w="2488" w:type="dxa"/>
            <w:vAlign w:val="center"/>
          </w:tcPr>
          <w:p>
            <w:pPr>
              <w:topLinePunct/>
              <w:spacing w:line="360" w:lineRule="exact"/>
              <w:jc w:val="center"/>
              <w:rPr>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lang w:bidi="ar"/>
              </w:rPr>
            </w:pPr>
            <w:r>
              <w:rPr>
                <w:rFonts w:hint="eastAsia" w:ascii="宋体" w:cs="宋体"/>
                <w:sz w:val="24"/>
                <w:lang w:bidi="ar"/>
              </w:rPr>
              <w:t>1.6投标人声明函；</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bidi="ar"/>
              </w:rPr>
              <w:t>1.7招标公告“二、投标人资格条件”所要求的其他资格证明</w:t>
            </w:r>
          </w:p>
        </w:tc>
        <w:tc>
          <w:tcPr>
            <w:tcW w:w="2488" w:type="dxa"/>
            <w:vAlign w:val="center"/>
          </w:tcPr>
          <w:p>
            <w:pPr>
              <w:topLinePunct/>
              <w:spacing w:line="360" w:lineRule="exact"/>
              <w:jc w:val="center"/>
              <w:rPr>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restart"/>
            <w:vAlign w:val="center"/>
          </w:tcPr>
          <w:p>
            <w:pPr>
              <w:spacing w:line="360" w:lineRule="exact"/>
              <w:rPr>
                <w:rFonts w:ascii="宋体" w:cs="宋体"/>
                <w:sz w:val="24"/>
                <w:lang w:val="en" w:eastAsia="en" w:bidi="ar"/>
              </w:rPr>
            </w:pPr>
            <w:r>
              <w:rPr>
                <w:rFonts w:hint="eastAsia" w:ascii="宋体" w:cs="宋体"/>
                <w:sz w:val="24"/>
                <w:lang w:val="en" w:eastAsia="en" w:bidi="ar"/>
              </w:rPr>
              <w:t>2</w:t>
            </w:r>
            <w:r>
              <w:rPr>
                <w:rFonts w:hint="eastAsia" w:ascii="宋体" w:cs="宋体"/>
                <w:sz w:val="24"/>
                <w:lang w:bidi="ar"/>
              </w:rPr>
              <w:t>.商务技术文件</w:t>
            </w:r>
          </w:p>
        </w:tc>
        <w:tc>
          <w:tcPr>
            <w:tcW w:w="5177" w:type="dxa"/>
            <w:vAlign w:val="center"/>
          </w:tcPr>
          <w:p>
            <w:pPr>
              <w:topLinePunct/>
              <w:spacing w:line="360" w:lineRule="exact"/>
              <w:jc w:val="left"/>
              <w:rPr>
                <w:rFonts w:ascii="宋体" w:cs="宋体"/>
                <w:sz w:val="24"/>
                <w:lang w:val="en" w:eastAsia="en" w:bidi="ar"/>
              </w:rPr>
            </w:pPr>
            <w:r>
              <w:rPr>
                <w:rFonts w:hint="eastAsia" w:ascii="宋体" w:cs="宋体"/>
                <w:sz w:val="24"/>
                <w:lang w:bidi="ar"/>
              </w:rPr>
              <w:t>2.1商务技术文件封面</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eastAsia="en" w:bidi="ar"/>
              </w:rPr>
              <w:t>2</w:t>
            </w:r>
            <w:r>
              <w:rPr>
                <w:rFonts w:hint="eastAsia" w:ascii="宋体" w:cs="宋体"/>
                <w:sz w:val="24"/>
                <w:lang w:bidi="ar"/>
              </w:rPr>
              <w:t>.2投标函</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bidi="ar"/>
              </w:rPr>
              <w:t>2</w:t>
            </w:r>
            <w:r>
              <w:rPr>
                <w:rFonts w:hint="eastAsia" w:ascii="宋体" w:cs="宋体"/>
                <w:sz w:val="24"/>
                <w:lang w:bidi="ar"/>
              </w:rPr>
              <w:t>.3法定代表人（单位负责人）身份证明书或授权委托书</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eastAsia="en" w:bidi="ar"/>
              </w:rPr>
              <w:t>2</w:t>
            </w:r>
            <w:r>
              <w:rPr>
                <w:rFonts w:hint="eastAsia" w:ascii="宋体" w:cs="宋体"/>
                <w:sz w:val="24"/>
                <w:lang w:bidi="ar"/>
              </w:rPr>
              <w:t>.4投标人情况表</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bidi="ar"/>
              </w:rPr>
              <w:t>2.</w:t>
            </w:r>
            <w:r>
              <w:rPr>
                <w:rFonts w:hint="eastAsia" w:ascii="宋体" w:cs="宋体"/>
                <w:sz w:val="24"/>
                <w:lang w:bidi="ar"/>
              </w:rPr>
              <w:t>5无重大违法行为、无行贿行为记录承诺书</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bidi="ar"/>
              </w:rPr>
              <w:t>2.</w:t>
            </w:r>
            <w:r>
              <w:rPr>
                <w:rFonts w:hint="eastAsia" w:ascii="宋体" w:cs="宋体"/>
                <w:sz w:val="24"/>
                <w:lang w:bidi="ar"/>
              </w:rPr>
              <w:t>6招标公告“二、投标人资格条件”所要求的资格证明（具体内容详见14.2资格文件内容）</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bidi="ar"/>
              </w:rPr>
              <w:t>2.</w:t>
            </w:r>
            <w:r>
              <w:rPr>
                <w:rFonts w:hint="eastAsia" w:ascii="宋体" w:cs="宋体"/>
                <w:sz w:val="24"/>
                <w:lang w:bidi="ar"/>
              </w:rPr>
              <w:t>7第四章评标方法及评分标准“资信业绩部分”所列的各项资信业绩证明文件</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eastAsia="en" w:bidi="ar"/>
              </w:rPr>
              <w:t>2.</w:t>
            </w:r>
            <w:r>
              <w:rPr>
                <w:rFonts w:hint="eastAsia" w:ascii="宋体" w:cs="宋体"/>
                <w:sz w:val="24"/>
                <w:lang w:bidi="ar"/>
              </w:rPr>
              <w:t>8商务条款偏离表</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hint="eastAsia" w:ascii="宋体" w:eastAsia="宋体" w:cs="宋体"/>
                <w:sz w:val="24"/>
                <w:lang w:val="en" w:eastAsia="zh-CN" w:bidi="ar"/>
              </w:rPr>
            </w:pPr>
            <w:r>
              <w:rPr>
                <w:rFonts w:hint="eastAsia" w:ascii="宋体" w:cs="宋体"/>
                <w:sz w:val="24"/>
                <w:lang w:val="en" w:eastAsia="en" w:bidi="ar"/>
              </w:rPr>
              <w:t>2.</w:t>
            </w:r>
            <w:r>
              <w:rPr>
                <w:rFonts w:hint="eastAsia" w:ascii="宋体" w:cs="宋体"/>
                <w:sz w:val="24"/>
                <w:lang w:bidi="ar"/>
              </w:rPr>
              <w:t>9</w:t>
            </w:r>
            <w:r>
              <w:rPr>
                <w:rFonts w:hint="eastAsia" w:ascii="宋体" w:cs="宋体"/>
                <w:sz w:val="24"/>
                <w:lang w:eastAsia="zh-CN" w:bidi="ar"/>
              </w:rPr>
              <w:t>技术指标响应情况表</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bidi="ar"/>
              </w:rPr>
              <w:t>2.</w:t>
            </w:r>
            <w:r>
              <w:rPr>
                <w:rFonts w:hint="eastAsia" w:ascii="宋体" w:cs="宋体"/>
                <w:sz w:val="24"/>
                <w:lang w:bidi="ar"/>
              </w:rPr>
              <w:t>10第四章评标方法及评分标准“技术部分”各评分内容所需提供的材料；</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bidi="ar"/>
              </w:rPr>
              <w:t>2.1</w:t>
            </w:r>
            <w:r>
              <w:rPr>
                <w:rFonts w:hint="eastAsia" w:ascii="宋体" w:cs="宋体"/>
                <w:sz w:val="24"/>
                <w:lang w:bidi="ar"/>
              </w:rPr>
              <w:t>1服务承诺及优惠承诺（条件）</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lang w:val="en" w:bidi="ar"/>
              </w:rPr>
            </w:pPr>
            <w:r>
              <w:rPr>
                <w:rFonts w:hint="eastAsia" w:ascii="宋体" w:cs="宋体"/>
                <w:sz w:val="24"/>
                <w:lang w:bidi="ar"/>
              </w:rPr>
              <w:t>2.1</w:t>
            </w:r>
            <w:r>
              <w:rPr>
                <w:rFonts w:hint="eastAsia" w:ascii="宋体" w:cs="宋体"/>
                <w:sz w:val="24"/>
                <w:lang w:val="en-US" w:eastAsia="zh-CN" w:bidi="ar"/>
              </w:rPr>
              <w:t>2</w:t>
            </w:r>
            <w:r>
              <w:rPr>
                <w:rFonts w:hint="eastAsia" w:ascii="宋体" w:cs="宋体"/>
                <w:sz w:val="24"/>
                <w:lang w:val="en" w:bidi="ar"/>
              </w:rPr>
              <w:t>关键器件品牌响应表</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rPr>
            </w:pPr>
            <w:r>
              <w:rPr>
                <w:rFonts w:hint="eastAsia" w:ascii="宋体" w:cs="宋体"/>
                <w:sz w:val="24"/>
                <w:lang w:val="en" w:bidi="ar"/>
              </w:rPr>
              <w:t>2.1</w:t>
            </w:r>
            <w:r>
              <w:rPr>
                <w:rFonts w:hint="eastAsia" w:ascii="宋体" w:cs="宋体"/>
                <w:sz w:val="24"/>
                <w:lang w:val="en-US" w:eastAsia="zh-CN" w:bidi="ar"/>
              </w:rPr>
              <w:t>3</w:t>
            </w:r>
            <w:r>
              <w:rPr>
                <w:rFonts w:hint="eastAsia" w:ascii="宋体" w:cs="宋体"/>
                <w:sz w:val="24"/>
                <w:lang w:bidi="ar"/>
              </w:rPr>
              <w:t>投标人认为需要提供的其他技术资料</w:t>
            </w:r>
          </w:p>
        </w:tc>
        <w:tc>
          <w:tcPr>
            <w:tcW w:w="2488" w:type="dxa"/>
            <w:vAlign w:val="center"/>
          </w:tcPr>
          <w:p>
            <w:pPr>
              <w:topLinePunct/>
              <w:spacing w:line="360" w:lineRule="exact"/>
              <w:jc w:val="center"/>
              <w:rPr>
                <w:rFonts w:ascii="宋体" w:cs="宋体"/>
                <w:sz w:val="24"/>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restart"/>
            <w:vAlign w:val="center"/>
          </w:tcPr>
          <w:p>
            <w:pPr>
              <w:topLinePunct/>
              <w:spacing w:line="360" w:lineRule="exact"/>
              <w:jc w:val="center"/>
              <w:rPr>
                <w:rFonts w:ascii="宋体" w:cs="宋体"/>
                <w:sz w:val="24"/>
                <w:lang w:val="en" w:eastAsia="en" w:bidi="ar"/>
              </w:rPr>
            </w:pPr>
            <w:r>
              <w:rPr>
                <w:rFonts w:hint="eastAsia" w:ascii="宋体" w:cs="宋体"/>
                <w:sz w:val="24"/>
                <w:lang w:val="en" w:eastAsia="en" w:bidi="ar"/>
              </w:rPr>
              <w:t>3</w:t>
            </w:r>
            <w:r>
              <w:rPr>
                <w:rFonts w:hint="eastAsia" w:ascii="宋体" w:cs="宋体"/>
                <w:sz w:val="24"/>
                <w:lang w:bidi="ar"/>
              </w:rPr>
              <w:t>.报价文件</w:t>
            </w:r>
          </w:p>
        </w:tc>
        <w:tc>
          <w:tcPr>
            <w:tcW w:w="5177" w:type="dxa"/>
            <w:vAlign w:val="center"/>
          </w:tcPr>
          <w:p>
            <w:pPr>
              <w:topLinePunct/>
              <w:spacing w:line="360" w:lineRule="exact"/>
              <w:jc w:val="left"/>
              <w:rPr>
                <w:rFonts w:ascii="宋体" w:cs="宋体"/>
                <w:sz w:val="24"/>
                <w:lang w:val="en" w:eastAsia="en" w:bidi="ar"/>
              </w:rPr>
            </w:pPr>
            <w:r>
              <w:rPr>
                <w:rFonts w:hint="eastAsia" w:ascii="宋体" w:cs="宋体"/>
                <w:sz w:val="24"/>
                <w:lang w:val="en" w:eastAsia="en" w:bidi="ar"/>
              </w:rPr>
              <w:t>3.1</w:t>
            </w:r>
            <w:r>
              <w:rPr>
                <w:rFonts w:hint="eastAsia" w:ascii="宋体" w:cs="宋体"/>
                <w:sz w:val="24"/>
                <w:lang w:bidi="ar"/>
              </w:rPr>
              <w:t>报价文件封面</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lang w:val="en" w:eastAsia="en" w:bidi="ar"/>
              </w:rPr>
            </w:pPr>
            <w:r>
              <w:rPr>
                <w:rFonts w:hint="eastAsia" w:ascii="宋体" w:cs="宋体"/>
                <w:sz w:val="24"/>
                <w:lang w:bidi="ar"/>
              </w:rPr>
              <w:t>3.2开标一览表</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第___页到第___页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vMerge w:val="continue"/>
            <w:vAlign w:val="center"/>
          </w:tcPr>
          <w:p>
            <w:pPr>
              <w:spacing w:line="360" w:lineRule="exact"/>
            </w:pPr>
          </w:p>
        </w:tc>
        <w:tc>
          <w:tcPr>
            <w:tcW w:w="5177" w:type="dxa"/>
            <w:vAlign w:val="center"/>
          </w:tcPr>
          <w:p>
            <w:pPr>
              <w:topLinePunct/>
              <w:spacing w:line="360" w:lineRule="exact"/>
              <w:jc w:val="left"/>
              <w:rPr>
                <w:rFonts w:ascii="宋体" w:cs="宋体"/>
                <w:sz w:val="24"/>
                <w:lang w:bidi="ar"/>
              </w:rPr>
            </w:pPr>
            <w:r>
              <w:rPr>
                <w:rFonts w:hint="eastAsia" w:ascii="宋体" w:cs="宋体"/>
                <w:sz w:val="24"/>
                <w:lang w:val="en" w:eastAsia="en" w:bidi="ar"/>
              </w:rPr>
              <w:t>3</w:t>
            </w:r>
            <w:r>
              <w:rPr>
                <w:rFonts w:hint="eastAsia" w:ascii="宋体" w:cs="宋体"/>
                <w:sz w:val="24"/>
                <w:lang w:bidi="ar"/>
              </w:rPr>
              <w:t>.3投标分项报价表</w:t>
            </w:r>
          </w:p>
        </w:tc>
        <w:tc>
          <w:tcPr>
            <w:tcW w:w="2488" w:type="dxa"/>
            <w:vAlign w:val="center"/>
          </w:tcPr>
          <w:p>
            <w:pPr>
              <w:topLinePunct/>
              <w:spacing w:line="360" w:lineRule="exact"/>
              <w:jc w:val="center"/>
              <w:rPr>
                <w:rFonts w:ascii="宋体" w:cs="宋体"/>
                <w:sz w:val="24"/>
                <w:lang w:bidi="ar"/>
              </w:rPr>
            </w:pPr>
            <w:r>
              <w:rPr>
                <w:rFonts w:hint="eastAsia" w:ascii="宋体" w:cs="宋体"/>
                <w:sz w:val="24"/>
                <w:lang w:bidi="ar"/>
              </w:rPr>
              <w:t>第___页到第___页</w:t>
            </w:r>
          </w:p>
        </w:tc>
      </w:tr>
    </w:tbl>
    <w:p>
      <w:pPr>
        <w:topLinePunct/>
        <w:spacing w:before="120" w:beforeLines="50" w:line="360" w:lineRule="auto"/>
        <w:jc w:val="left"/>
        <w:rPr>
          <w:rFonts w:ascii="宋体" w:cs="宋体"/>
          <w:sz w:val="24"/>
          <w:lang w:bidi="ar"/>
        </w:rPr>
      </w:pPr>
      <w:r>
        <w:rPr>
          <w:rFonts w:hint="eastAsia" w:ascii="宋体" w:cs="宋体"/>
          <w:b/>
          <w:bCs/>
          <w:sz w:val="24"/>
          <w:lang w:bidi="ar"/>
        </w:rPr>
        <w:t>说明：</w:t>
      </w:r>
      <w:r>
        <w:rPr>
          <w:rFonts w:hint="eastAsia" w:ascii="宋体" w:cs="宋体"/>
          <w:sz w:val="24"/>
          <w:lang w:bidi="ar"/>
        </w:rPr>
        <w:t>（1）根据上表“组成部分”的顺序，编制资格文件、商务技术文件、报价文件；</w:t>
      </w:r>
    </w:p>
    <w:p>
      <w:pPr>
        <w:topLinePunct/>
        <w:spacing w:line="360" w:lineRule="auto"/>
        <w:ind w:firstLine="849" w:firstLineChars="354"/>
        <w:jc w:val="left"/>
        <w:rPr>
          <w:rFonts w:ascii="宋体" w:cs="宋体"/>
          <w:sz w:val="24"/>
          <w:lang w:bidi="ar"/>
        </w:rPr>
      </w:pPr>
      <w:r>
        <w:rPr>
          <w:rFonts w:hint="eastAsia" w:ascii="宋体" w:cs="宋体"/>
          <w:sz w:val="24"/>
          <w:lang w:bidi="ar"/>
        </w:rPr>
        <w:t>（2）本表可根据需要自行扩展。</w:t>
      </w:r>
    </w:p>
    <w:p>
      <w:pPr>
        <w:topLinePunct/>
        <w:spacing w:line="360" w:lineRule="auto"/>
        <w:ind w:firstLine="482" w:firstLineChars="200"/>
        <w:jc w:val="left"/>
        <w:rPr>
          <w:rFonts w:ascii="宋体" w:cs="宋体"/>
          <w:sz w:val="24"/>
          <w:lang w:bidi="ar"/>
        </w:rPr>
      </w:pPr>
      <w:r>
        <w:rPr>
          <w:rFonts w:hint="eastAsia" w:ascii="宋体" w:cs="宋体"/>
          <w:b/>
          <w:bCs/>
          <w:kern w:val="0"/>
          <w:sz w:val="24"/>
          <w:lang w:bidi="ar"/>
        </w:rPr>
        <w:t>二、索引目录中的资格文件、商务技术文件、报价文件中的封面、无行贿行为记录等相关材料，需严格按照下列文件格式要求提供，其他材料格式自定义：</w:t>
      </w:r>
    </w:p>
    <w:p>
      <w:pPr>
        <w:adjustRightInd w:val="0"/>
        <w:snapToGrid w:val="0"/>
        <w:spacing w:line="360" w:lineRule="auto"/>
        <w:rPr>
          <w:rFonts w:ascii="宋体" w:cs="宋体"/>
          <w:sz w:val="24"/>
          <w:lang w:bidi="ar"/>
        </w:rPr>
        <w:sectPr>
          <w:pgSz w:w="11906" w:h="16838"/>
          <w:pgMar w:top="1236" w:right="1134" w:bottom="1134" w:left="1134" w:header="680" w:footer="680" w:gutter="0"/>
          <w:cols w:space="720" w:num="1"/>
          <w:docGrid w:linePitch="312" w:charSpace="0"/>
        </w:sectPr>
      </w:pPr>
    </w:p>
    <w:p>
      <w:pPr>
        <w:adjustRightInd w:val="0"/>
        <w:snapToGrid w:val="0"/>
        <w:spacing w:line="360" w:lineRule="auto"/>
        <w:rPr>
          <w:rFonts w:ascii="宋体" w:cs="宋体"/>
          <w:b/>
          <w:bCs/>
          <w:sz w:val="24"/>
          <w:u w:val="single"/>
        </w:rPr>
      </w:pPr>
      <w:r>
        <w:rPr>
          <w:rFonts w:hint="eastAsia" w:ascii="宋体" w:cs="宋体"/>
          <w:b/>
          <w:bCs/>
          <w:sz w:val="24"/>
          <w:lang w:bidi="ar"/>
        </w:rPr>
        <w:t>1.1资格文件封面/2.1商务技术文件封面/</w:t>
      </w:r>
      <w:r>
        <w:rPr>
          <w:rFonts w:hint="eastAsia" w:ascii="宋体" w:cs="宋体"/>
          <w:b/>
          <w:bCs/>
          <w:sz w:val="24"/>
          <w:lang w:val="en" w:bidi="ar"/>
        </w:rPr>
        <w:t>3.1</w:t>
      </w:r>
      <w:r>
        <w:rPr>
          <w:rFonts w:hint="eastAsia" w:ascii="宋体" w:cs="宋体"/>
          <w:b/>
          <w:bCs/>
          <w:sz w:val="24"/>
          <w:lang w:bidi="ar"/>
        </w:rPr>
        <w:t>报价文件封面</w:t>
      </w: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autoSpaceDE w:val="0"/>
        <w:autoSpaceDN w:val="0"/>
        <w:adjustRightInd w:val="0"/>
        <w:snapToGrid w:val="0"/>
        <w:spacing w:line="360" w:lineRule="auto"/>
        <w:jc w:val="center"/>
        <w:rPr>
          <w:rFonts w:ascii="宋体" w:cs="黑体"/>
          <w:b/>
          <w:snapToGrid w:val="0"/>
          <w:kern w:val="0"/>
          <w:sz w:val="44"/>
          <w:szCs w:val="44"/>
        </w:rPr>
      </w:pPr>
      <w:r>
        <w:rPr>
          <w:rFonts w:hint="eastAsia" w:ascii="宋体" w:cs="黑体"/>
          <w:b/>
          <w:snapToGrid w:val="0"/>
          <w:kern w:val="0"/>
          <w:sz w:val="44"/>
          <w:szCs w:val="44"/>
          <w:u w:val="single"/>
        </w:rPr>
        <w:t>宁波市烟草公司配送中心全品规备货系统扩容技改项目</w:t>
      </w:r>
    </w:p>
    <w:p>
      <w:pPr>
        <w:autoSpaceDE w:val="0"/>
        <w:autoSpaceDN w:val="0"/>
        <w:adjustRightInd w:val="0"/>
        <w:snapToGrid w:val="0"/>
        <w:spacing w:line="360" w:lineRule="auto"/>
        <w:jc w:val="center"/>
        <w:outlineLvl w:val="0"/>
        <w:rPr>
          <w:rFonts w:ascii="宋体"/>
          <w:b/>
          <w:snapToGrid w:val="0"/>
          <w:kern w:val="0"/>
          <w:sz w:val="32"/>
          <w:szCs w:val="32"/>
          <w:u w:val="single"/>
        </w:rPr>
      </w:pPr>
      <w:bookmarkStart w:id="209" w:name="_Toc16548"/>
      <w:r>
        <w:rPr>
          <w:rFonts w:hint="eastAsia" w:ascii="宋体"/>
          <w:b/>
          <w:snapToGrid w:val="0"/>
          <w:kern w:val="0"/>
          <w:sz w:val="32"/>
          <w:szCs w:val="32"/>
        </w:rPr>
        <w:t>招标编号</w:t>
      </w:r>
      <w:bookmarkEnd w:id="209"/>
      <w:r>
        <w:rPr>
          <w:rFonts w:hint="eastAsia" w:ascii="宋体"/>
          <w:b/>
          <w:snapToGrid w:val="0"/>
          <w:kern w:val="0"/>
          <w:sz w:val="32"/>
          <w:szCs w:val="32"/>
        </w:rPr>
        <w:t>：</w:t>
      </w:r>
      <w:r>
        <w:rPr>
          <w:rFonts w:hint="eastAsia" w:ascii="宋体"/>
          <w:b/>
          <w:snapToGrid w:val="0"/>
          <w:kern w:val="0"/>
          <w:sz w:val="32"/>
          <w:szCs w:val="32"/>
          <w:u w:val="single"/>
        </w:rPr>
        <w:t>NBYC-CT3302250206*（ZGZB2025-251）</w:t>
      </w:r>
    </w:p>
    <w:p>
      <w:pPr>
        <w:autoSpaceDE w:val="0"/>
        <w:autoSpaceDN w:val="0"/>
        <w:adjustRightInd w:val="0"/>
        <w:snapToGrid w:val="0"/>
        <w:spacing w:line="360" w:lineRule="auto"/>
        <w:jc w:val="center"/>
        <w:rPr>
          <w:rFonts w:ascii="宋体"/>
          <w:snapToGrid w:val="0"/>
          <w:kern w:val="0"/>
          <w:sz w:val="52"/>
          <w:szCs w:val="52"/>
        </w:rPr>
      </w:pPr>
    </w:p>
    <w:p>
      <w:pPr>
        <w:autoSpaceDE w:val="0"/>
        <w:autoSpaceDN w:val="0"/>
        <w:adjustRightInd w:val="0"/>
        <w:snapToGrid w:val="0"/>
        <w:spacing w:line="360" w:lineRule="auto"/>
        <w:jc w:val="center"/>
        <w:rPr>
          <w:rFonts w:ascii="宋体"/>
          <w:b/>
          <w:snapToGrid w:val="0"/>
          <w:kern w:val="0"/>
          <w:sz w:val="72"/>
          <w:szCs w:val="72"/>
        </w:rPr>
      </w:pPr>
      <w:r>
        <w:rPr>
          <w:rFonts w:hint="eastAsia" w:ascii="宋体"/>
          <w:b/>
          <w:snapToGrid w:val="0"/>
          <w:kern w:val="0"/>
          <w:sz w:val="72"/>
          <w:szCs w:val="72"/>
        </w:rPr>
        <w:t>资格/商务技术/报价文件</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lang w:bidi="ar"/>
        </w:rPr>
      </w:pP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lang w:bidi="ar"/>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p>
    <w:tbl>
      <w:tblPr>
        <w:tblStyle w:val="24"/>
        <w:tblW w:w="8591" w:type="dxa"/>
        <w:jc w:val="center"/>
        <w:tblLayout w:type="fixed"/>
        <w:tblCellMar>
          <w:top w:w="0" w:type="dxa"/>
          <w:left w:w="108" w:type="dxa"/>
          <w:bottom w:w="0" w:type="dxa"/>
          <w:right w:w="108" w:type="dxa"/>
        </w:tblCellMar>
      </w:tblPr>
      <w:tblGrid>
        <w:gridCol w:w="2376"/>
        <w:gridCol w:w="6215"/>
      </w:tblGrid>
      <w:tr>
        <w:trPr>
          <w:trHeight w:val="567" w:hRule="atLeast"/>
          <w:jc w:val="center"/>
        </w:trPr>
        <w:tc>
          <w:tcPr>
            <w:tcW w:w="2376" w:type="dxa"/>
            <w:tcBorders>
              <w:top w:val="nil"/>
              <w:left w:val="nil"/>
              <w:bottom w:val="nil"/>
              <w:right w:val="nil"/>
            </w:tcBorders>
            <w:vAlign w:val="center"/>
          </w:tcPr>
          <w:p>
            <w:pPr>
              <w:pStyle w:val="11"/>
              <w:snapToGrid w:val="0"/>
              <w:rPr>
                <w:snapToGrid w:val="0"/>
                <w:kern w:val="0"/>
                <w:sz w:val="32"/>
              </w:rPr>
            </w:pPr>
            <w:r>
              <w:rPr>
                <w:rFonts w:hint="eastAsia"/>
                <w:snapToGrid w:val="0"/>
                <w:kern w:val="0"/>
                <w:sz w:val="32"/>
              </w:rPr>
              <w:t>投   标   人：</w:t>
            </w:r>
          </w:p>
        </w:tc>
        <w:tc>
          <w:tcPr>
            <w:tcW w:w="6215" w:type="dxa"/>
            <w:tcBorders>
              <w:top w:val="nil"/>
              <w:left w:val="nil"/>
              <w:bottom w:val="nil"/>
              <w:right w:val="nil"/>
            </w:tcBorders>
            <w:vAlign w:val="center"/>
          </w:tcPr>
          <w:p>
            <w:pPr>
              <w:pStyle w:val="11"/>
              <w:snapToGrid w:val="0"/>
              <w:jc w:val="left"/>
              <w:rPr>
                <w:snapToGrid w:val="0"/>
                <w:kern w:val="0"/>
                <w:sz w:val="32"/>
              </w:rPr>
            </w:pPr>
            <w:r>
              <w:rPr>
                <w:rFonts w:hint="eastAsia"/>
                <w:snapToGrid w:val="0"/>
                <w:kern w:val="0"/>
                <w:sz w:val="32"/>
                <w:u w:val="single"/>
              </w:rPr>
              <w:t xml:space="preserve">                                   </w:t>
            </w:r>
          </w:p>
        </w:tc>
      </w:tr>
      <w:tr>
        <w:tblPrEx>
          <w:tblCellMar>
            <w:top w:w="0" w:type="dxa"/>
            <w:left w:w="108" w:type="dxa"/>
            <w:bottom w:w="0" w:type="dxa"/>
            <w:right w:w="108" w:type="dxa"/>
          </w:tblCellMar>
        </w:tblPrEx>
        <w:trPr>
          <w:trHeight w:val="567" w:hRule="atLeast"/>
          <w:jc w:val="center"/>
        </w:trPr>
        <w:tc>
          <w:tcPr>
            <w:tcW w:w="8591" w:type="dxa"/>
            <w:gridSpan w:val="2"/>
            <w:tcBorders>
              <w:top w:val="nil"/>
              <w:left w:val="nil"/>
              <w:bottom w:val="nil"/>
              <w:right w:val="nil"/>
            </w:tcBorders>
            <w:vAlign w:val="center"/>
          </w:tcPr>
          <w:p>
            <w:pPr>
              <w:pStyle w:val="11"/>
              <w:snapToGrid w:val="0"/>
              <w:jc w:val="center"/>
              <w:rPr>
                <w:snapToGrid w:val="0"/>
                <w:kern w:val="0"/>
                <w:sz w:val="32"/>
              </w:rPr>
            </w:pPr>
            <w:r>
              <w:rPr>
                <w:rFonts w:hint="eastAsia"/>
                <w:snapToGrid w:val="0"/>
                <w:kern w:val="0"/>
                <w:sz w:val="32"/>
                <w:u w:val="single"/>
              </w:rPr>
              <w:t xml:space="preserve">    </w:t>
            </w:r>
            <w:r>
              <w:rPr>
                <w:rFonts w:hint="eastAsia"/>
                <w:snapToGrid w:val="0"/>
                <w:kern w:val="0"/>
                <w:sz w:val="32"/>
              </w:rPr>
              <w:t>年</w:t>
            </w:r>
            <w:r>
              <w:rPr>
                <w:rFonts w:hint="eastAsia"/>
                <w:snapToGrid w:val="0"/>
                <w:kern w:val="0"/>
                <w:sz w:val="32"/>
                <w:u w:val="single"/>
              </w:rPr>
              <w:t xml:space="preserve">  </w:t>
            </w:r>
            <w:r>
              <w:rPr>
                <w:rFonts w:hint="eastAsia"/>
                <w:snapToGrid w:val="0"/>
                <w:kern w:val="0"/>
                <w:sz w:val="32"/>
              </w:rPr>
              <w:t>月</w:t>
            </w:r>
            <w:r>
              <w:rPr>
                <w:rFonts w:hint="eastAsia"/>
                <w:snapToGrid w:val="0"/>
                <w:kern w:val="0"/>
                <w:sz w:val="32"/>
                <w:u w:val="single"/>
              </w:rPr>
              <w:t xml:space="preserve">  </w:t>
            </w:r>
            <w:r>
              <w:rPr>
                <w:rFonts w:hint="eastAsia"/>
                <w:snapToGrid w:val="0"/>
                <w:kern w:val="0"/>
                <w:sz w:val="32"/>
              </w:rPr>
              <w:t>日</w:t>
            </w:r>
          </w:p>
        </w:tc>
      </w:tr>
    </w:tbl>
    <w:p>
      <w:pPr>
        <w:adjustRightInd w:val="0"/>
        <w:snapToGrid w:val="0"/>
        <w:spacing w:line="360" w:lineRule="auto"/>
        <w:rPr>
          <w:rFonts w:ascii="宋体" w:cs="宋体"/>
          <w:szCs w:val="21"/>
          <w:lang w:bidi="ar"/>
        </w:rPr>
        <w:sectPr>
          <w:pgSz w:w="11906" w:h="16838"/>
          <w:pgMar w:top="1236" w:right="1134" w:bottom="1134" w:left="1134" w:header="680" w:footer="680" w:gutter="0"/>
          <w:cols w:space="720" w:num="1"/>
          <w:docGrid w:linePitch="312" w:charSpace="0"/>
        </w:sectPr>
      </w:pPr>
    </w:p>
    <w:p>
      <w:pPr>
        <w:outlineLvl w:val="0"/>
        <w:rPr>
          <w:rFonts w:ascii="宋体" w:cs="宋体"/>
          <w:b/>
          <w:bCs/>
          <w:sz w:val="24"/>
          <w:lang w:bidi="ar"/>
        </w:rPr>
      </w:pPr>
      <w:bookmarkStart w:id="210" w:name="_Toc3364"/>
      <w:r>
        <w:rPr>
          <w:rFonts w:hint="eastAsia" w:ascii="宋体" w:cs="宋体"/>
          <w:b/>
          <w:bCs/>
          <w:sz w:val="24"/>
          <w:lang w:bidi="ar"/>
        </w:rPr>
        <w:t>1.3投标人、法定代表人、</w:t>
      </w:r>
      <w:r>
        <w:rPr>
          <w:rFonts w:hint="eastAsia" w:ascii="宋体" w:cs="宋体"/>
          <w:b/>
          <w:bCs/>
          <w:sz w:val="24"/>
          <w:u w:val="single"/>
          <w:lang w:bidi="ar"/>
        </w:rPr>
        <w:t>项目负责人</w:t>
      </w:r>
      <w:r>
        <w:rPr>
          <w:rFonts w:hint="eastAsia" w:ascii="宋体" w:cs="宋体"/>
          <w:b/>
          <w:bCs/>
          <w:sz w:val="24"/>
          <w:lang w:bidi="ar"/>
        </w:rPr>
        <w:t>无行贿行为记录</w:t>
      </w:r>
      <w:bookmarkEnd w:id="210"/>
    </w:p>
    <w:p>
      <w:pPr>
        <w:spacing w:line="360" w:lineRule="auto"/>
        <w:outlineLvl w:val="0"/>
        <w:rPr>
          <w:rFonts w:ascii="宋体" w:cs="宋体"/>
          <w:szCs w:val="21"/>
          <w:lang w:bidi="ar"/>
        </w:rPr>
      </w:pPr>
    </w:p>
    <w:p>
      <w:pPr>
        <w:spacing w:line="360" w:lineRule="auto"/>
        <w:outlineLvl w:val="0"/>
        <w:rPr>
          <w:rFonts w:ascii="宋体" w:cs="宋体"/>
          <w:szCs w:val="21"/>
          <w:lang w:bidi="ar"/>
        </w:rPr>
      </w:pPr>
      <w:bookmarkStart w:id="211" w:name="_Toc26287"/>
      <w:r>
        <w:rPr>
          <w:rFonts w:hint="eastAsia" w:ascii="宋体" w:cs="宋体"/>
          <w:sz w:val="24"/>
          <w:lang w:bidi="ar"/>
        </w:rPr>
        <w:t>请附：从投标截止之日起近3年（成立不足3年的可从成立之日起算），投标人、法定代表人、</w:t>
      </w:r>
      <w:r>
        <w:rPr>
          <w:rFonts w:hint="eastAsia" w:ascii="宋体" w:cs="宋体"/>
          <w:sz w:val="24"/>
          <w:u w:val="single"/>
          <w:lang w:bidi="ar"/>
        </w:rPr>
        <w:t>项目负责人</w:t>
      </w:r>
      <w:r>
        <w:rPr>
          <w:rFonts w:hint="eastAsia" w:ascii="宋体" w:cs="宋体"/>
          <w:sz w:val="24"/>
          <w:lang w:bidi="ar"/>
        </w:rPr>
        <w:t>无行贿行为记录。在本公告发布之日起至投标截止之日前，应通过中国裁判文书网分开、单独查询投标人、法定代表人、项目负责人的无行贿行为记录（前款允许其他组织投标时，非法人单位提供单位负责人的无行贿行为记录），并加盖投标人公章。</w:t>
      </w:r>
      <w:bookmarkEnd w:id="211"/>
      <w:r>
        <w:rPr>
          <w:rFonts w:hint="eastAsia" w:ascii="宋体" w:cs="宋体"/>
          <w:sz w:val="24"/>
          <w:lang w:bidi="ar"/>
        </w:rPr>
        <w:t>投标人提供的无行贿行为记录查询结果与现场查询不一致的，以现场查询结果为准。</w:t>
      </w:r>
    </w:p>
    <w:p>
      <w:pPr>
        <w:spacing w:line="360" w:lineRule="auto"/>
        <w:ind w:right="-21" w:rightChars="-10"/>
        <w:jc w:val="left"/>
      </w:pPr>
      <w:r>
        <w:rPr>
          <w:rFonts w:hint="eastAsia" w:ascii="宋体" w:cs="宋体"/>
          <w:b/>
          <w:bCs/>
          <w:sz w:val="24"/>
          <w:lang w:bidi="ar"/>
        </w:rPr>
        <w:t>示例：</w:t>
      </w:r>
      <w:r>
        <w:drawing>
          <wp:inline distT="0" distB="0" distL="0" distR="0">
            <wp:extent cx="6118860" cy="300228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18860" cy="3002280"/>
                    </a:xfrm>
                    <a:prstGeom prst="rect">
                      <a:avLst/>
                    </a:prstGeom>
                    <a:noFill/>
                    <a:ln>
                      <a:noFill/>
                    </a:ln>
                    <a:effectLst/>
                  </pic:spPr>
                </pic:pic>
              </a:graphicData>
            </a:graphic>
          </wp:inline>
        </w:drawing>
      </w:r>
    </w:p>
    <w:p>
      <w:pPr>
        <w:spacing w:line="360" w:lineRule="auto"/>
        <w:ind w:right="-21" w:rightChars="-10"/>
        <w:jc w:val="left"/>
      </w:pPr>
    </w:p>
    <w:p>
      <w:pPr>
        <w:spacing w:line="360" w:lineRule="auto"/>
        <w:ind w:right="-21" w:rightChars="-10"/>
        <w:jc w:val="left"/>
        <w:sectPr>
          <w:pgSz w:w="11906" w:h="16838"/>
          <w:pgMar w:top="1236" w:right="1134" w:bottom="1134" w:left="1134" w:header="680" w:footer="680" w:gutter="0"/>
          <w:cols w:space="720" w:num="1"/>
          <w:docGrid w:linePitch="312" w:charSpace="0"/>
        </w:sectPr>
      </w:pPr>
      <w:r>
        <w:drawing>
          <wp:inline distT="0" distB="0" distL="0" distR="0">
            <wp:extent cx="6118860" cy="287274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18860" cy="2872740"/>
                    </a:xfrm>
                    <a:prstGeom prst="rect">
                      <a:avLst/>
                    </a:prstGeom>
                    <a:noFill/>
                    <a:ln>
                      <a:noFill/>
                    </a:ln>
                    <a:effectLst/>
                  </pic:spPr>
                </pic:pic>
              </a:graphicData>
            </a:graphic>
          </wp:inline>
        </w:drawing>
      </w:r>
    </w:p>
    <w:p>
      <w:pPr>
        <w:spacing w:line="360" w:lineRule="auto"/>
        <w:outlineLvl w:val="0"/>
        <w:rPr>
          <w:rFonts w:ascii="宋体" w:cs="宋体"/>
          <w:b/>
          <w:bCs/>
          <w:sz w:val="24"/>
          <w:lang w:bidi="ar"/>
        </w:rPr>
      </w:pPr>
      <w:bookmarkStart w:id="212" w:name="_Toc5656"/>
      <w:r>
        <w:rPr>
          <w:rFonts w:hint="eastAsia" w:ascii="宋体" w:cs="宋体"/>
          <w:b/>
          <w:bCs/>
          <w:sz w:val="24"/>
          <w:lang w:bidi="ar"/>
        </w:rPr>
        <w:t>1.4投标人在经营活动中无重大违法记录</w:t>
      </w:r>
      <w:bookmarkEnd w:id="212"/>
    </w:p>
    <w:p>
      <w:pPr>
        <w:spacing w:line="360" w:lineRule="auto"/>
        <w:outlineLvl w:val="0"/>
        <w:rPr>
          <w:rFonts w:ascii="宋体" w:cs="宋体"/>
          <w:sz w:val="24"/>
          <w:lang w:bidi="ar"/>
        </w:rPr>
      </w:pPr>
    </w:p>
    <w:p>
      <w:pPr>
        <w:spacing w:line="360" w:lineRule="auto"/>
        <w:outlineLvl w:val="0"/>
        <w:rPr>
          <w:rFonts w:ascii="宋体" w:cs="宋体"/>
          <w:b/>
          <w:bCs/>
          <w:kern w:val="44"/>
          <w:sz w:val="24"/>
          <w:lang w:bidi="ar"/>
        </w:rPr>
      </w:pPr>
      <w:bookmarkStart w:id="213" w:name="_Toc10288"/>
      <w:r>
        <w:rPr>
          <w:rFonts w:hint="eastAsia" w:ascii="宋体" w:cs="宋体"/>
          <w:sz w:val="24"/>
          <w:lang w:bidi="ar"/>
        </w:rPr>
        <w:t>请附：从投标截止日起近3年（成立不足3年的可从成立之日起算），投标人在经营活动中无重大违法记录。在本公告发布之日起至投标截止之日前，应通过国家企业信用信息公示系统查询投标人的无重大违法记录，并加盖投标人公章。</w:t>
      </w:r>
      <w:bookmarkEnd w:id="213"/>
      <w:r>
        <w:rPr>
          <w:rFonts w:hint="eastAsia" w:ascii="宋体" w:cs="宋体"/>
          <w:sz w:val="24"/>
          <w:lang w:bidi="ar"/>
        </w:rPr>
        <w:t>投标人提供的无重大违法记查询结果与现场查询不一致的，以现场查询结果为准。</w:t>
      </w:r>
    </w:p>
    <w:p>
      <w:pPr>
        <w:spacing w:line="360" w:lineRule="auto"/>
        <w:ind w:right="-21" w:rightChars="-10"/>
        <w:jc w:val="left"/>
        <w:rPr>
          <w:rFonts w:ascii="宋体" w:cs="宋体"/>
          <w:b/>
          <w:bCs/>
          <w:szCs w:val="21"/>
          <w:lang w:bidi="ar"/>
        </w:rPr>
      </w:pPr>
      <w:r>
        <w:rPr>
          <w:rFonts w:hint="eastAsia" w:ascii="宋体" w:cs="宋体"/>
          <w:b/>
          <w:bCs/>
          <w:sz w:val="24"/>
          <w:lang w:bidi="ar"/>
        </w:rPr>
        <w:t>示例：</w:t>
      </w:r>
      <w:r>
        <w:rPr>
          <w:rFonts w:ascii="宋体" w:cs="宋体"/>
          <w:b/>
          <w:bCs/>
          <w:szCs w:val="21"/>
          <w:lang w:bidi="ar"/>
        </w:rPr>
        <w:drawing>
          <wp:inline distT="0" distB="0" distL="0" distR="0">
            <wp:extent cx="6118860" cy="142494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118860" cy="1424940"/>
                    </a:xfrm>
                    <a:prstGeom prst="rect">
                      <a:avLst/>
                    </a:prstGeom>
                    <a:noFill/>
                    <a:ln>
                      <a:noFill/>
                    </a:ln>
                    <a:effectLst/>
                  </pic:spPr>
                </pic:pic>
              </a:graphicData>
            </a:graphic>
          </wp:inline>
        </w:drawing>
      </w:r>
    </w:p>
    <w:p>
      <w:pPr>
        <w:spacing w:line="360" w:lineRule="auto"/>
        <w:ind w:right="-21" w:rightChars="-10"/>
        <w:jc w:val="left"/>
        <w:rPr>
          <w:rFonts w:ascii="宋体" w:cs="宋体"/>
          <w:sz w:val="24"/>
          <w:lang w:bidi="ar"/>
        </w:rPr>
        <w:sectPr>
          <w:pgSz w:w="11906" w:h="16838"/>
          <w:pgMar w:top="1236" w:right="1134" w:bottom="1134" w:left="1134" w:header="680" w:footer="680" w:gutter="0"/>
          <w:cols w:space="720" w:num="1"/>
          <w:docGrid w:linePitch="312" w:charSpace="0"/>
        </w:sectPr>
      </w:pPr>
      <w:r>
        <w:drawing>
          <wp:inline distT="0" distB="0" distL="0" distR="0">
            <wp:extent cx="6111240" cy="128016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11240" cy="1280160"/>
                    </a:xfrm>
                    <a:prstGeom prst="rect">
                      <a:avLst/>
                    </a:prstGeom>
                    <a:noFill/>
                    <a:ln>
                      <a:noFill/>
                    </a:ln>
                    <a:effectLst/>
                  </pic:spPr>
                </pic:pic>
              </a:graphicData>
            </a:graphic>
          </wp:inline>
        </w:drawing>
      </w:r>
    </w:p>
    <w:p>
      <w:pPr>
        <w:outlineLvl w:val="0"/>
        <w:rPr>
          <w:rFonts w:ascii="宋体" w:cs="宋体"/>
          <w:b/>
          <w:bCs/>
          <w:color w:val="000000"/>
          <w:sz w:val="24"/>
          <w:lang w:bidi="ar"/>
        </w:rPr>
      </w:pPr>
      <w:bookmarkStart w:id="214" w:name="_Toc7453"/>
      <w:r>
        <w:rPr>
          <w:rFonts w:hint="eastAsia" w:ascii="宋体" w:cs="宋体"/>
          <w:b/>
          <w:bCs/>
          <w:color w:val="000000"/>
          <w:sz w:val="24"/>
          <w:lang w:bidi="ar"/>
        </w:rPr>
        <w:t>1.</w:t>
      </w:r>
      <w:bookmarkEnd w:id="214"/>
      <w:r>
        <w:rPr>
          <w:rFonts w:hint="eastAsia" w:ascii="宋体" w:cs="宋体"/>
          <w:b/>
          <w:bCs/>
          <w:color w:val="000000"/>
          <w:sz w:val="24"/>
          <w:lang w:bidi="ar"/>
        </w:rPr>
        <w:t>6</w:t>
      </w:r>
      <w:r>
        <w:rPr>
          <w:rFonts w:hint="eastAsia" w:ascii="宋体"/>
          <w:b/>
          <w:bCs/>
          <w:sz w:val="24"/>
        </w:rPr>
        <w:t>投标人声明函</w:t>
      </w:r>
    </w:p>
    <w:p>
      <w:pPr>
        <w:jc w:val="center"/>
        <w:rPr>
          <w:rFonts w:ascii="宋体"/>
          <w:b/>
          <w:bCs/>
          <w:sz w:val="32"/>
          <w:szCs w:val="32"/>
        </w:rPr>
      </w:pPr>
      <w:bookmarkStart w:id="215" w:name="_Toc3611"/>
      <w:r>
        <w:rPr>
          <w:rFonts w:hint="eastAsia" w:ascii="宋体"/>
          <w:b/>
          <w:bCs/>
          <w:sz w:val="32"/>
          <w:szCs w:val="32"/>
        </w:rPr>
        <w:t>投标人声明函</w:t>
      </w:r>
      <w:bookmarkEnd w:id="215"/>
    </w:p>
    <w:p>
      <w:pPr>
        <w:spacing w:line="480" w:lineRule="auto"/>
        <w:rPr>
          <w:rFonts w:ascii="宋体" w:cs="宋体"/>
          <w:sz w:val="24"/>
        </w:rPr>
      </w:pPr>
      <w:r>
        <w:rPr>
          <w:rFonts w:hint="eastAsia" w:ascii="宋体" w:cs="宋体"/>
          <w:sz w:val="24"/>
        </w:rPr>
        <w:t>致：</w:t>
      </w:r>
      <w:r>
        <w:rPr>
          <w:rFonts w:hint="eastAsia" w:ascii="宋体" w:cs="宋体"/>
          <w:sz w:val="24"/>
          <w:u w:val="single"/>
        </w:rPr>
        <w:t>浙江省烟草公司宁波市公司</w:t>
      </w:r>
    </w:p>
    <w:p>
      <w:pPr>
        <w:spacing w:line="360" w:lineRule="auto"/>
        <w:ind w:firstLine="480" w:firstLineChars="200"/>
        <w:rPr>
          <w:rFonts w:ascii="宋体" w:cs="宋体"/>
          <w:sz w:val="24"/>
        </w:rPr>
      </w:pPr>
      <w:r>
        <w:rPr>
          <w:rFonts w:hint="eastAsia" w:ascii="宋体" w:cs="宋体"/>
          <w:kern w:val="0"/>
          <w:sz w:val="24"/>
        </w:rPr>
        <w:t>我</w:t>
      </w:r>
      <w:r>
        <w:rPr>
          <w:rFonts w:hint="eastAsia" w:ascii="宋体" w:cs="宋体"/>
          <w:kern w:val="0"/>
          <w:sz w:val="24"/>
          <w:u w:val="single"/>
        </w:rPr>
        <w:t xml:space="preserve">               </w:t>
      </w:r>
      <w:r>
        <w:rPr>
          <w:rFonts w:hint="eastAsia" w:ascii="宋体" w:cs="宋体"/>
          <w:kern w:val="0"/>
          <w:sz w:val="24"/>
        </w:rPr>
        <w:t>（投标人名称）参加</w:t>
      </w:r>
      <w:r>
        <w:rPr>
          <w:rFonts w:hint="eastAsia" w:ascii="宋体" w:cs="宋体"/>
          <w:kern w:val="0"/>
          <w:sz w:val="24"/>
          <w:u w:val="single"/>
        </w:rPr>
        <w:t xml:space="preserve">              </w:t>
      </w:r>
      <w:r>
        <w:rPr>
          <w:rFonts w:hint="eastAsia" w:ascii="宋体" w:cs="宋体"/>
          <w:kern w:val="0"/>
          <w:sz w:val="24"/>
        </w:rPr>
        <w:t>采购项目投标，我公司投标承诺声明如下：</w:t>
      </w:r>
    </w:p>
    <w:p>
      <w:pPr>
        <w:spacing w:line="360" w:lineRule="auto"/>
        <w:ind w:firstLine="480" w:firstLineChars="200"/>
        <w:rPr>
          <w:rFonts w:ascii="宋体" w:cs="宋体"/>
          <w:sz w:val="24"/>
        </w:rPr>
      </w:pPr>
      <w:r>
        <w:rPr>
          <w:rFonts w:hint="eastAsia" w:ascii="宋体" w:cs="宋体"/>
          <w:sz w:val="24"/>
        </w:rPr>
        <w:t>1、投标人未被列入烟草行业不良行为供应商名录、未进入烟草行业行贿行为供应商名单；</w:t>
      </w:r>
    </w:p>
    <w:p>
      <w:pPr>
        <w:spacing w:line="360" w:lineRule="auto"/>
        <w:ind w:firstLine="480" w:firstLineChars="200"/>
        <w:rPr>
          <w:rFonts w:ascii="宋体" w:cs="宋体"/>
          <w:sz w:val="24"/>
        </w:rPr>
      </w:pPr>
      <w:r>
        <w:rPr>
          <w:rFonts w:hint="eastAsia" w:ascii="宋体" w:cs="宋体"/>
          <w:sz w:val="24"/>
        </w:rPr>
        <w:t>2、我单位保证在本次招投标过程中无弄虚作假，提供的资信业绩证明资料均真实有效；</w:t>
      </w:r>
    </w:p>
    <w:p>
      <w:pPr>
        <w:spacing w:line="360" w:lineRule="auto"/>
        <w:ind w:firstLine="480" w:firstLineChars="200"/>
        <w:rPr>
          <w:rFonts w:ascii="宋体" w:cs="宋体"/>
          <w:sz w:val="24"/>
        </w:rPr>
      </w:pPr>
      <w:r>
        <w:rPr>
          <w:rFonts w:hint="eastAsia" w:ascii="宋体" w:cs="宋体"/>
          <w:sz w:val="24"/>
        </w:rPr>
        <w:t>3、我单位不存在以下情况：单位负责人为同一人或者存在直接控股、管理关系的不同单位，不得参加同一标段投标或未划分标段的同一招标项目投标。</w:t>
      </w:r>
    </w:p>
    <w:p>
      <w:pPr>
        <w:spacing w:line="360" w:lineRule="auto"/>
        <w:ind w:firstLine="480" w:firstLineChars="200"/>
        <w:rPr>
          <w:rFonts w:ascii="宋体" w:cs="宋体"/>
          <w:sz w:val="24"/>
        </w:rPr>
      </w:pPr>
      <w:r>
        <w:rPr>
          <w:rFonts w:hint="eastAsia" w:ascii="宋体" w:cs="宋体"/>
          <w:sz w:val="24"/>
        </w:rPr>
        <w:t>若有被发现不符合以上情况的，同意被取消投标资格并不退还投标保证金，无条件接受有关监管部门的任何处罚，我单位愿承担一切法律后果，并对由此给招标人带来的损失给予赔偿。</w:t>
      </w:r>
    </w:p>
    <w:p>
      <w:pPr>
        <w:tabs>
          <w:tab w:val="left" w:pos="8364"/>
        </w:tabs>
        <w:snapToGrid w:val="0"/>
        <w:spacing w:line="360" w:lineRule="auto"/>
        <w:rPr>
          <w:rFonts w:ascii="宋体" w:cs="宋体"/>
          <w:sz w:val="24"/>
        </w:rPr>
      </w:pPr>
    </w:p>
    <w:p>
      <w:pPr>
        <w:tabs>
          <w:tab w:val="left" w:pos="8364"/>
        </w:tabs>
        <w:snapToGrid w:val="0"/>
        <w:spacing w:line="360" w:lineRule="auto"/>
        <w:ind w:firstLine="480" w:firstLineChars="200"/>
        <w:rPr>
          <w:rFonts w:ascii="宋体" w:cs="宋体"/>
          <w:b/>
          <w:sz w:val="32"/>
          <w:szCs w:val="32"/>
        </w:rPr>
      </w:pPr>
      <w:r>
        <w:rPr>
          <w:rFonts w:hint="eastAsia" w:ascii="宋体" w:cs="宋体"/>
          <w:sz w:val="24"/>
        </w:rPr>
        <w:t>特此声明！</w:t>
      </w:r>
    </w:p>
    <w:p>
      <w:pPr>
        <w:tabs>
          <w:tab w:val="left" w:pos="2940"/>
        </w:tabs>
        <w:overflowPunct w:val="0"/>
        <w:spacing w:line="360" w:lineRule="auto"/>
        <w:ind w:right="-21" w:rightChars="-10"/>
        <w:rPr>
          <w:rFonts w:ascii="宋体" w:cs="宋体"/>
          <w:sz w:val="24"/>
        </w:rPr>
      </w:pPr>
    </w:p>
    <w:p>
      <w:pPr>
        <w:spacing w:line="360" w:lineRule="auto"/>
        <w:rPr>
          <w:rFonts w:ascii="宋体"/>
          <w:sz w:val="24"/>
        </w:rPr>
      </w:pPr>
      <w:r>
        <w:rPr>
          <w:rFonts w:hint="eastAsia" w:ascii="宋体"/>
          <w:sz w:val="24"/>
        </w:rPr>
        <w:t>投标人名称（盖章）：</w:t>
      </w:r>
    </w:p>
    <w:p>
      <w:pPr>
        <w:spacing w:line="360" w:lineRule="auto"/>
        <w:rPr>
          <w:rFonts w:ascii="宋体"/>
          <w:sz w:val="24"/>
        </w:rPr>
      </w:pPr>
      <w:r>
        <w:rPr>
          <w:rFonts w:hint="eastAsia" w:ascii="宋体"/>
          <w:sz w:val="24"/>
        </w:rPr>
        <w:t>法定代表人或授权代表人（签字或盖章）：</w:t>
      </w:r>
    </w:p>
    <w:p>
      <w:pPr>
        <w:spacing w:line="360" w:lineRule="auto"/>
        <w:rPr>
          <w:rFonts w:ascii="宋体"/>
          <w:sz w:val="24"/>
          <w:lang w:val="zh-CN"/>
        </w:rPr>
      </w:pPr>
      <w:r>
        <w:rPr>
          <w:rFonts w:hint="eastAsia" w:ascii="宋体"/>
          <w:sz w:val="24"/>
        </w:rPr>
        <w:t>日期：</w:t>
      </w:r>
    </w:p>
    <w:p>
      <w:pPr>
        <w:pStyle w:val="11"/>
        <w:sectPr>
          <w:pgSz w:w="11906" w:h="16838"/>
          <w:pgMar w:top="1440" w:right="1474" w:bottom="1440" w:left="1474" w:header="737" w:footer="737" w:gutter="0"/>
          <w:cols w:space="720" w:num="1"/>
          <w:docGrid w:type="lines" w:linePitch="312" w:charSpace="0"/>
        </w:sectPr>
      </w:pPr>
    </w:p>
    <w:p>
      <w:pPr>
        <w:spacing w:line="360" w:lineRule="auto"/>
        <w:ind w:right="-21" w:rightChars="-10"/>
        <w:jc w:val="left"/>
        <w:rPr>
          <w:rFonts w:ascii="宋体" w:cs="宋体"/>
          <w:b/>
          <w:bCs/>
          <w:sz w:val="24"/>
          <w:lang w:bidi="ar"/>
        </w:rPr>
      </w:pPr>
      <w:r>
        <w:rPr>
          <w:rFonts w:hint="eastAsia" w:ascii="宋体" w:cs="宋体"/>
          <w:b/>
          <w:bCs/>
          <w:sz w:val="24"/>
          <w:lang w:bidi="ar"/>
        </w:rPr>
        <w:t>2.2投标函</w:t>
      </w:r>
    </w:p>
    <w:p>
      <w:pPr>
        <w:spacing w:line="360" w:lineRule="auto"/>
        <w:ind w:right="-21" w:rightChars="-10"/>
        <w:jc w:val="center"/>
        <w:rPr>
          <w:rFonts w:ascii="宋体" w:cs="宋体"/>
          <w:b/>
          <w:bCs/>
          <w:sz w:val="24"/>
        </w:rPr>
      </w:pPr>
      <w:r>
        <w:rPr>
          <w:rFonts w:hint="eastAsia" w:ascii="宋体" w:cs="宋体"/>
          <w:b/>
          <w:bCs/>
          <w:sz w:val="24"/>
          <w:lang w:bidi="ar"/>
        </w:rPr>
        <w:t>投 标 函</w:t>
      </w:r>
    </w:p>
    <w:p>
      <w:pPr>
        <w:adjustRightInd w:val="0"/>
        <w:snapToGrid w:val="0"/>
        <w:spacing w:line="360" w:lineRule="auto"/>
        <w:rPr>
          <w:rFonts w:ascii="宋体" w:cs="宋体"/>
          <w:sz w:val="24"/>
        </w:rPr>
      </w:pPr>
      <w:r>
        <w:rPr>
          <w:rFonts w:hint="eastAsia" w:ascii="宋体" w:cs="宋体"/>
          <w:sz w:val="24"/>
          <w:u w:val="single"/>
        </w:rPr>
        <w:t xml:space="preserve">        （招标人）      </w:t>
      </w:r>
      <w:r>
        <w:rPr>
          <w:rFonts w:hint="eastAsia" w:ascii="宋体" w:cs="宋体"/>
          <w:sz w:val="24"/>
        </w:rPr>
        <w:t>：</w:t>
      </w:r>
    </w:p>
    <w:p>
      <w:pPr>
        <w:adjustRightInd w:val="0"/>
        <w:snapToGrid w:val="0"/>
        <w:spacing w:line="440" w:lineRule="exact"/>
        <w:ind w:firstLine="480" w:firstLineChars="200"/>
        <w:rPr>
          <w:rFonts w:ascii="宋体" w:cs="宋体"/>
          <w:sz w:val="24"/>
        </w:rPr>
      </w:pPr>
      <w:r>
        <w:rPr>
          <w:rFonts w:hint="eastAsia" w:ascii="宋体" w:cs="宋体"/>
          <w:sz w:val="24"/>
        </w:rPr>
        <w:t xml:space="preserve">1.我方仔细研究并详细审查了 </w:t>
      </w:r>
      <w:r>
        <w:rPr>
          <w:rFonts w:hint="eastAsia" w:ascii="宋体" w:cs="宋体"/>
          <w:sz w:val="24"/>
          <w:u w:val="single"/>
        </w:rPr>
        <w:t xml:space="preserve">            </w:t>
      </w:r>
      <w:r>
        <w:rPr>
          <w:rFonts w:hint="eastAsia" w:ascii="宋体" w:cs="宋体"/>
          <w:sz w:val="24"/>
        </w:rPr>
        <w:t>项目（招标编号：</w:t>
      </w:r>
      <w:r>
        <w:rPr>
          <w:rFonts w:hint="eastAsia" w:ascii="宋体" w:cs="宋体"/>
          <w:sz w:val="24"/>
          <w:u w:val="single"/>
        </w:rPr>
        <w:t xml:space="preserve">          </w:t>
      </w:r>
      <w:r>
        <w:rPr>
          <w:rFonts w:hint="eastAsia" w:ascii="宋体" w:cs="宋体"/>
          <w:sz w:val="24"/>
        </w:rPr>
        <w:t>）招标文件全部内容，包括澄清或者修改文件以及有关附件，我们完全理解并同意放弃对这方面有不明及误解的权利，并同意承担因此引起的一切损失。</w:t>
      </w:r>
    </w:p>
    <w:p>
      <w:pPr>
        <w:adjustRightInd w:val="0"/>
        <w:snapToGrid w:val="0"/>
        <w:spacing w:line="440" w:lineRule="exact"/>
        <w:ind w:firstLine="480" w:firstLineChars="200"/>
        <w:rPr>
          <w:rFonts w:ascii="宋体" w:cs="宋体"/>
          <w:sz w:val="24"/>
        </w:rPr>
      </w:pPr>
      <w:r>
        <w:rPr>
          <w:rFonts w:hint="eastAsia" w:ascii="宋体" w:cs="宋体"/>
          <w:sz w:val="24"/>
        </w:rPr>
        <w:t>2.我方承诺在投标有效期内（从投标截止日起</w:t>
      </w:r>
      <w:r>
        <w:rPr>
          <w:rFonts w:hint="eastAsia" w:ascii="宋体" w:cs="宋体"/>
          <w:sz w:val="24"/>
          <w:u w:val="single"/>
        </w:rPr>
        <w:t xml:space="preserve">   </w:t>
      </w:r>
      <w:r>
        <w:rPr>
          <w:rFonts w:hint="eastAsia" w:ascii="宋体" w:cs="宋体"/>
          <w:sz w:val="24"/>
        </w:rPr>
        <w:t>日历天）不撤销投标文件，</w:t>
      </w:r>
      <w:r>
        <w:rPr>
          <w:rFonts w:hint="eastAsia" w:ascii="宋体" w:cs="宋体"/>
          <w:iCs/>
          <w:sz w:val="24"/>
        </w:rPr>
        <w:t>投标有效期少于招标文件要求的，投标无效</w:t>
      </w:r>
      <w:r>
        <w:rPr>
          <w:rFonts w:hint="eastAsia" w:ascii="宋体" w:cs="宋体"/>
          <w:sz w:val="24"/>
        </w:rPr>
        <w:t>。</w:t>
      </w:r>
    </w:p>
    <w:p>
      <w:pPr>
        <w:adjustRightInd w:val="0"/>
        <w:snapToGrid w:val="0"/>
        <w:spacing w:line="440" w:lineRule="exact"/>
        <w:ind w:firstLine="480" w:firstLineChars="200"/>
        <w:rPr>
          <w:rFonts w:ascii="宋体" w:cs="宋体"/>
          <w:sz w:val="24"/>
        </w:rPr>
      </w:pPr>
      <w:r>
        <w:rPr>
          <w:rFonts w:hint="eastAsia" w:ascii="宋体" w:cs="宋体"/>
          <w:sz w:val="24"/>
        </w:rPr>
        <w:t>3.我方同意按照贵方要求提供与其招标有关的一切数据和资料，完全理解贵方不一定接受最低价的投标或收到的任何投标。</w:t>
      </w:r>
    </w:p>
    <w:p>
      <w:pPr>
        <w:adjustRightInd w:val="0"/>
        <w:snapToGrid w:val="0"/>
        <w:spacing w:line="440" w:lineRule="exact"/>
        <w:ind w:firstLine="480" w:firstLineChars="200"/>
        <w:rPr>
          <w:rFonts w:ascii="宋体" w:cs="宋体"/>
          <w:sz w:val="24"/>
        </w:rPr>
      </w:pPr>
      <w:r>
        <w:rPr>
          <w:rFonts w:hint="eastAsia" w:ascii="宋体" w:cs="宋体"/>
          <w:sz w:val="24"/>
        </w:rPr>
        <w:t>4.我方在评标过程中根据评标委员会要求提供的符合相关规定的澄清文件，构成投标文件的组成部分。</w:t>
      </w:r>
    </w:p>
    <w:p>
      <w:pPr>
        <w:adjustRightInd w:val="0"/>
        <w:snapToGrid w:val="0"/>
        <w:spacing w:line="440" w:lineRule="exact"/>
        <w:ind w:firstLine="480" w:firstLineChars="200"/>
        <w:rPr>
          <w:rFonts w:ascii="宋体" w:cs="宋体"/>
          <w:sz w:val="24"/>
        </w:rPr>
      </w:pPr>
      <w:r>
        <w:rPr>
          <w:rFonts w:hint="eastAsia" w:ascii="宋体" w:cs="宋体"/>
          <w:sz w:val="24"/>
        </w:rPr>
        <w:t>5．如我方中标：</w:t>
      </w:r>
    </w:p>
    <w:p>
      <w:pPr>
        <w:adjustRightInd w:val="0"/>
        <w:snapToGrid w:val="0"/>
        <w:spacing w:line="440" w:lineRule="exact"/>
        <w:ind w:firstLine="480" w:firstLineChars="200"/>
        <w:rPr>
          <w:rFonts w:ascii="宋体" w:cs="宋体"/>
          <w:sz w:val="24"/>
        </w:rPr>
      </w:pPr>
      <w:r>
        <w:rPr>
          <w:rFonts w:hint="eastAsia" w:ascii="宋体" w:cs="宋体"/>
          <w:sz w:val="24"/>
        </w:rPr>
        <w:t>（1）我方承诺收到中标通知书后，在中标通知书规定的期限内与贵方签订合同；</w:t>
      </w:r>
    </w:p>
    <w:p>
      <w:pPr>
        <w:adjustRightInd w:val="0"/>
        <w:snapToGrid w:val="0"/>
        <w:spacing w:line="440" w:lineRule="exact"/>
        <w:ind w:firstLine="480" w:firstLineChars="200"/>
        <w:rPr>
          <w:rFonts w:ascii="宋体" w:cs="宋体"/>
          <w:sz w:val="24"/>
        </w:rPr>
      </w:pPr>
      <w:r>
        <w:rPr>
          <w:rFonts w:hint="eastAsia" w:ascii="宋体" w:cs="宋体"/>
          <w:sz w:val="24"/>
        </w:rPr>
        <w:t>（2）我方承诺按照招标文件规定向贵方递交履约担保；</w:t>
      </w:r>
    </w:p>
    <w:p>
      <w:pPr>
        <w:adjustRightInd w:val="0"/>
        <w:snapToGrid w:val="0"/>
        <w:spacing w:line="440" w:lineRule="exact"/>
        <w:ind w:firstLine="480" w:firstLineChars="200"/>
        <w:rPr>
          <w:rFonts w:ascii="宋体" w:cs="宋体"/>
          <w:sz w:val="24"/>
        </w:rPr>
      </w:pPr>
      <w:r>
        <w:rPr>
          <w:rFonts w:hint="eastAsia" w:ascii="宋体" w:cs="宋体"/>
          <w:sz w:val="24"/>
        </w:rPr>
        <w:t>（3）我方承诺在合同约定的期限内完成所有工作内容。</w:t>
      </w:r>
    </w:p>
    <w:p>
      <w:pPr>
        <w:adjustRightInd w:val="0"/>
        <w:snapToGrid w:val="0"/>
        <w:spacing w:line="440" w:lineRule="exact"/>
        <w:ind w:firstLine="480" w:firstLineChars="200"/>
        <w:rPr>
          <w:rFonts w:ascii="宋体" w:cs="宋体"/>
          <w:sz w:val="24"/>
        </w:rPr>
      </w:pPr>
      <w:r>
        <w:rPr>
          <w:rFonts w:hint="eastAsia" w:ascii="宋体" w:cs="宋体"/>
          <w:sz w:val="24"/>
        </w:rPr>
        <w:t>6.如有以下行为之一，我方同意投标保证金将由贵方没收，不予退还：</w:t>
      </w:r>
    </w:p>
    <w:p>
      <w:pPr>
        <w:adjustRightInd w:val="0"/>
        <w:snapToGrid w:val="0"/>
        <w:spacing w:line="440" w:lineRule="exact"/>
        <w:ind w:firstLine="480" w:firstLineChars="200"/>
        <w:rPr>
          <w:rFonts w:ascii="宋体" w:cs="宋体"/>
          <w:sz w:val="24"/>
        </w:rPr>
      </w:pPr>
      <w:r>
        <w:rPr>
          <w:rFonts w:hint="eastAsia" w:ascii="宋体" w:cs="宋体"/>
          <w:sz w:val="24"/>
        </w:rPr>
        <w:t>（1）我方在招标文件规定的投标有效期内撤销其投标文件的；</w:t>
      </w:r>
    </w:p>
    <w:p>
      <w:pPr>
        <w:adjustRightInd w:val="0"/>
        <w:snapToGrid w:val="0"/>
        <w:spacing w:line="440" w:lineRule="exact"/>
        <w:ind w:firstLine="480" w:firstLineChars="200"/>
        <w:rPr>
          <w:rFonts w:ascii="宋体" w:cs="宋体"/>
          <w:sz w:val="24"/>
        </w:rPr>
      </w:pPr>
      <w:r>
        <w:rPr>
          <w:rFonts w:hint="eastAsia" w:ascii="宋体" w:cs="宋体"/>
          <w:sz w:val="24"/>
        </w:rPr>
        <w:t>（2）我方放弃中标或被查实存在影响中标结果的违法行为等情形，不符合中标条件的；</w:t>
      </w:r>
    </w:p>
    <w:p>
      <w:pPr>
        <w:adjustRightInd w:val="0"/>
        <w:snapToGrid w:val="0"/>
        <w:spacing w:line="440" w:lineRule="exact"/>
        <w:ind w:firstLine="480" w:firstLineChars="200"/>
        <w:rPr>
          <w:rFonts w:ascii="宋体" w:cs="宋体"/>
          <w:sz w:val="24"/>
        </w:rPr>
      </w:pPr>
      <w:r>
        <w:rPr>
          <w:rFonts w:hint="eastAsia" w:ascii="宋体" w:cs="宋体"/>
          <w:sz w:val="24"/>
        </w:rPr>
        <w:t>（3）我方未在在规定期限内订立合同或在签订合同时向贵方提出附加条件的；</w:t>
      </w:r>
    </w:p>
    <w:p>
      <w:pPr>
        <w:adjustRightInd w:val="0"/>
        <w:snapToGrid w:val="0"/>
        <w:spacing w:line="440" w:lineRule="exact"/>
        <w:ind w:firstLine="480" w:firstLineChars="200"/>
        <w:rPr>
          <w:rFonts w:ascii="宋体" w:cs="宋体"/>
          <w:sz w:val="24"/>
        </w:rPr>
      </w:pPr>
      <w:r>
        <w:rPr>
          <w:rFonts w:hint="eastAsia" w:ascii="宋体" w:cs="宋体"/>
          <w:sz w:val="24"/>
        </w:rPr>
        <w:t>（4）我方拒绝缴纳履约保证金的；</w:t>
      </w:r>
    </w:p>
    <w:p>
      <w:pPr>
        <w:adjustRightInd w:val="0"/>
        <w:snapToGrid w:val="0"/>
        <w:spacing w:line="440" w:lineRule="exact"/>
        <w:ind w:firstLine="480" w:firstLineChars="200"/>
        <w:rPr>
          <w:rFonts w:ascii="宋体" w:cs="宋体"/>
          <w:sz w:val="24"/>
        </w:rPr>
      </w:pPr>
      <w:r>
        <w:rPr>
          <w:rFonts w:hint="eastAsia" w:ascii="宋体" w:cs="宋体"/>
          <w:sz w:val="24"/>
        </w:rPr>
        <w:t>（5）我方有串通投标、弄虚作假等行为的；</w:t>
      </w:r>
    </w:p>
    <w:p>
      <w:pPr>
        <w:adjustRightInd w:val="0"/>
        <w:snapToGrid w:val="0"/>
        <w:spacing w:line="440" w:lineRule="exact"/>
        <w:ind w:firstLine="480" w:firstLineChars="200"/>
        <w:rPr>
          <w:rFonts w:ascii="宋体" w:cs="宋体"/>
          <w:sz w:val="24"/>
        </w:rPr>
      </w:pPr>
      <w:r>
        <w:rPr>
          <w:rFonts w:hint="eastAsia" w:ascii="宋体" w:cs="宋体"/>
          <w:sz w:val="24"/>
        </w:rPr>
        <w:t>（6）我方有投标人须知前附表所列的其他规定情形的。</w:t>
      </w:r>
    </w:p>
    <w:p>
      <w:pPr>
        <w:adjustRightInd w:val="0"/>
        <w:snapToGrid w:val="0"/>
        <w:spacing w:line="440" w:lineRule="exact"/>
        <w:ind w:firstLine="480" w:firstLineChars="200"/>
        <w:rPr>
          <w:rFonts w:ascii="宋体" w:cs="宋体"/>
          <w:sz w:val="24"/>
        </w:rPr>
      </w:pPr>
      <w:r>
        <w:rPr>
          <w:rFonts w:hint="eastAsia" w:ascii="宋体" w:cs="宋体"/>
          <w:sz w:val="24"/>
        </w:rPr>
        <w:t>7.我方在此声明，所递交的投标文件及有关资料内容完整、真实和准确。</w:t>
      </w:r>
    </w:p>
    <w:p>
      <w:pPr>
        <w:adjustRightInd w:val="0"/>
        <w:snapToGrid w:val="0"/>
        <w:spacing w:line="440" w:lineRule="exact"/>
        <w:ind w:firstLine="480" w:firstLineChars="200"/>
        <w:rPr>
          <w:rFonts w:ascii="宋体" w:cs="宋体"/>
          <w:sz w:val="24"/>
        </w:rPr>
      </w:pPr>
      <w:r>
        <w:rPr>
          <w:rFonts w:hint="eastAsia" w:ascii="宋体" w:cs="宋体"/>
          <w:sz w:val="24"/>
        </w:rPr>
        <w:t>8.与本招投标活动有关的一切正式往来材料通过乐采云平台提出。</w:t>
      </w:r>
    </w:p>
    <w:p>
      <w:pPr>
        <w:adjustRightInd w:val="0"/>
        <w:snapToGrid w:val="0"/>
        <w:spacing w:line="440" w:lineRule="exact"/>
        <w:ind w:firstLine="480" w:firstLineChars="200"/>
        <w:rPr>
          <w:rFonts w:ascii="宋体" w:cs="宋体"/>
          <w:sz w:val="24"/>
        </w:rPr>
      </w:pPr>
      <w:r>
        <w:rPr>
          <w:rFonts w:hint="eastAsia" w:ascii="宋体" w:cs="宋体"/>
          <w:sz w:val="24"/>
        </w:rPr>
        <w:t>9．</w:t>
      </w:r>
      <w:r>
        <w:rPr>
          <w:rFonts w:hint="eastAsia" w:ascii="宋体" w:cs="宋体"/>
          <w:sz w:val="24"/>
          <w:u w:val="single"/>
        </w:rPr>
        <w:t xml:space="preserve">               （其他补充说明）                    </w:t>
      </w:r>
      <w:r>
        <w:rPr>
          <w:rFonts w:hint="eastAsia" w:ascii="宋体" w:cs="宋体"/>
          <w:sz w:val="24"/>
        </w:rPr>
        <w:t>。</w:t>
      </w:r>
    </w:p>
    <w:p>
      <w:pPr>
        <w:adjustRightInd w:val="0"/>
        <w:snapToGrid w:val="0"/>
      </w:pPr>
    </w:p>
    <w:tbl>
      <w:tblPr>
        <w:tblStyle w:val="24"/>
        <w:tblpPr w:leftFromText="180" w:rightFromText="180" w:vertAnchor="text" w:horzAnchor="page" w:tblpX="1789" w:tblpY="24"/>
        <w:tblOverlap w:val="never"/>
        <w:tblW w:w="5267" w:type="dxa"/>
        <w:tblInd w:w="0" w:type="dxa"/>
        <w:tblLayout w:type="fixed"/>
        <w:tblCellMar>
          <w:top w:w="0" w:type="dxa"/>
          <w:left w:w="108" w:type="dxa"/>
          <w:bottom w:w="0" w:type="dxa"/>
          <w:right w:w="108" w:type="dxa"/>
        </w:tblCellMar>
      </w:tblPr>
      <w:tblGrid>
        <w:gridCol w:w="5267"/>
      </w:tblGrid>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sz w:val="24"/>
              </w:rPr>
            </w:pPr>
            <w:r>
              <w:rPr>
                <w:rFonts w:hint="eastAsia" w:ascii="宋体" w:cs="仿宋"/>
                <w:sz w:val="24"/>
              </w:rPr>
              <w:t>投标人：</w:t>
            </w:r>
            <w:r>
              <w:rPr>
                <w:rFonts w:hint="eastAsia" w:ascii="宋体" w:cs="仿宋"/>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sz w:val="24"/>
              </w:rPr>
            </w:pPr>
            <w:r>
              <w:rPr>
                <w:rFonts w:hint="eastAsia" w:ascii="宋体" w:cs="仿宋"/>
                <w:sz w:val="24"/>
              </w:rPr>
              <w:t>日  期：</w:t>
            </w:r>
            <w:r>
              <w:rPr>
                <w:rFonts w:hint="eastAsia" w:ascii="宋体" w:cs="仿宋"/>
                <w:sz w:val="24"/>
                <w:u w:val="single"/>
              </w:rPr>
              <w:t xml:space="preserve">          年    月     日              </w:t>
            </w:r>
          </w:p>
        </w:tc>
      </w:tr>
    </w:tbl>
    <w:p>
      <w:pPr>
        <w:snapToGrid w:val="0"/>
      </w:pPr>
    </w:p>
    <w:p>
      <w:pPr>
        <w:snapToGrid w:val="0"/>
      </w:pPr>
    </w:p>
    <w:p>
      <w:pPr>
        <w:snapToGrid w:val="0"/>
        <w:spacing w:line="360" w:lineRule="auto"/>
        <w:jc w:val="center"/>
        <w:rPr>
          <w:rFonts w:ascii="宋体" w:cs="宋体"/>
          <w:sz w:val="24"/>
        </w:rPr>
      </w:pPr>
    </w:p>
    <w:p>
      <w:pPr>
        <w:snapToGrid w:val="0"/>
        <w:spacing w:line="360" w:lineRule="auto"/>
        <w:jc w:val="center"/>
        <w:rPr>
          <w:rFonts w:ascii="宋体" w:cs="宋体"/>
          <w:sz w:val="24"/>
        </w:rPr>
      </w:pPr>
    </w:p>
    <w:p>
      <w:pPr>
        <w:snapToGrid w:val="0"/>
        <w:spacing w:line="360" w:lineRule="auto"/>
        <w:jc w:val="center"/>
        <w:rPr>
          <w:rFonts w:ascii="宋体" w:cs="宋体"/>
          <w:sz w:val="24"/>
        </w:rPr>
        <w:sectPr>
          <w:pgSz w:w="11906" w:h="16838"/>
          <w:pgMar w:top="1236" w:right="1134" w:bottom="1134" w:left="1134" w:header="680" w:footer="680" w:gutter="0"/>
          <w:cols w:space="720" w:num="1"/>
          <w:docGrid w:linePitch="312" w:charSpace="0"/>
        </w:sectPr>
      </w:pPr>
    </w:p>
    <w:p>
      <w:pPr>
        <w:adjustRightInd w:val="0"/>
        <w:snapToGrid w:val="0"/>
        <w:spacing w:line="360" w:lineRule="auto"/>
        <w:rPr>
          <w:rFonts w:ascii="宋体" w:cs="宋体"/>
          <w:b/>
          <w:bCs/>
          <w:sz w:val="24"/>
          <w:lang w:bidi="ar"/>
        </w:rPr>
      </w:pPr>
      <w:r>
        <w:rPr>
          <w:rFonts w:hint="eastAsia" w:ascii="宋体" w:cs="宋体"/>
          <w:b/>
          <w:bCs/>
          <w:sz w:val="24"/>
          <w:lang w:bidi="ar"/>
        </w:rPr>
        <w:t>2.3法定代表人（单位负责人）身份证明书或授权委托书</w:t>
      </w:r>
    </w:p>
    <w:p>
      <w:pPr>
        <w:spacing w:line="360" w:lineRule="auto"/>
        <w:ind w:right="-21" w:rightChars="-10"/>
        <w:jc w:val="center"/>
        <w:rPr>
          <w:rFonts w:ascii="宋体" w:cs="宋体"/>
          <w:b/>
          <w:bCs/>
          <w:sz w:val="24"/>
          <w:lang w:bidi="ar"/>
        </w:rPr>
      </w:pPr>
      <w:r>
        <w:rPr>
          <w:rFonts w:hint="eastAsia" w:ascii="宋体" w:cs="宋体"/>
          <w:b/>
          <w:bCs/>
          <w:sz w:val="24"/>
          <w:u w:val="single"/>
          <w:lang w:bidi="ar"/>
        </w:rPr>
        <w:t>法定代表人</w:t>
      </w:r>
      <w:r>
        <w:rPr>
          <w:rFonts w:hint="eastAsia" w:ascii="宋体" w:cs="宋体"/>
          <w:b/>
          <w:bCs/>
          <w:sz w:val="24"/>
          <w:lang w:bidi="ar"/>
        </w:rPr>
        <w:t>身份证明</w:t>
      </w:r>
    </w:p>
    <w:p>
      <w:pPr>
        <w:snapToGrid w:val="0"/>
        <w:spacing w:line="360" w:lineRule="auto"/>
        <w:rPr>
          <w:rFonts w:ascii="宋体" w:cs="宋体"/>
          <w:sz w:val="24"/>
          <w:u w:val="single"/>
        </w:rPr>
      </w:pPr>
      <w:r>
        <w:rPr>
          <w:rFonts w:hint="eastAsia" w:ascii="宋体" w:cs="宋体"/>
          <w:sz w:val="24"/>
          <w:lang w:bidi="ar"/>
        </w:rPr>
        <w:t>投标人：</w:t>
      </w:r>
      <w:r>
        <w:rPr>
          <w:rFonts w:hint="eastAsia" w:ascii="宋体" w:cs="宋体"/>
          <w:sz w:val="24"/>
          <w:u w:val="single"/>
          <w:lang w:bidi="ar"/>
        </w:rPr>
        <w:t xml:space="preserve">                                      </w:t>
      </w:r>
    </w:p>
    <w:p>
      <w:pPr>
        <w:snapToGrid w:val="0"/>
        <w:spacing w:line="360" w:lineRule="auto"/>
        <w:rPr>
          <w:rFonts w:ascii="宋体" w:cs="宋体"/>
          <w:sz w:val="24"/>
          <w:u w:val="single"/>
        </w:rPr>
      </w:pPr>
      <w:r>
        <w:rPr>
          <w:rFonts w:hint="eastAsia" w:ascii="宋体" w:cs="宋体"/>
          <w:sz w:val="24"/>
          <w:lang w:bidi="ar"/>
        </w:rPr>
        <w:t>地址：</w:t>
      </w:r>
      <w:r>
        <w:rPr>
          <w:rFonts w:hint="eastAsia" w:ascii="宋体" w:cs="宋体"/>
          <w:sz w:val="24"/>
          <w:u w:val="single"/>
          <w:lang w:bidi="ar"/>
        </w:rPr>
        <w:t xml:space="preserve">                                            </w:t>
      </w:r>
    </w:p>
    <w:p>
      <w:pPr>
        <w:snapToGrid w:val="0"/>
        <w:spacing w:line="360" w:lineRule="auto"/>
        <w:rPr>
          <w:rFonts w:ascii="宋体" w:cs="宋体"/>
          <w:sz w:val="24"/>
          <w:u w:val="single"/>
        </w:rPr>
      </w:pPr>
      <w:r>
        <w:rPr>
          <w:rFonts w:hint="eastAsia" w:ascii="宋体" w:cs="宋体"/>
          <w:sz w:val="24"/>
          <w:lang w:bidi="ar"/>
        </w:rPr>
        <w:t>姓名：</w:t>
      </w:r>
      <w:r>
        <w:rPr>
          <w:rFonts w:hint="eastAsia" w:ascii="宋体" w:cs="宋体"/>
          <w:sz w:val="24"/>
          <w:u w:val="single"/>
          <w:lang w:bidi="ar"/>
        </w:rPr>
        <w:t xml:space="preserve">           </w:t>
      </w:r>
      <w:r>
        <w:rPr>
          <w:rFonts w:hint="eastAsia" w:ascii="宋体" w:cs="宋体"/>
          <w:sz w:val="24"/>
          <w:lang w:bidi="ar"/>
        </w:rPr>
        <w:t>性别：</w:t>
      </w:r>
      <w:r>
        <w:rPr>
          <w:rFonts w:hint="eastAsia" w:ascii="宋体" w:cs="宋体"/>
          <w:sz w:val="24"/>
          <w:u w:val="single"/>
          <w:lang w:bidi="ar"/>
        </w:rPr>
        <w:t xml:space="preserve">          </w:t>
      </w:r>
      <w:r>
        <w:rPr>
          <w:rFonts w:hint="eastAsia" w:ascii="宋体" w:cs="宋体"/>
          <w:sz w:val="24"/>
          <w:lang w:bidi="ar"/>
        </w:rPr>
        <w:t>年龄：</w:t>
      </w:r>
      <w:r>
        <w:rPr>
          <w:rFonts w:hint="eastAsia" w:ascii="宋体" w:cs="宋体"/>
          <w:sz w:val="24"/>
          <w:u w:val="single"/>
          <w:lang w:bidi="ar"/>
        </w:rPr>
        <w:t xml:space="preserve">             </w:t>
      </w:r>
      <w:r>
        <w:rPr>
          <w:rFonts w:hint="eastAsia" w:ascii="宋体" w:cs="宋体"/>
          <w:sz w:val="24"/>
          <w:lang w:bidi="ar"/>
        </w:rPr>
        <w:t>职务：</w:t>
      </w:r>
      <w:r>
        <w:rPr>
          <w:rFonts w:hint="eastAsia" w:ascii="宋体" w:cs="宋体"/>
          <w:sz w:val="24"/>
          <w:u w:val="single"/>
          <w:lang w:bidi="ar"/>
        </w:rPr>
        <w:t xml:space="preserve">              </w:t>
      </w:r>
    </w:p>
    <w:p>
      <w:pPr>
        <w:snapToGrid w:val="0"/>
        <w:spacing w:line="360" w:lineRule="auto"/>
        <w:rPr>
          <w:rFonts w:ascii="宋体" w:cs="宋体"/>
          <w:sz w:val="24"/>
        </w:rPr>
      </w:pPr>
      <w:r>
        <w:rPr>
          <w:rFonts w:hint="eastAsia" w:ascii="宋体" w:cs="宋体"/>
          <w:sz w:val="24"/>
          <w:lang w:bidi="ar"/>
        </w:rPr>
        <w:t>身份证号码：</w:t>
      </w:r>
      <w:r>
        <w:rPr>
          <w:rFonts w:hint="eastAsia" w:ascii="宋体" w:cs="宋体"/>
          <w:sz w:val="24"/>
          <w:u w:val="single"/>
          <w:lang w:bidi="ar"/>
        </w:rPr>
        <w:t xml:space="preserve">                          </w:t>
      </w:r>
      <w:r>
        <w:rPr>
          <w:rFonts w:hint="eastAsia" w:ascii="宋体" w:cs="宋体"/>
          <w:sz w:val="24"/>
          <w:lang w:bidi="ar"/>
        </w:rPr>
        <w:t xml:space="preserve"> 联系电话：</w:t>
      </w:r>
      <w:r>
        <w:rPr>
          <w:rFonts w:hint="eastAsia" w:ascii="宋体" w:cs="宋体"/>
          <w:sz w:val="24"/>
          <w:u w:val="single"/>
          <w:lang w:bidi="ar"/>
        </w:rPr>
        <w:t xml:space="preserve">                     </w:t>
      </w:r>
      <w:r>
        <w:rPr>
          <w:rFonts w:hint="eastAsia" w:ascii="宋体" w:cs="宋体"/>
          <w:sz w:val="24"/>
          <w:lang w:bidi="ar"/>
        </w:rPr>
        <w:t>系</w:t>
      </w:r>
      <w:r>
        <w:rPr>
          <w:rFonts w:hint="eastAsia" w:ascii="宋体" w:cs="宋体"/>
          <w:sz w:val="24"/>
          <w:u w:val="single"/>
          <w:lang w:bidi="ar"/>
        </w:rPr>
        <w:t xml:space="preserve">   （投标人）   </w:t>
      </w:r>
      <w:r>
        <w:rPr>
          <w:rFonts w:hint="eastAsia" w:ascii="宋体" w:cs="宋体"/>
          <w:sz w:val="24"/>
          <w:lang w:bidi="ar"/>
        </w:rPr>
        <w:t>的</w:t>
      </w:r>
      <w:r>
        <w:rPr>
          <w:rFonts w:hint="eastAsia" w:ascii="宋体" w:cs="宋体"/>
          <w:sz w:val="24"/>
          <w:u w:val="single"/>
          <w:lang w:bidi="ar"/>
        </w:rPr>
        <w:t xml:space="preserve">  法定代表人  </w:t>
      </w:r>
      <w:r>
        <w:rPr>
          <w:rFonts w:hint="eastAsia" w:ascii="宋体" w:cs="宋体"/>
          <w:sz w:val="24"/>
          <w:lang w:bidi="ar"/>
        </w:rPr>
        <w:t>。</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cs="宋体"/>
          <w:sz w:val="24"/>
          <w:lang w:bidi="ar"/>
        </w:rPr>
        <w:t>特此证明。</w:t>
      </w:r>
    </w:p>
    <w:p>
      <w:pPr>
        <w:snapToGrid w:val="0"/>
        <w:spacing w:line="360" w:lineRule="auto"/>
        <w:rPr>
          <w:rFonts w:ascii="宋体" w:cs="宋体"/>
          <w:sz w:val="24"/>
          <w:lang w:bidi="ar"/>
        </w:rPr>
      </w:pPr>
      <w:r>
        <w:rPr>
          <w:rFonts w:hint="eastAsia" w:ascii="宋体" w:cs="宋体"/>
          <w:sz w:val="24"/>
          <w:lang w:bidi="ar"/>
        </w:rPr>
        <w:t>附：</w:t>
      </w:r>
      <w:r>
        <w:rPr>
          <w:rFonts w:hint="eastAsia" w:ascii="宋体" w:cs="宋体"/>
          <w:sz w:val="24"/>
          <w:u w:val="single"/>
          <w:lang w:bidi="ar"/>
        </w:rPr>
        <w:t>法定代表人</w:t>
      </w:r>
      <w:r>
        <w:rPr>
          <w:rFonts w:hint="eastAsia" w:ascii="宋体" w:cs="宋体"/>
          <w:sz w:val="24"/>
          <w:lang w:bidi="ar"/>
        </w:rPr>
        <w:t>身份证复印件（需同时提供正面及背面）</w:t>
      </w:r>
    </w:p>
    <w:p>
      <w:pPr>
        <w:snapToGrid w:val="0"/>
        <w:spacing w:line="360" w:lineRule="auto"/>
        <w:rPr>
          <w:rFonts w:ascii="宋体" w:cs="宋体"/>
          <w:sz w:val="24"/>
          <w:lang w:bidi="ar"/>
        </w:rPr>
      </w:pPr>
      <w:r>
        <w:rPr>
          <w:sz w:val="24"/>
        </w:rPr>
        <mc:AlternateContent>
          <mc:Choice Requires="wps">
            <w:drawing>
              <wp:anchor distT="0" distB="0" distL="114300" distR="114300" simplePos="0" relativeHeight="251665408" behindDoc="0" locked="0" layoutInCell="1" allowOverlap="1">
                <wp:simplePos x="0" y="0"/>
                <wp:positionH relativeFrom="column">
                  <wp:posOffset>-133985</wp:posOffset>
                </wp:positionH>
                <wp:positionV relativeFrom="paragraph">
                  <wp:posOffset>564515</wp:posOffset>
                </wp:positionV>
                <wp:extent cx="2804795" cy="455295"/>
                <wp:effectExtent l="5080" t="8890" r="9525" b="12065"/>
                <wp:wrapNone/>
                <wp:docPr id="186983310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04795" cy="455295"/>
                        </a:xfrm>
                        <a:prstGeom prst="rect">
                          <a:avLst/>
                        </a:prstGeom>
                        <a:solidFill>
                          <a:srgbClr val="FFFFFF"/>
                        </a:solidFill>
                        <a:ln w="9525">
                          <a:solidFill>
                            <a:srgbClr val="FFFFFF"/>
                          </a:solidFill>
                          <a:miter lim="800000"/>
                        </a:ln>
                        <a:effectLst/>
                      </wps:spPr>
                      <wps:txbx>
                        <w:txbxContent>
                          <w:p>
                            <w:r>
                              <w:rPr>
                                <w:rFonts w:hint="eastAsia"/>
                                <w:sz w:val="24"/>
                                <w:u w:val="single"/>
                              </w:rPr>
                              <w:t>法定代表人</w:t>
                            </w:r>
                            <w:r>
                              <w:rPr>
                                <w:rFonts w:hint="eastAsia"/>
                                <w:sz w:val="24"/>
                              </w:rPr>
                              <w:t>身份证正面复印件贴于此处</w:t>
                            </w: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10.55pt;margin-top:44.45pt;height:35.85pt;width:220.85pt;z-index:251665408;mso-width-relative:page;mso-height-relative:page;" fillcolor="#FFFFFF" filled="t" stroked="t" coordsize="21600,21600" o:gfxdata="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WmEFK2AAAAAoBAAAPAAAAAAAA&#10;AAEAIAAAACIAAABkcnMvZG93bnJldi54bWxQSwECFAAUAAAACACHTuJAq/sQZ0sCAACeBAAADgAA&#10;AAAAAAABACAAAAAnAQAAZHJzL2Uyb0RvYy54bWxQSwUGAAAAAAYABgBZAQAA5AUAAAAA&#10;">
                <v:fill on="t" focussize="0,0"/>
                <v:stroke color="#FFFFFF" miterlimit="8" joinstyle="miter"/>
                <v:imagedata o:title=""/>
                <o:lock v:ext="edit" aspectratio="f"/>
                <v:textbox>
                  <w:txbxContent>
                    <w:p>
                      <w:r>
                        <w:rPr>
                          <w:rFonts w:hint="eastAsia"/>
                          <w:sz w:val="24"/>
                          <w:u w:val="single"/>
                        </w:rPr>
                        <w:t>法定代表人</w:t>
                      </w:r>
                      <w:r>
                        <w:rPr>
                          <w:rFonts w:hint="eastAsia"/>
                          <w:sz w:val="24"/>
                        </w:rPr>
                        <w:t>身份证正面复印件贴于此处</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144145</wp:posOffset>
                </wp:positionV>
                <wp:extent cx="3104515" cy="2482215"/>
                <wp:effectExtent l="6350" t="7620" r="13335" b="5715"/>
                <wp:wrapNone/>
                <wp:docPr id="441609657" name="自选图形 7"/>
                <wp:cNvGraphicFramePr/>
                <a:graphic xmlns:a="http://schemas.openxmlformats.org/drawingml/2006/main">
                  <a:graphicData uri="http://schemas.microsoft.com/office/word/2010/wordprocessingShape">
                    <wps:wsp>
                      <wps:cNvSpPr>
                        <a:spLocks noChangeArrowheads="1"/>
                      </wps:cNvSpPr>
                      <wps:spPr bwMode="auto">
                        <a:xfrm>
                          <a:off x="0" y="0"/>
                          <a:ext cx="3104515" cy="2482215"/>
                        </a:xfrm>
                        <a:prstGeom prst="flowChartAlternate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自选图形 7" o:spid="_x0000_s1026" o:spt="176" type="#_x0000_t176" style="position:absolute;left:0pt;margin-left:-20.95pt;margin-top:11.35pt;height:195.45pt;width:244.45pt;z-index:251659264;mso-width-relative:page;mso-height-relative:page;" fillcolor="#FFFFFF" filled="t" stroked="t" coordsize="21600,21600" o:gfxdata="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MC7V9kA&#10;AAAKAQAADwAAAAAAAAABACAAAAAiAAAAZHJzL2Rvd25yZXYueG1sUEsBAhQAFAAAAAgAh07iQA8k&#10;AU1XAgAAoQQAAA4AAAAAAAAAAQAgAAAAKAEAAGRycy9lMm9Eb2MueG1sUEsFBgAAAAAGAAYAWQEA&#10;APEFAAAAAA==&#10;">
                <v:fill on="t" focussize="0,0"/>
                <v:stroke color="#000000" miterlimit="8" joinstyle="miter"/>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2996565</wp:posOffset>
                </wp:positionH>
                <wp:positionV relativeFrom="paragraph">
                  <wp:posOffset>151765</wp:posOffset>
                </wp:positionV>
                <wp:extent cx="3105150" cy="2482215"/>
                <wp:effectExtent l="11430" t="5715" r="7620" b="7620"/>
                <wp:wrapNone/>
                <wp:docPr id="244872220" name="自选图形 8"/>
                <wp:cNvGraphicFramePr/>
                <a:graphic xmlns:a="http://schemas.openxmlformats.org/drawingml/2006/main">
                  <a:graphicData uri="http://schemas.microsoft.com/office/word/2010/wordprocessingShape">
                    <wps:wsp>
                      <wps:cNvSpPr>
                        <a:spLocks noChangeArrowheads="1"/>
                      </wps:cNvSpPr>
                      <wps:spPr bwMode="auto">
                        <a:xfrm>
                          <a:off x="0" y="0"/>
                          <a:ext cx="3105150" cy="2482215"/>
                        </a:xfrm>
                        <a:prstGeom prst="flowChartAlternate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235.95pt;margin-top:11.95pt;height:195.45pt;width:244.5pt;z-index:251664384;mso-width-relative:page;mso-height-relative:page;" fillcolor="#FFFFFF" filled="t" stroked="t" coordsize="21600,21600" o:gfxdata="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2aze2AAA&#10;AAoBAAAPAAAAAAAAAAEAIAAAACIAAABkcnMvZG93bnJldi54bWxQSwECFAAUAAAACACHTuJAfR3T&#10;81cCAAChBAAADgAAAAAAAAABACAAAAAnAQAAZHJzL2Uyb0RvYy54bWxQSwUGAAAAAAYABgBZAQAA&#10;8AUAAAAA&#10;">
                <v:fill on="t" focussize="0,0"/>
                <v:stroke color="#000000" miterlimit="8" joinstyle="miter"/>
                <v:imagedata o:title=""/>
                <o:lock v:ext="edit" aspectratio="f"/>
              </v:shape>
            </w:pict>
          </mc:Fallback>
        </mc:AlternateContent>
      </w:r>
    </w:p>
    <w:p>
      <w:pPr>
        <w:snapToGrid w:val="0"/>
        <w:spacing w:line="360" w:lineRule="auto"/>
        <w:rPr>
          <w:rFonts w:ascii="宋体" w:cs="宋体"/>
          <w:szCs w:val="21"/>
        </w:rPr>
      </w:pPr>
      <w:r>
        <w:rPr>
          <w:sz w:val="24"/>
        </w:rPr>
        <mc:AlternateContent>
          <mc:Choice Requires="wps">
            <w:drawing>
              <wp:anchor distT="0" distB="0" distL="114300" distR="114300" simplePos="0" relativeHeight="251666432" behindDoc="0" locked="0" layoutInCell="1" allowOverlap="1">
                <wp:simplePos x="0" y="0"/>
                <wp:positionH relativeFrom="column">
                  <wp:posOffset>3105785</wp:posOffset>
                </wp:positionH>
                <wp:positionV relativeFrom="paragraph">
                  <wp:posOffset>238760</wp:posOffset>
                </wp:positionV>
                <wp:extent cx="2946400" cy="408305"/>
                <wp:effectExtent l="6350" t="8255" r="9525" b="12065"/>
                <wp:wrapNone/>
                <wp:docPr id="1983117136"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946400" cy="408305"/>
                        </a:xfrm>
                        <a:prstGeom prst="rect">
                          <a:avLst/>
                        </a:prstGeom>
                        <a:solidFill>
                          <a:srgbClr val="FFFFFF"/>
                        </a:solidFill>
                        <a:ln w="9525">
                          <a:solidFill>
                            <a:srgbClr val="FFFFFF"/>
                          </a:solidFill>
                          <a:miter lim="800000"/>
                        </a:ln>
                        <a:effectLst/>
                      </wps:spPr>
                      <wps:txbx>
                        <w:txbxContent>
                          <w:p>
                            <w:r>
                              <w:rPr>
                                <w:rFonts w:hint="eastAsia"/>
                                <w:sz w:val="24"/>
                                <w:u w:val="single"/>
                              </w:rPr>
                              <w:t>法定代表人</w:t>
                            </w:r>
                            <w:r>
                              <w:rPr>
                                <w:rFonts w:hint="eastAsia"/>
                                <w:sz w:val="24"/>
                              </w:rPr>
                              <w:t>身份证反面复印件贴于此处</w:t>
                            </w: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244.55pt;margin-top:18.8pt;height:32.15pt;width:232pt;z-index:251666432;mso-width-relative:page;mso-height-relative:page;" fillcolor="#FFFFFF" filled="t" stroked="t" coordsize="21600,21600" o:gfxdata="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FjITtgAAAAKAQAADwAAAAAA&#10;AAABACAAAAAiAAAAZHJzL2Rvd25yZXYueG1sUEsBAhQAFAAAAAgAh07iQGKhpB9MAgAAnwQAAA4A&#10;AAAAAAAAAQAgAAAAJwEAAGRycy9lMm9Eb2MueG1sUEsFBgAAAAAGAAYAWQEAAOUFAAAAAA==&#10;">
                <v:fill on="t" focussize="0,0"/>
                <v:stroke color="#FFFFFF" miterlimit="8" joinstyle="miter"/>
                <v:imagedata o:title=""/>
                <o:lock v:ext="edit" aspectratio="f"/>
                <v:textbox>
                  <w:txbxContent>
                    <w:p>
                      <w:r>
                        <w:rPr>
                          <w:rFonts w:hint="eastAsia"/>
                          <w:sz w:val="24"/>
                          <w:u w:val="single"/>
                        </w:rPr>
                        <w:t>法定代表人</w:t>
                      </w:r>
                      <w:r>
                        <w:rPr>
                          <w:rFonts w:hint="eastAsia"/>
                          <w:sz w:val="24"/>
                        </w:rPr>
                        <w:t>身份证反面复印件贴于此处</w:t>
                      </w:r>
                    </w:p>
                  </w:txbxContent>
                </v:textbox>
              </v:shape>
            </w:pict>
          </mc:Fallback>
        </mc:AlternateContent>
      </w:r>
      <w:r>
        <w:rPr>
          <w:rFonts w:hint="eastAsia" w:ascii="宋体" w:cs="宋体"/>
          <w:szCs w:val="21"/>
          <w:lang w:bidi="ar"/>
        </w:rPr>
        <w:t xml:space="preserve"> </w:t>
      </w:r>
    </w:p>
    <w:p>
      <w:pPr>
        <w:snapToGrid w:val="0"/>
        <w:spacing w:line="360" w:lineRule="auto"/>
        <w:rPr>
          <w:rFonts w:ascii="宋体" w:cs="宋体"/>
          <w:szCs w:val="21"/>
          <w:lang w:bidi="ar"/>
        </w:rPr>
      </w:pPr>
    </w:p>
    <w:p>
      <w:pPr>
        <w:snapToGrid w:val="0"/>
      </w:pPr>
    </w:p>
    <w:tbl>
      <w:tblPr>
        <w:tblStyle w:val="24"/>
        <w:tblpPr w:leftFromText="180" w:rightFromText="180" w:vertAnchor="text" w:horzAnchor="page" w:tblpX="2781" w:tblpY="2680"/>
        <w:tblOverlap w:val="never"/>
        <w:tblW w:w="5280" w:type="dxa"/>
        <w:tblInd w:w="0" w:type="dxa"/>
        <w:tblLayout w:type="fixed"/>
        <w:tblCellMar>
          <w:top w:w="0" w:type="dxa"/>
          <w:left w:w="108" w:type="dxa"/>
          <w:bottom w:w="0" w:type="dxa"/>
          <w:right w:w="108" w:type="dxa"/>
        </w:tblCellMar>
      </w:tblPr>
      <w:tblGrid>
        <w:gridCol w:w="5280"/>
      </w:tblGrid>
      <w:tr>
        <w:tblPrEx>
          <w:tblCellMar>
            <w:top w:w="0" w:type="dxa"/>
            <w:left w:w="108" w:type="dxa"/>
            <w:bottom w:w="0" w:type="dxa"/>
            <w:right w:w="108" w:type="dxa"/>
          </w:tblCellMar>
        </w:tblPrEx>
        <w:trPr>
          <w:trHeight w:val="551" w:hRule="atLeast"/>
        </w:trPr>
        <w:tc>
          <w:tcPr>
            <w:tcW w:w="5280" w:type="dxa"/>
            <w:tcBorders>
              <w:top w:val="nil"/>
              <w:left w:val="nil"/>
              <w:bottom w:val="nil"/>
              <w:right w:val="nil"/>
            </w:tcBorders>
          </w:tcPr>
          <w:p>
            <w:pPr>
              <w:spacing w:line="360" w:lineRule="auto"/>
              <w:rPr>
                <w:sz w:val="24"/>
              </w:rPr>
            </w:pPr>
            <w:r>
              <w:rPr>
                <w:rFonts w:hint="eastAsia" w:ascii="宋体" w:cs="仿宋"/>
                <w:sz w:val="24"/>
              </w:rPr>
              <w:t>投标人：</w:t>
            </w:r>
            <w:r>
              <w:rPr>
                <w:rFonts w:hint="eastAsia" w:ascii="宋体" w:cs="仿宋"/>
                <w:sz w:val="24"/>
                <w:u w:val="single"/>
              </w:rPr>
              <w:t xml:space="preserve">         （盖单位公章）                       </w:t>
            </w:r>
          </w:p>
        </w:tc>
      </w:tr>
      <w:tr>
        <w:tblPrEx>
          <w:tblCellMar>
            <w:top w:w="0" w:type="dxa"/>
            <w:left w:w="108" w:type="dxa"/>
            <w:bottom w:w="0" w:type="dxa"/>
            <w:right w:w="108" w:type="dxa"/>
          </w:tblCellMar>
        </w:tblPrEx>
        <w:trPr>
          <w:trHeight w:val="551" w:hRule="atLeast"/>
        </w:trPr>
        <w:tc>
          <w:tcPr>
            <w:tcW w:w="5280" w:type="dxa"/>
            <w:tcBorders>
              <w:top w:val="nil"/>
              <w:left w:val="nil"/>
              <w:bottom w:val="nil"/>
              <w:right w:val="nil"/>
            </w:tcBorders>
          </w:tcPr>
          <w:p>
            <w:pPr>
              <w:spacing w:line="360" w:lineRule="auto"/>
              <w:rPr>
                <w:sz w:val="24"/>
                <w:u w:val="single"/>
              </w:rPr>
            </w:pPr>
            <w:r>
              <w:rPr>
                <w:rFonts w:hint="eastAsia" w:ascii="宋体" w:cs="仿宋"/>
                <w:sz w:val="24"/>
                <w:u w:val="single"/>
              </w:rPr>
              <w:t xml:space="preserve">法定代表人：     （签名或盖章）                     </w:t>
            </w:r>
          </w:p>
        </w:tc>
      </w:tr>
      <w:tr>
        <w:tblPrEx>
          <w:tblCellMar>
            <w:top w:w="0" w:type="dxa"/>
            <w:left w:w="108" w:type="dxa"/>
            <w:bottom w:w="0" w:type="dxa"/>
            <w:right w:w="108" w:type="dxa"/>
          </w:tblCellMar>
        </w:tblPrEx>
        <w:trPr>
          <w:trHeight w:val="551" w:hRule="atLeast"/>
        </w:trPr>
        <w:tc>
          <w:tcPr>
            <w:tcW w:w="5280" w:type="dxa"/>
            <w:tcBorders>
              <w:top w:val="nil"/>
              <w:left w:val="nil"/>
              <w:bottom w:val="nil"/>
              <w:right w:val="nil"/>
            </w:tcBorders>
          </w:tcPr>
          <w:p>
            <w:pPr>
              <w:spacing w:line="360" w:lineRule="auto"/>
              <w:rPr>
                <w:rFonts w:ascii="宋体" w:cs="仿宋"/>
                <w:sz w:val="24"/>
              </w:rPr>
            </w:pPr>
            <w:r>
              <w:rPr>
                <w:rFonts w:hint="eastAsia" w:ascii="宋体" w:cs="仿宋"/>
                <w:sz w:val="24"/>
              </w:rPr>
              <w:t>日  期：</w:t>
            </w:r>
            <w:r>
              <w:rPr>
                <w:rFonts w:hint="eastAsia" w:ascii="宋体" w:cs="仿宋"/>
                <w:sz w:val="24"/>
                <w:u w:val="single"/>
              </w:rPr>
              <w:t xml:space="preserve">          年   月   日    </w:t>
            </w:r>
          </w:p>
        </w:tc>
      </w:tr>
    </w:tbl>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rPr>
          <w:rFonts w:ascii="宋体" w:cs="宋体"/>
          <w:szCs w:val="21"/>
          <w:lang w:bidi="ar"/>
        </w:rPr>
      </w:pPr>
    </w:p>
    <w:p>
      <w:pPr>
        <w:spacing w:after="120" w:line="440" w:lineRule="exact"/>
        <w:jc w:val="center"/>
        <w:rPr>
          <w:rFonts w:ascii="宋体" w:cs="宋体"/>
          <w:sz w:val="24"/>
        </w:rPr>
      </w:pPr>
      <w:r>
        <w:rPr>
          <w:rFonts w:hint="eastAsia" w:ascii="宋体" w:cs="宋体"/>
          <w:szCs w:val="21"/>
          <w:lang w:bidi="ar"/>
        </w:rPr>
        <w:br w:type="page"/>
      </w:r>
      <w:r>
        <w:rPr>
          <w:rFonts w:hint="eastAsia" w:ascii="宋体" w:cs="宋体"/>
          <w:b/>
          <w:bCs/>
          <w:sz w:val="24"/>
          <w:lang w:bidi="ar"/>
        </w:rPr>
        <w:t>授权委托书</w:t>
      </w:r>
    </w:p>
    <w:p>
      <w:pPr>
        <w:spacing w:line="360" w:lineRule="auto"/>
        <w:ind w:firstLine="480" w:firstLineChars="200"/>
        <w:rPr>
          <w:rFonts w:ascii="宋体" w:cs="宋体"/>
          <w:sz w:val="24"/>
          <w:lang w:bidi="ar"/>
        </w:rPr>
      </w:pPr>
      <w:r>
        <w:rPr>
          <w:rFonts w:hint="eastAsia" w:ascii="宋体" w:cs="宋体"/>
          <w:sz w:val="24"/>
          <w:lang w:bidi="ar"/>
        </w:rPr>
        <w:t>本人</w:t>
      </w:r>
      <w:r>
        <w:rPr>
          <w:rFonts w:hint="eastAsia" w:ascii="宋体" w:cs="宋体"/>
          <w:sz w:val="24"/>
          <w:u w:val="single"/>
          <w:lang w:bidi="ar"/>
        </w:rPr>
        <w:t xml:space="preserve">             </w:t>
      </w:r>
      <w:r>
        <w:rPr>
          <w:rFonts w:hint="eastAsia" w:ascii="宋体" w:cs="宋体"/>
          <w:sz w:val="24"/>
          <w:lang w:bidi="ar"/>
        </w:rPr>
        <w:t>（姓名）系</w:t>
      </w:r>
      <w:r>
        <w:rPr>
          <w:rFonts w:hint="eastAsia" w:ascii="宋体" w:cs="宋体"/>
          <w:sz w:val="24"/>
          <w:u w:val="single"/>
          <w:lang w:bidi="ar"/>
        </w:rPr>
        <w:t xml:space="preserve">     （投标人名称）</w:t>
      </w:r>
      <w:r>
        <w:rPr>
          <w:rFonts w:hint="eastAsia" w:ascii="宋体" w:cs="宋体"/>
          <w:sz w:val="24"/>
          <w:lang w:bidi="ar"/>
        </w:rPr>
        <w:t>的</w:t>
      </w:r>
      <w:r>
        <w:rPr>
          <w:rFonts w:hint="eastAsia" w:ascii="宋体" w:cs="宋体"/>
          <w:sz w:val="24"/>
          <w:u w:val="single"/>
          <w:lang w:bidi="ar"/>
        </w:rPr>
        <w:t>法定代表人</w:t>
      </w:r>
      <w:r>
        <w:rPr>
          <w:rFonts w:hint="eastAsia" w:ascii="宋体" w:cs="宋体"/>
          <w:sz w:val="24"/>
          <w:lang w:bidi="ar"/>
        </w:rPr>
        <w:t>，现委托（</w:t>
      </w:r>
      <w:r>
        <w:rPr>
          <w:rFonts w:hint="eastAsia" w:ascii="宋体" w:cs="宋体"/>
          <w:sz w:val="24"/>
          <w:u w:val="single"/>
          <w:lang w:bidi="ar"/>
        </w:rPr>
        <w:t xml:space="preserve">    姓名    </w:t>
      </w:r>
      <w:r>
        <w:rPr>
          <w:rFonts w:hint="eastAsia" w:ascii="宋体" w:cs="宋体"/>
          <w:sz w:val="24"/>
          <w:lang w:bidi="ar"/>
        </w:rPr>
        <w:t>）为我方代理人（联系电话：</w:t>
      </w:r>
      <w:r>
        <w:rPr>
          <w:rFonts w:hint="eastAsia" w:ascii="宋体" w:cs="宋体"/>
          <w:sz w:val="24"/>
          <w:u w:val="single"/>
          <w:lang w:bidi="ar"/>
        </w:rPr>
        <w:t xml:space="preserve">                     </w:t>
      </w:r>
      <w:r>
        <w:rPr>
          <w:rFonts w:hint="eastAsia" w:ascii="宋体" w:cs="宋体"/>
          <w:sz w:val="24"/>
          <w:lang w:bidi="ar"/>
        </w:rPr>
        <w:t>）。委托代理人授权权限如下：</w:t>
      </w:r>
    </w:p>
    <w:p>
      <w:pPr>
        <w:spacing w:line="360" w:lineRule="auto"/>
        <w:ind w:firstLine="480" w:firstLineChars="200"/>
        <w:rPr>
          <w:rFonts w:ascii="宋体" w:cs="宋体"/>
          <w:sz w:val="24"/>
          <w:lang w:bidi="ar"/>
        </w:rPr>
      </w:pPr>
      <w:r>
        <w:rPr>
          <w:rFonts w:hint="eastAsia" w:ascii="宋体" w:cs="宋体"/>
          <w:sz w:val="24"/>
          <w:lang w:bidi="ar"/>
        </w:rPr>
        <w:t>（1）以我方名义签署、澄清、说明、补正、递交、撤回、修改</w:t>
      </w:r>
      <w:r>
        <w:rPr>
          <w:rFonts w:hint="eastAsia" w:ascii="宋体" w:cs="宋体"/>
          <w:sz w:val="24"/>
          <w:u w:val="single"/>
          <w:lang w:bidi="ar"/>
        </w:rPr>
        <w:t xml:space="preserve">                       项目</w:t>
      </w:r>
      <w:r>
        <w:rPr>
          <w:rFonts w:hint="eastAsia" w:ascii="宋体" w:cs="宋体"/>
          <w:sz w:val="24"/>
          <w:lang w:bidi="ar"/>
        </w:rPr>
        <w:t>（招标编号：</w:t>
      </w:r>
      <w:r>
        <w:rPr>
          <w:rFonts w:hint="eastAsia" w:ascii="宋体" w:cs="宋体"/>
          <w:sz w:val="24"/>
          <w:u w:val="single"/>
          <w:lang w:bidi="ar"/>
        </w:rPr>
        <w:t xml:space="preserve">                </w:t>
      </w:r>
      <w:r>
        <w:rPr>
          <w:rFonts w:hint="eastAsia" w:ascii="宋体" w:cs="宋体"/>
          <w:sz w:val="24"/>
          <w:lang w:bidi="ar"/>
        </w:rPr>
        <w:t>）投标文件并处理招投标活动有关事宜；</w:t>
      </w:r>
    </w:p>
    <w:p>
      <w:pPr>
        <w:spacing w:line="360" w:lineRule="auto"/>
        <w:ind w:firstLine="480" w:firstLineChars="200"/>
        <w:rPr>
          <w:rFonts w:ascii="宋体" w:cs="宋体"/>
          <w:sz w:val="24"/>
          <w:lang w:bidi="ar"/>
        </w:rPr>
      </w:pPr>
      <w:r>
        <w:rPr>
          <w:rFonts w:hint="eastAsia" w:ascii="宋体" w:cs="宋体"/>
          <w:sz w:val="24"/>
          <w:u w:val="single"/>
          <w:lang w:bidi="ar"/>
        </w:rPr>
        <w:t>（2）签订合同。</w:t>
      </w:r>
    </w:p>
    <w:p>
      <w:pPr>
        <w:spacing w:line="440" w:lineRule="exact"/>
        <w:ind w:firstLine="482" w:firstLineChars="200"/>
        <w:rPr>
          <w:rFonts w:ascii="宋体" w:cs="宋体"/>
          <w:b/>
          <w:bCs/>
          <w:sz w:val="24"/>
          <w:lang w:bidi="ar"/>
        </w:rPr>
      </w:pPr>
      <w:r>
        <w:rPr>
          <w:rFonts w:hint="eastAsia" w:ascii="宋体" w:cs="宋体"/>
          <w:b/>
          <w:bCs/>
          <w:sz w:val="24"/>
          <w:lang w:bidi="ar"/>
        </w:rPr>
        <w:t>以上授权所产生的法律后果由我方承担。</w:t>
      </w:r>
    </w:p>
    <w:p>
      <w:pPr>
        <w:spacing w:line="440" w:lineRule="exact"/>
        <w:ind w:firstLine="482" w:firstLineChars="200"/>
        <w:rPr>
          <w:rFonts w:ascii="宋体" w:cs="宋体"/>
          <w:b/>
          <w:bCs/>
          <w:sz w:val="24"/>
          <w:lang w:bidi="ar"/>
        </w:rPr>
      </w:pPr>
      <w:r>
        <w:rPr>
          <w:rFonts w:hint="eastAsia" w:ascii="宋体" w:cs="宋体"/>
          <w:b/>
          <w:bCs/>
          <w:sz w:val="24"/>
          <w:lang w:bidi="ar"/>
        </w:rPr>
        <w:t>委托期限同本项目投标有效期，委托代理人无转委托权。</w:t>
      </w:r>
    </w:p>
    <w:p>
      <w:pPr>
        <w:snapToGrid w:val="0"/>
        <w:spacing w:line="360" w:lineRule="auto"/>
        <w:rPr>
          <w:rFonts w:ascii="宋体" w:cs="宋体"/>
          <w:sz w:val="24"/>
          <w:lang w:bidi="ar"/>
        </w:rPr>
      </w:pPr>
    </w:p>
    <w:p>
      <w:pPr>
        <w:snapToGrid w:val="0"/>
        <w:spacing w:line="360" w:lineRule="auto"/>
        <w:rPr>
          <w:rFonts w:ascii="宋体" w:cs="宋体"/>
          <w:sz w:val="24"/>
        </w:rPr>
      </w:pPr>
      <w:r>
        <w:rPr>
          <w:rFonts w:hint="eastAsia" w:ascii="宋体" w:cs="宋体"/>
          <w:sz w:val="24"/>
          <w:lang w:bidi="ar"/>
        </w:rPr>
        <w:t>附：委托代理人身份证复印件（需同时提供正面及背面）</w:t>
      </w:r>
    </w:p>
    <w:tbl>
      <w:tblPr>
        <w:tblStyle w:val="24"/>
        <w:tblpPr w:leftFromText="180" w:rightFromText="180" w:vertAnchor="text" w:horzAnchor="page" w:tblpX="1135" w:tblpY="220"/>
        <w:tblOverlap w:val="never"/>
        <w:tblW w:w="5267" w:type="dxa"/>
        <w:tblInd w:w="0" w:type="dxa"/>
        <w:tblLayout w:type="fixed"/>
        <w:tblCellMar>
          <w:top w:w="0" w:type="dxa"/>
          <w:left w:w="108" w:type="dxa"/>
          <w:bottom w:w="0" w:type="dxa"/>
          <w:right w:w="108" w:type="dxa"/>
        </w:tblCellMar>
      </w:tblPr>
      <w:tblGrid>
        <w:gridCol w:w="5267"/>
      </w:tblGrid>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sz w:val="24"/>
              </w:rPr>
            </w:pPr>
            <w:r>
              <w:rPr>
                <w:rFonts w:hint="eastAsia" w:ascii="宋体" w:cs="仿宋"/>
                <w:sz w:val="24"/>
              </w:rPr>
              <w:t>投标人：</w:t>
            </w:r>
            <w:r>
              <w:rPr>
                <w:rFonts w:hint="eastAsia" w:ascii="宋体" w:cs="仿宋"/>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sz w:val="24"/>
                <w:u w:val="single"/>
              </w:rPr>
            </w:pPr>
            <w:r>
              <w:rPr>
                <w:rFonts w:hint="eastAsia" w:ascii="宋体" w:cs="仿宋"/>
                <w:sz w:val="24"/>
                <w:u w:val="single"/>
              </w:rPr>
              <w:t xml:space="preserve">法定代表人：     （签名或盖章）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仿宋"/>
                <w:sz w:val="24"/>
              </w:rPr>
            </w:pPr>
            <w:r>
              <w:rPr>
                <w:rFonts w:hint="eastAsia" w:ascii="宋体" w:cs="仿宋"/>
                <w:sz w:val="24"/>
              </w:rPr>
              <w:t>身份证号码：</w:t>
            </w:r>
            <w:r>
              <w:rPr>
                <w:rFonts w:hint="eastAsia" w:ascii="宋体" w:cs="仿宋"/>
                <w:sz w:val="24"/>
                <w:u w:val="single"/>
              </w:rPr>
              <w:t xml:space="preserve">                                  </w:t>
            </w:r>
          </w:p>
        </w:tc>
      </w:tr>
    </w:tbl>
    <w:p>
      <w:pPr>
        <w:spacing w:line="440" w:lineRule="exact"/>
        <w:rPr>
          <w:rFonts w:ascii="宋体" w:cs="宋体"/>
          <w:sz w:val="24"/>
          <w:lang w:bidi="ar"/>
        </w:rPr>
      </w:pPr>
    </w:p>
    <w:p>
      <w:pPr>
        <w:spacing w:line="440" w:lineRule="exact"/>
        <w:rPr>
          <w:rFonts w:ascii="宋体" w:cs="宋体"/>
          <w:sz w:val="24"/>
        </w:rPr>
      </w:pPr>
    </w:p>
    <w:p>
      <w:pPr>
        <w:spacing w:line="440" w:lineRule="exact"/>
        <w:rPr>
          <w:rFonts w:ascii="宋体" w:cs="宋体"/>
          <w:sz w:val="24"/>
          <w:lang w:bidi="ar"/>
        </w:rPr>
      </w:pPr>
    </w:p>
    <w:p>
      <w:pPr>
        <w:spacing w:line="440" w:lineRule="exact"/>
        <w:rPr>
          <w:rFonts w:ascii="宋体" w:cs="宋体"/>
          <w:sz w:val="24"/>
          <w:lang w:bidi="ar"/>
        </w:rPr>
      </w:pPr>
    </w:p>
    <w:tbl>
      <w:tblPr>
        <w:tblStyle w:val="24"/>
        <w:tblpPr w:leftFromText="180" w:rightFromText="180" w:vertAnchor="text" w:horzAnchor="page" w:tblpX="1135" w:tblpY="220"/>
        <w:tblOverlap w:val="never"/>
        <w:tblW w:w="5267" w:type="dxa"/>
        <w:tblInd w:w="0" w:type="dxa"/>
        <w:tblLayout w:type="fixed"/>
        <w:tblCellMar>
          <w:top w:w="0" w:type="dxa"/>
          <w:left w:w="108" w:type="dxa"/>
          <w:bottom w:w="0" w:type="dxa"/>
          <w:right w:w="108" w:type="dxa"/>
        </w:tblCellMar>
      </w:tblPr>
      <w:tblGrid>
        <w:gridCol w:w="5267"/>
      </w:tblGrid>
      <w:tr>
        <w:tc>
          <w:tcPr>
            <w:tcW w:w="5267" w:type="dxa"/>
            <w:tcBorders>
              <w:top w:val="nil"/>
              <w:left w:val="nil"/>
              <w:bottom w:val="nil"/>
              <w:right w:val="nil"/>
            </w:tcBorders>
          </w:tcPr>
          <w:p>
            <w:pPr>
              <w:spacing w:line="360" w:lineRule="auto"/>
              <w:rPr>
                <w:sz w:val="24"/>
              </w:rPr>
            </w:pPr>
            <w:r>
              <w:rPr>
                <w:rFonts w:hint="eastAsia" w:ascii="宋体" w:cs="仿宋"/>
                <w:sz w:val="24"/>
              </w:rPr>
              <w:t>委托代理人：</w:t>
            </w:r>
            <w:r>
              <w:rPr>
                <w:rFonts w:hint="eastAsia" w:ascii="宋体" w:cs="仿宋"/>
                <w:sz w:val="24"/>
                <w:u w:val="single"/>
              </w:rPr>
              <w:t xml:space="preserve">         （签名或盖章）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sz w:val="24"/>
                <w:u w:val="single"/>
              </w:rPr>
            </w:pPr>
            <w:r>
              <w:rPr>
                <w:rFonts w:hint="eastAsia" w:ascii="宋体" w:cs="仿宋"/>
                <w:sz w:val="24"/>
              </w:rPr>
              <w:t>身份证号码</w:t>
            </w:r>
            <w:r>
              <w:rPr>
                <w:rFonts w:hint="eastAsia" w:ascii="宋体" w:cs="仿宋"/>
                <w:sz w:val="24"/>
                <w:u w:val="single"/>
              </w:rPr>
              <w:t xml:space="preserve">：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仿宋"/>
                <w:sz w:val="24"/>
              </w:rPr>
            </w:pPr>
            <w:r>
              <w:rPr>
                <w:rFonts w:hint="eastAsia" w:ascii="宋体" w:cs="仿宋"/>
                <w:sz w:val="24"/>
              </w:rPr>
              <w:t>日  期：</w:t>
            </w:r>
            <w:r>
              <w:rPr>
                <w:rFonts w:hint="eastAsia" w:ascii="宋体" w:cs="仿宋"/>
                <w:sz w:val="24"/>
                <w:u w:val="single"/>
              </w:rPr>
              <w:t xml:space="preserve">          年   月   日                 </w:t>
            </w:r>
          </w:p>
        </w:tc>
      </w:tr>
    </w:tbl>
    <w:p>
      <w:pPr>
        <w:spacing w:line="440" w:lineRule="exact"/>
        <w:rPr>
          <w:rFonts w:ascii="宋体" w:cs="宋体"/>
          <w:sz w:val="24"/>
          <w:lang w:bidi="ar"/>
        </w:rPr>
      </w:pPr>
    </w:p>
    <w:p>
      <w:pPr>
        <w:spacing w:line="440" w:lineRule="exact"/>
        <w:rPr>
          <w:rFonts w:ascii="宋体" w:cs="宋体"/>
          <w:sz w:val="24"/>
          <w:lang w:bidi="ar"/>
        </w:rPr>
      </w:pPr>
    </w:p>
    <w:p>
      <w:pPr>
        <w:spacing w:line="440" w:lineRule="exact"/>
        <w:rPr>
          <w:rFonts w:ascii="宋体" w:cs="宋体"/>
          <w:sz w:val="24"/>
          <w:lang w:bidi="ar"/>
        </w:rPr>
      </w:pPr>
    </w:p>
    <w:p>
      <w:pPr>
        <w:spacing w:line="440" w:lineRule="exact"/>
        <w:rPr>
          <w:rFonts w:ascii="宋体" w:cs="宋体"/>
          <w:sz w:val="24"/>
          <w:lang w:bidi="ar"/>
        </w:rPr>
      </w:pPr>
    </w:p>
    <w:p>
      <w:pPr>
        <w:snapToGrid w:val="0"/>
        <w:spacing w:line="440" w:lineRule="exact"/>
        <w:rPr>
          <w:rFonts w:ascii="宋体" w:cs="宋体"/>
          <w:sz w:val="24"/>
          <w:lang w:bidi="ar"/>
        </w:rPr>
      </w:pPr>
      <w:r>
        <w:rPr>
          <w:sz w:val="24"/>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95885</wp:posOffset>
                </wp:positionV>
                <wp:extent cx="3105150" cy="2482215"/>
                <wp:effectExtent l="9525" t="9525" r="9525" b="13335"/>
                <wp:wrapNone/>
                <wp:docPr id="845504610" name="自选图形 7"/>
                <wp:cNvGraphicFramePr/>
                <a:graphic xmlns:a="http://schemas.openxmlformats.org/drawingml/2006/main">
                  <a:graphicData uri="http://schemas.microsoft.com/office/word/2010/wordprocessingShape">
                    <wps:wsp>
                      <wps:cNvSpPr>
                        <a:spLocks noChangeArrowheads="1"/>
                      </wps:cNvSpPr>
                      <wps:spPr bwMode="auto">
                        <a:xfrm>
                          <a:off x="0" y="0"/>
                          <a:ext cx="3105150" cy="2482215"/>
                        </a:xfrm>
                        <a:prstGeom prst="flowChartAlternate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自选图形 7" o:spid="_x0000_s1026" o:spt="176" type="#_x0000_t176" style="position:absolute;left:0pt;margin-left:-16.2pt;margin-top:7.55pt;height:195.45pt;width:244.5pt;z-index:251660288;mso-width-relative:page;mso-height-relative:page;" fillcolor="#FFFFFF" filled="t" stroked="t" coordsize="21600,21600" o:gfxdata="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exJM2AAA&#10;AAoBAAAPAAAAAAAAAAEAIAAAACIAAABkcnMvZG93bnJldi54bWxQSwECFAAUAAAACACHTuJAqZ5O&#10;gFcCAAChBAAADgAAAAAAAAABACAAAAAnAQAAZHJzL2Uyb0RvYy54bWxQSwUGAAAAAAYABgBZAQAA&#10;8AUAAAAA&#10;">
                <v:fill on="t" focussize="0,0"/>
                <v:stroke color="#000000" miterlimit="8" joinstyle="miter"/>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3041650</wp:posOffset>
                </wp:positionH>
                <wp:positionV relativeFrom="paragraph">
                  <wp:posOffset>153035</wp:posOffset>
                </wp:positionV>
                <wp:extent cx="3104515" cy="2482215"/>
                <wp:effectExtent l="8890" t="9525" r="10795" b="13335"/>
                <wp:wrapNone/>
                <wp:docPr id="225743739" name="自选图形 8"/>
                <wp:cNvGraphicFramePr/>
                <a:graphic xmlns:a="http://schemas.openxmlformats.org/drawingml/2006/main">
                  <a:graphicData uri="http://schemas.microsoft.com/office/word/2010/wordprocessingShape">
                    <wps:wsp>
                      <wps:cNvSpPr>
                        <a:spLocks noChangeArrowheads="1"/>
                      </wps:cNvSpPr>
                      <wps:spPr bwMode="auto">
                        <a:xfrm>
                          <a:off x="0" y="0"/>
                          <a:ext cx="3104515" cy="2482215"/>
                        </a:xfrm>
                        <a:prstGeom prst="flowChartAlternateProcess">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239.5pt;margin-top:12.05pt;height:195.45pt;width:244.45pt;z-index:251661312;mso-width-relative:page;mso-height-relative:page;" fillcolor="#FFFFFF" filled="t" stroked="t" coordsize="21600,21600" o:gfxdata="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Dyx92AAA&#10;AAoBAAAPAAAAAAAAAAEAIAAAACIAAABkcnMvZG93bnJldi54bWxQSwECFAAUAAAACACHTuJA6l2k&#10;4lcCAAChBAAADgAAAAAAAAABACAAAAAnAQAAZHJzL2Uyb0RvYy54bWxQSwUGAAAAAAYABgBZAQAA&#10;8AUAAAAA&#10;">
                <v:fill on="t" focussize="0,0"/>
                <v:stroke color="#000000" miterlimit="8" joinstyle="miter"/>
                <v:imagedata o:title=""/>
                <o:lock v:ext="edit" aspectratio="f"/>
              </v:shape>
            </w:pict>
          </mc:Fallback>
        </mc:AlternateContent>
      </w:r>
    </w:p>
    <w:p>
      <w:pPr>
        <w:snapToGrid w:val="0"/>
        <w:spacing w:line="440" w:lineRule="exact"/>
        <w:rPr>
          <w:rFonts w:ascii="宋体" w:cs="宋体"/>
          <w:sz w:val="24"/>
          <w:lang w:bidi="ar"/>
        </w:rPr>
      </w:pPr>
    </w:p>
    <w:p>
      <w:pPr>
        <w:snapToGrid w:val="0"/>
        <w:spacing w:line="440" w:lineRule="exact"/>
        <w:rPr>
          <w:rFonts w:ascii="宋体" w:cs="宋体"/>
          <w:sz w:val="24"/>
          <w:lang w:bidi="ar"/>
        </w:rPr>
      </w:pPr>
      <w:r>
        <w:rPr>
          <w:sz w:val="24"/>
        </w:rPr>
        <mc:AlternateContent>
          <mc:Choice Requires="wps">
            <w:drawing>
              <wp:anchor distT="0" distB="0" distL="114300" distR="114300" simplePos="0" relativeHeight="251663360" behindDoc="0" locked="0" layoutInCell="1" allowOverlap="1">
                <wp:simplePos x="0" y="0"/>
                <wp:positionH relativeFrom="column">
                  <wp:posOffset>3140075</wp:posOffset>
                </wp:positionH>
                <wp:positionV relativeFrom="paragraph">
                  <wp:posOffset>31750</wp:posOffset>
                </wp:positionV>
                <wp:extent cx="2805430" cy="908050"/>
                <wp:effectExtent l="12065" t="8890" r="11430" b="6985"/>
                <wp:wrapNone/>
                <wp:docPr id="1163211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805430" cy="908050"/>
                        </a:xfrm>
                        <a:prstGeom prst="rect">
                          <a:avLst/>
                        </a:prstGeom>
                        <a:solidFill>
                          <a:srgbClr val="FFFFFF"/>
                        </a:solidFill>
                        <a:ln w="9525">
                          <a:solidFill>
                            <a:srgbClr val="FFFFFF"/>
                          </a:solidFill>
                          <a:miter lim="800000"/>
                        </a:ln>
                        <a:effectLst/>
                      </wps:spPr>
                      <wps:txbx>
                        <w:txbxContent>
                          <w:p>
                            <w:r>
                              <w:rPr>
                                <w:rFonts w:hint="eastAsia"/>
                                <w:sz w:val="24"/>
                                <w:u w:val="single"/>
                              </w:rPr>
                              <w:t>委托代理人</w:t>
                            </w:r>
                            <w:r>
                              <w:rPr>
                                <w:rFonts w:hint="eastAsia"/>
                                <w:sz w:val="24"/>
                              </w:rPr>
                              <w:t>身份证反面复印件贴于此处</w:t>
                            </w:r>
                          </w:p>
                        </w:txbxContent>
                      </wps:txbx>
                      <wps:bodyPr rot="0" vert="horz" wrap="square" lIns="91440" tIns="45720" rIns="91440" bIns="45720" anchor="t" anchorCtr="0" upright="1">
                        <a:noAutofit/>
                      </wps:bodyPr>
                    </wps:wsp>
                  </a:graphicData>
                </a:graphic>
              </wp:anchor>
            </w:drawing>
          </mc:Choice>
          <mc:Fallback>
            <w:pict>
              <v:shape id="文本框 10" o:spid="_x0000_s1026" o:spt="202" type="#_x0000_t202" style="position:absolute;left:0pt;margin-left:247.25pt;margin-top:2.5pt;height:71.5pt;width:220.9pt;z-index:251663360;mso-width-relative:page;mso-height-relative:page;" fillcolor="#FFFFFF" filled="t" stroked="t" coordsize="21600,21600" o:gfxdata="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x9zfC2AAAAAkBAAAPAAAAAAAAAAEA&#10;IAAAACIAAABkcnMvZG93bnJldi54bWxQSwECFAAUAAAACACHTuJAekZ3R0gCAACdBAAADgAAAAAA&#10;AAABACAAAAAnAQAAZHJzL2Uyb0RvYy54bWxQSwUGAAAAAAYABgBZAQAA4QUAAAAA&#10;">
                <v:fill on="t" focussize="0,0"/>
                <v:stroke color="#FFFFFF" miterlimit="8" joinstyle="miter"/>
                <v:imagedata o:title=""/>
                <o:lock v:ext="edit" aspectratio="f"/>
                <v:textbox>
                  <w:txbxContent>
                    <w:p>
                      <w:r>
                        <w:rPr>
                          <w:rFonts w:hint="eastAsia"/>
                          <w:sz w:val="24"/>
                          <w:u w:val="single"/>
                        </w:rPr>
                        <w:t>委托代理人</w:t>
                      </w:r>
                      <w:r>
                        <w:rPr>
                          <w:rFonts w:hint="eastAsia"/>
                          <w:sz w:val="24"/>
                        </w:rPr>
                        <w:t>身份证反面复印件贴于此处</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50800</wp:posOffset>
                </wp:positionV>
                <wp:extent cx="2804795" cy="908050"/>
                <wp:effectExtent l="12700" t="8890" r="11430" b="6985"/>
                <wp:wrapNone/>
                <wp:docPr id="48110738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04795" cy="908050"/>
                        </a:xfrm>
                        <a:prstGeom prst="rect">
                          <a:avLst/>
                        </a:prstGeom>
                        <a:solidFill>
                          <a:srgbClr val="FFFFFF"/>
                        </a:solidFill>
                        <a:ln w="9525">
                          <a:solidFill>
                            <a:srgbClr val="FFFFFF"/>
                          </a:solidFill>
                          <a:miter lim="800000"/>
                        </a:ln>
                        <a:effectLst/>
                      </wps:spPr>
                      <wps:txbx>
                        <w:txbxContent>
                          <w:p>
                            <w:r>
                              <w:rPr>
                                <w:rFonts w:hint="eastAsia"/>
                                <w:sz w:val="24"/>
                                <w:u w:val="single"/>
                              </w:rPr>
                              <w:t>委托代理人</w:t>
                            </w:r>
                            <w:r>
                              <w:rPr>
                                <w:rFonts w:hint="eastAsia"/>
                                <w:sz w:val="24"/>
                              </w:rPr>
                              <w:t>身份证正面复印件贴于此处</w:t>
                            </w: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0.2pt;margin-top:4pt;height:71.5pt;width:220.85pt;z-index:251662336;mso-width-relative:page;mso-height-relative:page;" fillcolor="#FFFFFF" filled="t" stroked="t" coordsize="21600,21600" o:gfxdata="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xaMx3WAAAABwEAAA8AAAAAAAAA&#10;AQAgAAAAIgAAAGRycy9kb3ducmV2LnhtbFBLAQIUABQAAAAIAIdO4kDsy1aqTAIAAJ0EAAAOAAAA&#10;AAAAAAEAIAAAACUBAABkcnMvZTJvRG9jLnhtbFBLBQYAAAAABgAGAFkBAADjBQAAAAA=&#10;">
                <v:fill on="t" focussize="0,0"/>
                <v:stroke color="#FFFFFF" miterlimit="8" joinstyle="miter"/>
                <v:imagedata o:title=""/>
                <o:lock v:ext="edit" aspectratio="f"/>
                <v:textbox>
                  <w:txbxContent>
                    <w:p>
                      <w:r>
                        <w:rPr>
                          <w:rFonts w:hint="eastAsia"/>
                          <w:sz w:val="24"/>
                          <w:u w:val="single"/>
                        </w:rPr>
                        <w:t>委托代理人</w:t>
                      </w:r>
                      <w:r>
                        <w:rPr>
                          <w:rFonts w:hint="eastAsia"/>
                          <w:sz w:val="24"/>
                        </w:rPr>
                        <w:t>身份证正面复印件贴于此处</w:t>
                      </w:r>
                    </w:p>
                  </w:txbxContent>
                </v:textbox>
              </v:shape>
            </w:pict>
          </mc:Fallback>
        </mc:AlternateContent>
      </w:r>
    </w:p>
    <w:p>
      <w:pPr>
        <w:snapToGrid w:val="0"/>
        <w:spacing w:line="440" w:lineRule="exact"/>
        <w:rPr>
          <w:rFonts w:ascii="宋体" w:cs="宋体"/>
          <w:sz w:val="24"/>
          <w:lang w:bidi="ar"/>
        </w:rPr>
      </w:pPr>
    </w:p>
    <w:p>
      <w:pPr>
        <w:snapToGrid w:val="0"/>
        <w:spacing w:line="440" w:lineRule="exact"/>
        <w:rPr>
          <w:rFonts w:ascii="宋体" w:cs="宋体"/>
          <w:sz w:val="24"/>
          <w:lang w:bidi="ar"/>
        </w:rPr>
      </w:pPr>
    </w:p>
    <w:p>
      <w:pPr>
        <w:snapToGrid w:val="0"/>
        <w:spacing w:line="440" w:lineRule="exact"/>
        <w:rPr>
          <w:rFonts w:ascii="宋体" w:cs="宋体"/>
          <w:sz w:val="24"/>
          <w:lang w:bidi="ar"/>
        </w:rPr>
      </w:pPr>
    </w:p>
    <w:p>
      <w:pPr>
        <w:snapToGrid w:val="0"/>
        <w:spacing w:line="440" w:lineRule="exact"/>
        <w:rPr>
          <w:rFonts w:ascii="宋体" w:cs="宋体"/>
          <w:sz w:val="24"/>
        </w:rPr>
      </w:pPr>
      <w:r>
        <w:rPr>
          <w:rFonts w:hint="eastAsia" w:ascii="宋体" w:cs="宋体"/>
          <w:sz w:val="24"/>
          <w:lang w:bidi="ar"/>
        </w:rPr>
        <w:t xml:space="preserve"> </w:t>
      </w:r>
    </w:p>
    <w:p>
      <w:pPr>
        <w:spacing w:line="440" w:lineRule="exact"/>
        <w:rPr>
          <w:rFonts w:ascii="宋体" w:cs="宋体"/>
          <w:b/>
          <w:bCs/>
          <w:sz w:val="24"/>
          <w:lang w:bidi="ar"/>
        </w:rPr>
      </w:pPr>
    </w:p>
    <w:p>
      <w:pPr>
        <w:spacing w:line="440" w:lineRule="exact"/>
        <w:rPr>
          <w:rFonts w:ascii="宋体" w:cs="宋体"/>
          <w:b/>
          <w:bCs/>
          <w:sz w:val="24"/>
          <w:lang w:bidi="ar"/>
        </w:rPr>
      </w:pPr>
    </w:p>
    <w:p>
      <w:pPr>
        <w:spacing w:line="440" w:lineRule="exact"/>
        <w:rPr>
          <w:rFonts w:ascii="宋体" w:cs="宋体"/>
          <w:sz w:val="24"/>
          <w:lang w:bidi="ar"/>
        </w:rPr>
      </w:pPr>
    </w:p>
    <w:p>
      <w:pPr>
        <w:spacing w:line="440" w:lineRule="exact"/>
        <w:rPr>
          <w:rFonts w:ascii="宋体" w:cs="宋体"/>
          <w:sz w:val="24"/>
          <w:lang w:bidi="ar"/>
        </w:rPr>
        <w:sectPr>
          <w:pgSz w:w="11906" w:h="16838"/>
          <w:pgMar w:top="1236" w:right="1134" w:bottom="1134" w:left="1134" w:header="680" w:footer="680" w:gutter="0"/>
          <w:cols w:space="720" w:num="1"/>
          <w:docGrid w:linePitch="312" w:charSpace="0"/>
        </w:sectPr>
      </w:pPr>
      <w:r>
        <w:rPr>
          <w:rFonts w:hint="eastAsia" w:ascii="宋体" w:cs="宋体"/>
          <w:sz w:val="24"/>
          <w:lang w:bidi="ar"/>
        </w:rPr>
        <w:t>注：如投标文件由</w:t>
      </w:r>
      <w:r>
        <w:rPr>
          <w:rFonts w:hint="eastAsia" w:ascii="宋体" w:cs="宋体"/>
          <w:sz w:val="24"/>
          <w:u w:val="single"/>
          <w:lang w:bidi="ar"/>
        </w:rPr>
        <w:t>委托代理人</w:t>
      </w:r>
      <w:r>
        <w:rPr>
          <w:rFonts w:hint="eastAsia" w:ascii="宋体" w:cs="宋体"/>
          <w:sz w:val="24"/>
          <w:lang w:bidi="ar"/>
        </w:rPr>
        <w:t>签字或盖章的，投标文件必须附此授权委托书和</w:t>
      </w:r>
      <w:r>
        <w:rPr>
          <w:rFonts w:hint="eastAsia" w:ascii="宋体" w:cs="宋体"/>
          <w:sz w:val="24"/>
          <w:u w:val="single"/>
          <w:lang w:bidi="ar"/>
        </w:rPr>
        <w:t>法定代表人</w:t>
      </w:r>
      <w:r>
        <w:rPr>
          <w:rFonts w:hint="eastAsia" w:ascii="宋体" w:cs="宋体"/>
          <w:sz w:val="24"/>
          <w:lang w:bidi="ar"/>
        </w:rPr>
        <w:t>身份证明。</w:t>
      </w:r>
    </w:p>
    <w:p>
      <w:pPr>
        <w:adjustRightInd w:val="0"/>
        <w:snapToGrid w:val="0"/>
        <w:spacing w:line="360" w:lineRule="auto"/>
        <w:rPr>
          <w:rFonts w:ascii="宋体" w:cs="宋体"/>
          <w:b/>
          <w:bCs/>
          <w:sz w:val="24"/>
          <w:lang w:bidi="ar"/>
        </w:rPr>
      </w:pPr>
      <w:r>
        <w:rPr>
          <w:rFonts w:hint="eastAsia" w:ascii="宋体" w:cs="宋体"/>
          <w:b/>
          <w:bCs/>
          <w:sz w:val="24"/>
          <w:lang w:bidi="ar"/>
        </w:rPr>
        <w:t>2.4投标人情况表</w:t>
      </w:r>
    </w:p>
    <w:p>
      <w:pPr>
        <w:spacing w:line="360" w:lineRule="auto"/>
        <w:ind w:right="-21" w:rightChars="-10"/>
        <w:jc w:val="center"/>
        <w:rPr>
          <w:rFonts w:ascii="宋体" w:cs="宋体"/>
          <w:b/>
          <w:bCs/>
          <w:sz w:val="24"/>
          <w:lang w:bidi="ar"/>
        </w:rPr>
      </w:pPr>
      <w:r>
        <w:rPr>
          <w:rFonts w:hint="eastAsia" w:ascii="宋体" w:cs="宋体"/>
          <w:b/>
          <w:bCs/>
          <w:sz w:val="24"/>
          <w:lang w:bidi="ar"/>
        </w:rPr>
        <w:t>投标人情况表</w:t>
      </w:r>
    </w:p>
    <w:tbl>
      <w:tblPr>
        <w:tblStyle w:val="24"/>
        <w:tblW w:w="0" w:type="auto"/>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746"/>
        <w:gridCol w:w="2111"/>
        <w:gridCol w:w="1707"/>
        <w:gridCol w:w="1466"/>
        <w:gridCol w:w="1581"/>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12"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u w:val="single"/>
              </w:rPr>
              <w:t>法定代表人</w:t>
            </w:r>
          </w:p>
        </w:tc>
        <w:tc>
          <w:tcPr>
            <w:tcW w:w="2111" w:type="dxa"/>
            <w:tcBorders>
              <w:top w:val="single" w:color="auto" w:sz="12"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rPr>
                <w:rFonts w:ascii="宋体" w:cs="宋体"/>
                <w:sz w:val="24"/>
                <w:szCs w:val="24"/>
              </w:rPr>
            </w:pPr>
          </w:p>
        </w:tc>
        <w:tc>
          <w:tcPr>
            <w:tcW w:w="1707" w:type="dxa"/>
            <w:tcBorders>
              <w:top w:val="single" w:color="auto" w:sz="12"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成立日期</w:t>
            </w:r>
          </w:p>
        </w:tc>
        <w:tc>
          <w:tcPr>
            <w:tcW w:w="3047" w:type="dxa"/>
            <w:gridSpan w:val="2"/>
            <w:tcBorders>
              <w:top w:val="single" w:color="auto" w:sz="12"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企业地址</w:t>
            </w:r>
          </w:p>
        </w:tc>
        <w:tc>
          <w:tcPr>
            <w:tcW w:w="2111"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rPr>
                <w:rFonts w:ascii="宋体" w:cs="宋体"/>
                <w:sz w:val="24"/>
                <w:szCs w:val="24"/>
              </w:rPr>
            </w:pPr>
          </w:p>
        </w:tc>
        <w:tc>
          <w:tcPr>
            <w:tcW w:w="1707"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注册资本</w:t>
            </w:r>
          </w:p>
        </w:tc>
        <w:tc>
          <w:tcPr>
            <w:tcW w:w="3047" w:type="dxa"/>
            <w:gridSpan w:val="2"/>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经营范围</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员工人数</w:t>
            </w:r>
          </w:p>
        </w:tc>
        <w:tc>
          <w:tcPr>
            <w:tcW w:w="2111"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人</w:t>
            </w:r>
          </w:p>
        </w:tc>
        <w:tc>
          <w:tcPr>
            <w:tcW w:w="3173" w:type="dxa"/>
            <w:gridSpan w:val="2"/>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拥有中高级以上职称的人数</w:t>
            </w:r>
          </w:p>
        </w:tc>
        <w:tc>
          <w:tcPr>
            <w:tcW w:w="1581" w:type="dxa"/>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人</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资产总额</w:t>
            </w:r>
          </w:p>
        </w:tc>
        <w:tc>
          <w:tcPr>
            <w:tcW w:w="2111"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万元</w:t>
            </w:r>
          </w:p>
        </w:tc>
        <w:tc>
          <w:tcPr>
            <w:tcW w:w="1707"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净资产</w:t>
            </w:r>
          </w:p>
        </w:tc>
        <w:tc>
          <w:tcPr>
            <w:tcW w:w="3047" w:type="dxa"/>
            <w:gridSpan w:val="2"/>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股东权益</w:t>
            </w:r>
          </w:p>
        </w:tc>
        <w:tc>
          <w:tcPr>
            <w:tcW w:w="2111"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万元</w:t>
            </w:r>
          </w:p>
        </w:tc>
        <w:tc>
          <w:tcPr>
            <w:tcW w:w="1707"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主营业务收入</w:t>
            </w:r>
          </w:p>
        </w:tc>
        <w:tc>
          <w:tcPr>
            <w:tcW w:w="3047" w:type="dxa"/>
            <w:gridSpan w:val="2"/>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实现利润</w:t>
            </w:r>
          </w:p>
        </w:tc>
        <w:tc>
          <w:tcPr>
            <w:tcW w:w="2111"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万元</w:t>
            </w:r>
          </w:p>
        </w:tc>
        <w:tc>
          <w:tcPr>
            <w:tcW w:w="1707"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w:t>
            </w:r>
          </w:p>
        </w:tc>
        <w:tc>
          <w:tcPr>
            <w:tcW w:w="3047" w:type="dxa"/>
            <w:gridSpan w:val="2"/>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办公面积</w:t>
            </w:r>
          </w:p>
        </w:tc>
        <w:tc>
          <w:tcPr>
            <w:tcW w:w="2111"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 xml:space="preserve">     </w:t>
            </w:r>
            <w:r>
              <w:rPr>
                <w:rFonts w:hint="eastAsia" w:ascii="宋体" w:cs="宋体"/>
                <w:sz w:val="24"/>
                <w:szCs w:val="24"/>
              </w:rPr>
              <w:t>平方米</w:t>
            </w:r>
          </w:p>
        </w:tc>
        <w:tc>
          <w:tcPr>
            <w:tcW w:w="1707" w:type="dxa"/>
            <w:tcBorders>
              <w:top w:val="single" w:color="auto" w:sz="6" w:space="0"/>
              <w:left w:val="nil"/>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其中</w:t>
            </w:r>
          </w:p>
        </w:tc>
        <w:tc>
          <w:tcPr>
            <w:tcW w:w="3047" w:type="dxa"/>
            <w:gridSpan w:val="2"/>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自有面积</w:t>
            </w:r>
            <w:r>
              <w:rPr>
                <w:rFonts w:hint="eastAsia" w:ascii="宋体" w:cs="宋体"/>
                <w:sz w:val="24"/>
                <w:szCs w:val="24"/>
                <w:u w:val="single"/>
              </w:rPr>
              <w:t xml:space="preserve">     </w:t>
            </w:r>
            <w:r>
              <w:rPr>
                <w:rFonts w:hint="eastAsia" w:ascii="宋体" w:cs="宋体"/>
                <w:sz w:val="24"/>
                <w:szCs w:val="24"/>
              </w:rPr>
              <w:t>平方米</w:t>
            </w:r>
          </w:p>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承租面积</w:t>
            </w:r>
            <w:r>
              <w:rPr>
                <w:rFonts w:hint="eastAsia" w:ascii="宋体" w:cs="宋体"/>
                <w:sz w:val="24"/>
                <w:szCs w:val="24"/>
                <w:u w:val="single"/>
              </w:rPr>
              <w:t xml:space="preserve">     </w:t>
            </w:r>
            <w:r>
              <w:rPr>
                <w:rFonts w:hint="eastAsia" w:ascii="宋体" w:cs="宋体"/>
                <w:sz w:val="24"/>
                <w:szCs w:val="24"/>
              </w:rPr>
              <w:t>平方米</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单位简历及内设机构</w:t>
            </w:r>
          </w:p>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情况</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单位优势及特长</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近三年来完成或正在履行的类似供货协议情况</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最近3年内在经营过程中受到何种奖励或处分</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u w:val="single"/>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最近3年内有无因服务或是其他原因被消费者投诉或起诉的情况及说明</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r>
              <w:rPr>
                <w:rFonts w:hint="eastAsia" w:ascii="宋体" w:cs="宋体"/>
                <w:sz w:val="24"/>
                <w:szCs w:val="24"/>
                <w:u w:val="single"/>
              </w:rPr>
              <w:t>（包括解决方式和结果）</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最近3年内主要负责人有无因经济行为被司法机关追究的情况及说明</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6"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企业现状布局及发展战略简介</w:t>
            </w:r>
          </w:p>
        </w:tc>
        <w:tc>
          <w:tcPr>
            <w:tcW w:w="6865" w:type="dxa"/>
            <w:gridSpan w:val="4"/>
            <w:tcBorders>
              <w:top w:val="single" w:color="auto" w:sz="6" w:space="0"/>
              <w:left w:val="nil"/>
              <w:bottom w:val="single" w:color="auto" w:sz="6"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2746" w:type="dxa"/>
            <w:tcBorders>
              <w:top w:val="single" w:color="auto" w:sz="6" w:space="0"/>
              <w:left w:val="single" w:color="auto" w:sz="12" w:space="0"/>
              <w:bottom w:val="single" w:color="auto" w:sz="12" w:space="0"/>
              <w:right w:val="single" w:color="auto" w:sz="6" w:space="0"/>
            </w:tcBorders>
            <w:vAlign w:val="center"/>
          </w:tcPr>
          <w:p>
            <w:pPr>
              <w:pStyle w:val="5"/>
              <w:widowControl/>
              <w:overflowPunct w:val="0"/>
              <w:spacing w:line="360" w:lineRule="exact"/>
              <w:ind w:right="-21" w:rightChars="-10" w:firstLine="0" w:firstLineChars="0"/>
              <w:jc w:val="center"/>
              <w:rPr>
                <w:rFonts w:ascii="宋体" w:cs="宋体"/>
                <w:sz w:val="24"/>
                <w:szCs w:val="24"/>
              </w:rPr>
            </w:pPr>
            <w:r>
              <w:rPr>
                <w:rFonts w:hint="eastAsia" w:ascii="宋体" w:cs="宋体"/>
                <w:sz w:val="24"/>
                <w:szCs w:val="24"/>
              </w:rPr>
              <w:t>其他需要说明的情况</w:t>
            </w:r>
          </w:p>
        </w:tc>
        <w:tc>
          <w:tcPr>
            <w:tcW w:w="6865" w:type="dxa"/>
            <w:gridSpan w:val="4"/>
            <w:tcBorders>
              <w:top w:val="single" w:color="auto" w:sz="6" w:space="0"/>
              <w:left w:val="nil"/>
              <w:bottom w:val="single" w:color="auto" w:sz="12" w:space="0"/>
              <w:right w:val="single" w:color="auto" w:sz="12" w:space="0"/>
            </w:tcBorders>
            <w:vAlign w:val="center"/>
          </w:tcPr>
          <w:p>
            <w:pPr>
              <w:pStyle w:val="5"/>
              <w:widowControl/>
              <w:overflowPunct w:val="0"/>
              <w:spacing w:line="360" w:lineRule="exact"/>
              <w:ind w:right="-21" w:rightChars="-10" w:firstLine="0" w:firstLineChars="0"/>
              <w:rPr>
                <w:rFonts w:ascii="宋体" w:cs="宋体"/>
                <w:sz w:val="24"/>
                <w:szCs w:val="24"/>
              </w:rPr>
            </w:pPr>
          </w:p>
        </w:tc>
      </w:tr>
    </w:tbl>
    <w:p>
      <w:pPr>
        <w:rPr>
          <w:vanish/>
        </w:rPr>
      </w:pPr>
    </w:p>
    <w:tbl>
      <w:tblPr>
        <w:tblStyle w:val="24"/>
        <w:tblpPr w:leftFromText="180" w:rightFromText="180" w:vertAnchor="text" w:horzAnchor="page" w:tblpX="3043" w:tblpY="320"/>
        <w:tblOverlap w:val="never"/>
        <w:tblW w:w="5267" w:type="dxa"/>
        <w:tblInd w:w="0" w:type="dxa"/>
        <w:tblLayout w:type="fixed"/>
        <w:tblCellMar>
          <w:top w:w="0" w:type="dxa"/>
          <w:left w:w="108" w:type="dxa"/>
          <w:bottom w:w="0" w:type="dxa"/>
          <w:right w:w="108" w:type="dxa"/>
        </w:tblCellMar>
      </w:tblPr>
      <w:tblGrid>
        <w:gridCol w:w="5267"/>
      </w:tblGrid>
      <w:tr>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投标人：</w:t>
            </w:r>
            <w:r>
              <w:rPr>
                <w:rFonts w:hint="eastAsia" w:ascii="宋体" w:cs="宋体"/>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日  期：</w:t>
            </w:r>
            <w:r>
              <w:rPr>
                <w:rFonts w:hint="eastAsia" w:ascii="宋体" w:cs="宋体"/>
                <w:sz w:val="24"/>
                <w:u w:val="single"/>
              </w:rPr>
              <w:t xml:space="preserve">          年   月   日                          </w:t>
            </w:r>
          </w:p>
        </w:tc>
      </w:tr>
    </w:tbl>
    <w:p>
      <w:pPr>
        <w:spacing w:line="360" w:lineRule="auto"/>
        <w:ind w:right="-21" w:rightChars="-10"/>
        <w:rPr>
          <w:rFonts w:ascii="宋体" w:cs="宋体"/>
          <w:sz w:val="24"/>
        </w:rPr>
      </w:pPr>
    </w:p>
    <w:p>
      <w:pPr>
        <w:spacing w:line="360" w:lineRule="auto"/>
        <w:ind w:right="-21" w:rightChars="-10"/>
        <w:rPr>
          <w:rFonts w:ascii="宋体" w:cs="宋体"/>
          <w:sz w:val="24"/>
        </w:rPr>
      </w:pPr>
    </w:p>
    <w:p>
      <w:pPr>
        <w:spacing w:line="360" w:lineRule="auto"/>
        <w:ind w:right="-21" w:rightChars="-10"/>
        <w:jc w:val="center"/>
        <w:rPr>
          <w:rFonts w:ascii="宋体" w:cs="宋体"/>
          <w:sz w:val="24"/>
          <w:lang w:bidi="ar"/>
        </w:rPr>
      </w:pPr>
    </w:p>
    <w:p>
      <w:pPr>
        <w:spacing w:line="360" w:lineRule="auto"/>
        <w:ind w:right="-21" w:rightChars="-10"/>
        <w:rPr>
          <w:rFonts w:ascii="宋体" w:cs="宋体"/>
          <w:sz w:val="24"/>
          <w:lang w:bidi="ar"/>
        </w:rPr>
        <w:sectPr>
          <w:pgSz w:w="11906" w:h="16838"/>
          <w:pgMar w:top="1236" w:right="1134" w:bottom="1134" w:left="1134" w:header="680" w:footer="680" w:gutter="0"/>
          <w:cols w:space="720" w:num="1"/>
          <w:docGrid w:linePitch="312" w:charSpace="0"/>
        </w:sectPr>
      </w:pPr>
    </w:p>
    <w:p>
      <w:pPr>
        <w:adjustRightInd w:val="0"/>
        <w:snapToGrid w:val="0"/>
        <w:spacing w:line="360" w:lineRule="auto"/>
        <w:rPr>
          <w:rFonts w:ascii="宋体" w:cs="宋体"/>
          <w:b/>
          <w:bCs/>
          <w:sz w:val="24"/>
          <w:lang w:bidi="ar"/>
        </w:rPr>
      </w:pPr>
      <w:r>
        <w:rPr>
          <w:rFonts w:hint="eastAsia" w:ascii="宋体" w:cs="宋体"/>
          <w:b/>
          <w:bCs/>
          <w:sz w:val="24"/>
          <w:lang w:bidi="ar"/>
        </w:rPr>
        <w:t>2.5无重大违法行为、无行贿行为记录承诺书</w:t>
      </w:r>
    </w:p>
    <w:p>
      <w:pPr>
        <w:spacing w:line="360" w:lineRule="auto"/>
        <w:ind w:right="-21" w:rightChars="-10"/>
        <w:jc w:val="center"/>
        <w:rPr>
          <w:rFonts w:ascii="宋体" w:cs="宋体"/>
          <w:b/>
          <w:bCs/>
          <w:sz w:val="24"/>
          <w:lang w:bidi="ar"/>
        </w:rPr>
      </w:pPr>
    </w:p>
    <w:p>
      <w:pPr>
        <w:spacing w:line="360" w:lineRule="auto"/>
        <w:ind w:right="-21" w:rightChars="-10"/>
        <w:jc w:val="center"/>
        <w:rPr>
          <w:rFonts w:ascii="宋体" w:cs="宋体"/>
          <w:b/>
          <w:bCs/>
          <w:sz w:val="24"/>
          <w:lang w:bidi="ar"/>
        </w:rPr>
      </w:pPr>
      <w:r>
        <w:rPr>
          <w:rFonts w:hint="eastAsia" w:ascii="宋体" w:cs="宋体"/>
          <w:b/>
          <w:bCs/>
          <w:sz w:val="24"/>
          <w:lang w:bidi="ar"/>
        </w:rPr>
        <w:t>无重大违法行为、无行贿行为记录承诺书</w:t>
      </w:r>
    </w:p>
    <w:p>
      <w:pPr>
        <w:spacing w:line="360" w:lineRule="auto"/>
        <w:ind w:right="-21" w:rightChars="-10"/>
        <w:rPr>
          <w:rFonts w:ascii="宋体" w:cs="宋体"/>
          <w:kern w:val="0"/>
          <w:sz w:val="24"/>
          <w:lang w:bidi="ar"/>
        </w:rPr>
      </w:pPr>
      <w:r>
        <w:rPr>
          <w:rFonts w:hint="eastAsia" w:ascii="宋体" w:cs="宋体"/>
          <w:kern w:val="0"/>
          <w:sz w:val="24"/>
          <w:u w:val="single"/>
          <w:lang w:bidi="ar"/>
        </w:rPr>
        <w:t xml:space="preserve">        （招标人）       </w:t>
      </w:r>
      <w:r>
        <w:rPr>
          <w:rFonts w:hint="eastAsia" w:ascii="宋体" w:cs="宋体"/>
          <w:kern w:val="0"/>
          <w:sz w:val="24"/>
          <w:lang w:bidi="ar"/>
        </w:rPr>
        <w:t xml:space="preserve"> ：</w:t>
      </w:r>
    </w:p>
    <w:p>
      <w:pPr>
        <w:spacing w:line="360" w:lineRule="auto"/>
        <w:ind w:right="-21" w:rightChars="-10" w:firstLine="480" w:firstLineChars="200"/>
        <w:rPr>
          <w:rFonts w:ascii="宋体" w:cs="宋体"/>
          <w:b/>
          <w:bCs/>
          <w:sz w:val="24"/>
        </w:rPr>
      </w:pPr>
      <w:r>
        <w:rPr>
          <w:rFonts w:hint="eastAsia" w:ascii="宋体" w:cs="宋体"/>
          <w:kern w:val="0"/>
          <w:sz w:val="24"/>
          <w:u w:val="single"/>
          <w:lang w:bidi="ar"/>
        </w:rPr>
        <w:t xml:space="preserve">（投标人名称）     </w:t>
      </w:r>
      <w:r>
        <w:rPr>
          <w:rFonts w:hint="eastAsia" w:ascii="宋体" w:cs="宋体"/>
          <w:kern w:val="0"/>
          <w:sz w:val="24"/>
          <w:lang w:bidi="ar"/>
        </w:rPr>
        <w:t>参加</w:t>
      </w:r>
      <w:r>
        <w:rPr>
          <w:rFonts w:hint="eastAsia" w:ascii="宋体" w:cs="宋体"/>
          <w:kern w:val="0"/>
          <w:sz w:val="24"/>
          <w:u w:val="single"/>
          <w:lang w:bidi="ar"/>
        </w:rPr>
        <w:t xml:space="preserve">            </w:t>
      </w:r>
      <w:r>
        <w:rPr>
          <w:rFonts w:hint="eastAsia" w:ascii="宋体" w:cs="宋体"/>
          <w:kern w:val="0"/>
          <w:sz w:val="24"/>
          <w:lang w:bidi="ar"/>
        </w:rPr>
        <w:t>项目（招标编号：</w:t>
      </w:r>
      <w:r>
        <w:rPr>
          <w:rFonts w:hint="eastAsia" w:ascii="宋体" w:cs="宋体"/>
          <w:kern w:val="0"/>
          <w:sz w:val="24"/>
          <w:u w:val="single"/>
          <w:lang w:bidi="ar"/>
        </w:rPr>
        <w:t xml:space="preserve">         </w:t>
      </w:r>
      <w:r>
        <w:rPr>
          <w:rFonts w:hint="eastAsia" w:ascii="宋体" w:cs="宋体"/>
          <w:kern w:val="0"/>
          <w:sz w:val="24"/>
          <w:lang w:bidi="ar"/>
        </w:rPr>
        <w:t xml:space="preserve"> ）的投标，我公司保证投标人、</w:t>
      </w:r>
      <w:r>
        <w:rPr>
          <w:rFonts w:hint="eastAsia" w:ascii="宋体" w:cs="宋体"/>
          <w:kern w:val="0"/>
          <w:sz w:val="24"/>
          <w:u w:val="single"/>
          <w:lang w:bidi="ar"/>
        </w:rPr>
        <w:t>法定代表人及拟派项目负责人</w:t>
      </w:r>
      <w:r>
        <w:rPr>
          <w:rFonts w:hint="eastAsia" w:ascii="宋体" w:cs="宋体"/>
          <w:kern w:val="0"/>
          <w:sz w:val="24"/>
          <w:lang w:bidi="ar"/>
        </w:rPr>
        <w:t>自投标截止之日起近3年（成立不足3年的可从成立之日起算）无重大违法行为、无行贿行为记录。</w:t>
      </w:r>
    </w:p>
    <w:tbl>
      <w:tblPr>
        <w:tblStyle w:val="24"/>
        <w:tblpPr w:leftFromText="180" w:rightFromText="180" w:vertAnchor="text" w:horzAnchor="page" w:tblpXSpec="center" w:tblpY="2838"/>
        <w:tblOverlap w:val="never"/>
        <w:tblW w:w="5267" w:type="dxa"/>
        <w:tblInd w:w="0" w:type="dxa"/>
        <w:tblLayout w:type="fixed"/>
        <w:tblCellMar>
          <w:top w:w="0" w:type="dxa"/>
          <w:left w:w="108" w:type="dxa"/>
          <w:bottom w:w="0" w:type="dxa"/>
          <w:right w:w="108" w:type="dxa"/>
        </w:tblCellMar>
      </w:tblPr>
      <w:tblGrid>
        <w:gridCol w:w="5267"/>
      </w:tblGrid>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投标人：</w:t>
            </w:r>
            <w:r>
              <w:rPr>
                <w:rFonts w:hint="eastAsia" w:ascii="宋体" w:cs="宋体"/>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日  期：</w:t>
            </w:r>
            <w:r>
              <w:rPr>
                <w:rFonts w:hint="eastAsia" w:ascii="宋体" w:cs="宋体"/>
                <w:sz w:val="24"/>
                <w:u w:val="single"/>
              </w:rPr>
              <w:t xml:space="preserve">          年   月   日                          </w:t>
            </w:r>
          </w:p>
        </w:tc>
      </w:tr>
    </w:tbl>
    <w:p>
      <w:pPr>
        <w:spacing w:line="360" w:lineRule="auto"/>
        <w:ind w:right="-21" w:rightChars="-10" w:firstLine="480" w:firstLineChars="200"/>
        <w:rPr>
          <w:rFonts w:ascii="宋体" w:cs="宋体"/>
          <w:kern w:val="0"/>
          <w:sz w:val="24"/>
          <w:lang w:bidi="ar"/>
        </w:rPr>
      </w:pPr>
      <w:r>
        <w:rPr>
          <w:rFonts w:hint="eastAsia" w:ascii="宋体" w:cs="宋体"/>
          <w:kern w:val="0"/>
          <w:sz w:val="24"/>
          <w:lang w:bidi="ar"/>
        </w:rPr>
        <w:t>如有虚假、隐瞒或被举报的，并被查证属实的，我单位愿承担一切法律后果，并对由此给招标人带来的损失给予赔偿。</w:t>
      </w:r>
      <w:r>
        <w:rPr>
          <w:rFonts w:hint="eastAsia" w:ascii="宋体" w:cs="宋体"/>
          <w:kern w:val="0"/>
          <w:sz w:val="24"/>
          <w:lang w:bidi="ar"/>
        </w:rPr>
        <w:br w:type="textWrapping"/>
      </w:r>
    </w:p>
    <w:p>
      <w:pPr>
        <w:spacing w:line="360" w:lineRule="auto"/>
        <w:ind w:right="-21" w:rightChars="-10" w:firstLine="480" w:firstLineChars="200"/>
        <w:rPr>
          <w:rFonts w:ascii="宋体" w:cs="宋体"/>
          <w:kern w:val="0"/>
          <w:sz w:val="24"/>
          <w:lang w:bidi="ar"/>
        </w:rPr>
      </w:pPr>
      <w:r>
        <w:rPr>
          <w:rFonts w:hint="eastAsia" w:ascii="宋体" w:cs="宋体"/>
          <w:kern w:val="0"/>
          <w:sz w:val="24"/>
          <w:lang w:bidi="ar"/>
        </w:rPr>
        <w:t>特此承诺！</w:t>
      </w:r>
      <w:r>
        <w:rPr>
          <w:rFonts w:hint="eastAsia" w:ascii="宋体" w:cs="宋体"/>
          <w:kern w:val="0"/>
          <w:sz w:val="24"/>
          <w:lang w:bidi="ar"/>
        </w:rPr>
        <w:br w:type="textWrapping"/>
      </w:r>
      <w:r>
        <w:rPr>
          <w:rFonts w:hint="eastAsia" w:ascii="宋体" w:cs="宋体"/>
          <w:kern w:val="0"/>
          <w:sz w:val="24"/>
          <w:lang w:bidi="ar"/>
        </w:rPr>
        <w:br w:type="textWrapping"/>
      </w:r>
    </w:p>
    <w:p>
      <w:pPr>
        <w:spacing w:line="360" w:lineRule="auto"/>
        <w:ind w:right="-21" w:rightChars="-10"/>
        <w:rPr>
          <w:rFonts w:ascii="宋体" w:cs="宋体"/>
          <w:kern w:val="0"/>
          <w:sz w:val="24"/>
          <w:lang w:bidi="ar"/>
        </w:rPr>
      </w:pPr>
    </w:p>
    <w:p>
      <w:pPr>
        <w:spacing w:line="360" w:lineRule="auto"/>
        <w:ind w:right="-21" w:rightChars="-10"/>
        <w:rPr>
          <w:rFonts w:ascii="宋体" w:cs="宋体"/>
          <w:kern w:val="0"/>
          <w:sz w:val="24"/>
          <w:lang w:bidi="ar"/>
        </w:rPr>
      </w:pPr>
    </w:p>
    <w:p>
      <w:pPr>
        <w:spacing w:line="360" w:lineRule="auto"/>
        <w:ind w:right="-21" w:rightChars="-10"/>
        <w:rPr>
          <w:rFonts w:ascii="宋体" w:cs="宋体"/>
          <w:kern w:val="0"/>
          <w:sz w:val="24"/>
          <w:lang w:bidi="ar"/>
        </w:rPr>
      </w:pPr>
    </w:p>
    <w:p>
      <w:pPr>
        <w:spacing w:line="360" w:lineRule="auto"/>
        <w:ind w:right="-21" w:rightChars="-10"/>
        <w:rPr>
          <w:rFonts w:ascii="宋体" w:cs="宋体"/>
          <w:kern w:val="0"/>
          <w:sz w:val="24"/>
          <w:lang w:bidi="ar"/>
        </w:rPr>
      </w:pPr>
    </w:p>
    <w:p>
      <w:pPr>
        <w:ind w:right="-21" w:rightChars="-10"/>
        <w:rPr>
          <w:rFonts w:ascii="宋体" w:cs="宋体"/>
          <w:kern w:val="0"/>
          <w:sz w:val="24"/>
          <w:lang w:bidi="ar"/>
        </w:rPr>
        <w:sectPr>
          <w:pgSz w:w="11906" w:h="16838"/>
          <w:pgMar w:top="1236" w:right="1134" w:bottom="1134" w:left="1134" w:header="680" w:footer="680" w:gutter="0"/>
          <w:cols w:space="720" w:num="1"/>
          <w:docGrid w:linePitch="312" w:charSpace="0"/>
        </w:sectPr>
      </w:pPr>
      <w:r>
        <w:rPr>
          <w:rFonts w:hint="eastAsia" w:ascii="宋体" w:cs="宋体"/>
          <w:kern w:val="0"/>
          <w:sz w:val="24"/>
          <w:lang w:bidi="ar"/>
        </w:rPr>
        <w:br w:type="textWrapping"/>
      </w:r>
    </w:p>
    <w:p>
      <w:pPr>
        <w:adjustRightInd w:val="0"/>
        <w:snapToGrid w:val="0"/>
        <w:rPr>
          <w:rFonts w:ascii="宋体" w:cs="宋体"/>
          <w:b/>
          <w:bCs/>
          <w:sz w:val="24"/>
          <w:lang w:bidi="ar"/>
        </w:rPr>
      </w:pPr>
      <w:r>
        <w:rPr>
          <w:rFonts w:hint="eastAsia" w:ascii="宋体" w:cs="宋体"/>
          <w:b/>
          <w:bCs/>
          <w:sz w:val="24"/>
          <w:lang w:bidi="ar"/>
        </w:rPr>
        <w:t>2.8商务条款偏离表</w:t>
      </w:r>
    </w:p>
    <w:p>
      <w:pPr>
        <w:spacing w:line="360" w:lineRule="auto"/>
        <w:ind w:right="-21" w:rightChars="-10"/>
        <w:jc w:val="center"/>
        <w:rPr>
          <w:rFonts w:ascii="宋体" w:cs="宋体"/>
          <w:b/>
          <w:bCs/>
          <w:sz w:val="24"/>
          <w:lang w:bidi="ar"/>
        </w:rPr>
      </w:pPr>
      <w:r>
        <w:rPr>
          <w:rFonts w:hint="eastAsia" w:ascii="宋体" w:cs="宋体"/>
          <w:b/>
          <w:bCs/>
          <w:sz w:val="24"/>
          <w:lang w:bidi="ar"/>
        </w:rPr>
        <w:t>商务条款偏离表</w:t>
      </w:r>
    </w:p>
    <w:p>
      <w:pPr>
        <w:spacing w:line="360" w:lineRule="auto"/>
        <w:ind w:right="-21" w:rightChars="-10"/>
        <w:rPr>
          <w:rFonts w:ascii="宋体" w:cs="宋体"/>
          <w:sz w:val="24"/>
        </w:rPr>
      </w:pPr>
    </w:p>
    <w:p>
      <w:pPr>
        <w:spacing w:line="360" w:lineRule="auto"/>
        <w:ind w:firstLine="180" w:firstLineChars="75"/>
        <w:rPr>
          <w:rFonts w:ascii="宋体" w:cs="宋体"/>
          <w:sz w:val="24"/>
          <w:u w:val="single"/>
        </w:rPr>
      </w:pPr>
      <w:r>
        <w:rPr>
          <w:rFonts w:hint="eastAsia" w:ascii="宋体" w:cs="宋体"/>
          <w:sz w:val="24"/>
          <w:lang w:bidi="ar"/>
        </w:rPr>
        <w:t>项目名称：</w:t>
      </w:r>
      <w:r>
        <w:rPr>
          <w:rFonts w:hint="eastAsia" w:ascii="宋体" w:cs="宋体"/>
          <w:sz w:val="24"/>
          <w:u w:val="single"/>
          <w:lang w:bidi="ar"/>
        </w:rPr>
        <w:t xml:space="preserve">                         </w:t>
      </w:r>
      <w:r>
        <w:rPr>
          <w:rFonts w:hint="eastAsia" w:ascii="宋体" w:cs="宋体"/>
          <w:sz w:val="24"/>
          <w:lang w:bidi="ar"/>
        </w:rPr>
        <w:t>招标编号：</w:t>
      </w:r>
      <w:r>
        <w:rPr>
          <w:rFonts w:hint="eastAsia" w:ascii="宋体" w:cs="宋体"/>
          <w:sz w:val="24"/>
          <w:u w:val="single"/>
          <w:lang w:bidi="ar"/>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4585"/>
        <w:gridCol w:w="1649"/>
        <w:gridCol w:w="1442"/>
        <w:gridCol w:w="10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40" w:type="dxa"/>
            <w:tcBorders>
              <w:top w:val="single" w:color="auto" w:sz="12" w:space="0"/>
              <w:left w:val="single" w:color="auto" w:sz="12" w:space="0"/>
              <w:bottom w:val="single" w:color="auto" w:sz="6" w:space="0"/>
              <w:right w:val="single" w:color="auto" w:sz="6" w:space="0"/>
            </w:tcBorders>
            <w:vAlign w:val="center"/>
          </w:tcPr>
          <w:p>
            <w:pPr>
              <w:spacing w:line="360" w:lineRule="exact"/>
              <w:ind w:right="-21" w:rightChars="-10"/>
              <w:jc w:val="center"/>
              <w:rPr>
                <w:rFonts w:ascii="宋体" w:cs="宋体"/>
                <w:sz w:val="24"/>
              </w:rPr>
            </w:pPr>
            <w:r>
              <w:rPr>
                <w:rFonts w:hint="eastAsia" w:ascii="宋体" w:cs="宋体"/>
                <w:sz w:val="24"/>
                <w:lang w:bidi="ar"/>
              </w:rPr>
              <w:t>序号</w:t>
            </w:r>
          </w:p>
        </w:tc>
        <w:tc>
          <w:tcPr>
            <w:tcW w:w="4585" w:type="dxa"/>
            <w:tcBorders>
              <w:top w:val="single" w:color="auto" w:sz="12"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z w:val="24"/>
              </w:rPr>
            </w:pPr>
            <w:r>
              <w:rPr>
                <w:rFonts w:hint="eastAsia" w:ascii="宋体" w:cs="宋体"/>
                <w:sz w:val="24"/>
                <w:lang w:bidi="ar"/>
              </w:rPr>
              <w:t>招标文件要求</w:t>
            </w:r>
          </w:p>
        </w:tc>
        <w:tc>
          <w:tcPr>
            <w:tcW w:w="1649" w:type="dxa"/>
            <w:tcBorders>
              <w:top w:val="single" w:color="auto" w:sz="12"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z w:val="24"/>
              </w:rPr>
            </w:pPr>
            <w:r>
              <w:rPr>
                <w:rFonts w:hint="eastAsia" w:ascii="宋体" w:cs="宋体"/>
                <w:sz w:val="24"/>
                <w:lang w:bidi="ar"/>
              </w:rPr>
              <w:t>投标响应</w:t>
            </w:r>
          </w:p>
        </w:tc>
        <w:tc>
          <w:tcPr>
            <w:tcW w:w="1442" w:type="dxa"/>
            <w:tcBorders>
              <w:top w:val="single" w:color="auto" w:sz="12"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z w:val="24"/>
              </w:rPr>
            </w:pPr>
            <w:r>
              <w:rPr>
                <w:rFonts w:hint="eastAsia" w:ascii="宋体" w:cs="宋体"/>
                <w:sz w:val="24"/>
                <w:lang w:bidi="ar"/>
              </w:rPr>
              <w:t>是否偏离</w:t>
            </w:r>
          </w:p>
        </w:tc>
        <w:tc>
          <w:tcPr>
            <w:tcW w:w="1098" w:type="dxa"/>
            <w:tcBorders>
              <w:top w:val="single" w:color="auto" w:sz="12"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z w:val="24"/>
              </w:rPr>
            </w:pPr>
            <w:r>
              <w:rPr>
                <w:rFonts w:hint="eastAsia" w:ascii="宋体" w:cs="宋体"/>
                <w:sz w:val="24"/>
                <w:lang w:bidi="ar"/>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0" w:type="dxa"/>
            <w:tcBorders>
              <w:top w:val="single" w:color="auto" w:sz="6" w:space="0"/>
              <w:left w:val="single" w:color="auto" w:sz="12" w:space="0"/>
              <w:bottom w:val="single" w:color="auto" w:sz="6" w:space="0"/>
              <w:right w:val="single" w:color="auto" w:sz="6" w:space="0"/>
            </w:tcBorders>
            <w:vAlign w:val="center"/>
          </w:tcPr>
          <w:p>
            <w:pPr>
              <w:spacing w:line="360" w:lineRule="exact"/>
              <w:ind w:right="-21" w:rightChars="-10"/>
              <w:jc w:val="center"/>
              <w:rPr>
                <w:rFonts w:hint="eastAsia" w:ascii="宋体" w:eastAsia="宋体" w:cs="宋体"/>
                <w:spacing w:val="20"/>
                <w:sz w:val="24"/>
                <w:lang w:val="en-US" w:eastAsia="zh-CN"/>
              </w:rPr>
            </w:pPr>
            <w:r>
              <w:rPr>
                <w:rFonts w:hint="eastAsia" w:ascii="宋体" w:cs="宋体"/>
                <w:spacing w:val="20"/>
                <w:sz w:val="24"/>
                <w:lang w:val="en-US" w:eastAsia="zh-CN"/>
              </w:rPr>
              <w:t>1</w:t>
            </w:r>
          </w:p>
        </w:tc>
        <w:tc>
          <w:tcPr>
            <w:tcW w:w="4585"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both"/>
              <w:rPr>
                <w:rFonts w:hint="eastAsia" w:ascii="宋体" w:eastAsia="宋体" w:cs="宋体"/>
                <w:spacing w:val="20"/>
                <w:sz w:val="24"/>
                <w:lang w:eastAsia="zh-CN"/>
              </w:rPr>
            </w:pPr>
            <w:r>
              <w:rPr>
                <w:rFonts w:hint="eastAsia" w:ascii="宋体" w:cs="宋体"/>
                <w:spacing w:val="20"/>
                <w:sz w:val="24"/>
              </w:rPr>
              <w:t>项目实施地点：浙江省宁波市海曙区科创南路269号宁波烟草卷烟配送中心</w:t>
            </w:r>
            <w:r>
              <w:rPr>
                <w:rFonts w:hint="eastAsia" w:ascii="宋体" w:cs="宋体"/>
                <w:spacing w:val="20"/>
                <w:sz w:val="24"/>
                <w:lang w:eastAsia="zh-CN"/>
              </w:rPr>
              <w:t>。</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442"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098" w:type="dxa"/>
            <w:tcBorders>
              <w:top w:val="single" w:color="auto" w:sz="6"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0" w:type="dxa"/>
            <w:tcBorders>
              <w:top w:val="single" w:color="auto" w:sz="6" w:space="0"/>
              <w:left w:val="single" w:color="auto" w:sz="12" w:space="0"/>
              <w:bottom w:val="single" w:color="auto" w:sz="6" w:space="0"/>
              <w:right w:val="single" w:color="auto" w:sz="6" w:space="0"/>
            </w:tcBorders>
            <w:vAlign w:val="center"/>
          </w:tcPr>
          <w:p>
            <w:pPr>
              <w:spacing w:line="360" w:lineRule="exact"/>
              <w:ind w:right="-21" w:rightChars="-10"/>
              <w:jc w:val="center"/>
              <w:rPr>
                <w:rFonts w:hint="eastAsia" w:ascii="宋体" w:eastAsia="宋体" w:cs="宋体"/>
                <w:spacing w:val="20"/>
                <w:sz w:val="24"/>
                <w:lang w:val="en-US" w:eastAsia="zh-CN"/>
              </w:rPr>
            </w:pPr>
            <w:r>
              <w:rPr>
                <w:rFonts w:hint="eastAsia" w:ascii="宋体" w:cs="宋体"/>
                <w:spacing w:val="20"/>
                <w:sz w:val="24"/>
                <w:lang w:val="en-US" w:eastAsia="zh-CN"/>
              </w:rPr>
              <w:t>2</w:t>
            </w:r>
          </w:p>
        </w:tc>
        <w:tc>
          <w:tcPr>
            <w:tcW w:w="4585"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both"/>
              <w:rPr>
                <w:rFonts w:ascii="宋体" w:cs="宋体"/>
                <w:spacing w:val="20"/>
                <w:sz w:val="24"/>
              </w:rPr>
            </w:pPr>
            <w:r>
              <w:rPr>
                <w:rFonts w:hint="eastAsia" w:ascii="宋体" w:cs="宋体"/>
                <w:spacing w:val="20"/>
                <w:sz w:val="24"/>
              </w:rPr>
              <w:t>工期：合同签订完毕，自接到招标人供货安装通知后90日历天内完成设备供货、安装、调试，并具备基本生产条件。</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442"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098" w:type="dxa"/>
            <w:tcBorders>
              <w:top w:val="single" w:color="auto" w:sz="6"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0" w:type="dxa"/>
            <w:tcBorders>
              <w:top w:val="single" w:color="auto" w:sz="6" w:space="0"/>
              <w:left w:val="single" w:color="auto" w:sz="12" w:space="0"/>
              <w:bottom w:val="single" w:color="auto" w:sz="6" w:space="0"/>
              <w:right w:val="single" w:color="auto" w:sz="6" w:space="0"/>
            </w:tcBorders>
            <w:vAlign w:val="center"/>
          </w:tcPr>
          <w:p>
            <w:pPr>
              <w:spacing w:line="360" w:lineRule="exact"/>
              <w:ind w:right="-21" w:rightChars="-10"/>
              <w:jc w:val="center"/>
              <w:rPr>
                <w:rFonts w:hint="eastAsia" w:ascii="宋体" w:eastAsia="宋体" w:cs="宋体"/>
                <w:spacing w:val="20"/>
                <w:sz w:val="24"/>
                <w:lang w:val="en-US" w:eastAsia="zh-CN"/>
              </w:rPr>
            </w:pPr>
            <w:r>
              <w:rPr>
                <w:rFonts w:hint="eastAsia" w:ascii="宋体" w:cs="宋体"/>
                <w:spacing w:val="20"/>
                <w:sz w:val="24"/>
                <w:lang w:val="en-US" w:eastAsia="zh-CN"/>
              </w:rPr>
              <w:t>3</w:t>
            </w:r>
          </w:p>
        </w:tc>
        <w:tc>
          <w:tcPr>
            <w:tcW w:w="4585"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both"/>
              <w:rPr>
                <w:rFonts w:ascii="宋体" w:cs="宋体"/>
                <w:spacing w:val="20"/>
                <w:sz w:val="24"/>
              </w:rPr>
            </w:pPr>
            <w:r>
              <w:rPr>
                <w:rFonts w:hint="eastAsia" w:ascii="宋体" w:cs="宋体"/>
                <w:spacing w:val="20"/>
                <w:sz w:val="24"/>
              </w:rPr>
              <w:t>质量保证期：产品质保期不少于两年，时间以项目整体终验合格之日起计。系统整体质保期不少于两年，时间以项目整体终验合格之日起计。</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442"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098" w:type="dxa"/>
            <w:tcBorders>
              <w:top w:val="single" w:color="auto" w:sz="6"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0" w:type="dxa"/>
            <w:tcBorders>
              <w:top w:val="single" w:color="auto" w:sz="6" w:space="0"/>
              <w:left w:val="single" w:color="auto" w:sz="12" w:space="0"/>
              <w:bottom w:val="single" w:color="auto" w:sz="6" w:space="0"/>
              <w:right w:val="single" w:color="auto" w:sz="6" w:space="0"/>
            </w:tcBorders>
            <w:vAlign w:val="center"/>
          </w:tcPr>
          <w:p>
            <w:pPr>
              <w:spacing w:line="360" w:lineRule="exact"/>
              <w:ind w:right="-21" w:rightChars="-10"/>
              <w:jc w:val="center"/>
              <w:rPr>
                <w:rFonts w:hint="eastAsia" w:ascii="宋体" w:eastAsia="宋体" w:cs="宋体"/>
                <w:spacing w:val="20"/>
                <w:sz w:val="24"/>
                <w:lang w:val="en-US" w:eastAsia="zh-CN"/>
              </w:rPr>
            </w:pPr>
            <w:r>
              <w:rPr>
                <w:rFonts w:hint="eastAsia" w:ascii="宋体" w:cs="宋体"/>
                <w:spacing w:val="20"/>
                <w:sz w:val="24"/>
                <w:lang w:val="en-US" w:eastAsia="zh-CN"/>
              </w:rPr>
              <w:t>4</w:t>
            </w:r>
          </w:p>
        </w:tc>
        <w:tc>
          <w:tcPr>
            <w:tcW w:w="4585"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both"/>
              <w:rPr>
                <w:rFonts w:hint="eastAsia" w:ascii="宋体" w:eastAsia="宋体" w:cs="宋体"/>
                <w:spacing w:val="20"/>
                <w:sz w:val="24"/>
                <w:lang w:eastAsia="zh-CN"/>
              </w:rPr>
            </w:pPr>
            <w:r>
              <w:rPr>
                <w:rFonts w:hint="eastAsia" w:ascii="宋体" w:cs="宋体"/>
                <w:spacing w:val="20"/>
                <w:sz w:val="24"/>
              </w:rPr>
              <w:t>履约保证金</w:t>
            </w:r>
            <w:r>
              <w:rPr>
                <w:rFonts w:hint="eastAsia" w:ascii="宋体" w:cs="宋体"/>
                <w:spacing w:val="20"/>
                <w:sz w:val="24"/>
                <w:lang w:eastAsia="zh-CN"/>
              </w:rPr>
              <w:t>：</w:t>
            </w:r>
            <w:r>
              <w:rPr>
                <w:rFonts w:hint="eastAsia" w:ascii="宋体" w:cs="宋体"/>
                <w:spacing w:val="20"/>
                <w:sz w:val="24"/>
                <w:lang w:val="en-US" w:eastAsia="zh-CN"/>
              </w:rPr>
              <w:t>中标人</w:t>
            </w:r>
            <w:r>
              <w:rPr>
                <w:rFonts w:hint="eastAsia" w:ascii="宋体" w:cs="宋体"/>
                <w:spacing w:val="20"/>
                <w:sz w:val="24"/>
                <w:lang w:eastAsia="zh-CN"/>
              </w:rPr>
              <w:t>需在合同签订之日起5个日历天内缴纳合同总价的3%作为本合同的履约保证金；若</w:t>
            </w:r>
            <w:r>
              <w:rPr>
                <w:rFonts w:hint="eastAsia" w:ascii="宋体" w:cs="宋体"/>
                <w:spacing w:val="20"/>
                <w:sz w:val="24"/>
                <w:lang w:val="en-US" w:eastAsia="zh-CN"/>
              </w:rPr>
              <w:t>中标人</w:t>
            </w:r>
            <w:r>
              <w:rPr>
                <w:rFonts w:hint="eastAsia" w:ascii="宋体" w:cs="宋体"/>
                <w:spacing w:val="20"/>
                <w:sz w:val="24"/>
                <w:lang w:eastAsia="zh-CN"/>
              </w:rPr>
              <w:t>拒交履约保证金的，</w:t>
            </w:r>
            <w:r>
              <w:rPr>
                <w:rFonts w:hint="eastAsia" w:ascii="宋体" w:cs="宋体"/>
                <w:spacing w:val="20"/>
                <w:sz w:val="24"/>
                <w:lang w:val="en-US" w:eastAsia="zh-CN"/>
              </w:rPr>
              <w:t>招标人</w:t>
            </w:r>
            <w:r>
              <w:rPr>
                <w:rFonts w:hint="eastAsia" w:ascii="宋体" w:cs="宋体"/>
                <w:spacing w:val="20"/>
                <w:sz w:val="24"/>
                <w:lang w:eastAsia="zh-CN"/>
              </w:rPr>
              <w:t>将取消其中标资格，并不予退还其投标保证金。缴纳方式：银行汇票或转账支票或银行转账，缴纳至甲方指定账户。履约保证金退还时间：合同履约完毕，扣除</w:t>
            </w:r>
            <w:r>
              <w:rPr>
                <w:rFonts w:hint="eastAsia" w:ascii="宋体" w:cs="宋体"/>
                <w:spacing w:val="20"/>
                <w:sz w:val="24"/>
                <w:lang w:val="en-US" w:eastAsia="zh-CN"/>
              </w:rPr>
              <w:t>中标人</w:t>
            </w:r>
            <w:r>
              <w:rPr>
                <w:rFonts w:hint="eastAsia" w:ascii="宋体" w:cs="宋体"/>
                <w:spacing w:val="20"/>
                <w:sz w:val="24"/>
                <w:lang w:eastAsia="zh-CN"/>
              </w:rPr>
              <w:t>因违约时所需支付的违约金后，30个日历天内退还履约保证金；履约保证金以银行保函以外方式缴纳的，一并退还按央行活期存款基准利率计算的银行同期存款利息。</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442"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098" w:type="dxa"/>
            <w:tcBorders>
              <w:top w:val="single" w:color="auto" w:sz="6"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0" w:type="dxa"/>
            <w:tcBorders>
              <w:top w:val="single" w:color="auto" w:sz="6" w:space="0"/>
              <w:left w:val="single" w:color="auto" w:sz="12" w:space="0"/>
              <w:bottom w:val="single" w:color="auto" w:sz="6" w:space="0"/>
              <w:right w:val="single" w:color="auto" w:sz="6" w:space="0"/>
            </w:tcBorders>
            <w:vAlign w:val="center"/>
          </w:tcPr>
          <w:p>
            <w:pPr>
              <w:spacing w:line="360" w:lineRule="exact"/>
              <w:ind w:right="-21" w:rightChars="-10"/>
              <w:jc w:val="center"/>
              <w:rPr>
                <w:rFonts w:hint="eastAsia" w:ascii="宋体" w:eastAsia="宋体" w:cs="宋体"/>
                <w:spacing w:val="20"/>
                <w:sz w:val="24"/>
                <w:lang w:val="en-US" w:eastAsia="zh-CN"/>
              </w:rPr>
            </w:pPr>
            <w:r>
              <w:rPr>
                <w:rFonts w:hint="eastAsia" w:ascii="宋体" w:cs="宋体"/>
                <w:spacing w:val="20"/>
                <w:sz w:val="24"/>
                <w:lang w:val="en-US" w:eastAsia="zh-CN"/>
              </w:rPr>
              <w:t>5</w:t>
            </w:r>
          </w:p>
        </w:tc>
        <w:tc>
          <w:tcPr>
            <w:tcW w:w="4585"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both"/>
              <w:rPr>
                <w:rFonts w:hint="eastAsia" w:ascii="宋体" w:eastAsia="宋体" w:cs="宋体"/>
                <w:spacing w:val="20"/>
                <w:sz w:val="24"/>
                <w:lang w:eastAsia="zh-CN"/>
              </w:rPr>
            </w:pPr>
            <w:r>
              <w:rPr>
                <w:rFonts w:hint="eastAsia" w:ascii="宋体" w:cs="宋体"/>
                <w:spacing w:val="20"/>
                <w:sz w:val="24"/>
              </w:rPr>
              <w:t>工程质量保证金</w:t>
            </w:r>
            <w:r>
              <w:rPr>
                <w:rFonts w:hint="eastAsia" w:ascii="宋体" w:cs="宋体"/>
                <w:spacing w:val="20"/>
                <w:sz w:val="24"/>
                <w:lang w:eastAsia="zh-CN"/>
              </w:rPr>
              <w:t>：本项目需要缴纳审计价的3%的工程质量保证金，缴纳方式、缴纳期限、退还等根据合同约定。</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442"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098" w:type="dxa"/>
            <w:tcBorders>
              <w:top w:val="single" w:color="auto" w:sz="6"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0" w:type="dxa"/>
            <w:tcBorders>
              <w:top w:val="single" w:color="auto" w:sz="6" w:space="0"/>
              <w:left w:val="single" w:color="auto" w:sz="12" w:space="0"/>
              <w:bottom w:val="single" w:color="auto" w:sz="6" w:space="0"/>
              <w:right w:val="single" w:color="auto" w:sz="6" w:space="0"/>
            </w:tcBorders>
            <w:vAlign w:val="center"/>
          </w:tcPr>
          <w:p>
            <w:pPr>
              <w:spacing w:line="360" w:lineRule="exact"/>
              <w:ind w:right="-21" w:rightChars="-10"/>
              <w:jc w:val="center"/>
              <w:rPr>
                <w:rFonts w:hint="eastAsia" w:ascii="宋体" w:eastAsia="宋体" w:cs="宋体"/>
                <w:spacing w:val="20"/>
                <w:sz w:val="24"/>
                <w:lang w:val="en-US" w:eastAsia="zh-CN"/>
              </w:rPr>
            </w:pPr>
            <w:r>
              <w:rPr>
                <w:rFonts w:hint="eastAsia" w:ascii="宋体" w:cs="宋体"/>
                <w:spacing w:val="20"/>
                <w:sz w:val="24"/>
                <w:lang w:val="en-US" w:eastAsia="zh-CN"/>
              </w:rPr>
              <w:t>6</w:t>
            </w:r>
          </w:p>
        </w:tc>
        <w:tc>
          <w:tcPr>
            <w:tcW w:w="4585"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both"/>
              <w:rPr>
                <w:rFonts w:hint="eastAsia" w:ascii="宋体" w:cs="宋体"/>
                <w:spacing w:val="20"/>
                <w:sz w:val="24"/>
                <w:lang w:val="en-US" w:eastAsia="zh-CN"/>
              </w:rPr>
            </w:pPr>
            <w:r>
              <w:rPr>
                <w:rFonts w:hint="eastAsia" w:ascii="宋体" w:cs="宋体"/>
                <w:spacing w:val="20"/>
                <w:sz w:val="24"/>
                <w:lang w:val="en-US" w:eastAsia="zh-CN"/>
              </w:rPr>
              <w:t>付款方式：1、货到现场清点无误之日起30个日历天内，中标人向招标人开具正规等额增值税专用发票，在接下来的30个日历天内招标人向中标人支付合同金额30%的款项；</w:t>
            </w:r>
          </w:p>
          <w:p>
            <w:pPr>
              <w:spacing w:line="360" w:lineRule="exact"/>
              <w:ind w:right="-21" w:rightChars="-10"/>
              <w:jc w:val="both"/>
              <w:rPr>
                <w:rFonts w:hint="eastAsia" w:ascii="宋体" w:cs="宋体"/>
                <w:spacing w:val="20"/>
                <w:sz w:val="24"/>
                <w:lang w:val="en-US" w:eastAsia="zh-CN"/>
              </w:rPr>
            </w:pPr>
            <w:r>
              <w:rPr>
                <w:rFonts w:hint="eastAsia" w:ascii="宋体" w:cs="宋体"/>
                <w:spacing w:val="20"/>
                <w:sz w:val="24"/>
                <w:lang w:val="en-US" w:eastAsia="zh-CN"/>
              </w:rPr>
              <w:t>2、自本项目实施完毕通过初验（验收考核结果作为该考核周期合同款项的支付依据）起30个日历天内，中标人向招标人开具正规等额增值税专用发票，在接下来的30个日历天内招标人向中标人支付合同金额55%的款项；</w:t>
            </w:r>
          </w:p>
          <w:p>
            <w:pPr>
              <w:spacing w:line="360" w:lineRule="exact"/>
              <w:ind w:right="-21" w:rightChars="-10"/>
              <w:jc w:val="both"/>
              <w:rPr>
                <w:rFonts w:hint="eastAsia" w:ascii="宋体" w:cs="宋体"/>
                <w:spacing w:val="20"/>
                <w:sz w:val="24"/>
                <w:lang w:val="en-US" w:eastAsia="zh-CN"/>
              </w:rPr>
            </w:pPr>
            <w:r>
              <w:rPr>
                <w:rFonts w:hint="eastAsia" w:ascii="宋体" w:cs="宋体"/>
                <w:spacing w:val="20"/>
                <w:sz w:val="24"/>
                <w:lang w:val="en-US" w:eastAsia="zh-CN"/>
              </w:rPr>
              <w:t>3、项目终验前，由招标人选定的第三方结算审计中介机构进行结算审计，以其出具的结算审计报告载明的审计价作为本项目最终结算价。终验合格（以签订验收报告为标志）并正式交付使用后30个日历天内，中标人向招标人开具最终结算价中未支付金额的正规增值税专用发票，在接下来的30个日历天内招标人向中标人支付至最终结算价的97%，剩余的3%转为质保金；</w:t>
            </w:r>
          </w:p>
          <w:p>
            <w:pPr>
              <w:spacing w:line="360" w:lineRule="exact"/>
              <w:ind w:right="-21" w:rightChars="-10"/>
              <w:jc w:val="both"/>
              <w:rPr>
                <w:rFonts w:hint="default" w:ascii="宋体" w:eastAsia="宋体" w:cs="宋体"/>
                <w:spacing w:val="20"/>
                <w:sz w:val="24"/>
                <w:lang w:val="en-US" w:eastAsia="zh-CN"/>
              </w:rPr>
            </w:pPr>
            <w:r>
              <w:rPr>
                <w:rFonts w:hint="eastAsia" w:ascii="宋体" w:cs="宋体"/>
                <w:spacing w:val="20"/>
                <w:sz w:val="24"/>
                <w:lang w:val="en-US" w:eastAsia="zh-CN"/>
              </w:rPr>
              <w:t>4、自本项目免费质保期届满后，扣除因中标人质量原因所支付的违约金后，招标人在30个日历天内退还质保金，一并退还按央行活期存款基准利率计算的银行同期存款利息。</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442"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098" w:type="dxa"/>
            <w:tcBorders>
              <w:top w:val="single" w:color="auto" w:sz="6"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0" w:type="dxa"/>
            <w:tcBorders>
              <w:top w:val="single" w:color="auto" w:sz="6" w:space="0"/>
              <w:left w:val="single" w:color="auto" w:sz="12" w:space="0"/>
              <w:bottom w:val="single" w:color="auto" w:sz="6" w:space="0"/>
              <w:right w:val="single" w:color="auto" w:sz="6" w:space="0"/>
            </w:tcBorders>
            <w:vAlign w:val="center"/>
          </w:tcPr>
          <w:p>
            <w:pPr>
              <w:spacing w:line="360" w:lineRule="exact"/>
              <w:ind w:right="-21" w:rightChars="-10"/>
              <w:jc w:val="center"/>
              <w:rPr>
                <w:rFonts w:hint="default" w:ascii="宋体" w:cs="宋体"/>
                <w:spacing w:val="20"/>
                <w:sz w:val="24"/>
                <w:lang w:val="en-US" w:eastAsia="zh-CN"/>
              </w:rPr>
            </w:pPr>
            <w:r>
              <w:rPr>
                <w:rFonts w:hint="eastAsia" w:ascii="宋体" w:cs="宋体"/>
                <w:spacing w:val="20"/>
                <w:sz w:val="24"/>
                <w:lang w:val="en-US" w:eastAsia="zh-CN"/>
              </w:rPr>
              <w:t>7</w:t>
            </w:r>
          </w:p>
        </w:tc>
        <w:tc>
          <w:tcPr>
            <w:tcW w:w="4585"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both"/>
              <w:rPr>
                <w:rFonts w:hint="default" w:ascii="宋体" w:eastAsia="宋体" w:cs="宋体"/>
                <w:spacing w:val="20"/>
                <w:sz w:val="24"/>
                <w:lang w:val="en-US" w:eastAsia="zh-CN"/>
              </w:rPr>
            </w:pPr>
            <w:r>
              <w:rPr>
                <w:rFonts w:hint="eastAsia" w:ascii="宋体" w:cs="宋体"/>
                <w:snapToGrid w:val="0"/>
                <w:kern w:val="0"/>
                <w:sz w:val="24"/>
              </w:rPr>
              <w:t>分包、转包</w:t>
            </w:r>
            <w:r>
              <w:rPr>
                <w:rFonts w:hint="eastAsia" w:ascii="宋体" w:cs="宋体"/>
                <w:snapToGrid w:val="0"/>
                <w:kern w:val="0"/>
                <w:sz w:val="24"/>
                <w:lang w:eastAsia="zh-CN"/>
              </w:rPr>
              <w:t>：</w:t>
            </w:r>
            <w:r>
              <w:rPr>
                <w:rFonts w:hint="eastAsia" w:ascii="宋体" w:cs="宋体"/>
                <w:snapToGrid w:val="0"/>
                <w:kern w:val="0"/>
                <w:sz w:val="24"/>
                <w:lang w:val="en-US" w:eastAsia="zh-CN"/>
              </w:rPr>
              <w:t>不允许。</w:t>
            </w:r>
          </w:p>
        </w:tc>
        <w:tc>
          <w:tcPr>
            <w:tcW w:w="1649"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442" w:type="dxa"/>
            <w:tcBorders>
              <w:top w:val="single" w:color="auto" w:sz="6" w:space="0"/>
              <w:left w:val="single" w:color="auto" w:sz="6" w:space="0"/>
              <w:bottom w:val="single" w:color="auto" w:sz="6" w:space="0"/>
              <w:right w:val="single" w:color="auto" w:sz="6" w:space="0"/>
            </w:tcBorders>
            <w:vAlign w:val="center"/>
          </w:tcPr>
          <w:p>
            <w:pPr>
              <w:spacing w:line="360" w:lineRule="exact"/>
              <w:ind w:right="-21" w:rightChars="-10"/>
              <w:jc w:val="center"/>
              <w:rPr>
                <w:rFonts w:ascii="宋体" w:cs="宋体"/>
                <w:spacing w:val="20"/>
                <w:sz w:val="24"/>
              </w:rPr>
            </w:pPr>
          </w:p>
        </w:tc>
        <w:tc>
          <w:tcPr>
            <w:tcW w:w="1098" w:type="dxa"/>
            <w:tcBorders>
              <w:top w:val="single" w:color="auto" w:sz="6" w:space="0"/>
              <w:left w:val="single" w:color="auto" w:sz="6" w:space="0"/>
              <w:bottom w:val="single" w:color="auto" w:sz="6" w:space="0"/>
              <w:right w:val="single" w:color="auto" w:sz="12" w:space="0"/>
            </w:tcBorders>
            <w:vAlign w:val="center"/>
          </w:tcPr>
          <w:p>
            <w:pPr>
              <w:spacing w:line="360" w:lineRule="exact"/>
              <w:ind w:right="-21" w:rightChars="-10"/>
              <w:jc w:val="center"/>
              <w:rPr>
                <w:rFonts w:ascii="宋体" w:cs="宋体"/>
                <w:spacing w:val="20"/>
                <w:sz w:val="24"/>
              </w:rPr>
            </w:pPr>
          </w:p>
        </w:tc>
      </w:tr>
    </w:tbl>
    <w:p>
      <w:pPr>
        <w:pStyle w:val="20"/>
        <w:widowControl w:val="0"/>
        <w:snapToGrid w:val="0"/>
        <w:spacing w:before="0" w:beforeAutospacing="0" w:after="0" w:afterAutospacing="0" w:line="360" w:lineRule="exact"/>
        <w:jc w:val="both"/>
        <w:rPr>
          <w:rFonts w:cs="宋体"/>
          <w:kern w:val="2"/>
          <w:lang w:bidi="ar"/>
        </w:rPr>
      </w:pPr>
      <w:r>
        <w:rPr>
          <w:rFonts w:hint="eastAsia" w:cs="宋体"/>
          <w:kern w:val="2"/>
          <w:lang w:bidi="ar"/>
        </w:rPr>
        <w:t>注：投标人若不填写，则视为完全响应招标文件要求。</w:t>
      </w:r>
    </w:p>
    <w:tbl>
      <w:tblPr>
        <w:tblStyle w:val="24"/>
        <w:tblpPr w:leftFromText="180" w:rightFromText="180" w:vertAnchor="text" w:horzAnchor="page" w:tblpXSpec="center" w:tblpY="854"/>
        <w:tblOverlap w:val="never"/>
        <w:tblW w:w="5267" w:type="dxa"/>
        <w:tblInd w:w="0" w:type="dxa"/>
        <w:tblLayout w:type="fixed"/>
        <w:tblCellMar>
          <w:top w:w="0" w:type="dxa"/>
          <w:left w:w="108" w:type="dxa"/>
          <w:bottom w:w="0" w:type="dxa"/>
          <w:right w:w="108" w:type="dxa"/>
        </w:tblCellMar>
      </w:tblPr>
      <w:tblGrid>
        <w:gridCol w:w="5267"/>
      </w:tblGrid>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投标人：</w:t>
            </w:r>
            <w:r>
              <w:rPr>
                <w:rFonts w:hint="eastAsia" w:ascii="宋体" w:cs="宋体"/>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日  期：</w:t>
            </w:r>
            <w:r>
              <w:rPr>
                <w:rFonts w:hint="eastAsia" w:ascii="宋体" w:cs="宋体"/>
                <w:sz w:val="24"/>
                <w:u w:val="single"/>
              </w:rPr>
              <w:t xml:space="preserve">          年   月   日                          </w:t>
            </w:r>
          </w:p>
        </w:tc>
      </w:tr>
    </w:tbl>
    <w:p>
      <w:pPr>
        <w:spacing w:line="360" w:lineRule="auto"/>
        <w:ind w:right="-21" w:rightChars="-10"/>
        <w:rPr>
          <w:rFonts w:ascii="宋体" w:cs="宋体"/>
          <w:spacing w:val="20"/>
          <w:sz w:val="24"/>
        </w:rPr>
      </w:pPr>
    </w:p>
    <w:p>
      <w:pPr>
        <w:spacing w:line="360" w:lineRule="auto"/>
        <w:ind w:right="-21" w:rightChars="-10"/>
        <w:rPr>
          <w:rFonts w:ascii="宋体" w:cs="宋体"/>
          <w:sz w:val="24"/>
          <w:lang w:bidi="ar"/>
        </w:rPr>
      </w:pPr>
    </w:p>
    <w:p>
      <w:pPr>
        <w:spacing w:line="360" w:lineRule="auto"/>
        <w:ind w:right="-21" w:rightChars="-10"/>
        <w:rPr>
          <w:rFonts w:ascii="宋体" w:cs="宋体"/>
          <w:sz w:val="24"/>
          <w:lang w:bidi="ar"/>
        </w:rPr>
      </w:pPr>
    </w:p>
    <w:p>
      <w:pPr>
        <w:ind w:right="-21" w:rightChars="-10"/>
        <w:rPr>
          <w:rFonts w:ascii="宋体" w:cs="宋体"/>
          <w:sz w:val="24"/>
          <w:lang w:bidi="ar"/>
        </w:rPr>
      </w:pPr>
    </w:p>
    <w:p>
      <w:pPr>
        <w:ind w:right="-21" w:rightChars="-10"/>
        <w:rPr>
          <w:rFonts w:ascii="宋体" w:cs="宋体"/>
          <w:sz w:val="24"/>
          <w:lang w:bidi="ar"/>
        </w:rPr>
      </w:pPr>
    </w:p>
    <w:p>
      <w:pPr>
        <w:pStyle w:val="30"/>
        <w:rPr>
          <w:lang w:bidi="ar"/>
        </w:rPr>
      </w:pPr>
      <w:r>
        <w:rPr>
          <w:lang w:bidi="ar"/>
        </w:rPr>
        <w:br w:type="page"/>
      </w:r>
    </w:p>
    <w:p>
      <w:pPr>
        <w:adjustRightInd w:val="0"/>
        <w:snapToGrid w:val="0"/>
        <w:rPr>
          <w:rFonts w:hint="eastAsia" w:ascii="宋体" w:eastAsia="宋体" w:cs="宋体"/>
          <w:b/>
          <w:bCs/>
          <w:sz w:val="24"/>
          <w:lang w:eastAsia="zh-CN" w:bidi="ar"/>
        </w:rPr>
      </w:pPr>
      <w:r>
        <w:rPr>
          <w:rFonts w:hint="eastAsia" w:ascii="宋体" w:cs="宋体"/>
          <w:b/>
          <w:bCs/>
          <w:sz w:val="24"/>
          <w:lang w:bidi="ar"/>
        </w:rPr>
        <w:t>2.9</w:t>
      </w:r>
      <w:r>
        <w:rPr>
          <w:rFonts w:hint="eastAsia" w:ascii="宋体" w:cs="宋体"/>
          <w:b/>
          <w:bCs/>
          <w:sz w:val="24"/>
          <w:lang w:eastAsia="zh-CN" w:bidi="ar"/>
        </w:rPr>
        <w:t>技术指标响应情况表</w:t>
      </w:r>
    </w:p>
    <w:p>
      <w:pPr>
        <w:spacing w:line="360" w:lineRule="auto"/>
        <w:ind w:right="-21" w:rightChars="-10"/>
        <w:jc w:val="center"/>
        <w:rPr>
          <w:rFonts w:hint="eastAsia" w:ascii="宋体" w:eastAsia="宋体" w:cs="宋体"/>
          <w:b/>
          <w:bCs/>
          <w:sz w:val="24"/>
          <w:lang w:eastAsia="zh-CN" w:bidi="ar"/>
        </w:rPr>
      </w:pPr>
      <w:r>
        <w:rPr>
          <w:rFonts w:hint="eastAsia" w:ascii="宋体" w:cs="宋体"/>
          <w:b/>
          <w:bCs/>
          <w:sz w:val="24"/>
          <w:lang w:eastAsia="zh-CN" w:bidi="ar"/>
        </w:rPr>
        <w:t>技术指标响应情况表</w:t>
      </w:r>
    </w:p>
    <w:p>
      <w:pPr>
        <w:spacing w:line="360" w:lineRule="auto"/>
        <w:ind w:right="-21" w:rightChars="-10"/>
        <w:rPr>
          <w:rFonts w:ascii="宋体" w:cs="宋体"/>
          <w:sz w:val="24"/>
        </w:rPr>
      </w:pPr>
    </w:p>
    <w:p>
      <w:pPr>
        <w:spacing w:line="360" w:lineRule="auto"/>
        <w:ind w:firstLine="180" w:firstLineChars="75"/>
        <w:rPr>
          <w:rFonts w:hint="eastAsia" w:ascii="宋体" w:cs="宋体"/>
          <w:sz w:val="24"/>
          <w:u w:val="single"/>
          <w:lang w:bidi="ar"/>
        </w:rPr>
      </w:pPr>
      <w:r>
        <w:rPr>
          <w:rFonts w:hint="eastAsia" w:ascii="宋体" w:cs="宋体"/>
          <w:sz w:val="24"/>
          <w:lang w:bidi="ar"/>
        </w:rPr>
        <w:t>项目名称：</w:t>
      </w:r>
      <w:r>
        <w:rPr>
          <w:rFonts w:hint="eastAsia" w:ascii="宋体" w:cs="宋体"/>
          <w:sz w:val="24"/>
          <w:u w:val="single"/>
          <w:lang w:bidi="ar"/>
        </w:rPr>
        <w:t xml:space="preserve">                         </w:t>
      </w:r>
      <w:r>
        <w:rPr>
          <w:rFonts w:hint="eastAsia" w:ascii="宋体" w:cs="宋体"/>
          <w:sz w:val="24"/>
          <w:lang w:bidi="ar"/>
        </w:rPr>
        <w:t>招标编号：</w:t>
      </w:r>
      <w:r>
        <w:rPr>
          <w:rFonts w:hint="eastAsia" w:ascii="宋体" w:cs="宋体"/>
          <w:sz w:val="24"/>
          <w:u w:val="single"/>
          <w:lang w:bidi="ar"/>
        </w:rPr>
        <w:t xml:space="preserve">                         </w:t>
      </w:r>
    </w:p>
    <w:tbl>
      <w:tblPr>
        <w:tblStyle w:val="2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050"/>
        <w:gridCol w:w="3870"/>
        <w:gridCol w:w="1995"/>
        <w:gridCol w:w="133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8" w:type="dxa"/>
            <w:vAlign w:val="center"/>
          </w:tcPr>
          <w:p>
            <w:pPr>
              <w:spacing w:line="360" w:lineRule="exact"/>
              <w:jc w:val="center"/>
              <w:rPr>
                <w:rFonts w:ascii="宋体" w:cs="宋体"/>
                <w:sz w:val="24"/>
                <w:highlight w:val="none"/>
              </w:rPr>
            </w:pPr>
            <w:r>
              <w:rPr>
                <w:rFonts w:hint="eastAsia" w:ascii="宋体" w:cs="宋体"/>
                <w:sz w:val="24"/>
                <w:highlight w:val="none"/>
              </w:rPr>
              <w:t>序号</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品名</w:t>
            </w:r>
          </w:p>
        </w:tc>
        <w:tc>
          <w:tcPr>
            <w:tcW w:w="3870"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rPr>
              <w:t>技术指标</w:t>
            </w:r>
            <w:r>
              <w:rPr>
                <w:rFonts w:hint="eastAsia" w:ascii="宋体" w:cs="宋体"/>
                <w:sz w:val="24"/>
                <w:highlight w:val="none"/>
                <w:lang w:val="en-US" w:eastAsia="zh-CN"/>
              </w:rPr>
              <w:t>要求</w:t>
            </w:r>
          </w:p>
        </w:tc>
        <w:tc>
          <w:tcPr>
            <w:tcW w:w="1995"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rPr>
              <w:t>技术指标</w:t>
            </w:r>
            <w:r>
              <w:rPr>
                <w:rFonts w:hint="eastAsia" w:ascii="宋体" w:cs="宋体"/>
                <w:sz w:val="24"/>
                <w:highlight w:val="none"/>
                <w:lang w:val="en-US" w:eastAsia="zh-CN"/>
              </w:rPr>
              <w:t>响应</w:t>
            </w:r>
          </w:p>
        </w:tc>
        <w:tc>
          <w:tcPr>
            <w:tcW w:w="1335" w:type="dxa"/>
            <w:vAlign w:val="center"/>
          </w:tcPr>
          <w:p>
            <w:pPr>
              <w:spacing w:line="360" w:lineRule="exact"/>
              <w:jc w:val="center"/>
              <w:rPr>
                <w:rFonts w:hint="default" w:ascii="宋体" w:eastAsia="宋体" w:cs="宋体"/>
                <w:sz w:val="24"/>
                <w:highlight w:val="none"/>
                <w:lang w:val="en-US" w:eastAsia="zh-CN"/>
              </w:rPr>
            </w:pPr>
            <w:r>
              <w:rPr>
                <w:rFonts w:hint="eastAsia" w:ascii="宋体" w:cs="宋体"/>
                <w:sz w:val="24"/>
                <w:highlight w:val="none"/>
                <w:lang w:val="en-US" w:eastAsia="zh-CN"/>
              </w:rPr>
              <w:t>是否偏离</w:t>
            </w:r>
          </w:p>
        </w:tc>
        <w:tc>
          <w:tcPr>
            <w:tcW w:w="893"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1</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高速双升提升机</w:t>
            </w:r>
          </w:p>
        </w:tc>
        <w:tc>
          <w:tcPr>
            <w:tcW w:w="3870" w:type="dxa"/>
            <w:vAlign w:val="center"/>
          </w:tcPr>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1</w:t>
            </w:r>
            <w:r>
              <w:rPr>
                <w:rFonts w:hint="eastAsia" w:ascii="宋体" w:cs="宋体"/>
                <w:sz w:val="24"/>
                <w:highlight w:val="none"/>
              </w:rPr>
              <w:t>）最大提升速度：≥</w:t>
            </w:r>
            <w:r>
              <w:rPr>
                <w:rFonts w:hint="eastAsia" w:ascii="宋体" w:cs="宋体"/>
                <w:sz w:val="24"/>
                <w:highlight w:val="none"/>
                <w:lang w:val="en-US" w:eastAsia="zh-CN"/>
              </w:rPr>
              <w:t>3</w:t>
            </w:r>
            <w:r>
              <w:rPr>
                <w:rFonts w:hint="eastAsia" w:ascii="宋体" w:cs="宋体"/>
                <w:sz w:val="24"/>
                <w:highlight w:val="none"/>
              </w:rPr>
              <w:t>m/s；</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2</w:t>
            </w:r>
            <w:r>
              <w:rPr>
                <w:rFonts w:hint="eastAsia" w:ascii="宋体" w:cs="宋体"/>
                <w:sz w:val="24"/>
                <w:highlight w:val="none"/>
              </w:rPr>
              <w:t>）加速度：≥</w:t>
            </w:r>
            <w:r>
              <w:rPr>
                <w:rFonts w:hint="eastAsia" w:ascii="宋体" w:cs="宋体"/>
                <w:sz w:val="24"/>
                <w:highlight w:val="none"/>
                <w:lang w:val="en-US" w:eastAsia="zh-CN"/>
              </w:rPr>
              <w:t>4</w:t>
            </w:r>
            <w:r>
              <w:rPr>
                <w:rFonts w:hint="eastAsia" w:ascii="宋体" w:cs="宋体"/>
                <w:sz w:val="24"/>
                <w:highlight w:val="none"/>
              </w:rPr>
              <w:t>m/s；</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3</w:t>
            </w:r>
            <w:r>
              <w:rPr>
                <w:rFonts w:hint="eastAsia" w:ascii="宋体" w:cs="宋体"/>
                <w:sz w:val="24"/>
                <w:highlight w:val="none"/>
              </w:rPr>
              <w:t>）定位精度：＜2.0mm；</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4</w:t>
            </w:r>
            <w:r>
              <w:rPr>
                <w:rFonts w:hint="eastAsia" w:ascii="宋体" w:cs="宋体"/>
                <w:sz w:val="24"/>
                <w:highlight w:val="none"/>
              </w:rPr>
              <w:t>）提升效率：≥500件/时；</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5</w:t>
            </w:r>
            <w:r>
              <w:rPr>
                <w:rFonts w:hint="eastAsia" w:ascii="宋体" w:cs="宋体"/>
                <w:sz w:val="24"/>
                <w:highlight w:val="none"/>
              </w:rPr>
              <w:t>）提升载荷：≥60Kg。</w:t>
            </w:r>
          </w:p>
        </w:tc>
        <w:tc>
          <w:tcPr>
            <w:tcW w:w="1995" w:type="dxa"/>
            <w:vAlign w:val="center"/>
          </w:tcPr>
          <w:p>
            <w:pPr>
              <w:spacing w:line="360" w:lineRule="exact"/>
              <w:rPr>
                <w:rFonts w:hint="eastAsia" w:ascii="宋体" w:cs="宋体"/>
                <w:b/>
                <w:bCs/>
                <w:sz w:val="24"/>
                <w:highlight w:val="none"/>
              </w:rPr>
            </w:pPr>
          </w:p>
        </w:tc>
        <w:tc>
          <w:tcPr>
            <w:tcW w:w="1335" w:type="dxa"/>
            <w:vAlign w:val="center"/>
          </w:tcPr>
          <w:p>
            <w:pPr>
              <w:spacing w:line="360" w:lineRule="exact"/>
              <w:jc w:val="center"/>
              <w:rPr>
                <w:rFonts w:hint="eastAsia" w:ascii="宋体" w:cs="宋体"/>
                <w:b/>
                <w:bCs/>
                <w:sz w:val="24"/>
                <w:highlight w:val="none"/>
              </w:rPr>
            </w:pPr>
          </w:p>
        </w:tc>
        <w:tc>
          <w:tcPr>
            <w:tcW w:w="893" w:type="dxa"/>
            <w:vAlign w:val="center"/>
          </w:tcPr>
          <w:p>
            <w:pPr>
              <w:spacing w:line="360" w:lineRule="exact"/>
              <w:jc w:val="center"/>
              <w:rPr>
                <w:rFonts w:hint="eastAsia" w:asci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2</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件烟多穿车小车</w:t>
            </w:r>
          </w:p>
        </w:tc>
        <w:tc>
          <w:tcPr>
            <w:tcW w:w="3870" w:type="dxa"/>
            <w:vAlign w:val="center"/>
          </w:tcPr>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1</w:t>
            </w:r>
            <w:r>
              <w:rPr>
                <w:rFonts w:hint="eastAsia" w:ascii="宋体" w:cs="宋体"/>
                <w:sz w:val="24"/>
                <w:highlight w:val="none"/>
              </w:rPr>
              <w:t>）行驶速度：≥3m/s；</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2</w:t>
            </w:r>
            <w:r>
              <w:rPr>
                <w:rFonts w:hint="eastAsia" w:ascii="宋体" w:cs="宋体"/>
                <w:sz w:val="24"/>
                <w:highlight w:val="none"/>
              </w:rPr>
              <w:t>）定位精度：≤±3mm；</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3</w:t>
            </w:r>
            <w:r>
              <w:rPr>
                <w:rFonts w:hint="eastAsia" w:ascii="宋体" w:cs="宋体"/>
                <w:sz w:val="24"/>
                <w:highlight w:val="none"/>
              </w:rPr>
              <w:t>）行驶加减速度（空、带载）：≥1m/s²；</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4</w:t>
            </w:r>
            <w:r>
              <w:rPr>
                <w:rFonts w:hint="eastAsia" w:ascii="宋体" w:cs="宋体"/>
                <w:sz w:val="24"/>
                <w:highlight w:val="none"/>
              </w:rPr>
              <w:t>）单元货物质量：≥17kg；</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5</w:t>
            </w:r>
            <w:r>
              <w:rPr>
                <w:rFonts w:hint="eastAsia" w:ascii="宋体" w:cs="宋体"/>
                <w:sz w:val="24"/>
                <w:highlight w:val="none"/>
              </w:rPr>
              <w:t>）单元尺寸（L×W×H）：最大610×475×360mm，最小280×240×150mm；</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6</w:t>
            </w:r>
            <w:r>
              <w:rPr>
                <w:rFonts w:hint="eastAsia" w:ascii="宋体" w:cs="宋体"/>
                <w:sz w:val="24"/>
                <w:highlight w:val="none"/>
              </w:rPr>
              <w:t>）提速效率：≥60件/时；</w:t>
            </w:r>
          </w:p>
        </w:tc>
        <w:tc>
          <w:tcPr>
            <w:tcW w:w="1995" w:type="dxa"/>
            <w:vAlign w:val="center"/>
          </w:tcPr>
          <w:p>
            <w:pPr>
              <w:spacing w:line="360" w:lineRule="exact"/>
              <w:rPr>
                <w:rFonts w:hint="eastAsia" w:ascii="宋体" w:cs="宋体"/>
                <w:b/>
                <w:bCs/>
                <w:sz w:val="24"/>
                <w:highlight w:val="none"/>
              </w:rPr>
            </w:pPr>
          </w:p>
        </w:tc>
        <w:tc>
          <w:tcPr>
            <w:tcW w:w="1335" w:type="dxa"/>
            <w:vAlign w:val="center"/>
          </w:tcPr>
          <w:p>
            <w:pPr>
              <w:spacing w:line="360" w:lineRule="exact"/>
              <w:jc w:val="center"/>
              <w:rPr>
                <w:rFonts w:hint="eastAsia" w:ascii="宋体" w:cs="宋体"/>
                <w:b/>
                <w:bCs/>
                <w:sz w:val="24"/>
                <w:highlight w:val="none"/>
              </w:rPr>
            </w:pPr>
          </w:p>
        </w:tc>
        <w:tc>
          <w:tcPr>
            <w:tcW w:w="893" w:type="dxa"/>
            <w:vAlign w:val="center"/>
          </w:tcPr>
          <w:p>
            <w:pPr>
              <w:spacing w:line="360" w:lineRule="exact"/>
              <w:jc w:val="center"/>
              <w:rPr>
                <w:rFonts w:hint="eastAsia" w:asci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3</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垛烟传输设备</w:t>
            </w:r>
          </w:p>
        </w:tc>
        <w:tc>
          <w:tcPr>
            <w:tcW w:w="3870" w:type="dxa"/>
            <w:vAlign w:val="center"/>
          </w:tcPr>
          <w:p>
            <w:pPr>
              <w:spacing w:line="360" w:lineRule="exact"/>
              <w:rPr>
                <w:rFonts w:ascii="宋体" w:cs="宋体"/>
                <w:sz w:val="24"/>
                <w:highlight w:val="none"/>
              </w:rPr>
            </w:pPr>
            <w:r>
              <w:rPr>
                <w:rFonts w:hint="eastAsia" w:ascii="宋体" w:cs="宋体"/>
                <w:sz w:val="24"/>
                <w:highlight w:val="none"/>
              </w:rPr>
              <w:t>（1）输送载荷：≥800kg；</w:t>
            </w:r>
          </w:p>
          <w:p>
            <w:pPr>
              <w:spacing w:line="360" w:lineRule="exact"/>
              <w:rPr>
                <w:rFonts w:ascii="宋体" w:cs="宋体"/>
                <w:sz w:val="24"/>
                <w:highlight w:val="none"/>
              </w:rPr>
            </w:pPr>
            <w:r>
              <w:rPr>
                <w:rFonts w:hint="eastAsia" w:ascii="宋体" w:cs="宋体"/>
                <w:sz w:val="24"/>
                <w:highlight w:val="none"/>
              </w:rPr>
              <w:t>（2）输送速度：≥12m/min；</w:t>
            </w:r>
          </w:p>
        </w:tc>
        <w:tc>
          <w:tcPr>
            <w:tcW w:w="1995" w:type="dxa"/>
            <w:vAlign w:val="center"/>
          </w:tcPr>
          <w:p>
            <w:pPr>
              <w:spacing w:line="360" w:lineRule="exact"/>
              <w:rPr>
                <w:rFonts w:hint="eastAsia" w:ascii="宋体" w:cs="宋体"/>
                <w:sz w:val="24"/>
                <w:highlight w:val="none"/>
              </w:rPr>
            </w:pPr>
          </w:p>
        </w:tc>
        <w:tc>
          <w:tcPr>
            <w:tcW w:w="1335" w:type="dxa"/>
            <w:vAlign w:val="center"/>
          </w:tcPr>
          <w:p>
            <w:pPr>
              <w:spacing w:line="360" w:lineRule="exact"/>
              <w:jc w:val="center"/>
              <w:rPr>
                <w:rFonts w:hint="eastAsia" w:ascii="宋体" w:cs="宋体"/>
                <w:sz w:val="24"/>
                <w:highlight w:val="none"/>
              </w:rPr>
            </w:pPr>
          </w:p>
        </w:tc>
        <w:tc>
          <w:tcPr>
            <w:tcW w:w="893" w:type="dxa"/>
            <w:vAlign w:val="center"/>
          </w:tcPr>
          <w:p>
            <w:pPr>
              <w:spacing w:line="360" w:lineRule="exact"/>
              <w:jc w:val="center"/>
              <w:rPr>
                <w:rFonts w:hint="eastAsia"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4</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件烟传输设备</w:t>
            </w:r>
          </w:p>
        </w:tc>
        <w:tc>
          <w:tcPr>
            <w:tcW w:w="3870" w:type="dxa"/>
            <w:vAlign w:val="center"/>
          </w:tcPr>
          <w:p>
            <w:pPr>
              <w:spacing w:line="360" w:lineRule="exact"/>
              <w:rPr>
                <w:rFonts w:ascii="宋体" w:cs="宋体"/>
                <w:sz w:val="24"/>
                <w:highlight w:val="none"/>
              </w:rPr>
            </w:pPr>
            <w:r>
              <w:rPr>
                <w:rFonts w:hint="eastAsia" w:ascii="宋体" w:cs="宋体"/>
                <w:sz w:val="24"/>
                <w:highlight w:val="none"/>
              </w:rPr>
              <w:t>（1）满足单元尺寸（L×W×H）：最大610×475×360mm，最小280×240×150mm；</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2</w:t>
            </w:r>
            <w:r>
              <w:rPr>
                <w:rFonts w:hint="eastAsia" w:ascii="宋体" w:cs="宋体"/>
                <w:sz w:val="24"/>
                <w:highlight w:val="none"/>
              </w:rPr>
              <w:t>）输送</w:t>
            </w:r>
            <w:r>
              <w:rPr>
                <w:rFonts w:hint="eastAsia" w:ascii="宋体" w:cs="宋体"/>
                <w:sz w:val="24"/>
                <w:highlight w:val="none"/>
                <w:lang w:val="en-US" w:eastAsia="zh-CN"/>
              </w:rPr>
              <w:t>质量</w:t>
            </w:r>
            <w:r>
              <w:rPr>
                <w:rFonts w:hint="eastAsia" w:ascii="宋体" w:cs="宋体"/>
                <w:sz w:val="24"/>
                <w:highlight w:val="none"/>
              </w:rPr>
              <w:t>：≤35kg/件；</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3</w:t>
            </w:r>
            <w:r>
              <w:rPr>
                <w:rFonts w:hint="eastAsia" w:ascii="宋体" w:cs="宋体"/>
                <w:sz w:val="24"/>
                <w:highlight w:val="none"/>
              </w:rPr>
              <w:t>）输送速度：≥0.6m/s；</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4</w:t>
            </w:r>
            <w:r>
              <w:rPr>
                <w:rFonts w:hint="eastAsia" w:ascii="宋体" w:cs="宋体"/>
                <w:sz w:val="24"/>
                <w:highlight w:val="none"/>
              </w:rPr>
              <w:t>）传输效率：≥900件/小时；</w:t>
            </w:r>
          </w:p>
        </w:tc>
        <w:tc>
          <w:tcPr>
            <w:tcW w:w="1995" w:type="dxa"/>
            <w:vAlign w:val="center"/>
          </w:tcPr>
          <w:p>
            <w:pPr>
              <w:spacing w:line="360" w:lineRule="exact"/>
              <w:rPr>
                <w:rFonts w:hint="eastAsia" w:ascii="宋体" w:cs="宋体"/>
                <w:b/>
                <w:bCs/>
                <w:sz w:val="24"/>
                <w:highlight w:val="none"/>
              </w:rPr>
            </w:pPr>
          </w:p>
        </w:tc>
        <w:tc>
          <w:tcPr>
            <w:tcW w:w="1335" w:type="dxa"/>
            <w:vAlign w:val="center"/>
          </w:tcPr>
          <w:p>
            <w:pPr>
              <w:spacing w:line="360" w:lineRule="exact"/>
              <w:jc w:val="center"/>
              <w:rPr>
                <w:rFonts w:hint="eastAsia" w:ascii="宋体" w:cs="宋体"/>
                <w:b/>
                <w:bCs/>
                <w:sz w:val="24"/>
                <w:highlight w:val="none"/>
              </w:rPr>
            </w:pPr>
          </w:p>
        </w:tc>
        <w:tc>
          <w:tcPr>
            <w:tcW w:w="893" w:type="dxa"/>
            <w:vAlign w:val="center"/>
          </w:tcPr>
          <w:p>
            <w:pPr>
              <w:spacing w:line="360" w:lineRule="exact"/>
              <w:jc w:val="center"/>
              <w:rPr>
                <w:rFonts w:hint="eastAsia" w:asci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5</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关节机械手（视觉）</w:t>
            </w:r>
          </w:p>
        </w:tc>
        <w:tc>
          <w:tcPr>
            <w:tcW w:w="3870" w:type="dxa"/>
            <w:vAlign w:val="center"/>
          </w:tcPr>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（1）标准烟每小时拆盘能力≥700件；</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2</w:t>
            </w:r>
            <w:r>
              <w:rPr>
                <w:rFonts w:hint="eastAsia" w:ascii="宋体" w:cs="宋体"/>
                <w:sz w:val="24"/>
                <w:highlight w:val="none"/>
              </w:rPr>
              <w:t>）有效抓举质量：≥50kg；</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3</w:t>
            </w:r>
            <w:r>
              <w:rPr>
                <w:rFonts w:hint="eastAsia" w:ascii="宋体" w:cs="宋体"/>
                <w:sz w:val="24"/>
                <w:highlight w:val="none"/>
              </w:rPr>
              <w:t>）掉箱率</w:t>
            </w:r>
            <w:r>
              <w:rPr>
                <w:rFonts w:hint="eastAsia" w:ascii="宋体" w:cs="宋体"/>
                <w:sz w:val="24"/>
                <w:highlight w:val="none"/>
                <w:lang w:eastAsia="zh-CN"/>
              </w:rPr>
              <w:t>：</w:t>
            </w:r>
            <w:r>
              <w:rPr>
                <w:rFonts w:hint="eastAsia" w:ascii="宋体" w:cs="宋体"/>
                <w:sz w:val="24"/>
                <w:highlight w:val="none"/>
              </w:rPr>
              <w:t>≤0.01%；</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4</w:t>
            </w:r>
            <w:r>
              <w:rPr>
                <w:rFonts w:hint="eastAsia" w:ascii="宋体" w:cs="宋体"/>
                <w:sz w:val="24"/>
                <w:highlight w:val="none"/>
              </w:rPr>
              <w:t>）夹具型式：吸盘（或夹具）对所有尺寸烟箱及堆码形式均通用；</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5</w:t>
            </w:r>
            <w:r>
              <w:rPr>
                <w:rFonts w:hint="eastAsia" w:ascii="宋体" w:cs="宋体"/>
                <w:sz w:val="24"/>
                <w:highlight w:val="none"/>
              </w:rPr>
              <w:t>）其它件烟</w:t>
            </w:r>
            <w:r>
              <w:rPr>
                <w:rFonts w:hint="eastAsia" w:ascii="宋体" w:cs="宋体"/>
                <w:sz w:val="24"/>
                <w:highlight w:val="none"/>
                <w:lang w:val="en-US" w:eastAsia="zh-CN"/>
              </w:rPr>
              <w:t>拆垛效率</w:t>
            </w:r>
            <w:r>
              <w:rPr>
                <w:rFonts w:hint="eastAsia" w:ascii="宋体" w:cs="宋体"/>
                <w:sz w:val="24"/>
                <w:highlight w:val="none"/>
              </w:rPr>
              <w:t>≥11秒/节拍；</w:t>
            </w:r>
          </w:p>
        </w:tc>
        <w:tc>
          <w:tcPr>
            <w:tcW w:w="1995" w:type="dxa"/>
            <w:vAlign w:val="center"/>
          </w:tcPr>
          <w:p>
            <w:pPr>
              <w:spacing w:line="360" w:lineRule="exact"/>
              <w:rPr>
                <w:rFonts w:hint="eastAsia" w:ascii="宋体" w:cs="宋体"/>
                <w:b/>
                <w:bCs/>
                <w:sz w:val="24"/>
                <w:highlight w:val="none"/>
              </w:rPr>
            </w:pPr>
          </w:p>
        </w:tc>
        <w:tc>
          <w:tcPr>
            <w:tcW w:w="1335" w:type="dxa"/>
            <w:vAlign w:val="center"/>
          </w:tcPr>
          <w:p>
            <w:pPr>
              <w:spacing w:line="360" w:lineRule="exact"/>
              <w:jc w:val="center"/>
              <w:rPr>
                <w:rFonts w:hint="eastAsia" w:ascii="宋体" w:cs="宋体"/>
                <w:b/>
                <w:bCs/>
                <w:sz w:val="24"/>
                <w:highlight w:val="none"/>
              </w:rPr>
            </w:pPr>
          </w:p>
        </w:tc>
        <w:tc>
          <w:tcPr>
            <w:tcW w:w="893" w:type="dxa"/>
            <w:vAlign w:val="center"/>
          </w:tcPr>
          <w:p>
            <w:pPr>
              <w:spacing w:line="360" w:lineRule="exact"/>
              <w:jc w:val="center"/>
              <w:rPr>
                <w:rFonts w:hint="eastAsia" w:asci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6</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柔性件烟存储道</w:t>
            </w:r>
          </w:p>
        </w:tc>
        <w:tc>
          <w:tcPr>
            <w:tcW w:w="3870" w:type="dxa"/>
            <w:vAlign w:val="center"/>
          </w:tcPr>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（1）</w:t>
            </w:r>
            <w:r>
              <w:rPr>
                <w:rFonts w:hint="eastAsia" w:ascii="宋体" w:cs="宋体"/>
                <w:sz w:val="24"/>
                <w:highlight w:val="none"/>
                <w:lang w:val="en-US" w:eastAsia="zh-CN"/>
              </w:rPr>
              <w:t>单道</w:t>
            </w:r>
            <w:r>
              <w:rPr>
                <w:rFonts w:hint="eastAsia" w:ascii="宋体" w:cs="宋体"/>
                <w:sz w:val="24"/>
                <w:highlight w:val="none"/>
              </w:rPr>
              <w:t>载荷：≥</w:t>
            </w:r>
            <w:r>
              <w:rPr>
                <w:rFonts w:hint="eastAsia" w:ascii="宋体" w:cs="宋体"/>
                <w:sz w:val="24"/>
                <w:highlight w:val="none"/>
                <w:lang w:val="en-US" w:eastAsia="zh-CN"/>
              </w:rPr>
              <w:t>50</w:t>
            </w:r>
            <w:r>
              <w:rPr>
                <w:rFonts w:hint="eastAsia" w:ascii="宋体" w:cs="宋体"/>
                <w:sz w:val="24"/>
                <w:highlight w:val="none"/>
              </w:rPr>
              <w:t>0kg；</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2</w:t>
            </w:r>
            <w:r>
              <w:rPr>
                <w:rFonts w:hint="eastAsia" w:ascii="宋体" w:cs="宋体"/>
                <w:sz w:val="24"/>
                <w:highlight w:val="none"/>
              </w:rPr>
              <w:t>）输送速度：≤0.6m/s；</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3</w:t>
            </w:r>
            <w:r>
              <w:rPr>
                <w:rFonts w:hint="eastAsia" w:ascii="宋体" w:cs="宋体"/>
                <w:sz w:val="24"/>
                <w:highlight w:val="none"/>
              </w:rPr>
              <w:t>）卷烟适用尺寸（L×W×H）：（450-590）×（270-510）×（230-360）mm，基本可处理全品规件烟；</w:t>
            </w:r>
          </w:p>
        </w:tc>
        <w:tc>
          <w:tcPr>
            <w:tcW w:w="1995" w:type="dxa"/>
            <w:vAlign w:val="center"/>
          </w:tcPr>
          <w:p>
            <w:pPr>
              <w:spacing w:line="360" w:lineRule="exact"/>
              <w:rPr>
                <w:rFonts w:hint="eastAsia" w:ascii="宋体" w:cs="宋体"/>
                <w:sz w:val="24"/>
                <w:highlight w:val="none"/>
              </w:rPr>
            </w:pPr>
          </w:p>
        </w:tc>
        <w:tc>
          <w:tcPr>
            <w:tcW w:w="1335" w:type="dxa"/>
            <w:vAlign w:val="center"/>
          </w:tcPr>
          <w:p>
            <w:pPr>
              <w:spacing w:line="360" w:lineRule="exact"/>
              <w:jc w:val="center"/>
              <w:rPr>
                <w:rFonts w:hint="eastAsia" w:ascii="宋体" w:cs="宋体"/>
                <w:sz w:val="24"/>
                <w:highlight w:val="none"/>
              </w:rPr>
            </w:pPr>
          </w:p>
        </w:tc>
        <w:tc>
          <w:tcPr>
            <w:tcW w:w="893" w:type="dxa"/>
            <w:vAlign w:val="center"/>
          </w:tcPr>
          <w:p>
            <w:pPr>
              <w:spacing w:line="360" w:lineRule="exact"/>
              <w:jc w:val="center"/>
              <w:rPr>
                <w:rFonts w:hint="eastAsia"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7</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重力式存储道</w:t>
            </w:r>
          </w:p>
        </w:tc>
        <w:tc>
          <w:tcPr>
            <w:tcW w:w="3870" w:type="dxa"/>
            <w:vAlign w:val="center"/>
          </w:tcPr>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1</w:t>
            </w:r>
            <w:r>
              <w:rPr>
                <w:rFonts w:hint="eastAsia" w:ascii="宋体" w:cs="宋体"/>
                <w:sz w:val="24"/>
                <w:highlight w:val="none"/>
              </w:rPr>
              <w:t>）输送质量：≤</w:t>
            </w:r>
            <w:r>
              <w:rPr>
                <w:rFonts w:hint="eastAsia" w:ascii="宋体" w:cs="宋体"/>
                <w:sz w:val="24"/>
                <w:highlight w:val="none"/>
                <w:lang w:val="en-US" w:eastAsia="zh-CN"/>
              </w:rPr>
              <w:t>35k</w:t>
            </w:r>
            <w:r>
              <w:rPr>
                <w:rFonts w:hint="eastAsia" w:ascii="宋体" w:cs="宋体"/>
                <w:sz w:val="24"/>
                <w:highlight w:val="none"/>
              </w:rPr>
              <w:t>g/m；</w:t>
            </w:r>
          </w:p>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2</w:t>
            </w:r>
            <w:r>
              <w:rPr>
                <w:rFonts w:hint="eastAsia" w:ascii="宋体" w:cs="宋体"/>
                <w:sz w:val="24"/>
                <w:highlight w:val="none"/>
              </w:rPr>
              <w:t>）输送速度：≤0.6m/s；</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3</w:t>
            </w:r>
            <w:r>
              <w:rPr>
                <w:rFonts w:hint="eastAsia" w:ascii="宋体" w:cs="宋体"/>
                <w:sz w:val="24"/>
                <w:highlight w:val="none"/>
              </w:rPr>
              <w:t>）</w:t>
            </w:r>
            <w:r>
              <w:rPr>
                <w:rFonts w:hint="eastAsia" w:ascii="宋体" w:cs="宋体"/>
                <w:sz w:val="24"/>
                <w:highlight w:val="none"/>
                <w:lang w:val="en-US" w:eastAsia="zh-CN"/>
              </w:rPr>
              <w:t>单道</w:t>
            </w:r>
            <w:r>
              <w:rPr>
                <w:rFonts w:hint="eastAsia" w:ascii="宋体" w:cs="宋体"/>
                <w:sz w:val="24"/>
                <w:highlight w:val="none"/>
              </w:rPr>
              <w:t>载荷：≥</w:t>
            </w:r>
            <w:r>
              <w:rPr>
                <w:rFonts w:hint="eastAsia" w:ascii="宋体" w:cs="宋体"/>
                <w:sz w:val="24"/>
                <w:highlight w:val="none"/>
                <w:lang w:val="en-US" w:eastAsia="zh-CN"/>
              </w:rPr>
              <w:t>500</w:t>
            </w:r>
            <w:r>
              <w:rPr>
                <w:rFonts w:hint="eastAsia" w:ascii="宋体" w:cs="宋体"/>
                <w:sz w:val="24"/>
                <w:highlight w:val="none"/>
              </w:rPr>
              <w:t>kg；</w:t>
            </w:r>
          </w:p>
        </w:tc>
        <w:tc>
          <w:tcPr>
            <w:tcW w:w="1995" w:type="dxa"/>
            <w:vAlign w:val="center"/>
          </w:tcPr>
          <w:p>
            <w:pPr>
              <w:spacing w:line="360" w:lineRule="exact"/>
              <w:rPr>
                <w:rFonts w:hint="eastAsia" w:ascii="宋体" w:cs="宋体"/>
                <w:b/>
                <w:bCs/>
                <w:sz w:val="24"/>
                <w:highlight w:val="none"/>
              </w:rPr>
            </w:pPr>
          </w:p>
        </w:tc>
        <w:tc>
          <w:tcPr>
            <w:tcW w:w="1335" w:type="dxa"/>
            <w:vAlign w:val="center"/>
          </w:tcPr>
          <w:p>
            <w:pPr>
              <w:spacing w:line="360" w:lineRule="exact"/>
              <w:jc w:val="center"/>
              <w:rPr>
                <w:rFonts w:hint="eastAsia" w:ascii="宋体" w:cs="宋体"/>
                <w:b/>
                <w:bCs/>
                <w:sz w:val="24"/>
                <w:highlight w:val="none"/>
              </w:rPr>
            </w:pPr>
          </w:p>
        </w:tc>
        <w:tc>
          <w:tcPr>
            <w:tcW w:w="893" w:type="dxa"/>
            <w:vAlign w:val="center"/>
          </w:tcPr>
          <w:p>
            <w:pPr>
              <w:spacing w:line="360" w:lineRule="exact"/>
              <w:jc w:val="center"/>
              <w:rPr>
                <w:rFonts w:hint="eastAsia" w:ascii="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8</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条烟卧式分拣机</w:t>
            </w:r>
          </w:p>
        </w:tc>
        <w:tc>
          <w:tcPr>
            <w:tcW w:w="3870" w:type="dxa"/>
            <w:vAlign w:val="center"/>
          </w:tcPr>
          <w:p>
            <w:pPr>
              <w:spacing w:line="360" w:lineRule="exact"/>
              <w:rPr>
                <w:rFonts w:ascii="宋体" w:cs="宋体"/>
                <w:sz w:val="24"/>
                <w:highlight w:val="none"/>
              </w:rPr>
            </w:pPr>
            <w:r>
              <w:rPr>
                <w:rFonts w:hint="eastAsia" w:ascii="宋体" w:cs="宋体"/>
                <w:sz w:val="24"/>
                <w:highlight w:val="none"/>
              </w:rPr>
              <w:t>（</w:t>
            </w:r>
            <w:r>
              <w:rPr>
                <w:rFonts w:hint="eastAsia" w:ascii="宋体" w:cs="宋体"/>
                <w:sz w:val="24"/>
                <w:highlight w:val="none"/>
                <w:lang w:val="en-US" w:eastAsia="zh-CN"/>
              </w:rPr>
              <w:t>1</w:t>
            </w:r>
            <w:r>
              <w:rPr>
                <w:rFonts w:hint="eastAsia" w:ascii="宋体" w:cs="宋体"/>
                <w:sz w:val="24"/>
                <w:highlight w:val="none"/>
              </w:rPr>
              <w:t>）分离条烟效率：≤</w:t>
            </w:r>
            <w:r>
              <w:rPr>
                <w:rFonts w:hint="eastAsia" w:ascii="宋体" w:cs="宋体"/>
                <w:sz w:val="24"/>
                <w:highlight w:val="none"/>
                <w:lang w:val="en-US" w:eastAsia="zh-CN"/>
              </w:rPr>
              <w:t>0.8</w:t>
            </w:r>
            <w:r>
              <w:rPr>
                <w:rFonts w:hint="eastAsia" w:ascii="宋体" w:cs="宋体"/>
                <w:sz w:val="24"/>
                <w:highlight w:val="none"/>
              </w:rPr>
              <w:t>条/秒；</w:t>
            </w:r>
          </w:p>
        </w:tc>
        <w:tc>
          <w:tcPr>
            <w:tcW w:w="1995" w:type="dxa"/>
            <w:vAlign w:val="center"/>
          </w:tcPr>
          <w:p>
            <w:pPr>
              <w:spacing w:line="360" w:lineRule="exact"/>
              <w:rPr>
                <w:rFonts w:hint="eastAsia" w:ascii="宋体" w:cs="宋体"/>
                <w:sz w:val="24"/>
                <w:highlight w:val="none"/>
              </w:rPr>
            </w:pPr>
          </w:p>
        </w:tc>
        <w:tc>
          <w:tcPr>
            <w:tcW w:w="1335" w:type="dxa"/>
            <w:vAlign w:val="center"/>
          </w:tcPr>
          <w:p>
            <w:pPr>
              <w:spacing w:line="360" w:lineRule="exact"/>
              <w:jc w:val="center"/>
              <w:rPr>
                <w:rFonts w:hint="eastAsia" w:ascii="宋体" w:cs="宋体"/>
                <w:sz w:val="24"/>
                <w:highlight w:val="none"/>
              </w:rPr>
            </w:pPr>
          </w:p>
        </w:tc>
        <w:tc>
          <w:tcPr>
            <w:tcW w:w="893" w:type="dxa"/>
            <w:vAlign w:val="center"/>
          </w:tcPr>
          <w:p>
            <w:pPr>
              <w:spacing w:line="360" w:lineRule="exact"/>
              <w:jc w:val="center"/>
              <w:rPr>
                <w:rFonts w:hint="eastAsia"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spacing w:line="36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9</w:t>
            </w:r>
          </w:p>
        </w:tc>
        <w:tc>
          <w:tcPr>
            <w:tcW w:w="1050" w:type="dxa"/>
            <w:vAlign w:val="center"/>
          </w:tcPr>
          <w:p>
            <w:pPr>
              <w:spacing w:line="360" w:lineRule="exact"/>
              <w:jc w:val="center"/>
              <w:rPr>
                <w:rFonts w:ascii="宋体" w:cs="宋体"/>
                <w:sz w:val="24"/>
                <w:highlight w:val="none"/>
              </w:rPr>
            </w:pPr>
            <w:r>
              <w:rPr>
                <w:rFonts w:hint="eastAsia" w:ascii="宋体" w:cs="宋体"/>
                <w:sz w:val="24"/>
                <w:highlight w:val="none"/>
              </w:rPr>
              <w:t>件烟扫描器及支架</w:t>
            </w:r>
          </w:p>
        </w:tc>
        <w:tc>
          <w:tcPr>
            <w:tcW w:w="3870" w:type="dxa"/>
            <w:vAlign w:val="center"/>
          </w:tcPr>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1</w:t>
            </w:r>
            <w:r>
              <w:rPr>
                <w:rFonts w:hint="eastAsia" w:ascii="宋体" w:cs="宋体"/>
                <w:sz w:val="24"/>
                <w:highlight w:val="none"/>
              </w:rPr>
              <w:t>）读取距离50mm-300mm，带内部照明，使用外部照明时可扩展至更远的距离；</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2</w:t>
            </w:r>
            <w:r>
              <w:rPr>
                <w:rFonts w:hint="eastAsia" w:ascii="宋体" w:cs="宋体"/>
                <w:sz w:val="24"/>
                <w:highlight w:val="none"/>
              </w:rPr>
              <w:t>）像素尺寸‌：≥6μm×6μm；</w:t>
            </w:r>
          </w:p>
          <w:p>
            <w:pPr>
              <w:spacing w:line="360" w:lineRule="exact"/>
              <w:rPr>
                <w:rFonts w:ascii="宋体" w:cs="宋体"/>
                <w:sz w:val="24"/>
                <w:highlight w:val="none"/>
              </w:rPr>
            </w:pPr>
            <w:r>
              <w:rPr>
                <w:rFonts w:hint="eastAsia" w:ascii="宋体" w:cs="宋体"/>
                <w:sz w:val="24"/>
                <w:highlight w:val="none"/>
              </w:rPr>
              <w:t>（4）有源像素阵列‌：≥1280px×960px；</w:t>
            </w:r>
          </w:p>
          <w:p>
            <w:pPr>
              <w:spacing w:line="360" w:lineRule="exact"/>
              <w:rPr>
                <w:rFonts w:ascii="宋体" w:cs="宋体"/>
                <w:sz w:val="24"/>
                <w:highlight w:val="none"/>
              </w:rPr>
            </w:pPr>
            <w:r>
              <w:rPr>
                <w:rFonts w:hint="eastAsia" w:ascii="宋体" w:cs="宋体"/>
                <w:b/>
                <w:bCs/>
                <w:sz w:val="24"/>
                <w:highlight w:val="none"/>
              </w:rPr>
              <w:t>▲</w:t>
            </w:r>
            <w:r>
              <w:rPr>
                <w:rFonts w:hint="eastAsia" w:ascii="宋体" w:cs="宋体"/>
                <w:sz w:val="24"/>
                <w:highlight w:val="none"/>
              </w:rPr>
              <w:t>（</w:t>
            </w:r>
            <w:r>
              <w:rPr>
                <w:rFonts w:hint="eastAsia" w:ascii="宋体" w:cs="宋体"/>
                <w:sz w:val="24"/>
                <w:highlight w:val="none"/>
                <w:lang w:val="en-US" w:eastAsia="zh-CN"/>
              </w:rPr>
              <w:t>3</w:t>
            </w:r>
            <w:r>
              <w:rPr>
                <w:rFonts w:hint="eastAsia" w:ascii="宋体" w:cs="宋体"/>
                <w:sz w:val="24"/>
                <w:highlight w:val="none"/>
              </w:rPr>
              <w:t>）以太网传输接口；图像识别，适用一、二维码扫码要求。</w:t>
            </w:r>
          </w:p>
        </w:tc>
        <w:tc>
          <w:tcPr>
            <w:tcW w:w="1995" w:type="dxa"/>
            <w:vAlign w:val="center"/>
          </w:tcPr>
          <w:p>
            <w:pPr>
              <w:spacing w:line="360" w:lineRule="exact"/>
              <w:rPr>
                <w:rFonts w:hint="eastAsia" w:ascii="宋体" w:cs="宋体"/>
                <w:b/>
                <w:bCs/>
                <w:sz w:val="24"/>
                <w:highlight w:val="none"/>
              </w:rPr>
            </w:pPr>
          </w:p>
        </w:tc>
        <w:tc>
          <w:tcPr>
            <w:tcW w:w="1335" w:type="dxa"/>
            <w:vAlign w:val="center"/>
          </w:tcPr>
          <w:p>
            <w:pPr>
              <w:spacing w:line="360" w:lineRule="exact"/>
              <w:jc w:val="center"/>
              <w:rPr>
                <w:rFonts w:hint="eastAsia" w:ascii="宋体" w:cs="宋体"/>
                <w:b/>
                <w:bCs/>
                <w:sz w:val="24"/>
                <w:highlight w:val="none"/>
              </w:rPr>
            </w:pPr>
          </w:p>
        </w:tc>
        <w:tc>
          <w:tcPr>
            <w:tcW w:w="893" w:type="dxa"/>
            <w:vAlign w:val="center"/>
          </w:tcPr>
          <w:p>
            <w:pPr>
              <w:spacing w:line="360" w:lineRule="exact"/>
              <w:jc w:val="center"/>
              <w:rPr>
                <w:rFonts w:hint="eastAsia" w:ascii="宋体" w:cs="宋体"/>
                <w:b/>
                <w:bCs/>
                <w:sz w:val="24"/>
                <w:highlight w:val="none"/>
              </w:rPr>
            </w:pPr>
          </w:p>
        </w:tc>
      </w:tr>
    </w:tbl>
    <w:p>
      <w:pPr>
        <w:pStyle w:val="20"/>
        <w:widowControl w:val="0"/>
        <w:snapToGrid w:val="0"/>
        <w:spacing w:before="0" w:beforeAutospacing="0" w:after="0" w:afterAutospacing="0" w:line="360" w:lineRule="exact"/>
        <w:jc w:val="both"/>
        <w:rPr>
          <w:rFonts w:cs="宋体"/>
          <w:kern w:val="2"/>
          <w:lang w:bidi="ar"/>
        </w:rPr>
      </w:pPr>
      <w:r>
        <w:rPr>
          <w:rFonts w:hint="eastAsia" w:cs="宋体"/>
          <w:kern w:val="2"/>
          <w:lang w:bidi="ar"/>
        </w:rPr>
        <w:t>注：投标人若不填写，则视为完全响应招标文件要求。</w:t>
      </w:r>
    </w:p>
    <w:tbl>
      <w:tblPr>
        <w:tblStyle w:val="24"/>
        <w:tblpPr w:leftFromText="180" w:rightFromText="180" w:vertAnchor="text" w:horzAnchor="page" w:tblpXSpec="center" w:tblpY="854"/>
        <w:tblOverlap w:val="never"/>
        <w:tblW w:w="5267" w:type="dxa"/>
        <w:tblInd w:w="0" w:type="dxa"/>
        <w:tblLayout w:type="fixed"/>
        <w:tblCellMar>
          <w:top w:w="0" w:type="dxa"/>
          <w:left w:w="108" w:type="dxa"/>
          <w:bottom w:w="0" w:type="dxa"/>
          <w:right w:w="108" w:type="dxa"/>
        </w:tblCellMar>
      </w:tblPr>
      <w:tblGrid>
        <w:gridCol w:w="5267"/>
      </w:tblGrid>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投标人：</w:t>
            </w:r>
            <w:r>
              <w:rPr>
                <w:rFonts w:hint="eastAsia" w:ascii="宋体" w:cs="宋体"/>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日  期：</w:t>
            </w:r>
            <w:r>
              <w:rPr>
                <w:rFonts w:hint="eastAsia" w:ascii="宋体" w:cs="宋体"/>
                <w:sz w:val="24"/>
                <w:u w:val="single"/>
              </w:rPr>
              <w:t xml:space="preserve">          年   月   日                          </w:t>
            </w:r>
          </w:p>
        </w:tc>
      </w:tr>
    </w:tbl>
    <w:p>
      <w:pPr>
        <w:ind w:right="-21" w:rightChars="-10"/>
        <w:rPr>
          <w:rFonts w:ascii="宋体" w:cs="宋体"/>
          <w:sz w:val="24"/>
          <w:lang w:bidi="ar"/>
        </w:rPr>
      </w:pPr>
    </w:p>
    <w:p>
      <w:pPr>
        <w:spacing w:line="360" w:lineRule="auto"/>
        <w:ind w:right="-21" w:rightChars="-10"/>
        <w:jc w:val="center"/>
        <w:rPr>
          <w:rFonts w:ascii="宋体" w:cs="宋体"/>
          <w:sz w:val="24"/>
          <w:lang w:bidi="ar"/>
        </w:rPr>
        <w:sectPr>
          <w:pgSz w:w="11906" w:h="16838"/>
          <w:pgMar w:top="1236" w:right="1134" w:bottom="1134" w:left="1134" w:header="680" w:footer="680" w:gutter="0"/>
          <w:cols w:space="720" w:num="1"/>
          <w:docGrid w:linePitch="312" w:charSpace="0"/>
        </w:sectPr>
      </w:pPr>
    </w:p>
    <w:p>
      <w:pPr>
        <w:adjustRightInd w:val="0"/>
        <w:snapToGrid w:val="0"/>
        <w:rPr>
          <w:rFonts w:hint="eastAsia" w:ascii="宋体" w:hAnsi="宋体" w:cs="宋体"/>
          <w:b/>
          <w:bCs/>
          <w:sz w:val="24"/>
          <w:lang w:bidi="ar"/>
        </w:rPr>
      </w:pPr>
      <w:r>
        <w:rPr>
          <w:rFonts w:hint="eastAsia" w:ascii="宋体" w:hAnsi="宋体" w:cs="宋体"/>
          <w:b/>
          <w:bCs/>
          <w:sz w:val="24"/>
          <w:lang w:bidi="ar"/>
        </w:rPr>
        <w:t>2.1</w:t>
      </w:r>
      <w:r>
        <w:rPr>
          <w:rFonts w:hint="eastAsia" w:ascii="宋体" w:hAnsi="宋体" w:cs="宋体"/>
          <w:b/>
          <w:bCs/>
          <w:sz w:val="24"/>
          <w:lang w:val="en-US" w:eastAsia="zh-CN" w:bidi="ar"/>
        </w:rPr>
        <w:t>2</w:t>
      </w:r>
      <w:r>
        <w:rPr>
          <w:rFonts w:hint="eastAsia" w:ascii="宋体" w:hAnsi="宋体" w:cs="宋体"/>
          <w:b/>
          <w:bCs/>
          <w:sz w:val="24"/>
          <w:lang w:bidi="ar"/>
        </w:rPr>
        <w:t>关键器件品牌响应表</w:t>
      </w:r>
    </w:p>
    <w:p>
      <w:pPr>
        <w:spacing w:line="360" w:lineRule="auto"/>
        <w:ind w:right="-21" w:rightChars="-10"/>
        <w:jc w:val="center"/>
        <w:rPr>
          <w:rFonts w:hint="eastAsia" w:ascii="宋体" w:hAnsi="宋体" w:cs="宋体"/>
          <w:b/>
          <w:bCs/>
          <w:sz w:val="24"/>
          <w:lang w:bidi="ar"/>
        </w:rPr>
      </w:pPr>
    </w:p>
    <w:p>
      <w:pPr>
        <w:spacing w:line="360" w:lineRule="auto"/>
        <w:ind w:right="-21" w:rightChars="-10"/>
        <w:jc w:val="center"/>
        <w:rPr>
          <w:rFonts w:hint="eastAsia" w:ascii="宋体" w:hAnsi="宋体" w:cs="宋体"/>
          <w:b/>
          <w:bCs/>
          <w:sz w:val="24"/>
          <w:lang w:bidi="ar"/>
        </w:rPr>
      </w:pPr>
      <w:r>
        <w:rPr>
          <w:rFonts w:hint="eastAsia" w:ascii="宋体" w:hAnsi="宋体" w:cs="宋体"/>
          <w:b/>
          <w:bCs/>
          <w:sz w:val="24"/>
          <w:lang w:bidi="ar"/>
        </w:rPr>
        <w:t>关键器件品牌响应表</w:t>
      </w:r>
    </w:p>
    <w:p>
      <w:pPr>
        <w:spacing w:line="360" w:lineRule="auto"/>
        <w:ind w:firstLine="180" w:firstLineChars="75"/>
        <w:rPr>
          <w:rFonts w:hint="eastAsia" w:ascii="宋体" w:hAnsi="宋体" w:cs="宋体"/>
          <w:szCs w:val="21"/>
          <w:u w:val="single"/>
        </w:rPr>
      </w:pPr>
      <w:r>
        <w:rPr>
          <w:rFonts w:hint="eastAsia" w:ascii="宋体" w:cs="宋体"/>
          <w:sz w:val="24"/>
          <w:lang w:bidi="ar"/>
        </w:rPr>
        <w:t>项目名称：</w:t>
      </w:r>
      <w:r>
        <w:rPr>
          <w:rFonts w:hint="eastAsia" w:ascii="宋体" w:cs="宋体"/>
          <w:sz w:val="24"/>
          <w:u w:val="single"/>
          <w:lang w:bidi="ar"/>
        </w:rPr>
        <w:t xml:space="preserve">                         </w:t>
      </w:r>
      <w:r>
        <w:rPr>
          <w:rFonts w:hint="eastAsia" w:ascii="宋体" w:cs="宋体"/>
          <w:sz w:val="24"/>
          <w:lang w:bidi="ar"/>
        </w:rPr>
        <w:t>招标编号：</w:t>
      </w:r>
      <w:r>
        <w:rPr>
          <w:rFonts w:hint="eastAsia" w:ascii="宋体" w:cs="宋体"/>
          <w:sz w:val="24"/>
          <w:u w:val="single"/>
          <w:lang w:bidi="ar"/>
        </w:rPr>
        <w:t xml:space="preserve">                         </w:t>
      </w:r>
    </w:p>
    <w:tbl>
      <w:tblPr>
        <w:tblStyle w:val="24"/>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11"/>
        <w:gridCol w:w="5200"/>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cs="宋体"/>
                <w:sz w:val="24"/>
              </w:rPr>
            </w:pPr>
            <w:r>
              <w:rPr>
                <w:rFonts w:hint="eastAsia" w:ascii="宋体" w:hAnsi="宋体" w:cs="宋体"/>
                <w:sz w:val="24"/>
              </w:rPr>
              <w:t>序号</w:t>
            </w:r>
          </w:p>
        </w:tc>
        <w:tc>
          <w:tcPr>
            <w:tcW w:w="20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cs="宋体"/>
                <w:sz w:val="24"/>
              </w:rPr>
            </w:pPr>
            <w:r>
              <w:rPr>
                <w:rFonts w:hint="eastAsia" w:ascii="宋体" w:hAnsi="宋体" w:cs="宋体"/>
                <w:sz w:val="24"/>
              </w:rPr>
              <w:t>器件名称</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cs="宋体"/>
                <w:sz w:val="24"/>
              </w:rPr>
            </w:pPr>
            <w:r>
              <w:rPr>
                <w:rFonts w:hint="eastAsia" w:ascii="宋体" w:hAnsi="宋体" w:cs="宋体"/>
                <w:sz w:val="24"/>
              </w:rPr>
              <w:t>参考品牌</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cs="宋体"/>
                <w:sz w:val="24"/>
              </w:rPr>
            </w:pPr>
            <w:r>
              <w:rPr>
                <w:rFonts w:hint="eastAsia" w:ascii="宋体" w:hAnsi="宋体" w:cs="宋体"/>
                <w:sz w:val="24"/>
              </w:rPr>
              <w:t>投标品牌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主控制器（PLC）</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Siemens、汇川、宜科等同档次品牌最新产品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2</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分布式I/O站</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Siemens、汇川、宜科等同档次品牌最新产品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3</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光电开关、接近开关</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科瑞、宜科、杰泰高科等同档次品牌最新产品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4</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电机及变速箱</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诺德、东邦、金陵、台邦、中大等同档次品牌最新产品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5</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变频器（VFD）、伺服控制器</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sz w:val="24"/>
              </w:rPr>
            </w:pPr>
            <w:r>
              <w:rPr>
                <w:rFonts w:hint="eastAsia" w:ascii="宋体" w:hAnsi="宋体" w:cs="宋体"/>
                <w:sz w:val="24"/>
              </w:rPr>
              <w:t>DANFOSS、LENZE、台达等同档次品牌最新产品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6</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伺服电机</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禾川、台达、LENZE等同档次品牌最新产品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7</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直流电源</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明纬、华耀、Phoenix等同档次品牌最新产品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8</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按钮、指示灯、声光报警装置、隔离开关</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Schneider、正泰、ABB、伊顿等同档次品牌最新产品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9</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空开、接触器</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Schneider、ABB、Siemens等同档次品牌最新产品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10</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操作终端</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Siemens、Schneider、ABB等同档次品牌最新产品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11</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气动元气件</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Airtac、方大、EMC等同档次品牌最新产品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12</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一般部位轴承</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哈尔滨（HRB）、TR、NSK等同档次品牌最新产品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13</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触摸屏</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步科、繁易、Siemens等同档次品牌最新产品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14</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皮带、摩擦传动平皮带、传动</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Sampla（桑普拉）、上海永利、上海五同等同档次品牌最新产品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15</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电动辊筒</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金陵、胜牌、锐特、曼巴等同档次品牌最新产品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16</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动力和控制电缆</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远东、三旗、特变电工等同档次品牌最新产品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17</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滑触线</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利稳、昊睿森、安纳泰克等同档次品牌最新产品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18</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过电保护器</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施耐德、ABB、正泰、得力西等同档次品牌最新产品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19</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sz w:val="24"/>
              </w:rPr>
              <w:t>继电器</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0mron、ABB、西门子等同档次品牌最新产品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20</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sz w:val="24"/>
              </w:rPr>
              <w:t>变压器</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正泰、ABB、Siemens等同档次品牌最新产品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21</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r>
              <w:rPr>
                <w:rFonts w:hint="eastAsia" w:ascii="宋体" w:hAnsi="宋体" w:cs="宋体"/>
                <w:sz w:val="24"/>
              </w:rPr>
              <w:t>电控柜、现场控制箱</w:t>
            </w:r>
          </w:p>
        </w:tc>
        <w:tc>
          <w:tcPr>
            <w:tcW w:w="52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cs="宋体"/>
                <w:sz w:val="24"/>
              </w:rPr>
            </w:pPr>
            <w:r>
              <w:rPr>
                <w:rFonts w:hint="eastAsia" w:ascii="宋体" w:hAnsi="宋体" w:cs="宋体"/>
                <w:sz w:val="24"/>
              </w:rPr>
              <w:t>威图、施耐德、ABB等同档次品牌最新产品</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sz w:val="24"/>
              </w:rPr>
            </w:pPr>
          </w:p>
        </w:tc>
      </w:tr>
    </w:tbl>
    <w:p>
      <w:pPr>
        <w:snapToGrid w:val="0"/>
        <w:spacing w:before="120" w:beforeLines="50" w:line="360" w:lineRule="auto"/>
        <w:ind w:firstLine="482" w:firstLineChars="200"/>
        <w:rPr>
          <w:vanish/>
          <w:sz w:val="24"/>
        </w:rPr>
      </w:pPr>
      <w:r>
        <w:rPr>
          <w:rFonts w:hint="eastAsia" w:cs="宋体"/>
          <w:b/>
          <w:sz w:val="24"/>
        </w:rPr>
        <w:t>注：上表中参考品牌是招标人认为最适合本项目的品牌，投标人应予以积极响应。同时，投标人仍可以选择其他能满足本项目技术需求且档次与参考品牌相当的产品进行投标，但必须在投标文件中提供所投产品详细的技术参数、证明材料，且所选品牌须经三分之二以上的评委认定其不低于招标人提供的品牌档次，否则其投标将被作无效标处理。</w:t>
      </w:r>
    </w:p>
    <w:tbl>
      <w:tblPr>
        <w:tblStyle w:val="24"/>
        <w:tblpPr w:leftFromText="180" w:rightFromText="180" w:vertAnchor="text" w:horzAnchor="page" w:tblpXSpec="center" w:tblpY="482"/>
        <w:tblOverlap w:val="never"/>
        <w:tblW w:w="0" w:type="auto"/>
        <w:jc w:val="center"/>
        <w:tblLayout w:type="fixed"/>
        <w:tblCellMar>
          <w:top w:w="0" w:type="dxa"/>
          <w:left w:w="108" w:type="dxa"/>
          <w:bottom w:w="0" w:type="dxa"/>
          <w:right w:w="108" w:type="dxa"/>
        </w:tblCellMar>
      </w:tblPr>
      <w:tblGrid>
        <w:gridCol w:w="5267"/>
      </w:tblGrid>
      <w:tr>
        <w:trPr>
          <w:trHeight w:val="454" w:hRule="atLeast"/>
          <w:jc w:val="center"/>
        </w:trPr>
        <w:tc>
          <w:tcPr>
            <w:tcW w:w="5267" w:type="dxa"/>
          </w:tcPr>
          <w:p>
            <w:pPr>
              <w:spacing w:line="360" w:lineRule="exact"/>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（盖单位公章）                       </w:t>
            </w:r>
          </w:p>
        </w:tc>
      </w:tr>
      <w:tr>
        <w:tblPrEx>
          <w:tblCellMar>
            <w:top w:w="0" w:type="dxa"/>
            <w:left w:w="108" w:type="dxa"/>
            <w:bottom w:w="0" w:type="dxa"/>
            <w:right w:w="108" w:type="dxa"/>
          </w:tblCellMar>
        </w:tblPrEx>
        <w:trPr>
          <w:trHeight w:val="454" w:hRule="atLeast"/>
          <w:jc w:val="center"/>
        </w:trPr>
        <w:tc>
          <w:tcPr>
            <w:tcW w:w="5267" w:type="dxa"/>
          </w:tcPr>
          <w:p>
            <w:pPr>
              <w:spacing w:line="360" w:lineRule="exact"/>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年   月   日                          </w:t>
            </w:r>
          </w:p>
        </w:tc>
      </w:tr>
    </w:tbl>
    <w:p>
      <w:pPr>
        <w:pStyle w:val="10"/>
      </w:pPr>
    </w:p>
    <w:p>
      <w:pPr>
        <w:pStyle w:val="20"/>
        <w:keepNext/>
        <w:keepLines/>
        <w:widowControl w:val="0"/>
        <w:spacing w:before="0" w:beforeAutospacing="0" w:after="0" w:afterAutospacing="0"/>
        <w:outlineLvl w:val="0"/>
        <w:rPr>
          <w:rFonts w:cs="宋体"/>
          <w:kern w:val="2"/>
          <w:lang w:bidi="ar"/>
        </w:rPr>
        <w:sectPr>
          <w:pgSz w:w="11906" w:h="16838"/>
          <w:pgMar w:top="1236" w:right="1134" w:bottom="1134" w:left="1134" w:header="680" w:footer="680" w:gutter="0"/>
          <w:cols w:space="720" w:num="1"/>
          <w:docGrid w:linePitch="312" w:charSpace="0"/>
        </w:sectPr>
      </w:pPr>
    </w:p>
    <w:p>
      <w:pPr>
        <w:pStyle w:val="20"/>
        <w:spacing w:before="0" w:beforeAutospacing="0" w:after="0" w:afterAutospacing="0"/>
        <w:rPr>
          <w:rFonts w:cs="宋体"/>
          <w:b/>
          <w:bCs/>
          <w:lang w:bidi="ar"/>
        </w:rPr>
      </w:pPr>
      <w:r>
        <w:rPr>
          <w:rFonts w:hint="eastAsia" w:cs="宋体"/>
          <w:b/>
          <w:bCs/>
          <w:lang w:bidi="ar"/>
        </w:rPr>
        <w:t>3.2开标一览表</w:t>
      </w:r>
    </w:p>
    <w:p>
      <w:pPr>
        <w:spacing w:line="360" w:lineRule="auto"/>
        <w:ind w:right="-21" w:rightChars="-10"/>
        <w:jc w:val="center"/>
        <w:rPr>
          <w:rFonts w:ascii="宋体" w:cs="宋体"/>
          <w:b/>
          <w:bCs/>
          <w:sz w:val="24"/>
          <w:lang w:bidi="ar"/>
        </w:rPr>
      </w:pPr>
      <w:r>
        <w:rPr>
          <w:rFonts w:hint="eastAsia" w:ascii="宋体" w:cs="宋体"/>
          <w:b/>
          <w:bCs/>
          <w:sz w:val="24"/>
          <w:lang w:bidi="ar"/>
        </w:rPr>
        <w:t>开标一览表</w:t>
      </w:r>
    </w:p>
    <w:p>
      <w:pPr>
        <w:spacing w:line="360" w:lineRule="auto"/>
        <w:rPr>
          <w:rFonts w:ascii="宋体" w:cs="宋体"/>
          <w:sz w:val="24"/>
        </w:rPr>
      </w:pPr>
    </w:p>
    <w:p>
      <w:pPr>
        <w:spacing w:line="360" w:lineRule="auto"/>
        <w:ind w:firstLine="360" w:firstLineChars="150"/>
        <w:rPr>
          <w:rFonts w:ascii="宋体" w:cs="宋体"/>
          <w:sz w:val="24"/>
        </w:rPr>
      </w:pPr>
      <w:r>
        <w:rPr>
          <w:rFonts w:hint="eastAsia" w:ascii="宋体" w:cs="宋体"/>
          <w:sz w:val="24"/>
          <w:lang w:bidi="ar"/>
        </w:rPr>
        <w:t>项目名称：</w:t>
      </w:r>
      <w:r>
        <w:rPr>
          <w:rFonts w:hint="eastAsia" w:ascii="宋体" w:cs="宋体"/>
          <w:sz w:val="24"/>
          <w:u w:val="single"/>
          <w:lang w:bidi="ar"/>
        </w:rPr>
        <w:t xml:space="preserve">                                  </w:t>
      </w:r>
      <w:r>
        <w:rPr>
          <w:rFonts w:hint="eastAsia" w:ascii="宋体" w:cs="宋体"/>
          <w:sz w:val="24"/>
          <w:lang w:bidi="ar"/>
        </w:rPr>
        <w:t xml:space="preserve"> 招标编号：_____________</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663"/>
        <w:gridCol w:w="1650"/>
        <w:gridCol w:w="1645"/>
        <w:gridCol w:w="188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857" w:type="dxa"/>
            <w:vAlign w:val="center"/>
          </w:tcPr>
          <w:p>
            <w:pPr>
              <w:spacing w:line="360" w:lineRule="exact"/>
              <w:jc w:val="center"/>
              <w:rPr>
                <w:rFonts w:ascii="宋体" w:cs="宋体"/>
                <w:sz w:val="24"/>
              </w:rPr>
            </w:pPr>
            <w:r>
              <w:rPr>
                <w:rFonts w:hint="eastAsia" w:ascii="宋体" w:cs="宋体"/>
                <w:sz w:val="24"/>
                <w:lang w:bidi="ar"/>
              </w:rPr>
              <w:t>序号</w:t>
            </w:r>
          </w:p>
        </w:tc>
        <w:tc>
          <w:tcPr>
            <w:tcW w:w="2663" w:type="dxa"/>
            <w:vAlign w:val="center"/>
          </w:tcPr>
          <w:p>
            <w:pPr>
              <w:spacing w:line="360" w:lineRule="exact"/>
              <w:jc w:val="center"/>
              <w:rPr>
                <w:rFonts w:ascii="宋体" w:cs="宋体"/>
                <w:sz w:val="24"/>
              </w:rPr>
            </w:pPr>
            <w:bookmarkStart w:id="216" w:name="OLE_LINK7"/>
            <w:r>
              <w:rPr>
                <w:rFonts w:hint="eastAsia" w:ascii="宋体" w:cs="宋体"/>
                <w:sz w:val="24"/>
                <w:lang w:bidi="ar"/>
              </w:rPr>
              <w:t>投标</w:t>
            </w:r>
            <w:bookmarkEnd w:id="216"/>
            <w:r>
              <w:rPr>
                <w:rFonts w:hint="eastAsia" w:ascii="宋体" w:cs="宋体"/>
                <w:sz w:val="24"/>
                <w:lang w:bidi="ar"/>
              </w:rPr>
              <w:t>报价（元）</w:t>
            </w:r>
          </w:p>
        </w:tc>
        <w:tc>
          <w:tcPr>
            <w:tcW w:w="1650" w:type="dxa"/>
            <w:vAlign w:val="center"/>
          </w:tcPr>
          <w:p>
            <w:pPr>
              <w:spacing w:line="360" w:lineRule="exact"/>
              <w:jc w:val="center"/>
              <w:rPr>
                <w:rFonts w:ascii="宋体" w:cs="宋体"/>
                <w:sz w:val="24"/>
              </w:rPr>
            </w:pPr>
            <w:bookmarkStart w:id="217" w:name="OLE_LINK8"/>
            <w:r>
              <w:rPr>
                <w:rFonts w:hint="eastAsia" w:ascii="宋体" w:cs="宋体"/>
                <w:sz w:val="24"/>
                <w:lang w:bidi="ar"/>
              </w:rPr>
              <w:t>项目负责人</w:t>
            </w:r>
            <w:bookmarkEnd w:id="217"/>
          </w:p>
        </w:tc>
        <w:tc>
          <w:tcPr>
            <w:tcW w:w="1645" w:type="dxa"/>
            <w:vAlign w:val="center"/>
          </w:tcPr>
          <w:p>
            <w:pPr>
              <w:spacing w:line="360" w:lineRule="exact"/>
              <w:jc w:val="center"/>
              <w:rPr>
                <w:rFonts w:ascii="宋体" w:cs="宋体"/>
                <w:sz w:val="24"/>
              </w:rPr>
            </w:pPr>
            <w:bookmarkStart w:id="218" w:name="OLE_LINK10"/>
            <w:r>
              <w:rPr>
                <w:rFonts w:hint="eastAsia" w:ascii="宋体" w:cs="宋体"/>
                <w:sz w:val="24"/>
                <w:lang w:bidi="ar"/>
              </w:rPr>
              <w:t>联系方式</w:t>
            </w:r>
            <w:bookmarkEnd w:id="218"/>
          </w:p>
        </w:tc>
        <w:tc>
          <w:tcPr>
            <w:tcW w:w="1885" w:type="dxa"/>
            <w:vAlign w:val="center"/>
          </w:tcPr>
          <w:p>
            <w:pPr>
              <w:spacing w:line="360" w:lineRule="exact"/>
              <w:jc w:val="center"/>
              <w:rPr>
                <w:rFonts w:ascii="宋体" w:cs="宋体"/>
                <w:sz w:val="24"/>
              </w:rPr>
            </w:pPr>
            <w:r>
              <w:rPr>
                <w:rFonts w:hint="eastAsia" w:ascii="宋体" w:cs="宋体"/>
                <w:sz w:val="24"/>
                <w:lang w:bidi="ar"/>
              </w:rPr>
              <w:t>投标保证金</w:t>
            </w:r>
          </w:p>
        </w:tc>
        <w:tc>
          <w:tcPr>
            <w:tcW w:w="1154" w:type="dxa"/>
            <w:vAlign w:val="center"/>
          </w:tcPr>
          <w:p>
            <w:pPr>
              <w:spacing w:line="360" w:lineRule="exact"/>
              <w:jc w:val="center"/>
              <w:rPr>
                <w:rFonts w:ascii="宋体" w:cs="宋体"/>
                <w:sz w:val="24"/>
              </w:rPr>
            </w:pPr>
            <w:r>
              <w:rPr>
                <w:rFonts w:hint="eastAsia" w:ascii="宋体" w:cs="宋体"/>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857" w:type="dxa"/>
            <w:vMerge w:val="restart"/>
            <w:vAlign w:val="center"/>
          </w:tcPr>
          <w:p>
            <w:pPr>
              <w:spacing w:line="360" w:lineRule="exact"/>
              <w:jc w:val="center"/>
              <w:rPr>
                <w:rFonts w:ascii="宋体" w:cs="宋体"/>
                <w:sz w:val="24"/>
              </w:rPr>
            </w:pPr>
            <w:r>
              <w:rPr>
                <w:rFonts w:hint="eastAsia" w:ascii="宋体" w:cs="宋体"/>
                <w:sz w:val="24"/>
                <w:lang w:bidi="ar"/>
              </w:rPr>
              <w:t>1</w:t>
            </w:r>
          </w:p>
        </w:tc>
        <w:tc>
          <w:tcPr>
            <w:tcW w:w="2663" w:type="dxa"/>
            <w:vAlign w:val="center"/>
          </w:tcPr>
          <w:p>
            <w:pPr>
              <w:spacing w:line="360" w:lineRule="exact"/>
              <w:jc w:val="left"/>
              <w:rPr>
                <w:rFonts w:ascii="宋体" w:cs="宋体"/>
                <w:sz w:val="24"/>
                <w:u w:val="single"/>
              </w:rPr>
            </w:pPr>
            <w:r>
              <w:rPr>
                <w:rFonts w:hint="eastAsia" w:ascii="宋体" w:cs="宋体"/>
                <w:kern w:val="0"/>
                <w:sz w:val="24"/>
              </w:rPr>
              <w:t>小写：</w:t>
            </w:r>
            <w:r>
              <w:rPr>
                <w:rFonts w:hint="eastAsia" w:ascii="宋体" w:cs="宋体"/>
                <w:kern w:val="0"/>
                <w:sz w:val="24"/>
                <w:u w:val="single"/>
              </w:rPr>
              <w:t xml:space="preserve">            </w:t>
            </w:r>
          </w:p>
        </w:tc>
        <w:tc>
          <w:tcPr>
            <w:tcW w:w="1650" w:type="dxa"/>
            <w:vMerge w:val="restart"/>
            <w:vAlign w:val="center"/>
          </w:tcPr>
          <w:p>
            <w:pPr>
              <w:spacing w:line="360" w:lineRule="exact"/>
              <w:jc w:val="center"/>
              <w:rPr>
                <w:rFonts w:ascii="宋体" w:cs="宋体"/>
                <w:sz w:val="24"/>
              </w:rPr>
            </w:pPr>
          </w:p>
        </w:tc>
        <w:tc>
          <w:tcPr>
            <w:tcW w:w="1645" w:type="dxa"/>
            <w:vMerge w:val="restart"/>
            <w:vAlign w:val="center"/>
          </w:tcPr>
          <w:p>
            <w:pPr>
              <w:spacing w:line="360" w:lineRule="exact"/>
              <w:jc w:val="center"/>
              <w:rPr>
                <w:rFonts w:ascii="宋体" w:cs="宋体"/>
                <w:sz w:val="24"/>
              </w:rPr>
            </w:pPr>
          </w:p>
        </w:tc>
        <w:tc>
          <w:tcPr>
            <w:tcW w:w="1885" w:type="dxa"/>
            <w:vMerge w:val="restart"/>
            <w:vAlign w:val="center"/>
          </w:tcPr>
          <w:p>
            <w:pPr>
              <w:spacing w:line="360" w:lineRule="exact"/>
              <w:jc w:val="center"/>
              <w:rPr>
                <w:rFonts w:ascii="宋体" w:cs="宋体"/>
                <w:sz w:val="24"/>
              </w:rPr>
            </w:pPr>
          </w:p>
        </w:tc>
        <w:tc>
          <w:tcPr>
            <w:tcW w:w="1154" w:type="dxa"/>
            <w:vMerge w:val="restart"/>
            <w:vAlign w:val="center"/>
          </w:tcPr>
          <w:p>
            <w:pPr>
              <w:spacing w:line="3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857" w:type="dxa"/>
            <w:vMerge w:val="continue"/>
            <w:vAlign w:val="center"/>
          </w:tcPr>
          <w:p>
            <w:pPr>
              <w:spacing w:line="360" w:lineRule="exact"/>
              <w:jc w:val="center"/>
              <w:rPr>
                <w:rFonts w:ascii="宋体" w:cs="宋体"/>
                <w:sz w:val="24"/>
                <w:lang w:bidi="ar"/>
              </w:rPr>
            </w:pPr>
          </w:p>
        </w:tc>
        <w:tc>
          <w:tcPr>
            <w:tcW w:w="2663" w:type="dxa"/>
            <w:vAlign w:val="center"/>
          </w:tcPr>
          <w:p>
            <w:pPr>
              <w:spacing w:line="360" w:lineRule="exact"/>
              <w:jc w:val="left"/>
              <w:rPr>
                <w:rFonts w:ascii="宋体" w:cs="宋体"/>
                <w:sz w:val="24"/>
              </w:rPr>
            </w:pPr>
            <w:r>
              <w:rPr>
                <w:rFonts w:hint="eastAsia" w:ascii="宋体" w:cs="宋体"/>
                <w:kern w:val="0"/>
                <w:sz w:val="24"/>
              </w:rPr>
              <w:t>大写：</w:t>
            </w:r>
            <w:r>
              <w:rPr>
                <w:rFonts w:hint="eastAsia" w:ascii="宋体" w:cs="宋体"/>
                <w:kern w:val="0"/>
                <w:sz w:val="24"/>
                <w:u w:val="single"/>
              </w:rPr>
              <w:t xml:space="preserve">            </w:t>
            </w:r>
          </w:p>
        </w:tc>
        <w:tc>
          <w:tcPr>
            <w:tcW w:w="1650" w:type="dxa"/>
            <w:vMerge w:val="continue"/>
            <w:vAlign w:val="center"/>
          </w:tcPr>
          <w:p>
            <w:pPr>
              <w:spacing w:line="360" w:lineRule="exact"/>
              <w:jc w:val="center"/>
              <w:rPr>
                <w:rFonts w:ascii="宋体" w:cs="宋体"/>
                <w:sz w:val="24"/>
              </w:rPr>
            </w:pPr>
          </w:p>
        </w:tc>
        <w:tc>
          <w:tcPr>
            <w:tcW w:w="1645" w:type="dxa"/>
            <w:vMerge w:val="continue"/>
            <w:vAlign w:val="center"/>
          </w:tcPr>
          <w:p>
            <w:pPr>
              <w:spacing w:line="360" w:lineRule="exact"/>
              <w:jc w:val="center"/>
              <w:rPr>
                <w:rFonts w:ascii="宋体" w:cs="宋体"/>
                <w:sz w:val="24"/>
              </w:rPr>
            </w:pPr>
          </w:p>
        </w:tc>
        <w:tc>
          <w:tcPr>
            <w:tcW w:w="1885" w:type="dxa"/>
            <w:vMerge w:val="continue"/>
            <w:vAlign w:val="center"/>
          </w:tcPr>
          <w:p>
            <w:pPr>
              <w:spacing w:line="360" w:lineRule="exact"/>
              <w:jc w:val="center"/>
              <w:rPr>
                <w:rFonts w:ascii="宋体" w:cs="宋体"/>
                <w:sz w:val="24"/>
              </w:rPr>
            </w:pPr>
          </w:p>
        </w:tc>
        <w:tc>
          <w:tcPr>
            <w:tcW w:w="1154" w:type="dxa"/>
            <w:vMerge w:val="continue"/>
            <w:vAlign w:val="center"/>
          </w:tcPr>
          <w:p>
            <w:pPr>
              <w:spacing w:line="360" w:lineRule="exact"/>
              <w:jc w:val="center"/>
              <w:rPr>
                <w:rFonts w:ascii="宋体" w:cs="宋体"/>
                <w:sz w:val="24"/>
              </w:rPr>
            </w:pPr>
          </w:p>
        </w:tc>
      </w:tr>
    </w:tbl>
    <w:p>
      <w:pPr>
        <w:pStyle w:val="20"/>
        <w:widowControl w:val="0"/>
        <w:snapToGrid w:val="0"/>
        <w:spacing w:before="120" w:beforeLines="50" w:beforeAutospacing="0" w:after="0" w:afterAutospacing="0" w:line="360" w:lineRule="auto"/>
        <w:jc w:val="both"/>
        <w:rPr>
          <w:rFonts w:cs="宋体"/>
          <w:kern w:val="2"/>
          <w:lang w:bidi="ar"/>
        </w:rPr>
      </w:pPr>
      <w:r>
        <w:rPr>
          <w:rFonts w:hint="eastAsia" w:cs="宋体"/>
          <w:kern w:val="2"/>
          <w:lang w:bidi="ar"/>
        </w:rPr>
        <w:t>注：投标报价须包含但不限于所供系统设备的设计、制作、采购、运输、装卸、开箱、就位、安装、复原、调试、培训、安全责任、售后服务、系统对接</w:t>
      </w:r>
      <w:r>
        <w:rPr>
          <w:rFonts w:hint="eastAsia" w:cs="宋体"/>
          <w:kern w:val="2"/>
          <w:lang w:eastAsia="zh-CN" w:bidi="ar"/>
        </w:rPr>
        <w:t>、</w:t>
      </w:r>
      <w:r>
        <w:rPr>
          <w:rFonts w:hint="eastAsia" w:cs="宋体"/>
          <w:kern w:val="2"/>
          <w:lang w:val="en-US" w:eastAsia="zh-CN" w:bidi="ar"/>
        </w:rPr>
        <w:t>管理费、税金</w:t>
      </w:r>
      <w:r>
        <w:rPr>
          <w:rFonts w:hint="eastAsia" w:cs="宋体"/>
          <w:kern w:val="2"/>
          <w:lang w:bidi="ar"/>
        </w:rPr>
        <w:t>等完成本项目所需的一切费用。安装过程中招标人不负责提供任何施工工具及人工服务。本合同为固定总价合同，合同总价在合同实施期间保持不变，并不因劳务、材料机械等成本的价格变动而做任何调整。</w:t>
      </w:r>
    </w:p>
    <w:p>
      <w:pPr>
        <w:pStyle w:val="20"/>
        <w:widowControl w:val="0"/>
        <w:snapToGrid w:val="0"/>
        <w:spacing w:before="0" w:beforeAutospacing="0" w:after="0" w:afterAutospacing="0" w:line="360" w:lineRule="auto"/>
        <w:jc w:val="both"/>
        <w:rPr>
          <w:rFonts w:cs="宋体"/>
          <w:kern w:val="2"/>
          <w:lang w:bidi="ar"/>
        </w:rPr>
      </w:pPr>
    </w:p>
    <w:p>
      <w:pPr>
        <w:spacing w:line="360" w:lineRule="auto"/>
        <w:rPr>
          <w:rFonts w:ascii="宋体" w:cs="宋体"/>
          <w:sz w:val="24"/>
          <w:lang w:bidi="ar"/>
        </w:rPr>
      </w:pPr>
    </w:p>
    <w:p>
      <w:pPr>
        <w:spacing w:line="360" w:lineRule="auto"/>
        <w:rPr>
          <w:rFonts w:ascii="宋体" w:cs="宋体"/>
          <w:sz w:val="24"/>
          <w:lang w:bidi="ar"/>
        </w:rPr>
      </w:pPr>
    </w:p>
    <w:p>
      <w:pPr>
        <w:spacing w:line="360" w:lineRule="auto"/>
        <w:rPr>
          <w:rFonts w:ascii="宋体" w:cs="宋体"/>
          <w:sz w:val="24"/>
          <w:lang w:bidi="ar"/>
        </w:rPr>
      </w:pPr>
    </w:p>
    <w:tbl>
      <w:tblPr>
        <w:tblStyle w:val="24"/>
        <w:tblpPr w:leftFromText="180" w:rightFromText="180" w:vertAnchor="text" w:horzAnchor="page" w:tblpXSpec="center" w:tblpY="836"/>
        <w:tblOverlap w:val="never"/>
        <w:tblW w:w="5267" w:type="dxa"/>
        <w:tblInd w:w="0" w:type="dxa"/>
        <w:tblLayout w:type="fixed"/>
        <w:tblCellMar>
          <w:top w:w="0" w:type="dxa"/>
          <w:left w:w="108" w:type="dxa"/>
          <w:bottom w:w="0" w:type="dxa"/>
          <w:right w:w="108" w:type="dxa"/>
        </w:tblCellMar>
      </w:tblPr>
      <w:tblGrid>
        <w:gridCol w:w="5267"/>
      </w:tblGrid>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投标人：</w:t>
            </w:r>
            <w:r>
              <w:rPr>
                <w:rFonts w:hint="eastAsia" w:ascii="宋体" w:cs="宋体"/>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日  期：</w:t>
            </w:r>
            <w:r>
              <w:rPr>
                <w:rFonts w:hint="eastAsia" w:ascii="宋体" w:cs="宋体"/>
                <w:sz w:val="24"/>
                <w:u w:val="single"/>
              </w:rPr>
              <w:t xml:space="preserve">          年   月   日                          </w:t>
            </w:r>
          </w:p>
        </w:tc>
      </w:tr>
    </w:tbl>
    <w:p>
      <w:pPr>
        <w:spacing w:line="360" w:lineRule="auto"/>
        <w:rPr>
          <w:rFonts w:ascii="宋体" w:cs="宋体"/>
          <w:sz w:val="24"/>
          <w:lang w:bidi="ar"/>
        </w:rPr>
      </w:pPr>
    </w:p>
    <w:p>
      <w:pPr>
        <w:spacing w:line="360" w:lineRule="auto"/>
        <w:rPr>
          <w:rFonts w:ascii="宋体" w:cs="宋体"/>
          <w:sz w:val="24"/>
          <w:lang w:bidi="ar"/>
        </w:rPr>
      </w:pPr>
    </w:p>
    <w:p>
      <w:pPr>
        <w:spacing w:line="360" w:lineRule="auto"/>
        <w:rPr>
          <w:rFonts w:ascii="宋体" w:cs="宋体"/>
          <w:sz w:val="24"/>
          <w:lang w:bidi="ar"/>
        </w:rPr>
      </w:pPr>
    </w:p>
    <w:p>
      <w:pPr>
        <w:spacing w:line="360" w:lineRule="auto"/>
        <w:rPr>
          <w:rFonts w:ascii="宋体" w:cs="宋体"/>
          <w:sz w:val="24"/>
          <w:lang w:bidi="ar"/>
        </w:rPr>
      </w:pPr>
    </w:p>
    <w:p>
      <w:pPr>
        <w:spacing w:line="360" w:lineRule="auto"/>
        <w:jc w:val="center"/>
        <w:rPr>
          <w:rFonts w:ascii="宋体" w:cs="宋体"/>
          <w:sz w:val="24"/>
          <w:lang w:bidi="ar"/>
        </w:rPr>
        <w:sectPr>
          <w:pgSz w:w="11906" w:h="16838"/>
          <w:pgMar w:top="1236" w:right="1134" w:bottom="1134" w:left="1134" w:header="680" w:footer="680" w:gutter="0"/>
          <w:cols w:space="720" w:num="1"/>
          <w:docGrid w:linePitch="312" w:charSpace="0"/>
        </w:sectPr>
      </w:pPr>
    </w:p>
    <w:p>
      <w:pPr>
        <w:adjustRightInd w:val="0"/>
        <w:snapToGrid w:val="0"/>
        <w:spacing w:line="360" w:lineRule="auto"/>
        <w:rPr>
          <w:rFonts w:ascii="宋体" w:cs="宋体"/>
          <w:b/>
          <w:bCs/>
          <w:sz w:val="24"/>
          <w:lang w:bidi="ar"/>
        </w:rPr>
      </w:pPr>
      <w:r>
        <w:rPr>
          <w:rFonts w:hint="eastAsia" w:ascii="宋体" w:cs="宋体"/>
          <w:b/>
          <w:bCs/>
          <w:sz w:val="24"/>
          <w:lang w:bidi="ar"/>
        </w:rPr>
        <w:t>3.3投标分项报价表</w:t>
      </w:r>
    </w:p>
    <w:p>
      <w:pPr>
        <w:spacing w:line="360" w:lineRule="auto"/>
        <w:ind w:right="-21" w:rightChars="-10"/>
        <w:jc w:val="center"/>
        <w:rPr>
          <w:rFonts w:ascii="宋体" w:cs="宋体"/>
          <w:b/>
          <w:bCs/>
          <w:sz w:val="24"/>
          <w:lang w:bidi="ar"/>
        </w:rPr>
      </w:pPr>
      <w:r>
        <w:rPr>
          <w:rFonts w:hint="eastAsia" w:ascii="宋体" w:cs="宋体"/>
          <w:b/>
          <w:bCs/>
          <w:sz w:val="24"/>
          <w:lang w:bidi="ar"/>
        </w:rPr>
        <w:t>投标分项报价表</w:t>
      </w:r>
    </w:p>
    <w:p>
      <w:pPr>
        <w:spacing w:line="360" w:lineRule="auto"/>
        <w:rPr>
          <w:rFonts w:ascii="宋体" w:cs="宋体"/>
          <w:sz w:val="24"/>
        </w:rPr>
      </w:pPr>
      <w:r>
        <w:rPr>
          <w:rFonts w:hint="eastAsia" w:ascii="宋体" w:cs="宋体"/>
          <w:sz w:val="24"/>
          <w:lang w:bidi="ar"/>
        </w:rPr>
        <w:t>项目名称：</w:t>
      </w:r>
      <w:r>
        <w:rPr>
          <w:rFonts w:hint="eastAsia" w:ascii="宋体" w:cs="宋体"/>
          <w:sz w:val="24"/>
          <w:u w:val="single"/>
          <w:lang w:bidi="ar"/>
        </w:rPr>
        <w:t xml:space="preserve">                              </w:t>
      </w:r>
      <w:r>
        <w:rPr>
          <w:rFonts w:hint="eastAsia" w:ascii="宋体" w:cs="宋体"/>
          <w:sz w:val="24"/>
          <w:lang w:bidi="ar"/>
        </w:rPr>
        <w:t>招标编号：</w:t>
      </w:r>
      <w:r>
        <w:rPr>
          <w:rFonts w:hint="eastAsia" w:ascii="宋体" w:cs="宋体"/>
          <w:sz w:val="24"/>
          <w:u w:val="single"/>
          <w:lang w:bidi="ar"/>
        </w:rPr>
        <w:t xml:space="preserve">                      </w:t>
      </w:r>
    </w:p>
    <w:tbl>
      <w:tblPr>
        <w:tblStyle w:val="2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699"/>
        <w:gridCol w:w="1307"/>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品名</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单位</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单价（元）</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852" w:type="dxa"/>
            <w:gridSpan w:val="6"/>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机械部分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多穿库区</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3300</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货位</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高速双升提升机</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台</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件烟多穿车小车</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台</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垛烟传输设备</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件烟传输设备</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关节机械手（视觉）</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柔性件烟存储道</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20</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道</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重力式存储道</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9</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道</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9</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条烟卧式分拣机</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组</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2" w:type="dxa"/>
            <w:gridSpan w:val="6"/>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ascii="Times New Roman" w:hAnsi="Times New Roman" w:eastAsia="宋体"/>
                <w:sz w:val="24"/>
                <w:szCs w:val="24"/>
              </w:rPr>
              <w:t>1</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库区信息及控制系统</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ascii="Times New Roman" w:hAnsi="Times New Roman" w:eastAsia="宋体"/>
                <w:sz w:val="24"/>
                <w:szCs w:val="24"/>
              </w:rPr>
              <w:t>2</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补货信息及控制系统</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ascii="Times New Roman" w:hAnsi="Times New Roman" w:eastAsia="宋体"/>
                <w:sz w:val="24"/>
                <w:szCs w:val="24"/>
              </w:rPr>
              <w:t>3</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件烟扫描器及支架</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套</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2" w:type="dxa"/>
            <w:gridSpan w:val="6"/>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b/>
                <w:sz w:val="24"/>
                <w:szCs w:val="24"/>
              </w:rPr>
            </w:pPr>
            <w:r>
              <w:rPr>
                <w:rFonts w:hint="eastAsia" w:ascii="Times New Roman" w:hAnsi="Times New Roman" w:eastAsia="宋体"/>
                <w:b/>
                <w:sz w:val="24"/>
                <w:szCs w:val="24"/>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线材、辅料及检修平台</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项</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99"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rPr>
                <w:rFonts w:ascii="Times New Roman" w:hAnsi="Times New Roman" w:eastAsia="宋体"/>
                <w:sz w:val="24"/>
                <w:szCs w:val="24"/>
              </w:rPr>
            </w:pPr>
            <w:r>
              <w:rPr>
                <w:rFonts w:hint="eastAsia" w:ascii="Times New Roman" w:hAnsi="Times New Roman" w:eastAsia="宋体"/>
                <w:sz w:val="24"/>
                <w:szCs w:val="24"/>
              </w:rPr>
              <w:t>安装调试、运输保险</w:t>
            </w:r>
            <w:r>
              <w:rPr>
                <w:rFonts w:ascii="Times New Roman" w:hAnsi="Times New Roman" w:eastAsia="宋体"/>
                <w:sz w:val="24"/>
                <w:szCs w:val="24"/>
              </w:rPr>
              <w:t>、集成协调费、设备所需的供气、供电、防护栏、宣传隔离等相关配套建设工程</w:t>
            </w:r>
          </w:p>
        </w:tc>
        <w:tc>
          <w:tcPr>
            <w:tcW w:w="1307"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项</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9" w:type="dxa"/>
            <w:gridSpan w:val="5"/>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r>
              <w:rPr>
                <w:rFonts w:hint="eastAsia" w:ascii="Times New Roman" w:hAnsi="Times New Roman" w:eastAsia="宋体"/>
                <w:sz w:val="24"/>
                <w:szCs w:val="24"/>
              </w:rPr>
              <w:t>合计</w:t>
            </w:r>
          </w:p>
        </w:tc>
        <w:tc>
          <w:tcPr>
            <w:tcW w:w="1323" w:type="dxa"/>
            <w:tcBorders>
              <w:top w:val="single" w:color="auto" w:sz="4" w:space="0"/>
              <w:left w:val="single" w:color="auto" w:sz="4" w:space="0"/>
              <w:bottom w:val="single" w:color="auto" w:sz="4" w:space="0"/>
              <w:right w:val="single" w:color="auto" w:sz="4" w:space="0"/>
            </w:tcBorders>
            <w:vAlign w:val="center"/>
          </w:tcPr>
          <w:p>
            <w:pPr>
              <w:pStyle w:val="48"/>
              <w:spacing w:line="360" w:lineRule="exact"/>
              <w:jc w:val="center"/>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2"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cstheme="minorBidi"/>
                <w:sz w:val="24"/>
              </w:rPr>
            </w:pPr>
            <w:r>
              <w:rPr>
                <w:rFonts w:hint="eastAsia" w:cstheme="minorBidi"/>
                <w:sz w:val="24"/>
              </w:rPr>
              <w:t>注：</w:t>
            </w:r>
          </w:p>
          <w:p>
            <w:pPr>
              <w:spacing w:line="360" w:lineRule="exact"/>
              <w:rPr>
                <w:rFonts w:cstheme="minorBidi"/>
                <w:sz w:val="24"/>
              </w:rPr>
            </w:pPr>
            <w:r>
              <w:rPr>
                <w:rFonts w:hint="eastAsia" w:cstheme="minorBidi"/>
                <w:sz w:val="24"/>
              </w:rPr>
              <w:t>1、设备明细包括但不限于此设备清单列举设备明细。</w:t>
            </w:r>
          </w:p>
          <w:p>
            <w:pPr>
              <w:spacing w:line="360" w:lineRule="exact"/>
              <w:rPr>
                <w:rFonts w:cstheme="minorBidi"/>
                <w:sz w:val="24"/>
              </w:rPr>
            </w:pPr>
            <w:r>
              <w:rPr>
                <w:rFonts w:hint="eastAsia" w:cstheme="minorBidi"/>
                <w:sz w:val="24"/>
              </w:rPr>
              <w:t>2、经招标人同意，中标人可根据实际情况对招标内容进行方案优化，优化方案必须符合烟草行业相关规范、文件，满足整体系统正常运行、设备整体验收要求。</w:t>
            </w:r>
          </w:p>
        </w:tc>
      </w:tr>
    </w:tbl>
    <w:p>
      <w:pPr>
        <w:pStyle w:val="20"/>
        <w:widowControl w:val="0"/>
        <w:snapToGrid w:val="0"/>
        <w:spacing w:before="120" w:beforeLines="50" w:beforeAutospacing="0" w:after="0" w:afterAutospacing="0" w:line="360" w:lineRule="auto"/>
        <w:jc w:val="both"/>
        <w:rPr>
          <w:rFonts w:cs="宋体"/>
          <w:kern w:val="2"/>
        </w:rPr>
      </w:pPr>
      <w:r>
        <w:rPr>
          <w:rFonts w:hint="eastAsia" w:cs="宋体"/>
          <w:kern w:val="2"/>
          <w:lang w:bidi="ar"/>
        </w:rPr>
        <w:t>注：本表中“合计”</w:t>
      </w:r>
      <w:r>
        <w:rPr>
          <w:rFonts w:hint="eastAsia" w:cs="宋体"/>
          <w:lang w:bidi="ar"/>
        </w:rPr>
        <w:t>应与《开标一览表》中“投标报价（元）”一致。</w:t>
      </w:r>
    </w:p>
    <w:tbl>
      <w:tblPr>
        <w:tblStyle w:val="24"/>
        <w:tblpPr w:leftFromText="180" w:rightFromText="180" w:vertAnchor="text" w:horzAnchor="page" w:tblpX="5627" w:tblpY="94"/>
        <w:tblOverlap w:val="never"/>
        <w:tblW w:w="5267" w:type="dxa"/>
        <w:tblInd w:w="0" w:type="dxa"/>
        <w:tblLayout w:type="fixed"/>
        <w:tblCellMar>
          <w:top w:w="0" w:type="dxa"/>
          <w:left w:w="108" w:type="dxa"/>
          <w:bottom w:w="0" w:type="dxa"/>
          <w:right w:w="108" w:type="dxa"/>
        </w:tblCellMar>
      </w:tblPr>
      <w:tblGrid>
        <w:gridCol w:w="5267"/>
      </w:tblGrid>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投标人：</w:t>
            </w:r>
            <w:r>
              <w:rPr>
                <w:rFonts w:hint="eastAsia" w:ascii="宋体" w:cs="宋体"/>
                <w:sz w:val="24"/>
                <w:u w:val="single"/>
              </w:rPr>
              <w:t xml:space="preserve">         （盖单位公章）                       </w:t>
            </w:r>
          </w:p>
        </w:tc>
      </w:tr>
      <w:tr>
        <w:tblPrEx>
          <w:tblCellMar>
            <w:top w:w="0" w:type="dxa"/>
            <w:left w:w="108" w:type="dxa"/>
            <w:bottom w:w="0" w:type="dxa"/>
            <w:right w:w="108" w:type="dxa"/>
          </w:tblCellMar>
        </w:tblPrEx>
        <w:tc>
          <w:tcPr>
            <w:tcW w:w="5267" w:type="dxa"/>
            <w:tcBorders>
              <w:top w:val="nil"/>
              <w:left w:val="nil"/>
              <w:bottom w:val="nil"/>
              <w:right w:val="nil"/>
            </w:tcBorders>
          </w:tcPr>
          <w:p>
            <w:pPr>
              <w:spacing w:line="360" w:lineRule="auto"/>
              <w:rPr>
                <w:rFonts w:ascii="宋体" w:cs="宋体"/>
                <w:sz w:val="24"/>
              </w:rPr>
            </w:pPr>
            <w:r>
              <w:rPr>
                <w:rFonts w:hint="eastAsia" w:ascii="宋体" w:cs="宋体"/>
                <w:sz w:val="24"/>
              </w:rPr>
              <w:t>日  期：</w:t>
            </w:r>
            <w:r>
              <w:rPr>
                <w:rFonts w:hint="eastAsia" w:ascii="宋体" w:cs="宋体"/>
                <w:sz w:val="24"/>
                <w:u w:val="single"/>
              </w:rPr>
              <w:t xml:space="preserve">          年   月   日                          </w:t>
            </w:r>
          </w:p>
        </w:tc>
      </w:tr>
    </w:tbl>
    <w:p>
      <w:pPr>
        <w:pStyle w:val="20"/>
        <w:widowControl w:val="0"/>
        <w:snapToGrid w:val="0"/>
        <w:spacing w:before="0" w:beforeAutospacing="0" w:after="0" w:afterAutospacing="0" w:line="360" w:lineRule="exact"/>
        <w:jc w:val="both"/>
        <w:rPr>
          <w:rFonts w:cs="宋体"/>
          <w:lang w:bidi="ar"/>
        </w:rPr>
      </w:pPr>
    </w:p>
    <w:p>
      <w:pPr>
        <w:spacing w:line="440" w:lineRule="exact"/>
        <w:rPr>
          <w:rFonts w:ascii="宋体" w:cs="宋体"/>
          <w:sz w:val="24"/>
        </w:rPr>
      </w:pPr>
    </w:p>
    <w:p>
      <w:pPr>
        <w:spacing w:line="440" w:lineRule="exact"/>
        <w:rPr>
          <w:rFonts w:ascii="宋体" w:cs="宋体"/>
          <w:sz w:val="24"/>
        </w:rPr>
      </w:pPr>
    </w:p>
    <w:sectPr>
      <w:pgSz w:w="11906" w:h="16838"/>
      <w:pgMar w:top="1236" w:right="1134" w:bottom="1134" w:left="1134"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昆仑楷体">
    <w:altName w:val="微软雅黑"/>
    <w:panose1 w:val="00000000000000000000"/>
    <w:charset w:val="00"/>
    <w:family w:val="auto"/>
    <w:pitch w:val="default"/>
    <w:sig w:usb0="00000000" w:usb1="00000000" w:usb2="00000010" w:usb3="00000000" w:csb0="00040000" w:csb1="00000000"/>
  </w:font>
  <w:font w:name="Courier">
    <w:panose1 w:val="02060409020205020404"/>
    <w:charset w:val="00"/>
    <w:family w:val="modern"/>
    <w:pitch w:val="default"/>
    <w:sig w:usb0="00000007"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汉仪书宋二S">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ind w:right="360" w:firstLine="416"/>
      <w:rPr>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416"/>
      <w:jc w:val="both"/>
      <w:rPr>
        <w:b/>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2185" cy="147955"/>
              <wp:effectExtent l="0" t="0" r="2540" b="0"/>
              <wp:wrapNone/>
              <wp:docPr id="70998329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76.55pt;mso-position-horizontal:center;mso-position-horizontal-relative:margin;mso-wrap-style:none;z-index:25166438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SdpNDSAAAABAEAAA8AAAAAAAAA&#10;AQAgAAAAIgAAAGRycy9kb3ducmV2LnhtbFBLAQIUABQAAAAIAIdO4kAKvF7RFwIAABgEAAAOAAAA&#10;AAAAAAEAIAAAACEBAABkcnMvZTJvRG9jLnhtbFBLBQYAAAAABgAGAFkBAACq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vanish/>
      </w:rPr>
      <w:t xml:space="preserve"> </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separate"/>
    </w:r>
    <w:r>
      <w:rPr>
        <w:vanish/>
      </w:rPr>
      <w:t xml:space="preserve"> </w:t>
    </w:r>
    <w:r>
      <w:fldChar w:fldCharType="end"/>
    </w:r>
  </w:p>
  <w:p>
    <w:pPr>
      <w:pStyle w:val="37"/>
      <w:framePr w:wrap="around" w:vAnchor="text" w:hAnchor="margin" w:xAlign="center" w:y="1"/>
      <w:rPr>
        <w:rStyle w:val="38"/>
      </w:rPr>
    </w:pPr>
    <w:r>
      <w:fldChar w:fldCharType="begin"/>
    </w:r>
    <w:r>
      <w:rPr>
        <w:rStyle w:val="38"/>
      </w:rPr>
      <w:instrText xml:space="preserve">PAGE  </w:instrText>
    </w:r>
    <w:r>
      <w:fldChar w:fldCharType="separate"/>
    </w:r>
    <w:r>
      <w:rPr>
        <w:vanish/>
      </w:rPr>
      <w:t xml:space="preserve"> </w:t>
    </w:r>
    <w:r>
      <w:fldChar w:fldCharType="end"/>
    </w:r>
  </w:p>
  <w:p>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Style w:val="27"/>
        <w:rFonts w:hint="eastAsia"/>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47955"/>
              <wp:effectExtent l="3175" t="0" r="0" b="0"/>
              <wp:wrapNone/>
              <wp:docPr id="41015181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72.05pt;mso-position-horizontal:center;mso-position-horizontal-relative:margin;mso-wrap-style:none;z-index:251661312;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7eqt9IAAAAEAQAADwAAAAAAAAAB&#10;ACAAAAAiAAAAZHJzL2Rvd25yZXYueG1sUEsBAhQAFAAAAAgAh07iQI5J3xEWAgAAGAQAAA4AAAAA&#10;AAAAAQAgAAAAIQEAAGRycy9lMm9Eb2MueG1sUEsFBgAAAAAGAAYAWQEAAKk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416"/>
      <w:jc w:val="center"/>
      <w:rPr>
        <w:b/>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2540" b="0"/>
              <wp:wrapNone/>
              <wp:docPr id="82649787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SdpNDSAAAABAEAAA8AAAAAAAAA&#10;AQAgAAAAIgAAAGRycy9kb3ducmV2LnhtbFBLAQIUABQAAAAIAIdO4kBpikfnFwIAABgEAAAOAAAA&#10;AAAAAAEAIAAAACEBAABkcnMvZTJvRG9jLnhtbFBLBQYAAAAABgAGAFkBAACq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416"/>
      <w:jc w:val="both"/>
      <w:rPr>
        <w:b/>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147955"/>
              <wp:effectExtent l="0" t="0" r="2540" b="0"/>
              <wp:wrapNone/>
              <wp:docPr id="116713622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63360;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SdpNDSAAAABAEAAA8AAAAAAAAA&#10;AQAgAAAAIgAAAGRycy9kb3ducmV2LnhtbFBLAQIUABQAAAAIAIdO4kDF/EHhFwIAABkEAAAOAAAA&#10;AAAAAAEAIAAAACEBAABkcnMvZTJvRG9jLnhtbFBLBQYAAAAABgAGAFkBAACq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271" w:firstLineChars="150"/>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39"/>
      <w:lvlText w:val="第%1条"/>
      <w:lvlJc w:val="left"/>
      <w:pPr>
        <w:tabs>
          <w:tab w:val="left" w:pos="2850"/>
        </w:tabs>
        <w:ind w:left="2850" w:hanging="1770"/>
      </w:pPr>
      <w:rPr>
        <w:rFonts w:hint="eastAsia" w:ascii="黑体" w:hAnsi="黑体" w:eastAsia="黑体"/>
        <w:b/>
        <w:i w:val="0"/>
        <w:sz w:val="32"/>
        <w:szCs w:val="32"/>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ACA1F7D"/>
    <w:multiLevelType w:val="multilevel"/>
    <w:tmpl w:val="3ACA1F7D"/>
    <w:lvl w:ilvl="0" w:tentative="0">
      <w:start w:val="1"/>
      <w:numFmt w:val="chineseCountingThousand"/>
      <w:lvlText w:val="第%1条"/>
      <w:lvlJc w:val="left"/>
      <w:pPr>
        <w:ind w:left="902" w:hanging="420"/>
      </w:pPr>
      <w:rPr>
        <w:rFonts w:hint="eastAsia"/>
        <w:b/>
        <w:i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iMGYxNTZiZjBhNWNhZTViMjk5MWFkNmQwMzJhZTMifQ=="/>
  </w:docVars>
  <w:rsids>
    <w:rsidRoot w:val="00956515"/>
    <w:rsid w:val="000209D0"/>
    <w:rsid w:val="000328D3"/>
    <w:rsid w:val="0005566C"/>
    <w:rsid w:val="00074F4E"/>
    <w:rsid w:val="000752BF"/>
    <w:rsid w:val="00112E10"/>
    <w:rsid w:val="00140D51"/>
    <w:rsid w:val="00197AFA"/>
    <w:rsid w:val="001D0512"/>
    <w:rsid w:val="001D181E"/>
    <w:rsid w:val="002036B8"/>
    <w:rsid w:val="00250F31"/>
    <w:rsid w:val="002755C7"/>
    <w:rsid w:val="00283304"/>
    <w:rsid w:val="00283415"/>
    <w:rsid w:val="002A4B9B"/>
    <w:rsid w:val="002B2A93"/>
    <w:rsid w:val="002E09EA"/>
    <w:rsid w:val="0030067B"/>
    <w:rsid w:val="00372376"/>
    <w:rsid w:val="00382E20"/>
    <w:rsid w:val="00385BFA"/>
    <w:rsid w:val="00385E50"/>
    <w:rsid w:val="00394AD9"/>
    <w:rsid w:val="003F4AAA"/>
    <w:rsid w:val="00471703"/>
    <w:rsid w:val="004748E5"/>
    <w:rsid w:val="00496943"/>
    <w:rsid w:val="004E3EDF"/>
    <w:rsid w:val="00525DAA"/>
    <w:rsid w:val="00540454"/>
    <w:rsid w:val="005502C8"/>
    <w:rsid w:val="005538CD"/>
    <w:rsid w:val="00585AC6"/>
    <w:rsid w:val="005904E8"/>
    <w:rsid w:val="00594908"/>
    <w:rsid w:val="005F049F"/>
    <w:rsid w:val="005F3B0F"/>
    <w:rsid w:val="00662C3D"/>
    <w:rsid w:val="006D38A1"/>
    <w:rsid w:val="006D6B33"/>
    <w:rsid w:val="007115BC"/>
    <w:rsid w:val="00727535"/>
    <w:rsid w:val="00755AC6"/>
    <w:rsid w:val="007759E2"/>
    <w:rsid w:val="007827AB"/>
    <w:rsid w:val="007C7806"/>
    <w:rsid w:val="007D2F6E"/>
    <w:rsid w:val="008448CC"/>
    <w:rsid w:val="00847DCA"/>
    <w:rsid w:val="008A401B"/>
    <w:rsid w:val="008E48F5"/>
    <w:rsid w:val="008F41A7"/>
    <w:rsid w:val="009201B5"/>
    <w:rsid w:val="009274BF"/>
    <w:rsid w:val="00947C12"/>
    <w:rsid w:val="00956515"/>
    <w:rsid w:val="009C4286"/>
    <w:rsid w:val="009F0AA3"/>
    <w:rsid w:val="00A079D2"/>
    <w:rsid w:val="00A27E73"/>
    <w:rsid w:val="00A3520B"/>
    <w:rsid w:val="00A83F19"/>
    <w:rsid w:val="00A90FEA"/>
    <w:rsid w:val="00A96D4E"/>
    <w:rsid w:val="00A97F1F"/>
    <w:rsid w:val="00AB1025"/>
    <w:rsid w:val="00AD6C99"/>
    <w:rsid w:val="00AF03DB"/>
    <w:rsid w:val="00B010E2"/>
    <w:rsid w:val="00B0673C"/>
    <w:rsid w:val="00B82242"/>
    <w:rsid w:val="00C066AB"/>
    <w:rsid w:val="00C07F0D"/>
    <w:rsid w:val="00C200D4"/>
    <w:rsid w:val="00C24CFE"/>
    <w:rsid w:val="00C278AD"/>
    <w:rsid w:val="00C32953"/>
    <w:rsid w:val="00C73161"/>
    <w:rsid w:val="00C932EB"/>
    <w:rsid w:val="00CD5EED"/>
    <w:rsid w:val="00D17555"/>
    <w:rsid w:val="00D352A4"/>
    <w:rsid w:val="00D978FC"/>
    <w:rsid w:val="00DE48D6"/>
    <w:rsid w:val="00E05438"/>
    <w:rsid w:val="00E50965"/>
    <w:rsid w:val="00E76016"/>
    <w:rsid w:val="00E77737"/>
    <w:rsid w:val="00EC136B"/>
    <w:rsid w:val="00ED5FBB"/>
    <w:rsid w:val="00F60D7E"/>
    <w:rsid w:val="00F67B40"/>
    <w:rsid w:val="00F923FF"/>
    <w:rsid w:val="00FF7E01"/>
    <w:rsid w:val="02313FA6"/>
    <w:rsid w:val="024E08E6"/>
    <w:rsid w:val="03EE3EEF"/>
    <w:rsid w:val="04A50697"/>
    <w:rsid w:val="0518778B"/>
    <w:rsid w:val="0540041A"/>
    <w:rsid w:val="055D0063"/>
    <w:rsid w:val="06DD263D"/>
    <w:rsid w:val="075C5614"/>
    <w:rsid w:val="07606690"/>
    <w:rsid w:val="081441B7"/>
    <w:rsid w:val="090009D1"/>
    <w:rsid w:val="0A4B5ADC"/>
    <w:rsid w:val="0B314E11"/>
    <w:rsid w:val="0B9A57CE"/>
    <w:rsid w:val="0C403756"/>
    <w:rsid w:val="0D5F0010"/>
    <w:rsid w:val="0DEC3853"/>
    <w:rsid w:val="0F31382A"/>
    <w:rsid w:val="0F5B7A33"/>
    <w:rsid w:val="0F87444A"/>
    <w:rsid w:val="0F9F2FC0"/>
    <w:rsid w:val="0FFE190C"/>
    <w:rsid w:val="10D13E96"/>
    <w:rsid w:val="11177722"/>
    <w:rsid w:val="1129454A"/>
    <w:rsid w:val="118321A0"/>
    <w:rsid w:val="12DB32A6"/>
    <w:rsid w:val="13876B8F"/>
    <w:rsid w:val="14450C04"/>
    <w:rsid w:val="14C83F3F"/>
    <w:rsid w:val="16190C23"/>
    <w:rsid w:val="166A6CC1"/>
    <w:rsid w:val="16D3013B"/>
    <w:rsid w:val="17181F29"/>
    <w:rsid w:val="1864326F"/>
    <w:rsid w:val="196D6F0D"/>
    <w:rsid w:val="19A96874"/>
    <w:rsid w:val="19D43E16"/>
    <w:rsid w:val="1A0933D9"/>
    <w:rsid w:val="1A4A624F"/>
    <w:rsid w:val="1A503022"/>
    <w:rsid w:val="1B1F3BFD"/>
    <w:rsid w:val="1B206835"/>
    <w:rsid w:val="1B367B80"/>
    <w:rsid w:val="1B5257EF"/>
    <w:rsid w:val="1BF9306A"/>
    <w:rsid w:val="1C2C344C"/>
    <w:rsid w:val="1D5F1641"/>
    <w:rsid w:val="1D947FCA"/>
    <w:rsid w:val="1E4A4A72"/>
    <w:rsid w:val="1E935B47"/>
    <w:rsid w:val="1EC80604"/>
    <w:rsid w:val="1EDF0BAD"/>
    <w:rsid w:val="24560BBB"/>
    <w:rsid w:val="2599456E"/>
    <w:rsid w:val="268F5C61"/>
    <w:rsid w:val="28402562"/>
    <w:rsid w:val="2A0204D0"/>
    <w:rsid w:val="2AA809EC"/>
    <w:rsid w:val="2B1E5F4A"/>
    <w:rsid w:val="2C347956"/>
    <w:rsid w:val="2C4202AD"/>
    <w:rsid w:val="2C7A1B9F"/>
    <w:rsid w:val="2D1265F1"/>
    <w:rsid w:val="30133770"/>
    <w:rsid w:val="304E7F5C"/>
    <w:rsid w:val="309858D0"/>
    <w:rsid w:val="3213312A"/>
    <w:rsid w:val="32620DED"/>
    <w:rsid w:val="32891103"/>
    <w:rsid w:val="35003012"/>
    <w:rsid w:val="35677EEE"/>
    <w:rsid w:val="357A1C45"/>
    <w:rsid w:val="368176EB"/>
    <w:rsid w:val="3747503C"/>
    <w:rsid w:val="3960560F"/>
    <w:rsid w:val="398C1A60"/>
    <w:rsid w:val="399035CA"/>
    <w:rsid w:val="39F61705"/>
    <w:rsid w:val="3AB679F0"/>
    <w:rsid w:val="3BAB0D0E"/>
    <w:rsid w:val="3D0C3209"/>
    <w:rsid w:val="3E024868"/>
    <w:rsid w:val="3E977F00"/>
    <w:rsid w:val="40805505"/>
    <w:rsid w:val="40D1775C"/>
    <w:rsid w:val="41742D9E"/>
    <w:rsid w:val="42B55700"/>
    <w:rsid w:val="437F04DD"/>
    <w:rsid w:val="43813320"/>
    <w:rsid w:val="4458085E"/>
    <w:rsid w:val="46993632"/>
    <w:rsid w:val="470A6089"/>
    <w:rsid w:val="47103DF2"/>
    <w:rsid w:val="473D42D9"/>
    <w:rsid w:val="48211E54"/>
    <w:rsid w:val="48653621"/>
    <w:rsid w:val="48F33B3A"/>
    <w:rsid w:val="4A4641BE"/>
    <w:rsid w:val="4AE14E5D"/>
    <w:rsid w:val="4D97587A"/>
    <w:rsid w:val="4E1E3790"/>
    <w:rsid w:val="4ECF50CE"/>
    <w:rsid w:val="4FB56C3C"/>
    <w:rsid w:val="4FBA24A4"/>
    <w:rsid w:val="50A0227D"/>
    <w:rsid w:val="51990D68"/>
    <w:rsid w:val="522B51D0"/>
    <w:rsid w:val="526D41D2"/>
    <w:rsid w:val="570F5450"/>
    <w:rsid w:val="585E27AC"/>
    <w:rsid w:val="586157BF"/>
    <w:rsid w:val="58D90285"/>
    <w:rsid w:val="59B631B4"/>
    <w:rsid w:val="5BB739E3"/>
    <w:rsid w:val="5C455FC2"/>
    <w:rsid w:val="5D6C4D01"/>
    <w:rsid w:val="5E32179D"/>
    <w:rsid w:val="5EFA466C"/>
    <w:rsid w:val="5F0648CE"/>
    <w:rsid w:val="5FDD7D74"/>
    <w:rsid w:val="5FE52007"/>
    <w:rsid w:val="60061FAD"/>
    <w:rsid w:val="642338B6"/>
    <w:rsid w:val="65CA788D"/>
    <w:rsid w:val="6808683B"/>
    <w:rsid w:val="68CA7877"/>
    <w:rsid w:val="693B148D"/>
    <w:rsid w:val="695232F6"/>
    <w:rsid w:val="69E84D63"/>
    <w:rsid w:val="6A016CBF"/>
    <w:rsid w:val="6B473391"/>
    <w:rsid w:val="6C06078B"/>
    <w:rsid w:val="6C3B6F8C"/>
    <w:rsid w:val="6CE230AB"/>
    <w:rsid w:val="6E885915"/>
    <w:rsid w:val="6F4B4650"/>
    <w:rsid w:val="715A7454"/>
    <w:rsid w:val="72720E9A"/>
    <w:rsid w:val="72D628A4"/>
    <w:rsid w:val="737A0927"/>
    <w:rsid w:val="740D5217"/>
    <w:rsid w:val="742264E5"/>
    <w:rsid w:val="76C54EF2"/>
    <w:rsid w:val="79BF117C"/>
    <w:rsid w:val="7A2158DD"/>
    <w:rsid w:val="7B252496"/>
    <w:rsid w:val="7D324845"/>
    <w:rsid w:val="7E01111B"/>
    <w:rsid w:val="7FA6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b/>
      <w:kern w:val="44"/>
      <w:sz w:val="36"/>
      <w:szCs w:val="20"/>
    </w:rPr>
  </w:style>
  <w:style w:type="paragraph" w:styleId="3">
    <w:name w:val="heading 2"/>
    <w:basedOn w:val="1"/>
    <w:next w:val="1"/>
    <w:autoRedefine/>
    <w:qFormat/>
    <w:uiPriority w:val="0"/>
    <w:pPr>
      <w:keepNext/>
      <w:keepLines/>
      <w:spacing w:line="360" w:lineRule="auto"/>
      <w:jc w:val="center"/>
      <w:outlineLvl w:val="1"/>
    </w:pPr>
    <w:rPr>
      <w:rFonts w:ascii="Arial" w:hAnsi="Arial"/>
      <w:b/>
      <w:sz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200" w:firstLineChars="200"/>
    </w:pPr>
    <w:rPr>
      <w:szCs w:val="21"/>
    </w:rPr>
  </w:style>
  <w:style w:type="paragraph" w:styleId="6">
    <w:name w:val="Body Text Indent"/>
    <w:basedOn w:val="1"/>
    <w:next w:val="5"/>
    <w:autoRedefine/>
    <w:qFormat/>
    <w:uiPriority w:val="0"/>
    <w:pPr>
      <w:ind w:left="134" w:leftChars="134"/>
    </w:pPr>
    <w:rPr>
      <w:sz w:val="28"/>
    </w:rPr>
  </w:style>
  <w:style w:type="paragraph" w:styleId="7">
    <w:name w:val="annotation text"/>
    <w:basedOn w:val="1"/>
    <w:autoRedefine/>
    <w:qFormat/>
    <w:uiPriority w:val="0"/>
    <w:pPr>
      <w:jc w:val="left"/>
    </w:pPr>
    <w:rPr>
      <w:rFonts w:ascii="Calibri" w:hAnsi="Calibri"/>
    </w:rPr>
  </w:style>
  <w:style w:type="paragraph" w:styleId="8">
    <w:name w:val="Body Text"/>
    <w:basedOn w:val="1"/>
    <w:next w:val="9"/>
    <w:link w:val="45"/>
    <w:autoRedefine/>
    <w:qFormat/>
    <w:uiPriority w:val="0"/>
    <w:pPr>
      <w:spacing w:line="360" w:lineRule="auto"/>
    </w:pPr>
    <w:rPr>
      <w:rFonts w:eastAsia="黑体"/>
      <w:b/>
      <w:spacing w:val="6"/>
      <w:sz w:val="36"/>
      <w:szCs w:val="20"/>
    </w:rPr>
  </w:style>
  <w:style w:type="paragraph" w:styleId="9">
    <w:name w:val="Body Text First Indent"/>
    <w:basedOn w:val="8"/>
    <w:next w:val="10"/>
    <w:link w:val="46"/>
    <w:autoRedefine/>
    <w:semiHidden/>
    <w:unhideWhenUsed/>
    <w:qFormat/>
    <w:uiPriority w:val="99"/>
    <w:pPr>
      <w:spacing w:after="120" w:line="240" w:lineRule="auto"/>
      <w:ind w:firstLine="420" w:firstLineChars="100"/>
    </w:pPr>
    <w:rPr>
      <w:rFonts w:eastAsia="宋体"/>
      <w:b w:val="0"/>
      <w:spacing w:val="0"/>
      <w:sz w:val="21"/>
      <w:szCs w:val="24"/>
    </w:rPr>
  </w:style>
  <w:style w:type="paragraph" w:styleId="10">
    <w:name w:val="toc 6"/>
    <w:basedOn w:val="1"/>
    <w:next w:val="1"/>
    <w:autoRedefine/>
    <w:qFormat/>
    <w:uiPriority w:val="0"/>
    <w:pPr>
      <w:ind w:left="2100" w:leftChars="1000"/>
    </w:pPr>
  </w:style>
  <w:style w:type="paragraph" w:styleId="11">
    <w:name w:val="Plain Text"/>
    <w:basedOn w:val="1"/>
    <w:autoRedefine/>
    <w:qFormat/>
    <w:uiPriority w:val="0"/>
    <w:rPr>
      <w:rFonts w:ascii="宋体"/>
      <w:szCs w:val="20"/>
    </w:rPr>
  </w:style>
  <w:style w:type="paragraph" w:styleId="12">
    <w:name w:val="Date"/>
    <w:basedOn w:val="1"/>
    <w:next w:val="1"/>
    <w:autoRedefine/>
    <w:qFormat/>
    <w:uiPriority w:val="0"/>
    <w:pPr>
      <w:ind w:left="2500" w:leftChars="2500"/>
    </w:p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Body Text Indent 3"/>
    <w:basedOn w:val="1"/>
    <w:autoRedefine/>
    <w:unhideWhenUsed/>
    <w:qFormat/>
    <w:uiPriority w:val="99"/>
    <w:pPr>
      <w:spacing w:after="120"/>
      <w:ind w:left="420" w:leftChars="200"/>
    </w:pPr>
    <w:rPr>
      <w:sz w:val="16"/>
      <w:szCs w:val="16"/>
    </w:rPr>
  </w:style>
  <w:style w:type="paragraph" w:styleId="18">
    <w:name w:val="toc 2"/>
    <w:basedOn w:val="1"/>
    <w:next w:val="1"/>
    <w:autoRedefine/>
    <w:unhideWhenUsed/>
    <w:qFormat/>
    <w:uiPriority w:val="39"/>
    <w:pPr>
      <w:ind w:left="420" w:leftChars="20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kern w:val="0"/>
      <w:sz w:val="24"/>
    </w:rPr>
  </w:style>
  <w:style w:type="paragraph" w:styleId="21">
    <w:name w:val="annotation subject"/>
    <w:basedOn w:val="7"/>
    <w:next w:val="7"/>
    <w:autoRedefine/>
    <w:qFormat/>
    <w:uiPriority w:val="0"/>
    <w:rPr>
      <w:rFonts w:ascii="Times New Roman" w:hAnsi="Times New Roman"/>
      <w:b/>
      <w:bCs/>
    </w:rPr>
  </w:style>
  <w:style w:type="paragraph" w:styleId="22">
    <w:name w:val="Body Text First Indent 2"/>
    <w:basedOn w:val="6"/>
    <w:next w:val="23"/>
    <w:autoRedefine/>
    <w:unhideWhenUsed/>
    <w:qFormat/>
    <w:uiPriority w:val="99"/>
    <w:pPr>
      <w:spacing w:line="460" w:lineRule="exact"/>
      <w:ind w:left="1" w:firstLine="420" w:firstLineChars="200"/>
    </w:pPr>
    <w:rPr>
      <w:rFonts w:ascii="宋体" w:hAnsi="宋体"/>
      <w:color w:val="000000"/>
      <w:sz w:val="26"/>
    </w:rPr>
  </w:style>
  <w:style w:type="paragraph" w:customStyle="1" w:styleId="23">
    <w:name w:val="xl53"/>
    <w:basedOn w:val="1"/>
    <w:next w:val="1"/>
    <w:autoRedefine/>
    <w:qFormat/>
    <w:uiPriority w:val="0"/>
    <w:pPr>
      <w:spacing w:before="280" w:after="280" w:line="100" w:lineRule="exact"/>
      <w:jc w:val="center"/>
    </w:pPr>
    <w:rPr>
      <w:b/>
      <w:sz w:val="20"/>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autoRedefine/>
    <w:qFormat/>
    <w:uiPriority w:val="0"/>
  </w:style>
  <w:style w:type="character" w:styleId="28">
    <w:name w:val="Hyperlink"/>
    <w:basedOn w:val="26"/>
    <w:autoRedefine/>
    <w:unhideWhenUsed/>
    <w:qFormat/>
    <w:uiPriority w:val="99"/>
    <w:rPr>
      <w:color w:val="0563C1" w:themeColor="hyperlink"/>
      <w:u w:val="single"/>
      <w14:textFill>
        <w14:solidFill>
          <w14:schemeClr w14:val="hlink"/>
        </w14:solidFill>
      </w14:textFill>
    </w:rPr>
  </w:style>
  <w:style w:type="character" w:styleId="29">
    <w:name w:val="annotation reference"/>
    <w:autoRedefine/>
    <w:qFormat/>
    <w:uiPriority w:val="0"/>
    <w:rPr>
      <w:sz w:val="21"/>
      <w:szCs w:val="21"/>
    </w:rPr>
  </w:style>
  <w:style w:type="paragraph" w:customStyle="1" w:styleId="30">
    <w:name w:val="样式 标题 1 + 四号 加粗"/>
    <w:basedOn w:val="2"/>
    <w:autoRedefine/>
    <w:qFormat/>
    <w:uiPriority w:val="0"/>
  </w:style>
  <w:style w:type="paragraph" w:customStyle="1" w:styleId="31">
    <w:name w:val="目录 11"/>
    <w:basedOn w:val="1"/>
    <w:next w:val="1"/>
    <w:autoRedefine/>
    <w:qFormat/>
    <w:uiPriority w:val="0"/>
  </w:style>
  <w:style w:type="paragraph" w:customStyle="1" w:styleId="32">
    <w:name w:val="目录 21"/>
    <w:basedOn w:val="1"/>
    <w:next w:val="1"/>
    <w:autoRedefine/>
    <w:qFormat/>
    <w:uiPriority w:val="0"/>
    <w:pPr>
      <w:ind w:left="200" w:leftChars="200"/>
    </w:pPr>
  </w:style>
  <w:style w:type="paragraph" w:customStyle="1" w:styleId="33">
    <w:name w:val="Table Paragraph"/>
    <w:basedOn w:val="1"/>
    <w:autoRedefine/>
    <w:qFormat/>
    <w:uiPriority w:val="0"/>
    <w:pPr>
      <w:jc w:val="left"/>
    </w:pPr>
    <w:rPr>
      <w:rFonts w:ascii="宋体" w:cs="宋体"/>
      <w:kern w:val="0"/>
      <w:sz w:val="22"/>
      <w:szCs w:val="22"/>
    </w:rPr>
  </w:style>
  <w:style w:type="paragraph" w:customStyle="1" w:styleId="34">
    <w:name w:val="列出段落3"/>
    <w:basedOn w:val="1"/>
    <w:autoRedefine/>
    <w:qFormat/>
    <w:uiPriority w:val="0"/>
    <w:pPr>
      <w:ind w:firstLine="200" w:firstLineChars="200"/>
    </w:pPr>
    <w:rPr>
      <w:rFonts w:ascii="Calibri" w:hAnsi="Calibri"/>
      <w:szCs w:val="22"/>
    </w:rPr>
  </w:style>
  <w:style w:type="paragraph" w:customStyle="1" w:styleId="35">
    <w:name w:val="Indent a)"/>
    <w:basedOn w:val="1"/>
    <w:autoRedefine/>
    <w:qFormat/>
    <w:uiPriority w:val="0"/>
    <w:pPr>
      <w:widowControl/>
      <w:tabs>
        <w:tab w:val="left" w:pos="1843"/>
        <w:tab w:val="right" w:pos="9072"/>
      </w:tabs>
      <w:suppressAutoHyphens/>
      <w:spacing w:line="360" w:lineRule="auto"/>
      <w:ind w:right="-10" w:rightChars="-10"/>
    </w:pPr>
    <w:rPr>
      <w:rFonts w:ascii="宋体"/>
      <w:b/>
      <w:sz w:val="24"/>
    </w:rPr>
  </w:style>
  <w:style w:type="paragraph" w:customStyle="1" w:styleId="36">
    <w:name w:val="3"/>
    <w:basedOn w:val="1"/>
    <w:autoRedefine/>
    <w:qFormat/>
    <w:uiPriority w:val="0"/>
    <w:pPr>
      <w:adjustRightInd w:val="0"/>
      <w:spacing w:line="312" w:lineRule="atLeast"/>
      <w:ind w:left="1134" w:hanging="566"/>
      <w:textAlignment w:val="baseline"/>
    </w:pPr>
    <w:rPr>
      <w:rFonts w:ascii="昆仑楷体" w:eastAsia="昆仑楷体"/>
      <w:kern w:val="0"/>
      <w:sz w:val="24"/>
      <w:szCs w:val="20"/>
    </w:rPr>
  </w:style>
  <w:style w:type="paragraph" w:customStyle="1" w:styleId="37">
    <w:name w:val="页脚1"/>
    <w:basedOn w:val="1"/>
    <w:autoRedefine/>
    <w:qFormat/>
    <w:uiPriority w:val="0"/>
    <w:pPr>
      <w:tabs>
        <w:tab w:val="center" w:pos="4153"/>
        <w:tab w:val="right" w:pos="8306"/>
      </w:tabs>
      <w:snapToGrid w:val="0"/>
    </w:pPr>
    <w:rPr>
      <w:rFonts w:ascii="Courier" w:hAnsi="Courier"/>
      <w:kern w:val="0"/>
      <w:sz w:val="18"/>
      <w:szCs w:val="20"/>
    </w:rPr>
  </w:style>
  <w:style w:type="character" w:customStyle="1" w:styleId="38">
    <w:name w:val="页码1"/>
    <w:autoRedefine/>
    <w:qFormat/>
    <w:uiPriority w:val="0"/>
  </w:style>
  <w:style w:type="paragraph" w:customStyle="1" w:styleId="39">
    <w:name w:val="条款节部分"/>
    <w:basedOn w:val="1"/>
    <w:autoRedefine/>
    <w:qFormat/>
    <w:uiPriority w:val="0"/>
    <w:pPr>
      <w:numPr>
        <w:ilvl w:val="0"/>
        <w:numId w:val="1"/>
      </w:numPr>
    </w:pPr>
    <w:rPr>
      <w:rFonts w:ascii="Calibri" w:hAnsi="Calibri" w:eastAsia="仿宋_GB2312"/>
      <w:sz w:val="32"/>
      <w:szCs w:val="32"/>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2">
    <w:name w:val="font11"/>
    <w:autoRedefine/>
    <w:qFormat/>
    <w:uiPriority w:val="0"/>
    <w:rPr>
      <w:rFonts w:ascii="宋体" w:eastAsia="宋体" w:cs="宋体"/>
      <w:color w:val="FF0000"/>
      <w:sz w:val="24"/>
      <w:szCs w:val="24"/>
      <w:u w:val="none"/>
      <w:lang w:bidi="ar-SA"/>
    </w:rPr>
  </w:style>
  <w:style w:type="character" w:customStyle="1" w:styleId="43">
    <w:name w:val="font01"/>
    <w:autoRedefine/>
    <w:qFormat/>
    <w:uiPriority w:val="0"/>
    <w:rPr>
      <w:rFonts w:ascii="宋体" w:eastAsia="宋体" w:cs="宋体"/>
      <w:color w:val="000000"/>
      <w:sz w:val="24"/>
      <w:szCs w:val="24"/>
      <w:u w:val="none"/>
      <w:lang w:bidi="ar-SA"/>
    </w:rPr>
  </w:style>
  <w:style w:type="character" w:customStyle="1" w:styleId="44">
    <w:name w:val="未处理的提及1"/>
    <w:basedOn w:val="26"/>
    <w:autoRedefine/>
    <w:semiHidden/>
    <w:unhideWhenUsed/>
    <w:qFormat/>
    <w:uiPriority w:val="99"/>
    <w:rPr>
      <w:color w:val="605E5C"/>
      <w:shd w:val="clear" w:color="auto" w:fill="E1DFDD"/>
    </w:rPr>
  </w:style>
  <w:style w:type="character" w:customStyle="1" w:styleId="45">
    <w:name w:val="正文文本 字符"/>
    <w:basedOn w:val="26"/>
    <w:link w:val="8"/>
    <w:autoRedefine/>
    <w:qFormat/>
    <w:uiPriority w:val="0"/>
    <w:rPr>
      <w:rFonts w:ascii="Times New Roman" w:hAnsi="Times New Roman" w:eastAsia="黑体" w:cs="Times New Roman"/>
      <w:b/>
      <w:spacing w:val="6"/>
      <w:kern w:val="2"/>
      <w:sz w:val="36"/>
    </w:rPr>
  </w:style>
  <w:style w:type="character" w:customStyle="1" w:styleId="46">
    <w:name w:val="正文文本首行缩进 字符"/>
    <w:basedOn w:val="45"/>
    <w:link w:val="9"/>
    <w:autoRedefine/>
    <w:semiHidden/>
    <w:qFormat/>
    <w:uiPriority w:val="99"/>
    <w:rPr>
      <w:rFonts w:ascii="Times New Roman" w:hAnsi="Times New Roman" w:eastAsia="宋体" w:cs="Times New Roman"/>
      <w:b w:val="0"/>
      <w:spacing w:val="6"/>
      <w:kern w:val="2"/>
      <w:sz w:val="21"/>
      <w:szCs w:val="24"/>
    </w:rPr>
  </w:style>
  <w:style w:type="paragraph" w:customStyle="1" w:styleId="47">
    <w:name w:val="表格文字"/>
    <w:basedOn w:val="1"/>
    <w:next w:val="8"/>
    <w:autoRedefine/>
    <w:qFormat/>
    <w:uiPriority w:val="0"/>
    <w:rPr>
      <w:rFonts w:ascii="宋体" w:hAnsi="宋体"/>
      <w:bCs/>
      <w:kern w:val="0"/>
      <w:szCs w:val="21"/>
    </w:rPr>
  </w:style>
  <w:style w:type="paragraph" w:styleId="4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_Style 2"/>
    <w:basedOn w:val="1"/>
    <w:autoRedefine/>
    <w:qFormat/>
    <w:uiPriority w:val="34"/>
    <w:pPr>
      <w:ind w:firstLine="420" w:firstLineChars="200"/>
    </w:pPr>
    <w:rPr>
      <w:rFonts w:ascii="Calibri" w:hAnsi="Calibri"/>
      <w:szCs w:val="22"/>
    </w:rPr>
  </w:style>
  <w:style w:type="paragraph" w:customStyle="1" w:styleId="50">
    <w:name w:val="p0"/>
    <w:basedOn w:val="1"/>
    <w:autoRedefine/>
    <w:qFormat/>
    <w:uiPriority w:val="0"/>
    <w:pPr>
      <w:widowControl/>
    </w:pPr>
    <w:rPr>
      <w:kern w:val="0"/>
      <w:szCs w:val="21"/>
    </w:rPr>
  </w:style>
  <w:style w:type="paragraph" w:customStyle="1" w:styleId="51">
    <w:name w:val="_Style 3"/>
    <w:basedOn w:val="1"/>
    <w:next w:val="17"/>
    <w:autoRedefine/>
    <w:qFormat/>
    <w:uiPriority w:val="34"/>
    <w:pPr>
      <w:ind w:firstLine="420" w:firstLineChars="200"/>
    </w:pPr>
  </w:style>
  <w:style w:type="paragraph" w:customStyle="1" w:styleId="52">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53">
    <w:name w:val="Blockquote"/>
    <w:basedOn w:val="1"/>
    <w:autoRedefine/>
    <w:qFormat/>
    <w:uiPriority w:val="0"/>
    <w:pPr>
      <w:autoSpaceDE w:val="0"/>
      <w:autoSpaceDN w:val="0"/>
      <w:adjustRightInd w:val="0"/>
      <w:spacing w:line="560" w:lineRule="exact"/>
      <w:ind w:left="249" w:right="720" w:firstLine="482"/>
      <w:jc w:val="left"/>
    </w:pPr>
    <w:rPr>
      <w:kern w:val="0"/>
      <w:sz w:val="24"/>
      <w:szCs w:val="20"/>
    </w:rPr>
  </w:style>
  <w:style w:type="paragraph" w:customStyle="1" w:styleId="54">
    <w:name w:val="标准表格"/>
    <w:basedOn w:val="1"/>
    <w:autoRedefine/>
    <w:qFormat/>
    <w:uiPriority w:val="0"/>
    <w:rPr>
      <w:rFonts w:ascii="宋体" w:hAnsi="宋体"/>
      <w:bCs/>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E86AC-FDD8-4CF6-82B6-691669D5FF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2941</Words>
  <Characters>3343</Characters>
  <Lines>452</Lines>
  <Paragraphs>127</Paragraphs>
  <TotalTime>28</TotalTime>
  <ScaleCrop>false</ScaleCrop>
  <LinksUpToDate>false</LinksUpToDate>
  <CharactersWithSpaces>3516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2025-03-19T06:47:00Z</dcterms:created>
  <dc:creator>zjyc-c1-licb</dc:creator>
  <cp:lastModifiedBy>峠</cp:lastModifiedBy>
  <cp:lastPrinted>2025-05-27T04:33:00Z</cp:lastPrinted>
  <dcterms:modified xsi:type="dcterms:W3CDTF">2025-06-23T05:39:33Z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6E97AF431A5047BEB7994D778660849A_13</vt:lpwstr>
  </property>
  <property fmtid="{D5CDD505-2E9C-101B-9397-08002B2CF9AE}" pid="4" name="KSOTemplateDocerSaveRecord">
    <vt:lpwstr>eyJoZGlkIjoiMDljYzUzMWQ4OWI0YzBkYjYzMDRhZTY5ZjZkYmFmYTgiLCJ1c2VySWQiOiIxMzg3NzAxNjY2In0=</vt:lpwstr>
  </property>
</Properties>
</file>