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A7AF1">
      <w:pPr>
        <w:spacing w:line="360" w:lineRule="auto"/>
        <w:jc w:val="center"/>
        <w:rPr>
          <w:rFonts w:hint="eastAsia" w:asciiTheme="minorEastAsia" w:hAnsiTheme="minorEastAsia" w:eastAsiaTheme="minorEastAsia" w:cstheme="minorEastAsia"/>
          <w:b/>
          <w:color w:val="auto"/>
          <w:sz w:val="24"/>
          <w:highlight w:val="none"/>
        </w:rPr>
      </w:pPr>
    </w:p>
    <w:p w14:paraId="1122E596">
      <w:pPr>
        <w:spacing w:line="360" w:lineRule="auto"/>
        <w:jc w:val="center"/>
        <w:rPr>
          <w:rFonts w:hint="eastAsia" w:asciiTheme="minorEastAsia" w:hAnsiTheme="minorEastAsia" w:eastAsiaTheme="minorEastAsia" w:cstheme="minorEastAsia"/>
          <w:b/>
          <w:color w:val="auto"/>
          <w:sz w:val="24"/>
          <w:highlight w:val="none"/>
        </w:rPr>
      </w:pPr>
    </w:p>
    <w:p w14:paraId="7A4FB7CA">
      <w:pPr>
        <w:adjustRightInd/>
        <w:spacing w:line="360" w:lineRule="auto"/>
        <w:jc w:val="center"/>
        <w:rPr>
          <w:rFonts w:hint="eastAsia" w:asciiTheme="minorEastAsia" w:hAnsiTheme="minorEastAsia" w:eastAsiaTheme="minorEastAsia" w:cstheme="minorEastAsia"/>
          <w:b/>
          <w:color w:val="auto"/>
          <w:sz w:val="48"/>
          <w:szCs w:val="48"/>
          <w:highlight w:val="none"/>
        </w:rPr>
      </w:pPr>
    </w:p>
    <w:p w14:paraId="21EC1DBF">
      <w:pPr>
        <w:adjustRightInd/>
        <w:spacing w:line="360" w:lineRule="auto"/>
        <w:ind w:left="-3" w:leftChars="-200" w:right="-388" w:rightChars="-185" w:hanging="417" w:hangingChars="87"/>
        <w:jc w:val="center"/>
        <w:rPr>
          <w:rFonts w:hint="eastAsia"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val="en-US" w:eastAsia="zh-CN"/>
        </w:rPr>
        <w:t>萧山区南阳初级中学学生午睡课桌椅</w:t>
      </w:r>
    </w:p>
    <w:p w14:paraId="5263A09C">
      <w:pPr>
        <w:adjustRightInd/>
        <w:spacing w:line="360" w:lineRule="auto"/>
        <w:ind w:left="-3" w:leftChars="-200" w:right="-388" w:rightChars="-185" w:hanging="417" w:hangingChars="87"/>
        <w:jc w:val="center"/>
        <w:rPr>
          <w:rFonts w:hint="eastAsia"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val="en-US" w:eastAsia="zh-CN"/>
        </w:rPr>
        <w:t>采购项目</w:t>
      </w:r>
    </w:p>
    <w:p w14:paraId="6D0522EC">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p>
    <w:p w14:paraId="69F3B5AE">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4DFE77D1">
      <w:pPr>
        <w:snapToGrid w:val="0"/>
        <w:spacing w:line="360" w:lineRule="auto"/>
        <w:jc w:val="center"/>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 xml:space="preserve"> XSJYJ-CG-2025001</w:t>
      </w:r>
    </w:p>
    <w:p w14:paraId="29312C3D">
      <w:pPr>
        <w:adjustRightInd/>
        <w:spacing w:line="360" w:lineRule="auto"/>
        <w:rPr>
          <w:rFonts w:hint="eastAsia" w:asciiTheme="minorEastAsia" w:hAnsiTheme="minorEastAsia" w:eastAsiaTheme="minorEastAsia" w:cstheme="minorEastAsia"/>
          <w:color w:val="auto"/>
          <w:sz w:val="28"/>
          <w:szCs w:val="20"/>
          <w:highlight w:val="none"/>
        </w:rPr>
      </w:pPr>
    </w:p>
    <w:p w14:paraId="78CE591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25339D0F">
      <w:pPr>
        <w:spacing w:line="360" w:lineRule="auto"/>
        <w:jc w:val="center"/>
        <w:rPr>
          <w:rFonts w:hint="eastAsia" w:asciiTheme="minorEastAsia" w:hAnsiTheme="minorEastAsia" w:eastAsiaTheme="minorEastAsia" w:cstheme="minorEastAsia"/>
          <w:b/>
          <w:color w:val="auto"/>
          <w:sz w:val="44"/>
          <w:szCs w:val="44"/>
          <w:highlight w:val="none"/>
        </w:rPr>
      </w:pPr>
    </w:p>
    <w:p w14:paraId="1E148069">
      <w:pPr>
        <w:pStyle w:val="79"/>
        <w:rPr>
          <w:rFonts w:hint="eastAsia" w:asciiTheme="minorEastAsia" w:hAnsiTheme="minorEastAsia" w:eastAsiaTheme="minorEastAsia" w:cstheme="minorEastAsia"/>
          <w:highlight w:val="none"/>
        </w:rPr>
      </w:pPr>
    </w:p>
    <w:p w14:paraId="02407DB2">
      <w:pPr>
        <w:spacing w:line="360" w:lineRule="auto"/>
        <w:jc w:val="center"/>
        <w:rPr>
          <w:rFonts w:hint="eastAsia" w:asciiTheme="minorEastAsia" w:hAnsiTheme="minorEastAsia" w:eastAsiaTheme="minorEastAsia" w:cstheme="minorEastAsia"/>
          <w:color w:val="auto"/>
          <w:sz w:val="24"/>
          <w:highlight w:val="none"/>
        </w:rPr>
      </w:pPr>
    </w:p>
    <w:p w14:paraId="2997FA53">
      <w:pPr>
        <w:spacing w:line="360" w:lineRule="auto"/>
        <w:jc w:val="center"/>
        <w:rPr>
          <w:rFonts w:hint="eastAsia" w:asciiTheme="minorEastAsia" w:hAnsiTheme="minorEastAsia" w:eastAsiaTheme="minorEastAsia" w:cstheme="minorEastAsia"/>
          <w:color w:val="auto"/>
          <w:sz w:val="24"/>
          <w:highlight w:val="none"/>
        </w:rPr>
      </w:pPr>
    </w:p>
    <w:p w14:paraId="29D2D062">
      <w:pPr>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萧山区南阳初级中学</w:t>
      </w:r>
    </w:p>
    <w:p w14:paraId="12630113">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浙江省房地产管理咨询有限公司</w:t>
      </w:r>
    </w:p>
    <w:p w14:paraId="4740B348">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val="en-US" w:eastAsia="zh-CN"/>
        </w:rPr>
        <w:t xml:space="preserve"> </w:t>
      </w:r>
      <w:r>
        <w:rPr>
          <w:rFonts w:hint="eastAsia" w:asciiTheme="minorEastAsia" w:hAnsiTheme="minorEastAsia" w:eastAsiaTheme="minorEastAsia" w:cstheme="minorEastAsia"/>
          <w:bCs/>
          <w:color w:val="auto"/>
          <w:sz w:val="32"/>
          <w:szCs w:val="32"/>
          <w:highlight w:val="none"/>
        </w:rPr>
        <w:t xml:space="preserve"> </w:t>
      </w:r>
      <w:r>
        <w:rPr>
          <w:rFonts w:hint="eastAsia" w:asciiTheme="minorEastAsia" w:hAnsiTheme="minorEastAsia" w:eastAsiaTheme="minorEastAsia" w:cstheme="minorEastAsia"/>
          <w:bCs/>
          <w:color w:val="auto"/>
          <w:sz w:val="32"/>
          <w:szCs w:val="32"/>
          <w:highlight w:val="none"/>
          <w:lang w:val="en-US" w:eastAsia="zh-CN"/>
        </w:rPr>
        <w:t>2025</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6</w:t>
      </w:r>
      <w:r>
        <w:rPr>
          <w:rFonts w:hint="eastAsia" w:asciiTheme="minorEastAsia" w:hAnsiTheme="minorEastAsia" w:eastAsiaTheme="minorEastAsia" w:cstheme="minorEastAsia"/>
          <w:bCs/>
          <w:color w:val="auto"/>
          <w:sz w:val="32"/>
          <w:szCs w:val="32"/>
          <w:highlight w:val="none"/>
        </w:rPr>
        <w:t>月</w:t>
      </w:r>
    </w:p>
    <w:p w14:paraId="0003BAEC">
      <w:pPr>
        <w:jc w:val="center"/>
        <w:rPr>
          <w:rFonts w:hint="eastAsia" w:asciiTheme="minorEastAsia" w:hAnsiTheme="minorEastAsia" w:eastAsiaTheme="minorEastAsia" w:cstheme="minorEastAsia"/>
          <w:color w:val="auto"/>
          <w:highlight w:val="none"/>
        </w:rPr>
      </w:pPr>
    </w:p>
    <w:p w14:paraId="3DD13B8C">
      <w:pPr>
        <w:bidi w:val="0"/>
        <w:rPr>
          <w:rFonts w:hint="eastAsia" w:asciiTheme="minorEastAsia" w:hAnsiTheme="minorEastAsia" w:eastAsiaTheme="minorEastAsia" w:cstheme="minorEastAsia"/>
          <w:color w:val="auto"/>
          <w:highlight w:val="none"/>
        </w:rPr>
      </w:pPr>
    </w:p>
    <w:p w14:paraId="2E452C0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2AFD3B02">
      <w:pPr>
        <w:bidi w:val="0"/>
        <w:rPr>
          <w:rFonts w:hint="eastAsia" w:asciiTheme="minorEastAsia" w:hAnsiTheme="minorEastAsia" w:eastAsiaTheme="minorEastAsia" w:cstheme="minorEastAsia"/>
          <w:color w:val="auto"/>
          <w:highlight w:val="none"/>
        </w:rPr>
      </w:pPr>
    </w:p>
    <w:p w14:paraId="360F174C">
      <w:pPr>
        <w:spacing w:line="360" w:lineRule="auto"/>
        <w:jc w:val="center"/>
        <w:rPr>
          <w:rFonts w:hint="eastAsia" w:asciiTheme="minorEastAsia" w:hAnsiTheme="minorEastAsia" w:eastAsiaTheme="minorEastAsia" w:cstheme="minorEastAsia"/>
          <w:b/>
          <w:color w:val="auto"/>
          <w:sz w:val="48"/>
          <w:szCs w:val="48"/>
          <w:highlight w:val="none"/>
        </w:rPr>
      </w:pPr>
    </w:p>
    <w:p w14:paraId="4317A8D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67596B5">
      <w:pPr>
        <w:spacing w:line="360" w:lineRule="auto"/>
        <w:rPr>
          <w:rFonts w:hint="eastAsia" w:asciiTheme="minorEastAsia" w:hAnsiTheme="minorEastAsia" w:eastAsiaTheme="minorEastAsia" w:cstheme="minorEastAsia"/>
          <w:color w:val="auto"/>
          <w:sz w:val="32"/>
          <w:szCs w:val="32"/>
          <w:highlight w:val="none"/>
        </w:rPr>
      </w:pPr>
    </w:p>
    <w:p w14:paraId="1BE8EA1F">
      <w:pPr>
        <w:spacing w:line="360" w:lineRule="auto"/>
        <w:rPr>
          <w:rFonts w:hint="eastAsia" w:asciiTheme="minorEastAsia" w:hAnsiTheme="minorEastAsia" w:eastAsiaTheme="minorEastAsia" w:cstheme="minorEastAsia"/>
          <w:color w:val="auto"/>
          <w:sz w:val="32"/>
          <w:szCs w:val="32"/>
          <w:highlight w:val="none"/>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0403129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3B2566DA">
      <w:pPr>
        <w:spacing w:line="360" w:lineRule="auto"/>
        <w:ind w:firstLine="549" w:firstLineChars="229"/>
        <w:rPr>
          <w:rFonts w:hint="eastAsia" w:asciiTheme="minorEastAsia" w:hAnsiTheme="minorEastAsia" w:eastAsiaTheme="minorEastAsia" w:cstheme="minorEastAsia"/>
          <w:color w:val="auto"/>
          <w:sz w:val="24"/>
          <w:highlight w:val="none"/>
        </w:rPr>
      </w:pPr>
    </w:p>
    <w:p w14:paraId="1D5EA95B">
      <w:pPr>
        <w:spacing w:line="360" w:lineRule="auto"/>
        <w:ind w:firstLine="549" w:firstLineChars="229"/>
        <w:rPr>
          <w:rFonts w:hint="eastAsia" w:asciiTheme="minorEastAsia" w:hAnsiTheme="minorEastAsia" w:eastAsiaTheme="minorEastAsia" w:cstheme="minorEastAsia"/>
          <w:color w:val="auto"/>
          <w:sz w:val="24"/>
          <w:highlight w:val="none"/>
        </w:rPr>
      </w:pPr>
    </w:p>
    <w:p w14:paraId="494DA199">
      <w:pPr>
        <w:spacing w:line="360" w:lineRule="auto"/>
        <w:ind w:firstLine="549" w:firstLineChars="229"/>
        <w:rPr>
          <w:rFonts w:hint="eastAsia" w:asciiTheme="minorEastAsia" w:hAnsiTheme="minorEastAsia" w:eastAsiaTheme="minorEastAsia" w:cstheme="minorEastAsia"/>
          <w:color w:val="auto"/>
          <w:sz w:val="24"/>
          <w:highlight w:val="none"/>
        </w:rPr>
      </w:pPr>
    </w:p>
    <w:p w14:paraId="107FA94E">
      <w:pPr>
        <w:spacing w:line="360" w:lineRule="auto"/>
        <w:ind w:firstLine="549" w:firstLineChars="229"/>
        <w:rPr>
          <w:rFonts w:hint="eastAsia" w:asciiTheme="minorEastAsia" w:hAnsiTheme="minorEastAsia" w:eastAsiaTheme="minorEastAsia" w:cstheme="minorEastAsia"/>
          <w:color w:val="auto"/>
          <w:sz w:val="24"/>
          <w:highlight w:val="none"/>
        </w:rPr>
      </w:pPr>
    </w:p>
    <w:p w14:paraId="5AA23777">
      <w:pPr>
        <w:spacing w:line="360" w:lineRule="auto"/>
        <w:ind w:firstLine="549" w:firstLineChars="229"/>
        <w:rPr>
          <w:rFonts w:hint="eastAsia" w:asciiTheme="minorEastAsia" w:hAnsiTheme="minorEastAsia" w:eastAsiaTheme="minorEastAsia" w:cstheme="minorEastAsia"/>
          <w:color w:val="auto"/>
          <w:sz w:val="24"/>
          <w:highlight w:val="none"/>
        </w:rPr>
      </w:pPr>
    </w:p>
    <w:p w14:paraId="5F18EEA2">
      <w:pPr>
        <w:spacing w:line="360" w:lineRule="auto"/>
        <w:ind w:firstLine="549" w:firstLineChars="229"/>
        <w:rPr>
          <w:rFonts w:hint="eastAsia" w:asciiTheme="minorEastAsia" w:hAnsiTheme="minorEastAsia" w:eastAsiaTheme="minorEastAsia" w:cstheme="minorEastAsia"/>
          <w:color w:val="auto"/>
          <w:sz w:val="24"/>
          <w:highlight w:val="none"/>
        </w:rPr>
      </w:pPr>
    </w:p>
    <w:p w14:paraId="2B57193B">
      <w:pPr>
        <w:spacing w:line="360" w:lineRule="auto"/>
        <w:ind w:firstLine="549" w:firstLineChars="229"/>
        <w:rPr>
          <w:rFonts w:hint="eastAsia" w:asciiTheme="minorEastAsia" w:hAnsiTheme="minorEastAsia" w:eastAsiaTheme="minorEastAsia" w:cstheme="minorEastAsia"/>
          <w:color w:val="auto"/>
          <w:sz w:val="24"/>
          <w:highlight w:val="none"/>
        </w:rPr>
      </w:pPr>
    </w:p>
    <w:p w14:paraId="3A7AC93A">
      <w:pPr>
        <w:spacing w:line="360" w:lineRule="auto"/>
        <w:ind w:firstLine="549" w:firstLineChars="229"/>
        <w:rPr>
          <w:rFonts w:hint="eastAsia" w:asciiTheme="minorEastAsia" w:hAnsiTheme="minorEastAsia" w:eastAsiaTheme="minorEastAsia" w:cstheme="minorEastAsia"/>
          <w:color w:val="auto"/>
          <w:sz w:val="24"/>
          <w:highlight w:val="none"/>
        </w:rPr>
      </w:pPr>
    </w:p>
    <w:p w14:paraId="1C1EB56E">
      <w:pPr>
        <w:spacing w:line="360" w:lineRule="auto"/>
        <w:ind w:firstLine="549" w:firstLineChars="229"/>
        <w:rPr>
          <w:rFonts w:hint="eastAsia" w:asciiTheme="minorEastAsia" w:hAnsiTheme="minorEastAsia" w:eastAsiaTheme="minorEastAsia" w:cstheme="minorEastAsia"/>
          <w:color w:val="auto"/>
          <w:sz w:val="24"/>
          <w:highlight w:val="none"/>
        </w:rPr>
      </w:pPr>
    </w:p>
    <w:p w14:paraId="65D24186">
      <w:pPr>
        <w:spacing w:line="360" w:lineRule="auto"/>
        <w:ind w:firstLine="549" w:firstLineChars="229"/>
        <w:rPr>
          <w:rFonts w:hint="eastAsia" w:asciiTheme="minorEastAsia" w:hAnsiTheme="minorEastAsia" w:eastAsiaTheme="minorEastAsia" w:cstheme="minorEastAsia"/>
          <w:color w:val="auto"/>
          <w:sz w:val="24"/>
          <w:highlight w:val="none"/>
        </w:rPr>
      </w:pPr>
    </w:p>
    <w:p w14:paraId="45B7F6A8">
      <w:pPr>
        <w:spacing w:line="360" w:lineRule="auto"/>
        <w:ind w:firstLine="549" w:firstLineChars="229"/>
        <w:rPr>
          <w:rFonts w:hint="eastAsia" w:asciiTheme="minorEastAsia" w:hAnsiTheme="minorEastAsia" w:eastAsiaTheme="minorEastAsia" w:cstheme="minorEastAsia"/>
          <w:color w:val="auto"/>
          <w:sz w:val="24"/>
          <w:highlight w:val="none"/>
        </w:rPr>
      </w:pPr>
    </w:p>
    <w:p w14:paraId="71F39E7B">
      <w:pPr>
        <w:spacing w:line="360" w:lineRule="auto"/>
        <w:ind w:firstLine="549" w:firstLineChars="229"/>
        <w:rPr>
          <w:rFonts w:hint="eastAsia" w:asciiTheme="minorEastAsia" w:hAnsiTheme="minorEastAsia" w:eastAsiaTheme="minorEastAsia" w:cstheme="minorEastAsia"/>
          <w:color w:val="auto"/>
          <w:sz w:val="24"/>
          <w:highlight w:val="none"/>
        </w:rPr>
      </w:pPr>
    </w:p>
    <w:p w14:paraId="04601409">
      <w:pPr>
        <w:spacing w:line="360" w:lineRule="auto"/>
        <w:rPr>
          <w:rFonts w:hint="eastAsia" w:asciiTheme="minorEastAsia" w:hAnsiTheme="minorEastAsia" w:eastAsiaTheme="minorEastAsia" w:cstheme="minorEastAsia"/>
          <w:color w:val="auto"/>
          <w:sz w:val="24"/>
          <w:highlight w:val="none"/>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1"/>
      <w:bookmarkStart w:id="10" w:name="_Toc91899870"/>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17E2F5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val="en-US" w:eastAsia="zh-CN"/>
        </w:rPr>
        <w:t>萧山区南阳初级中学学生午睡课桌椅采购项目</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lang w:eastAsia="zh-CN"/>
        </w:rPr>
        <w:t>www.lecaiyun.com</w:t>
      </w:r>
      <w:r>
        <w:rPr>
          <w:rStyle w:val="76"/>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76"/>
          <w:rFonts w:hint="eastAsia" w:asciiTheme="minorEastAsia" w:hAnsiTheme="minorEastAsia" w:eastAsiaTheme="minorEastAsia" w:cstheme="minorEastAsia"/>
          <w:snapToGrid/>
          <w:color w:val="auto"/>
          <w:kern w:val="2"/>
          <w:sz w:val="24"/>
          <w:szCs w:val="24"/>
          <w:highlight w:val="none"/>
        </w:rPr>
        <w:t>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 xml:space="preserve"> 06 </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 xml:space="preserve"> 27 </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09</w:t>
      </w:r>
      <w:r>
        <w:rPr>
          <w:rStyle w:val="76"/>
          <w:rFonts w:hint="eastAsia" w:asciiTheme="minorEastAsia" w:hAnsiTheme="minorEastAsia" w:eastAsiaTheme="minorEastAsia" w:cstheme="minorEastAsia"/>
          <w:snapToGrid/>
          <w:color w:val="auto"/>
          <w:kern w:val="2"/>
          <w:sz w:val="24"/>
          <w:szCs w:val="24"/>
          <w:highlight w:val="none"/>
        </w:rPr>
        <w:t>点</w:t>
      </w:r>
      <w:r>
        <w:rPr>
          <w:rStyle w:val="76"/>
          <w:rFonts w:hint="eastAsia" w:asciiTheme="minorEastAsia" w:hAnsiTheme="minorEastAsia" w:eastAsiaTheme="minorEastAsia" w:cstheme="minorEastAsia"/>
          <w:snapToGrid/>
          <w:color w:val="auto"/>
          <w:kern w:val="2"/>
          <w:sz w:val="24"/>
          <w:szCs w:val="24"/>
          <w:highlight w:val="none"/>
          <w:lang w:val="en-US" w:eastAsia="zh-CN"/>
        </w:rPr>
        <w:t>30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5209A12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51C19761">
      <w:pPr>
        <w:spacing w:line="360" w:lineRule="auto"/>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项目编号：XSJYJ-CG-2025001</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w:t>
      </w:r>
    </w:p>
    <w:p w14:paraId="78E2B7EB">
      <w:pPr>
        <w:spacing w:line="360" w:lineRule="auto"/>
        <w:ind w:firstLine="48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项目名称：</w:t>
      </w:r>
      <w:r>
        <w:rPr>
          <w:rFonts w:hint="eastAsia" w:asciiTheme="minorEastAsia" w:hAnsiTheme="minorEastAsia" w:eastAsiaTheme="minorEastAsia" w:cstheme="minorEastAsia"/>
          <w:b w:val="0"/>
          <w:bCs/>
          <w:color w:val="auto"/>
          <w:sz w:val="24"/>
          <w:highlight w:val="none"/>
          <w:lang w:val="en-US" w:eastAsia="zh-CN"/>
        </w:rPr>
        <w:t>萧山区南阳初级中学学生午睡课桌椅采购项目</w:t>
      </w:r>
    </w:p>
    <w:p w14:paraId="11A943A9">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val="en-US" w:eastAsia="zh-CN"/>
        </w:rPr>
        <w:t>396000.00</w:t>
      </w:r>
    </w:p>
    <w:p w14:paraId="467A5CCE">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lang w:val="en-US" w:eastAsia="zh-CN"/>
        </w:rPr>
        <w:t>396000.00</w:t>
      </w:r>
    </w:p>
    <w:p w14:paraId="310E9137">
      <w:pPr>
        <w:pStyle w:val="15"/>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snapToGrid/>
          <w:color w:val="auto"/>
          <w:kern w:val="2"/>
          <w:sz w:val="24"/>
          <w:szCs w:val="24"/>
          <w:highlight w:val="none"/>
        </w:rPr>
        <w:t>（</w:t>
      </w:r>
      <w:r>
        <w:rPr>
          <w:rFonts w:hint="eastAsia" w:asciiTheme="minorEastAsia" w:hAnsiTheme="minorEastAsia" w:eastAsiaTheme="minorEastAsia" w:cstheme="minorEastAsia"/>
          <w:bCs/>
          <w:snapToGrid/>
          <w:color w:val="auto"/>
          <w:kern w:val="2"/>
          <w:sz w:val="24"/>
          <w:szCs w:val="24"/>
          <w:highlight w:val="none"/>
          <w:lang w:val="en-US" w:eastAsia="zh-CN"/>
        </w:rPr>
        <w:t>萧山区南阳初级中学学生午睡课桌椅采购项目</w:t>
      </w:r>
      <w:r>
        <w:rPr>
          <w:rFonts w:hint="eastAsia" w:asciiTheme="minorEastAsia" w:hAnsiTheme="minorEastAsia" w:eastAsiaTheme="minorEastAsia" w:cstheme="minorEastAsia"/>
          <w:bCs/>
          <w:snapToGrid/>
          <w:color w:val="auto"/>
          <w:kern w:val="2"/>
          <w:sz w:val="24"/>
          <w:szCs w:val="24"/>
          <w:highlight w:val="none"/>
        </w:rPr>
        <w:t>）主要内容：</w:t>
      </w:r>
      <w:r>
        <w:rPr>
          <w:rFonts w:hint="eastAsia" w:asciiTheme="minorEastAsia" w:hAnsiTheme="minorEastAsia" w:eastAsiaTheme="minorEastAsia" w:cstheme="minorEastAsia"/>
          <w:bCs/>
          <w:snapToGrid/>
          <w:color w:val="auto"/>
          <w:kern w:val="2"/>
          <w:sz w:val="24"/>
          <w:szCs w:val="24"/>
          <w:highlight w:val="none"/>
          <w:lang w:val="en-US" w:eastAsia="zh-CN"/>
        </w:rPr>
        <w:t>详见采购需求</w:t>
      </w:r>
      <w:r>
        <w:rPr>
          <w:rFonts w:hint="eastAsia" w:asciiTheme="minorEastAsia" w:hAnsiTheme="minorEastAsia" w:eastAsiaTheme="minorEastAsia" w:cstheme="minorEastAsia"/>
          <w:bCs/>
          <w:snapToGrid/>
          <w:color w:val="auto"/>
          <w:kern w:val="2"/>
          <w:sz w:val="24"/>
          <w:szCs w:val="24"/>
          <w:highlight w:val="none"/>
        </w:rPr>
        <w:t>。</w:t>
      </w:r>
      <w:r>
        <w:rPr>
          <w:rFonts w:hint="eastAsia" w:asciiTheme="minorEastAsia" w:hAnsiTheme="minorEastAsia" w:eastAsiaTheme="minorEastAsia" w:cstheme="minorEastAsia"/>
          <w:snapToGrid/>
          <w:color w:val="auto"/>
          <w:kern w:val="2"/>
          <w:sz w:val="24"/>
          <w:szCs w:val="24"/>
          <w:highlight w:val="none"/>
        </w:rPr>
        <w:t>具体以</w:t>
      </w:r>
      <w:r>
        <w:rPr>
          <w:rFonts w:hint="eastAsia" w:asciiTheme="minorEastAsia" w:hAnsiTheme="minorEastAsia" w:eastAsiaTheme="minorEastAsia" w:cstheme="minorEastAsia"/>
          <w:snapToGrid/>
          <w:color w:val="auto"/>
          <w:kern w:val="2"/>
          <w:sz w:val="24"/>
          <w:szCs w:val="24"/>
          <w:highlight w:val="none"/>
          <w:lang w:eastAsia="zh-CN"/>
        </w:rPr>
        <w:t>交易文件</w:t>
      </w:r>
      <w:r>
        <w:rPr>
          <w:rFonts w:hint="eastAsia" w:asciiTheme="minorEastAsia" w:hAnsiTheme="minorEastAsia" w:eastAsiaTheme="minorEastAsia" w:cstheme="minorEastAsia"/>
          <w:snapToGrid/>
          <w:color w:val="auto"/>
          <w:kern w:val="2"/>
          <w:sz w:val="24"/>
          <w:szCs w:val="24"/>
          <w:highlight w:val="none"/>
        </w:rPr>
        <w:t>第三部分采购需求为准，供应商可点击本公告下方“浏览采购文件”查看采购需求。</w:t>
      </w:r>
    </w:p>
    <w:p w14:paraId="0FBFCBB7">
      <w:pPr>
        <w:pStyle w:val="129"/>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详见交易文件</w:t>
      </w:r>
    </w:p>
    <w:p w14:paraId="2143228A">
      <w:pPr>
        <w:pStyle w:val="15"/>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06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27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27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6</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27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09</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30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bookmarkStart w:id="539" w:name="_GoBack"/>
      <w:bookmarkEnd w:id="539"/>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2DA9684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720728A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31F477F2">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eastAsia="zh-CN"/>
        </w:rPr>
        <w:t>萧山区南阳初级中学</w:t>
      </w:r>
    </w:p>
    <w:p w14:paraId="2071AF8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地    址：杭州市萧山区南阳街道南虹路988号</w:t>
      </w:r>
    </w:p>
    <w:p w14:paraId="50855DD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1D9A1359">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寿建丰</w:t>
      </w:r>
    </w:p>
    <w:p w14:paraId="67674FB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15757116464</w:t>
      </w:r>
    </w:p>
    <w:p w14:paraId="7D96FFD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6B2D2508">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浙江省房地产管理咨询有限公司</w:t>
      </w:r>
    </w:p>
    <w:p w14:paraId="4E016B0C">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址：萧山区晨晖路1096号南和城4幢1单元1003室</w:t>
      </w:r>
    </w:p>
    <w:p w14:paraId="607D43D1">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传    真： </w:t>
      </w:r>
      <w:r>
        <w:rPr>
          <w:rFonts w:hint="eastAsia" w:asciiTheme="minorEastAsia" w:hAnsiTheme="minorEastAsia" w:eastAsiaTheme="minorEastAsia" w:cstheme="minorEastAsia"/>
          <w:color w:val="auto"/>
          <w:sz w:val="24"/>
          <w:highlight w:val="none"/>
          <w:lang w:val="en-US" w:eastAsia="zh-CN"/>
        </w:rPr>
        <w:t>/</w:t>
      </w:r>
    </w:p>
    <w:p w14:paraId="24070E3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沈煜飞</w:t>
      </w:r>
      <w:r>
        <w:rPr>
          <w:rFonts w:hint="eastAsia" w:asciiTheme="minorEastAsia" w:hAnsiTheme="minorEastAsia" w:eastAsiaTheme="minorEastAsia" w:cstheme="minorEastAsia"/>
          <w:color w:val="auto"/>
          <w:sz w:val="24"/>
          <w:highlight w:val="none"/>
        </w:rPr>
        <w:t xml:space="preserve"> </w:t>
      </w:r>
    </w:p>
    <w:p w14:paraId="6E647839">
      <w:pPr>
        <w:spacing w:line="360" w:lineRule="auto"/>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17348894601</w:t>
      </w:r>
    </w:p>
    <w:p w14:paraId="22218C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 </w:t>
      </w:r>
      <w:r>
        <w:rPr>
          <w:rFonts w:hint="eastAsia" w:asciiTheme="minorEastAsia" w:hAnsiTheme="minorEastAsia" w:eastAsiaTheme="minorEastAsia" w:cstheme="minorEastAsia"/>
          <w:color w:val="auto"/>
          <w:sz w:val="24"/>
          <w:highlight w:val="none"/>
          <w:lang w:val="en-US" w:eastAsia="zh-CN"/>
        </w:rPr>
        <w:t>俞佳</w:t>
      </w:r>
    </w:p>
    <w:p w14:paraId="3C11A36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质疑联系方式：0571-83731873</w:t>
      </w:r>
    </w:p>
    <w:p w14:paraId="2607732D">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），点击右侧咨询小采，获取采小蜜智能服务管家帮助，或拨打</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采云服务热线95763获取热线服务帮助。</w:t>
      </w:r>
    </w:p>
    <w:p w14:paraId="5C941D0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bookmarkEnd w:id="8"/>
    <w:bookmarkEnd w:id="9"/>
    <w:bookmarkEnd w:id="10"/>
    <w:p w14:paraId="5A62298B">
      <w:pPr>
        <w:adjustRightInd/>
        <w:spacing w:line="360" w:lineRule="auto"/>
        <w:jc w:val="center"/>
        <w:outlineLvl w:val="0"/>
        <w:rPr>
          <w:rFonts w:hint="eastAsia" w:asciiTheme="minorEastAsia" w:hAnsiTheme="minorEastAsia" w:eastAsiaTheme="minorEastAsia" w:cstheme="minorEastAsia"/>
          <w:b/>
          <w:sz w:val="36"/>
          <w:szCs w:val="20"/>
        </w:rPr>
      </w:pPr>
      <w:bookmarkStart w:id="11" w:name="_Toc164416483"/>
      <w:bookmarkStart w:id="12" w:name="第三部分"/>
      <w:r>
        <w:rPr>
          <w:rFonts w:hint="eastAsia" w:asciiTheme="minorEastAsia" w:hAnsiTheme="minorEastAsia" w:eastAsiaTheme="minorEastAsia" w:cstheme="minorEastAsia"/>
          <w:b/>
          <w:sz w:val="36"/>
          <w:szCs w:val="20"/>
        </w:rPr>
        <w:t>第二部分 供应商须知</w:t>
      </w:r>
    </w:p>
    <w:p w14:paraId="1703E9EB">
      <w:pPr>
        <w:snapToGrid w:val="0"/>
        <w:spacing w:line="360" w:lineRule="auto"/>
        <w:jc w:val="center"/>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前附表</w:t>
      </w:r>
    </w:p>
    <w:tbl>
      <w:tblPr>
        <w:tblStyle w:val="62"/>
        <w:tblW w:w="92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9"/>
        <w:gridCol w:w="2097"/>
        <w:gridCol w:w="6483"/>
      </w:tblGrid>
      <w:tr w14:paraId="4EA52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3B36A52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330E2F7E">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事项</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5D39400">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本项目的特别规定</w:t>
            </w:r>
          </w:p>
        </w:tc>
      </w:tr>
      <w:tr w14:paraId="2CCAB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AD3E51A">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77C7E0AD">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项目属性与核心产品</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298CF1A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)A</w:t>
            </w:r>
            <w:r>
              <w:rPr>
                <w:rFonts w:hint="eastAsia" w:asciiTheme="minorEastAsia" w:hAnsiTheme="minorEastAsia" w:eastAsiaTheme="minorEastAsia" w:cstheme="minorEastAsia"/>
                <w:sz w:val="24"/>
              </w:rPr>
              <w:t>货物类，单一产品或</w:t>
            </w:r>
            <w:r>
              <w:rPr>
                <w:rFonts w:hint="eastAsia" w:asciiTheme="minorEastAsia" w:hAnsiTheme="minorEastAsia" w:eastAsiaTheme="minorEastAsia" w:cstheme="minorEastAsia"/>
                <w:kern w:val="0"/>
                <w:sz w:val="24"/>
              </w:rPr>
              <w:t>核心产品为：</w:t>
            </w:r>
            <w:r>
              <w:rPr>
                <w:rFonts w:hint="eastAsia" w:asciiTheme="minorEastAsia" w:hAnsiTheme="minorEastAsia" w:eastAsiaTheme="minorEastAsia" w:cstheme="minorEastAsia"/>
                <w:sz w:val="24"/>
                <w:u w:val="single"/>
              </w:rPr>
              <w:t xml:space="preserve">  午睡课桌椅  </w:t>
            </w:r>
            <w:r>
              <w:rPr>
                <w:rFonts w:hint="eastAsia" w:asciiTheme="minorEastAsia" w:hAnsiTheme="minorEastAsia" w:eastAsiaTheme="minorEastAsia" w:cstheme="minorEastAsia"/>
                <w:sz w:val="24"/>
              </w:rPr>
              <w:t>。</w:t>
            </w:r>
          </w:p>
          <w:p w14:paraId="2C3FE35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)B</w:t>
            </w:r>
            <w:r>
              <w:rPr>
                <w:rFonts w:hint="eastAsia" w:asciiTheme="minorEastAsia" w:hAnsiTheme="minorEastAsia" w:eastAsiaTheme="minorEastAsia" w:cstheme="minorEastAsia"/>
                <w:sz w:val="24"/>
              </w:rPr>
              <w:t>服务类。</w:t>
            </w:r>
          </w:p>
        </w:tc>
      </w:tr>
      <w:tr w14:paraId="6B8E9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58936983">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22B37D4B">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采购标的对应的中小企业划分标准所属行业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6426C7DF">
            <w:pPr>
              <w:spacing w:line="40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（1）标的：</w:t>
            </w:r>
            <w:r>
              <w:rPr>
                <w:rFonts w:hint="eastAsia" w:asciiTheme="minorEastAsia" w:hAnsiTheme="minorEastAsia" w:eastAsiaTheme="minorEastAsia" w:cstheme="minorEastAsia"/>
                <w:b w:val="0"/>
                <w:bCs/>
                <w:color w:val="auto"/>
                <w:sz w:val="24"/>
                <w:highlight w:val="none"/>
                <w:u w:val="single"/>
                <w:lang w:val="en-US" w:eastAsia="zh-CN"/>
              </w:rPr>
              <w:t xml:space="preserve">午睡课桌椅 </w:t>
            </w:r>
            <w:r>
              <w:rPr>
                <w:rFonts w:hint="eastAsia" w:asciiTheme="minorEastAsia" w:hAnsiTheme="minorEastAsia" w:eastAsiaTheme="minorEastAsia" w:cstheme="minorEastAsia"/>
                <w:kern w:val="0"/>
                <w:sz w:val="24"/>
              </w:rPr>
              <w:t>，属于</w:t>
            </w:r>
            <w:r>
              <w:rPr>
                <w:rFonts w:hint="eastAsia" w:asciiTheme="minorEastAsia" w:hAnsiTheme="minorEastAsia" w:eastAsiaTheme="minorEastAsia" w:cstheme="minorEastAsia"/>
                <w:kern w:val="0"/>
                <w:sz w:val="24"/>
                <w:u w:val="single"/>
                <w:lang w:val="en-US" w:eastAsia="zh-CN"/>
              </w:rPr>
              <w:t xml:space="preserve"> 工业 </w:t>
            </w:r>
            <w:r>
              <w:rPr>
                <w:rFonts w:hint="eastAsia" w:asciiTheme="minorEastAsia" w:hAnsiTheme="minorEastAsia" w:eastAsiaTheme="minorEastAsia" w:cstheme="minorEastAsia"/>
                <w:kern w:val="0"/>
                <w:sz w:val="24"/>
                <w:highlight w:val="none"/>
              </w:rPr>
              <w:t>行业；</w:t>
            </w:r>
          </w:p>
          <w:p w14:paraId="7F068641">
            <w:pPr>
              <w:spacing w:line="400" w:lineRule="exac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行业划分标准：</w:t>
            </w:r>
          </w:p>
          <w:p w14:paraId="356849AB">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《关于印发中小企业划型标准规定的通知》工信部联企业〔2011〕300号</w:t>
            </w:r>
          </w:p>
        </w:tc>
      </w:tr>
      <w:tr w14:paraId="57EE6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04A291AE">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03FB39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是否允许采购进口产品</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3D71C67E">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sz w:val="24"/>
                <w:szCs w:val="32"/>
              </w:rPr>
              <w:t>本项目不允许采购进口产品。</w:t>
            </w:r>
          </w:p>
          <w:p w14:paraId="59726D20">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kern w:val="0"/>
                <w:sz w:val="24"/>
              </w:rPr>
              <w:t>(  )</w:t>
            </w:r>
            <w:r>
              <w:rPr>
                <w:rFonts w:hint="eastAsia" w:asciiTheme="minorEastAsia" w:hAnsiTheme="minorEastAsia" w:eastAsiaTheme="minorEastAsia" w:cstheme="minorEastAsia"/>
                <w:sz w:val="24"/>
                <w:szCs w:val="32"/>
              </w:rPr>
              <w:t>可以就</w:t>
            </w:r>
            <w:r>
              <w:rPr>
                <w:rFonts w:hint="eastAsia" w:asciiTheme="minorEastAsia" w:hAnsiTheme="minorEastAsia" w:eastAsiaTheme="minorEastAsia" w:cstheme="minorEastAsia"/>
                <w:sz w:val="24"/>
                <w:szCs w:val="32"/>
                <w:u w:val="single"/>
              </w:rPr>
              <w:t xml:space="preserve">  /  </w:t>
            </w:r>
            <w:r>
              <w:rPr>
                <w:rFonts w:hint="eastAsia" w:asciiTheme="minorEastAsia" w:hAnsiTheme="minorEastAsia" w:eastAsiaTheme="minorEastAsia" w:cstheme="minorEastAsia"/>
                <w:sz w:val="24"/>
                <w:szCs w:val="32"/>
              </w:rPr>
              <w:t>采购进口产品。</w:t>
            </w:r>
          </w:p>
          <w:p w14:paraId="09089870">
            <w:pPr>
              <w:pStyle w:val="3"/>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0"/>
                <w:sz w:val="24"/>
                <w:lang w:val="en-US"/>
              </w:rPr>
              <w:t>进口产品是指通过中国海关保关验放进入中国境内且产自境关外的产品。</w:t>
            </w:r>
          </w:p>
        </w:tc>
      </w:tr>
      <w:tr w14:paraId="71BF9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0A707CEE">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D48B796">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分包</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5397FB45">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同意将非主体、非关键性的</w:t>
            </w:r>
            <w:r>
              <w:rPr>
                <w:rFonts w:hint="eastAsia" w:asciiTheme="minorEastAsia" w:hAnsiTheme="minorEastAsia" w:eastAsiaTheme="minorEastAsia" w:cstheme="minorEastAsia"/>
                <w:bCs/>
                <w:sz w:val="24"/>
                <w:u w:val="single"/>
              </w:rPr>
              <w:t xml:space="preserve">    </w:t>
            </w:r>
            <w:r>
              <w:rPr>
                <w:rFonts w:hint="eastAsia" w:ascii="宋体" w:hAnsi="宋体" w:cs="宋体"/>
                <w:color w:val="000000" w:themeColor="text1"/>
                <w:sz w:val="24"/>
                <w:highlight w:val="none"/>
                <w:u w:val="single"/>
                <w14:textFill>
                  <w14:solidFill>
                    <w14:schemeClr w14:val="tx1"/>
                  </w14:solidFill>
                </w14:textFill>
              </w:rPr>
              <w:t>运输</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工作分包。</w:t>
            </w:r>
          </w:p>
          <w:p w14:paraId="263681BC">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sz w:val="24"/>
                <w:lang w:val="en-US" w:eastAsia="zh-CN"/>
              </w:rPr>
              <w:t xml:space="preserve">  </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B</w:t>
            </w:r>
            <w:r>
              <w:rPr>
                <w:rFonts w:hint="eastAsia" w:asciiTheme="minorEastAsia" w:hAnsiTheme="minorEastAsia" w:eastAsiaTheme="minorEastAsia" w:cstheme="minorEastAsia"/>
                <w:bCs/>
                <w:sz w:val="24"/>
              </w:rPr>
              <w:t>不同意分包。</w:t>
            </w:r>
          </w:p>
        </w:tc>
      </w:tr>
      <w:tr w14:paraId="3FDC7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D1ED8E9">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2C25FD9">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交易前答疑会或现场考察</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E79B5F4">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170EEB1F">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,地点：</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w:t>
            </w:r>
          </w:p>
          <w:p w14:paraId="67A6E7C4">
            <w:pPr>
              <w:spacing w:line="360" w:lineRule="auto"/>
              <w:rPr>
                <w:rFonts w:hint="eastAsia" w:asciiTheme="minorEastAsia" w:hAnsiTheme="minorEastAsia" w:eastAsiaTheme="minorEastAsia" w:cstheme="minorEastAsia"/>
                <w:bCs/>
                <w:sz w:val="24"/>
                <w:szCs w:val="20"/>
              </w:rPr>
            </w:pPr>
            <w:r>
              <w:rPr>
                <w:rFonts w:hint="eastAsia" w:asciiTheme="minorEastAsia" w:hAnsiTheme="minorEastAsia" w:eastAsiaTheme="minorEastAsia" w:cstheme="minorEastAsia"/>
                <w:bCs/>
                <w:sz w:val="24"/>
              </w:rPr>
              <w:t>联系人：</w:t>
            </w:r>
            <w:r>
              <w:rPr>
                <w:rFonts w:hint="eastAsia" w:asciiTheme="minorEastAsia" w:hAnsiTheme="minorEastAsia" w:eastAsiaTheme="minorEastAsia" w:cstheme="minorEastAsia"/>
                <w:bCs/>
                <w:sz w:val="24"/>
                <w:u w:val="single"/>
              </w:rPr>
              <w:t xml:space="preserve">   /   </w:t>
            </w:r>
            <w:r>
              <w:rPr>
                <w:rFonts w:hint="eastAsia" w:asciiTheme="minorEastAsia" w:hAnsiTheme="minorEastAsia" w:eastAsiaTheme="minorEastAsia" w:cstheme="minorEastAsia"/>
                <w:bCs/>
                <w:sz w:val="24"/>
              </w:rPr>
              <w:t>；其他说明：</w:t>
            </w:r>
            <w:r>
              <w:rPr>
                <w:rFonts w:hint="eastAsia" w:asciiTheme="minorEastAsia" w:hAnsiTheme="minorEastAsia" w:eastAsiaTheme="minorEastAsia" w:cstheme="minorEastAsia"/>
                <w:bCs/>
                <w:sz w:val="24"/>
                <w:u w:val="single"/>
              </w:rPr>
              <w:t>/</w:t>
            </w:r>
          </w:p>
        </w:tc>
      </w:tr>
      <w:tr w14:paraId="7CB2B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6"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58677D4">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19F462AB">
            <w:pPr>
              <w:snapToGrid w:val="0"/>
              <w:spacing w:line="360" w:lineRule="auto"/>
              <w:jc w:val="center"/>
              <w:rPr>
                <w:rFonts w:hint="eastAsia" w:asciiTheme="minorEastAsia" w:hAnsiTheme="minorEastAsia" w:eastAsiaTheme="minorEastAsia" w:cstheme="minorEastAsia"/>
                <w:b/>
                <w:color w:val="0000FF"/>
                <w:sz w:val="24"/>
              </w:rPr>
            </w:pPr>
            <w:r>
              <w:rPr>
                <w:rFonts w:hint="eastAsia" w:asciiTheme="minorEastAsia" w:hAnsiTheme="minorEastAsia" w:eastAsiaTheme="minorEastAsia" w:cstheme="minorEastAsia"/>
                <w:b/>
                <w:sz w:val="24"/>
              </w:rPr>
              <w:t>样品提供</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7D70A8D">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（）A不要求提供。</w:t>
            </w:r>
          </w:p>
          <w:p w14:paraId="756DA80F">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√）B要求提供。</w:t>
            </w:r>
          </w:p>
          <w:p w14:paraId="34D1EA81">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按要求提供“课桌椅”样品1整套 </w:t>
            </w:r>
            <w:r>
              <w:rPr>
                <w:rFonts w:hint="eastAsia" w:ascii="宋体" w:hAnsi="宋体" w:cs="宋体"/>
                <w:color w:val="000000" w:themeColor="text1"/>
                <w:kern w:val="0"/>
                <w:sz w:val="21"/>
                <w:szCs w:val="21"/>
                <w:highlight w:val="none"/>
                <w14:textFill>
                  <w14:solidFill>
                    <w14:schemeClr w14:val="tx1"/>
                  </w14:solidFill>
                </w14:textFill>
              </w:rPr>
              <w:t>；</w:t>
            </w:r>
          </w:p>
          <w:p w14:paraId="74CA4B75">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40585C85">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7280ECEE">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95"/>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2C14B71B">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96"/>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4D301AE5">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2B0E1C32">
            <w:pPr>
              <w:spacing w:line="360"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（4）是否需要随样品提交检测报告：</w:t>
            </w:r>
            <w:sdt>
              <w:sdtPr>
                <w:rPr>
                  <w:rFonts w:hint="eastAsia" w:ascii="宋体" w:hAnsi="宋体" w:cs="宋体"/>
                  <w:color w:val="000000" w:themeColor="text1"/>
                  <w:kern w:val="0"/>
                  <w:sz w:val="21"/>
                  <w:szCs w:val="21"/>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eastAsia="MS Gothic" w:cs="宋体"/>
                    <w:color w:val="000000" w:themeColor="text1"/>
                    <w:kern w:val="0"/>
                    <w:sz w:val="21"/>
                    <w:szCs w:val="21"/>
                    <w:highlight w:val="none"/>
                    <w14:textFill>
                      <w14:solidFill>
                        <w14:schemeClr w14:val="tx1"/>
                      </w14:solidFill>
                    </w14:textFill>
                  </w:rPr>
                  <w:t></w:t>
                </w:r>
              </w:sdtContent>
            </w:sdt>
            <w:r>
              <w:rPr>
                <w:rFonts w:hint="eastAsia" w:ascii="宋体" w:hAnsi="宋体" w:cs="宋体"/>
                <w:color w:val="000000" w:themeColor="text1"/>
                <w:kern w:val="0"/>
                <w:sz w:val="21"/>
                <w:szCs w:val="21"/>
                <w:highlight w:val="none"/>
                <w14:textFill>
                  <w14:solidFill>
                    <w14:schemeClr w14:val="tx1"/>
                  </w14:solidFill>
                </w14:textFill>
              </w:rPr>
              <w:t>否</w:t>
            </w:r>
          </w:p>
          <w:p w14:paraId="2BE8A44A">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（5）提供样品的时间：开标当天0</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0分至09:</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0分前；地点：萧山区南阳初级中学</w:t>
            </w:r>
            <w:r>
              <w:rPr>
                <w:rFonts w:hint="eastAsia" w:ascii="宋体" w:hAnsi="宋体" w:cs="宋体"/>
                <w:color w:val="000000" w:themeColor="text1"/>
                <w:sz w:val="21"/>
                <w:szCs w:val="21"/>
                <w:highlight w:val="none"/>
                <w:lang w:val="en-US" w:eastAsia="zh-CN"/>
                <w14:textFill>
                  <w14:solidFill>
                    <w14:schemeClr w14:val="tx1"/>
                  </w14:solidFill>
                </w14:textFill>
              </w:rPr>
              <w:t>会议室(杭州市萧山区南阳街道南虹路988号）</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寿老师</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kern w:val="28"/>
                <w:sz w:val="21"/>
                <w:szCs w:val="21"/>
                <w:highlight w:val="none"/>
                <w:u w:val="single"/>
                <w14:textFill>
                  <w14:solidFill>
                    <w14:schemeClr w14:val="tx1"/>
                  </w14:solidFill>
                </w14:textFill>
              </w:rPr>
              <w:t>15757116464</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364FADBD">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1AB57D1">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（7）制作、运输、安装和保管样品所发生的一切费用由投标人自理。</w:t>
            </w:r>
          </w:p>
          <w:p w14:paraId="10A620A6">
            <w:pPr>
              <w:pStyle w:val="3"/>
              <w:rPr>
                <w:rFonts w:hint="eastAsia" w:asciiTheme="minorEastAsia" w:hAnsiTheme="minorEastAsia" w:eastAsiaTheme="minorEastAsia" w:cstheme="minorEastAsia"/>
              </w:rPr>
            </w:pPr>
            <w:r>
              <w:rPr>
                <w:rFonts w:ascii="宋体" w:hAnsi="宋体" w:eastAsia="宋体" w:cs="宋体"/>
                <w:b w:val="0"/>
                <w:bCs w:val="0"/>
                <w:color w:val="000000" w:themeColor="text1"/>
                <w:sz w:val="21"/>
                <w:szCs w:val="21"/>
                <w:highlight w:val="none"/>
                <w:lang w:val="en-US"/>
                <w14:textFill>
                  <w14:solidFill>
                    <w14:schemeClr w14:val="tx1"/>
                  </w14:solidFill>
                </w14:textFill>
              </w:rPr>
              <w:t>( 8 )未提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2D957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48A2C9E7">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17C5C112">
            <w:pPr>
              <w:snapToGrid w:val="0"/>
              <w:spacing w:line="360" w:lineRule="auto"/>
              <w:jc w:val="center"/>
              <w:rPr>
                <w:rFonts w:hint="eastAsia" w:asciiTheme="minorEastAsia" w:hAnsiTheme="minorEastAsia" w:eastAsiaTheme="minorEastAsia" w:cstheme="minorEastAsia"/>
                <w:bCs/>
                <w:sz w:val="24"/>
                <w:highlight w:val="yellow"/>
              </w:rPr>
            </w:pPr>
            <w:r>
              <w:rPr>
                <w:rFonts w:hint="eastAsia" w:asciiTheme="minorEastAsia" w:hAnsiTheme="minorEastAsia" w:eastAsiaTheme="minorEastAsia" w:cstheme="minorEastAsia"/>
                <w:b/>
                <w:sz w:val="24"/>
              </w:rPr>
              <w:t>方案讲解演示</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0188C6AF">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bCs/>
                <w:kern w:val="0"/>
                <w:sz w:val="24"/>
              </w:rPr>
              <w:t>A</w:t>
            </w:r>
            <w:r>
              <w:rPr>
                <w:rFonts w:hint="eastAsia" w:asciiTheme="minorEastAsia" w:hAnsiTheme="minorEastAsia" w:eastAsiaTheme="minorEastAsia" w:cstheme="minorEastAsia"/>
                <w:bCs/>
                <w:sz w:val="24"/>
              </w:rPr>
              <w:t>不组织。</w:t>
            </w:r>
          </w:p>
          <w:p w14:paraId="76A80F80">
            <w:pPr>
              <w:spacing w:line="360" w:lineRule="auto"/>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bCs/>
                <w:sz w:val="24"/>
              </w:rPr>
              <w:t>（  ）</w:t>
            </w:r>
            <w:r>
              <w:rPr>
                <w:rFonts w:hint="eastAsia" w:asciiTheme="minorEastAsia" w:hAnsiTheme="minorEastAsia" w:eastAsiaTheme="minorEastAsia" w:cstheme="minorEastAsia"/>
                <w:bCs/>
                <w:kern w:val="0"/>
                <w:sz w:val="24"/>
              </w:rPr>
              <w:t>B组织。</w:t>
            </w:r>
          </w:p>
        </w:tc>
      </w:tr>
      <w:tr w14:paraId="7E368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rPr>
        <w:tc>
          <w:tcPr>
            <w:tcW w:w="639" w:type="dxa"/>
            <w:vMerge w:val="restart"/>
            <w:tcBorders>
              <w:top w:val="single" w:color="auto" w:sz="4" w:space="0"/>
              <w:left w:val="single" w:color="auto" w:sz="4" w:space="0"/>
              <w:right w:val="single" w:color="auto" w:sz="4" w:space="0"/>
            </w:tcBorders>
            <w:noWrap w:val="0"/>
            <w:vAlign w:val="center"/>
          </w:tcPr>
          <w:p w14:paraId="3EAF65A6">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97" w:type="dxa"/>
            <w:vMerge w:val="restart"/>
            <w:tcBorders>
              <w:top w:val="single" w:color="000000" w:sz="8" w:space="0"/>
              <w:left w:val="single" w:color="auto" w:sz="4" w:space="0"/>
              <w:right w:val="single" w:color="000000" w:sz="8" w:space="0"/>
            </w:tcBorders>
            <w:noWrap w:val="0"/>
            <w:vAlign w:val="center"/>
          </w:tcPr>
          <w:p w14:paraId="737310B7">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noWrap w:val="0"/>
            <w:vAlign w:val="center"/>
          </w:tcPr>
          <w:p w14:paraId="7A5207A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（1）资格证明文件：见交易文件第二部分10.1。</w:t>
            </w:r>
          </w:p>
          <w:p w14:paraId="5864CE43">
            <w:pPr>
              <w:spacing w:line="360" w:lineRule="auto"/>
              <w:rPr>
                <w:rFonts w:hint="eastAsia"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kern w:val="0"/>
                <w:sz w:val="24"/>
                <w:lang w:val="zh-CN"/>
              </w:rPr>
              <w:t>供应商未提供有效的资格证明文件的，视为供应商不具备交易文件中规定的资格要求，响应无效。</w:t>
            </w:r>
          </w:p>
        </w:tc>
      </w:tr>
      <w:tr w14:paraId="3E013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639" w:type="dxa"/>
            <w:vMerge w:val="continue"/>
            <w:tcBorders>
              <w:left w:val="single" w:color="auto" w:sz="4" w:space="0"/>
              <w:bottom w:val="single" w:color="auto" w:sz="4" w:space="0"/>
              <w:right w:val="single" w:color="auto" w:sz="4" w:space="0"/>
            </w:tcBorders>
            <w:noWrap w:val="0"/>
            <w:vAlign w:val="center"/>
          </w:tcPr>
          <w:p w14:paraId="526D4262">
            <w:pPr>
              <w:snapToGrid w:val="0"/>
              <w:spacing w:line="360" w:lineRule="auto"/>
              <w:jc w:val="center"/>
              <w:rPr>
                <w:rFonts w:hint="eastAsia" w:asciiTheme="minorEastAsia" w:hAnsiTheme="minorEastAsia" w:eastAsiaTheme="minorEastAsia" w:cstheme="minorEastAsia"/>
                <w:sz w:val="24"/>
              </w:rPr>
            </w:pPr>
          </w:p>
        </w:tc>
        <w:tc>
          <w:tcPr>
            <w:tcW w:w="2097" w:type="dxa"/>
            <w:vMerge w:val="continue"/>
            <w:tcBorders>
              <w:left w:val="single" w:color="auto" w:sz="4" w:space="0"/>
              <w:bottom w:val="single" w:color="000000" w:sz="8" w:space="0"/>
              <w:right w:val="single" w:color="000000" w:sz="8" w:space="0"/>
            </w:tcBorders>
            <w:noWrap w:val="0"/>
            <w:vAlign w:val="center"/>
          </w:tcPr>
          <w:p w14:paraId="3EC48E6A">
            <w:pPr>
              <w:snapToGrid w:val="0"/>
              <w:spacing w:line="360" w:lineRule="auto"/>
              <w:jc w:val="center"/>
              <w:rPr>
                <w:rFonts w:hint="eastAsia" w:asciiTheme="minorEastAsia" w:hAnsiTheme="minorEastAsia" w:eastAsiaTheme="minorEastAsia" w:cstheme="minorEastAsia"/>
                <w:b/>
                <w:sz w:val="24"/>
              </w:rPr>
            </w:pPr>
          </w:p>
        </w:tc>
        <w:tc>
          <w:tcPr>
            <w:tcW w:w="6483" w:type="dxa"/>
            <w:tcBorders>
              <w:top w:val="single" w:color="auto" w:sz="4" w:space="0"/>
              <w:left w:val="single" w:color="000000" w:sz="2" w:space="0"/>
              <w:bottom w:val="single" w:color="000000" w:sz="8" w:space="0"/>
              <w:right w:val="single" w:color="000000" w:sz="8" w:space="0"/>
            </w:tcBorders>
            <w:noWrap w:val="0"/>
            <w:vAlign w:val="center"/>
          </w:tcPr>
          <w:p w14:paraId="6743ABCC">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（2）资信证明文件：根据交易文件第四部分评审标准提供。</w:t>
            </w:r>
          </w:p>
        </w:tc>
      </w:tr>
      <w:tr w14:paraId="7F1C2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B7D5857">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5E8A34AC">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报价要求</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46A7EA40">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有关本项目实施所需的所有费用（含税费）均计入报价。</w:t>
            </w:r>
            <w:r>
              <w:rPr>
                <w:rFonts w:hint="eastAsia" w:asciiTheme="minorEastAsia" w:hAnsiTheme="minorEastAsia" w:eastAsiaTheme="minorEastAsia" w:cstheme="minorEastAsia"/>
                <w:bCs/>
                <w:kern w:val="0"/>
                <w:sz w:val="24"/>
              </w:rPr>
              <w:t>交易一览表（报价表）是报价的唯一载体</w:t>
            </w:r>
            <w:r>
              <w:rPr>
                <w:rFonts w:hint="eastAsia" w:asciiTheme="minorEastAsia" w:hAnsiTheme="minorEastAsia" w:eastAsiaTheme="minorEastAsia" w:cstheme="minorEastAsia"/>
                <w:bCs/>
                <w:kern w:val="0"/>
                <w:sz w:val="24"/>
                <w:lang w:val="zh-CN"/>
              </w:rPr>
              <w:t>。响应文件中价格全部采用人民币报价。交易文件未列明，而供应商认为必需的费用也需列入报价。</w:t>
            </w:r>
          </w:p>
          <w:p w14:paraId="3CEA8A9A">
            <w:pPr>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报价含设备安装调试及后期质保运维工作的费用。</w:t>
            </w:r>
          </w:p>
          <w:p w14:paraId="590C8E8D">
            <w:pPr>
              <w:spacing w:line="360" w:lineRule="auto"/>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响应报价出现下列情形的，响应无效：</w:t>
            </w:r>
          </w:p>
          <w:p w14:paraId="2A0B2FC5">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响应文件出现不是唯一的、有选择性响应报价的；</w:t>
            </w:r>
          </w:p>
          <w:p w14:paraId="231E264A">
            <w:pPr>
              <w:spacing w:line="360" w:lineRule="auto"/>
              <w:ind w:firstLine="480" w:firstLineChars="200"/>
              <w:rPr>
                <w:rFonts w:hint="eastAsia" w:asciiTheme="minorEastAsia" w:hAnsiTheme="minorEastAsia" w:eastAsiaTheme="minorEastAsia" w:cstheme="minorEastAsia"/>
                <w:bCs/>
                <w:kern w:val="0"/>
                <w:sz w:val="24"/>
                <w:lang w:val="zh-CN"/>
              </w:rPr>
            </w:pPr>
            <w:r>
              <w:rPr>
                <w:rFonts w:hint="eastAsia" w:asciiTheme="minorEastAsia" w:hAnsiTheme="minorEastAsia" w:eastAsiaTheme="minorEastAsia" w:cstheme="minorEastAsia"/>
                <w:bCs/>
                <w:kern w:val="0"/>
                <w:sz w:val="24"/>
                <w:lang w:val="zh-CN"/>
              </w:rPr>
              <w:t>响应报价超过交易文件中规定的预算金额或者最高限价的；</w:t>
            </w:r>
          </w:p>
          <w:p w14:paraId="5D2C5D02">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kern w:val="0"/>
                <w:sz w:val="24"/>
                <w:lang w:val="zh-CN"/>
              </w:rPr>
              <w:t>；</w:t>
            </w:r>
          </w:p>
          <w:p w14:paraId="7A1CAE55">
            <w:pPr>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供应商对根据修正原则修正后的报价不确认的。</w:t>
            </w:r>
          </w:p>
          <w:p w14:paraId="58E50BDC">
            <w:pPr>
              <w:spacing w:line="360" w:lineRule="auto"/>
              <w:ind w:firstLine="480" w:firstLineChars="200"/>
              <w:rPr>
                <w:rFonts w:hint="eastAsia" w:asciiTheme="minorEastAsia" w:hAnsiTheme="minorEastAsia" w:eastAsiaTheme="minorEastAsia" w:cstheme="minorEastAsia"/>
                <w:bCs/>
              </w:rPr>
            </w:pPr>
            <w:r>
              <w:rPr>
                <w:rFonts w:hint="eastAsia" w:asciiTheme="minorEastAsia" w:hAnsiTheme="minorEastAsia" w:eastAsiaTheme="minorEastAsia" w:cstheme="minorEastAsia"/>
                <w:bCs/>
                <w:kern w:val="0"/>
                <w:sz w:val="24"/>
              </w:rPr>
              <w:t>资格文件、商务技术文件与报价文件未分开制作</w:t>
            </w:r>
            <w:r>
              <w:rPr>
                <w:rFonts w:hint="eastAsia" w:asciiTheme="minorEastAsia" w:hAnsiTheme="minorEastAsia" w:eastAsiaTheme="minorEastAsia" w:cstheme="minorEastAsia"/>
                <w:bCs/>
                <w:sz w:val="24"/>
              </w:rPr>
              <w:t>。</w:t>
            </w:r>
          </w:p>
        </w:tc>
      </w:tr>
      <w:tr w14:paraId="1CF06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80CFEF3">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2BA9D8BE">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备份响应文件</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217D5A7F">
            <w:pPr>
              <w:pStyle w:val="32"/>
              <w:spacing w:line="360" w:lineRule="auto"/>
              <w:ind w:hanging="4"/>
              <w:rPr>
                <w:rFonts w:hint="eastAsia" w:asciiTheme="minorEastAsia" w:hAnsiTheme="minorEastAsia" w:eastAsiaTheme="minorEastAsia" w:cstheme="minorEastAsia"/>
                <w:kern w:val="28"/>
                <w:sz w:val="24"/>
              </w:rPr>
            </w:pPr>
            <w:r>
              <w:rPr>
                <w:rFonts w:hint="eastAsia" w:asciiTheme="minorEastAsia" w:hAnsiTheme="minorEastAsia" w:eastAsiaTheme="minorEastAsia" w:cstheme="minorEastAsia"/>
                <w:kern w:val="28"/>
                <w:sz w:val="24"/>
                <w:szCs w:val="24"/>
              </w:rPr>
              <w:t>备份文件是否收取：不收取。</w:t>
            </w:r>
          </w:p>
        </w:tc>
      </w:tr>
      <w:tr w14:paraId="437F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3F49C0B">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435D50E4">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采购机构代理费用</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336FCEB5">
            <w:pPr>
              <w:spacing w:line="360" w:lineRule="auto"/>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
                <w:color w:val="auto"/>
                <w:sz w:val="24"/>
                <w:szCs w:val="24"/>
                <w:highlight w:val="none"/>
                <w:lang w:val="en-US" w:eastAsia="zh-CN"/>
              </w:rPr>
              <w:t>\</w:t>
            </w:r>
          </w:p>
        </w:tc>
      </w:tr>
      <w:tr w14:paraId="740FE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2AE605AD">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14</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64363D41">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履约保证金</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6701D0F">
            <w:pPr>
              <w:spacing w:line="360" w:lineRule="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28"/>
                <w:sz w:val="24"/>
                <w:szCs w:val="24"/>
              </w:rPr>
              <w:t>不收取</w:t>
            </w:r>
          </w:p>
        </w:tc>
      </w:tr>
      <w:tr w14:paraId="3FEF3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08BA1E5F">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15</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5EFA491D">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资格审查</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587A1DA4">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本项目由采购人进行资格文件查询。</w:t>
            </w:r>
          </w:p>
        </w:tc>
      </w:tr>
      <w:tr w14:paraId="0EECD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1"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669CA478">
            <w:pPr>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17</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4BF388D1">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质疑接收人及答复</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B713914">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采购人、采购机构质疑接收人、联系方式：详见公告</w:t>
            </w:r>
          </w:p>
          <w:p w14:paraId="0E19DD79">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线上提交质疑方式：乐采云线上质疑路径：项目采购-询问质疑投诉-质疑列表。请使用ca签章在每一页质疑文件中加盖电子公章，上传完整附件。</w:t>
            </w:r>
          </w:p>
          <w:p w14:paraId="5C75808F">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本项目涉及资格条件、采购需求、评分办法及采购过程中有关现场考察或开标前答疑会等事项由采购人进行答复。</w:t>
            </w:r>
          </w:p>
          <w:p w14:paraId="59BBAFEF">
            <w:pPr>
              <w:pStyle w:val="32"/>
              <w:spacing w:line="360" w:lineRule="auto"/>
              <w:ind w:hanging="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涉及流程规范性、组织程序等相关事项，由采购机构进行答复。</w:t>
            </w:r>
          </w:p>
        </w:tc>
      </w:tr>
      <w:tr w14:paraId="0C0E4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19FAC3C8">
            <w:pPr>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2C48215A">
            <w:pPr>
              <w:snapToGrid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特别说明</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6350C6B">
            <w:pPr>
              <w:spacing w:line="360" w:lineRule="auto"/>
              <w:ind w:firstLine="482"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b/>
                <w:sz w:val="24"/>
              </w:rPr>
              <w:t>本项目通用总则条款与前附表等专用特别规定有冲突之处，以专用条款（特别规定）为准</w:t>
            </w:r>
          </w:p>
        </w:tc>
      </w:tr>
    </w:tbl>
    <w:p w14:paraId="600BE5BC">
      <w:pPr>
        <w:rPr>
          <w:rFonts w:hint="eastAsia" w:asciiTheme="minorEastAsia" w:hAnsiTheme="minorEastAsia" w:eastAsiaTheme="minorEastAsia" w:cstheme="minorEastAsia"/>
          <w:b/>
          <w:sz w:val="32"/>
          <w:szCs w:val="20"/>
        </w:rPr>
      </w:pPr>
    </w:p>
    <w:p w14:paraId="25F2685B">
      <w:pPr>
        <w:rPr>
          <w:rFonts w:hint="eastAsia" w:asciiTheme="minorEastAsia" w:hAnsiTheme="minorEastAsia" w:eastAsiaTheme="minorEastAsia" w:cstheme="minorEastAsia"/>
          <w:b/>
          <w:sz w:val="32"/>
          <w:szCs w:val="20"/>
        </w:rPr>
      </w:pPr>
    </w:p>
    <w:p w14:paraId="45E10211">
      <w:pPr>
        <w:spacing w:line="360" w:lineRule="auto"/>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2.定义</w:t>
      </w:r>
    </w:p>
    <w:p w14:paraId="65EC1AB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2.6“电子交易平台”是指本项目采购活动所依托的</w:t>
      </w:r>
      <w:r>
        <w:rPr>
          <w:rFonts w:hint="eastAsia" w:asciiTheme="minorEastAsia" w:hAnsiTheme="minorEastAsia" w:eastAsiaTheme="minorEastAsia" w:cstheme="minorEastAsia"/>
          <w:sz w:val="24"/>
          <w:lang w:eastAsia="zh-CN"/>
        </w:rPr>
        <w:t>乐采云平台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https://www.lecaiyun.com/</w:t>
      </w:r>
      <w:r>
        <w:rPr>
          <w:rFonts w:hint="eastAsia" w:asciiTheme="minorEastAsia" w:hAnsiTheme="minorEastAsia" w:eastAsiaTheme="minorEastAsia" w:cstheme="minorEastAsia"/>
          <w:sz w:val="24"/>
        </w:rPr>
        <w:t>）。</w:t>
      </w:r>
    </w:p>
    <w:p w14:paraId="136634C8">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 “▲” 系指实质性要求条款，“（</w:t>
      </w:r>
      <w:r>
        <w:rPr>
          <w:rFonts w:hint="eastAsia" w:asciiTheme="minorEastAsia" w:hAnsiTheme="minorEastAsia" w:eastAsiaTheme="minorEastAsia" w:cstheme="minorEastAsia"/>
          <w:bCs/>
          <w:sz w:val="24"/>
        </w:rPr>
        <w:t>√</w:t>
      </w:r>
      <w:r>
        <w:rPr>
          <w:rFonts w:hint="eastAsia" w:asciiTheme="minorEastAsia" w:hAnsiTheme="minorEastAsia" w:eastAsiaTheme="minorEastAsia" w:cstheme="minorEastAsia"/>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.2供应商质疑</w:t>
      </w:r>
    </w:p>
    <w:p w14:paraId="5FF838AB">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.1提出质疑的供应商应当是参与所质疑项目采购活动的供应商。潜在供应商已依法获取其可质疑的交易文件的，可以对该文件提出质疑。</w:t>
      </w:r>
    </w:p>
    <w:p w14:paraId="6EDE5FCB">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3</w:t>
      </w:r>
      <w:r>
        <w:rPr>
          <w:rFonts w:hint="eastAsia" w:asciiTheme="minorEastAsia" w:hAnsiTheme="minorEastAsia" w:eastAsiaTheme="minorEastAsia" w:cstheme="minorEastAsia"/>
          <w:kern w:val="0"/>
          <w:sz w:val="24"/>
          <w:lang w:val="zh-CN"/>
        </w:rPr>
        <w:t>.2</w:t>
      </w:r>
      <w:r>
        <w:rPr>
          <w:rFonts w:hint="eastAsia" w:asciiTheme="minorEastAsia" w:hAnsiTheme="minorEastAsia" w:eastAsiaTheme="minorEastAsia" w:cstheme="minorEastAsia"/>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15"/>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3.2.2.2对采购过程提出质疑的，质疑期限为各采购程序环节结束之日起计算。对同一采购程序环节的质疑，供应商须一次性提出。</w:t>
      </w:r>
    </w:p>
    <w:p w14:paraId="65987299">
      <w:pPr>
        <w:pStyle w:val="32"/>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3.2.2.3对采购结果提出质疑的，质疑期限自采购结果公告期限届满之日起计算。</w:t>
      </w:r>
    </w:p>
    <w:p w14:paraId="3DC92403">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w:t>
      </w:r>
      <w:r>
        <w:rPr>
          <w:rFonts w:hint="eastAsia" w:asciiTheme="minorEastAsia" w:hAnsiTheme="minorEastAsia" w:eastAsiaTheme="minorEastAsia" w:cstheme="minorEastAsia"/>
          <w:sz w:val="24"/>
        </w:rPr>
        <w:t>供应商提出质疑应当提交质疑函和必要的证明材料。质疑函应当包括下列内容：</w:t>
      </w:r>
    </w:p>
    <w:p w14:paraId="323F372B">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3.2.3.1供应商的姓名或者名称、地址、邮编、联系人及联系电话；</w:t>
      </w:r>
    </w:p>
    <w:p w14:paraId="599DB7D2">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3.2.3.2质疑项目的名称、编号；</w:t>
      </w:r>
    </w:p>
    <w:p w14:paraId="579ACE69">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3.2.3.3具体、明确的质疑事项和与质疑事项相关的请求；</w:t>
      </w:r>
    </w:p>
    <w:p w14:paraId="4B9E2A1F">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3.2.3.4事实依据；</w:t>
      </w:r>
    </w:p>
    <w:p w14:paraId="01CE1AB9">
      <w:pPr>
        <w:pStyle w:val="32"/>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3.2.3.5必要的法律依据；</w:t>
      </w:r>
    </w:p>
    <w:p w14:paraId="428F05DA">
      <w:pPr>
        <w:pStyle w:val="32"/>
        <w:spacing w:line="360" w:lineRule="auto"/>
        <w:ind w:firstLine="960" w:firstLineChars="4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3.2.3.6提出质疑的日期。</w:t>
      </w:r>
    </w:p>
    <w:p w14:paraId="6DD818FC">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供应商提交的质疑函需一式三份。供应商为自然人的，应当由本人签字；供应商为法人或者其他组织的，应当由法定代表人、主要负责人，或者其授权代表签字或者盖章，并加盖公章。</w:t>
      </w:r>
    </w:p>
    <w:p w14:paraId="326FCB15">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质疑函范本及制作说明详见附件2。</w:t>
      </w:r>
    </w:p>
    <w:p w14:paraId="41C7D511">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3.2</w:t>
      </w:r>
      <w:r>
        <w:rPr>
          <w:rFonts w:hint="eastAsia" w:asciiTheme="minorEastAsia" w:hAnsiTheme="minorEastAsia" w:eastAsiaTheme="minorEastAsia" w:cstheme="minorEastAsia"/>
        </w:rPr>
        <w:t>.5询问或者质疑事项可能影响采购结果的，采购人应当暂停签订合同，已经签订合同的，应当中止履行合同。</w:t>
      </w:r>
    </w:p>
    <w:p w14:paraId="3EF0C2CB">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lang w:val="zh-CN"/>
        </w:rPr>
        <w:t>3.3供应商投诉</w:t>
      </w:r>
    </w:p>
    <w:p w14:paraId="0B7394C8">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3.3.1质疑供应商对采购人、采购机构的答复不满意或者采购人、采购机构未在规定的时间内作出答复的，可以在答复期满后十五个工作日内向同级采购监督管理部门提出投诉。</w:t>
      </w:r>
    </w:p>
    <w:p w14:paraId="1AEB66A9">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w:t>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t>供应商投诉的事项不得超出已质疑事项的范围，基于质疑答复内容提出的投诉事项除外。</w:t>
      </w:r>
    </w:p>
    <w:p w14:paraId="4AF30646">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rPr>
      </w:pPr>
      <w:r>
        <w:rPr>
          <w:rFonts w:hint="eastAsia" w:asciiTheme="minorEastAsia" w:hAnsiTheme="minorEastAsia" w:eastAsiaTheme="minorEastAsia" w:cstheme="minorEastAsia"/>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sz w:val="32"/>
          <w:szCs w:val="20"/>
        </w:rPr>
      </w:pPr>
      <w:r>
        <w:rPr>
          <w:rFonts w:hint="eastAsia" w:asciiTheme="minorEastAsia" w:hAnsiTheme="minorEastAsia" w:eastAsiaTheme="minorEastAsia" w:cstheme="minorEastAsia"/>
          <w:b/>
          <w:sz w:val="32"/>
          <w:szCs w:val="20"/>
        </w:rPr>
        <w:t xml:space="preserve">      二、交易文件的构成、澄清、修改</w:t>
      </w:r>
    </w:p>
    <w:p w14:paraId="1B7BAD66">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4．交易文件的构成</w:t>
      </w:r>
    </w:p>
    <w:p w14:paraId="7F96731D">
      <w:pPr>
        <w:pStyle w:val="3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交易文件包括下列文件及附件：</w:t>
      </w:r>
    </w:p>
    <w:p w14:paraId="7B141D49">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4.1.1交易公告；</w:t>
      </w:r>
    </w:p>
    <w:p w14:paraId="7ACADBBD">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4.1.2供应商须知；</w:t>
      </w:r>
    </w:p>
    <w:p w14:paraId="01E95A6B">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4.1.3采购需求；</w:t>
      </w:r>
    </w:p>
    <w:p w14:paraId="7666A0D6">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4.1.4评审办法；</w:t>
      </w:r>
    </w:p>
    <w:p w14:paraId="0C9D1C7B">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4.1.5拟签订的合同文本；</w:t>
      </w:r>
    </w:p>
    <w:p w14:paraId="5C752756">
      <w:pPr>
        <w:pStyle w:val="32"/>
        <w:tabs>
          <w:tab w:val="left" w:pos="840"/>
        </w:tabs>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rPr>
        <w:t>4.1.6</w:t>
      </w:r>
      <w:r>
        <w:rPr>
          <w:rFonts w:hint="eastAsia" w:asciiTheme="minorEastAsia" w:hAnsiTheme="minorEastAsia" w:eastAsiaTheme="minorEastAsia" w:cstheme="minorEastAsia"/>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4.2与本项目有关的</w:t>
      </w:r>
      <w:r>
        <w:rPr>
          <w:rFonts w:hint="eastAsia" w:asciiTheme="minorEastAsia" w:hAnsiTheme="minorEastAsia" w:eastAsiaTheme="minorEastAsia" w:cstheme="minorEastAsia"/>
          <w:bCs/>
          <w:sz w:val="24"/>
        </w:rPr>
        <w:t>澄清或者修改的内容为交易文件的组成部分</w:t>
      </w:r>
      <w:r>
        <w:rPr>
          <w:rFonts w:hint="eastAsia" w:asciiTheme="minorEastAsia" w:hAnsiTheme="minorEastAsia" w:eastAsiaTheme="minorEastAsia" w:cstheme="minorEastAsia"/>
          <w:sz w:val="24"/>
        </w:rPr>
        <w:t>。</w:t>
      </w:r>
    </w:p>
    <w:p w14:paraId="3FB883EB">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 交易文件的澄清、修改</w:t>
      </w:r>
    </w:p>
    <w:p w14:paraId="1F77C0F0">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5.1已获取交易文件的潜在供应商，若有问题需要澄清，应于交易截止时间前，以书面形式向采购机构提出。</w:t>
      </w:r>
    </w:p>
    <w:p w14:paraId="67CABECA">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23"/>
        <w:spacing w:line="360" w:lineRule="auto"/>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sz w:val="30"/>
          <w:szCs w:val="20"/>
        </w:rPr>
      </w:pPr>
      <w:r>
        <w:rPr>
          <w:rFonts w:hint="eastAsia" w:asciiTheme="minorEastAsia" w:hAnsiTheme="minorEastAsia" w:eastAsiaTheme="minorEastAsia" w:cstheme="minorEastAsia"/>
          <w:b/>
          <w:sz w:val="30"/>
          <w:szCs w:val="20"/>
        </w:rPr>
        <w:t>三、交易</w:t>
      </w:r>
    </w:p>
    <w:p w14:paraId="54DD972A">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kern w:val="28"/>
          <w:sz w:val="24"/>
        </w:rPr>
      </w:pPr>
      <w:r>
        <w:rPr>
          <w:rFonts w:hint="eastAsia" w:asciiTheme="minorEastAsia" w:hAnsiTheme="minorEastAsia" w:eastAsiaTheme="minorEastAsia" w:cstheme="minorEastAsia"/>
          <w:snapToGrid w:val="0"/>
          <w:kern w:val="28"/>
          <w:sz w:val="24"/>
        </w:rPr>
        <w:t>详见交易公告中获取交易文件的时间期限、地点、方式及交易文件售价。</w:t>
      </w:r>
    </w:p>
    <w:p w14:paraId="45919960">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7.交易前答疑会或现场考察</w:t>
      </w:r>
    </w:p>
    <w:p w14:paraId="27045522">
      <w:pPr>
        <w:pStyle w:val="3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采购人组织潜在供应商现场考察或者召开交易前答疑会的，潜在供应商按第二部分供应商须知前附表的规定参加现场考察或者交易前答疑会。</w:t>
      </w:r>
    </w:p>
    <w:p w14:paraId="688E38E4">
      <w:pPr>
        <w:pStyle w:val="32"/>
        <w:spacing w:line="360" w:lineRule="auto"/>
        <w:ind w:firstLine="482" w:firstLineChars="20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kern w:val="28"/>
          <w:sz w:val="24"/>
          <w:szCs w:val="24"/>
        </w:rPr>
        <w:t>8.交易保证金</w:t>
      </w:r>
    </w:p>
    <w:p w14:paraId="23A04010">
      <w:pPr>
        <w:pStyle w:val="15"/>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响应文件及供应商与采购有关的来往通知、函件和文件均应使用中文。</w:t>
      </w:r>
    </w:p>
    <w:p w14:paraId="40187D1F">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w:t>
      </w:r>
      <w:r>
        <w:rPr>
          <w:rFonts w:hint="eastAsia" w:asciiTheme="minorEastAsia" w:hAnsiTheme="minorEastAsia" w:eastAsiaTheme="minorEastAsia" w:cstheme="minorEastAsia"/>
          <w:b/>
          <w:bCs/>
          <w:sz w:val="24"/>
        </w:rPr>
        <w:t>0</w:t>
      </w:r>
      <w:r>
        <w:rPr>
          <w:rFonts w:hint="eastAsia" w:asciiTheme="minorEastAsia" w:hAnsiTheme="minorEastAsia" w:eastAsiaTheme="minorEastAsia" w:cstheme="minorEastAsia"/>
          <w:b/>
          <w:bCs/>
          <w:sz w:val="24"/>
          <w:lang w:val="zh-CN"/>
        </w:rPr>
        <w:t>.</w:t>
      </w:r>
      <w:r>
        <w:rPr>
          <w:rFonts w:hint="eastAsia" w:asciiTheme="minorEastAsia" w:hAnsiTheme="minorEastAsia" w:eastAsiaTheme="minorEastAsia" w:cstheme="minorEastAsia"/>
          <w:b/>
          <w:bCs/>
          <w:sz w:val="24"/>
        </w:rPr>
        <w:t>2</w:t>
      </w:r>
      <w:r>
        <w:rPr>
          <w:rFonts w:hint="eastAsia" w:asciiTheme="minorEastAsia" w:hAnsiTheme="minorEastAsia" w:eastAsiaTheme="minorEastAsia" w:cstheme="minorEastAsia"/>
          <w:b/>
          <w:bCs/>
          <w:sz w:val="24"/>
          <w:lang w:val="zh-CN"/>
        </w:rPr>
        <w:t xml:space="preserve">  </w:t>
      </w:r>
      <w:r>
        <w:rPr>
          <w:rFonts w:hint="eastAsia" w:asciiTheme="minorEastAsia" w:hAnsiTheme="minorEastAsia" w:eastAsiaTheme="minorEastAsia" w:cstheme="minorEastAsia"/>
          <w:b/>
          <w:bCs/>
          <w:sz w:val="24"/>
        </w:rPr>
        <w:t>商务技术</w:t>
      </w:r>
      <w:r>
        <w:rPr>
          <w:rFonts w:hint="eastAsia" w:asciiTheme="minorEastAsia" w:hAnsiTheme="minorEastAsia" w:eastAsiaTheme="minorEastAsia" w:cstheme="minorEastAsia"/>
          <w:b/>
          <w:bCs/>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10.2.1响应函；</w:t>
      </w:r>
      <w:r>
        <w:rPr>
          <w:rFonts w:hint="eastAsia" w:asciiTheme="minorEastAsia" w:hAnsiTheme="minorEastAsia" w:eastAsiaTheme="minorEastAsia" w:cstheme="minorEastAsia"/>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10.2.7</w:t>
      </w:r>
      <w:r>
        <w:rPr>
          <w:rFonts w:hint="eastAsia" w:asciiTheme="minorEastAsia" w:hAnsiTheme="minorEastAsia" w:eastAsiaTheme="minorEastAsia" w:cstheme="minorEastAsia"/>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sz w:val="24"/>
          <w:u w:val="single"/>
          <w:lang w:val="zh-CN"/>
        </w:rPr>
      </w:pPr>
      <w:r>
        <w:rPr>
          <w:rFonts w:hint="eastAsia" w:asciiTheme="minorEastAsia" w:hAnsiTheme="minorEastAsia" w:eastAsiaTheme="minorEastAsia" w:cstheme="minorEastAsia"/>
          <w:b/>
          <w:bCs/>
          <w:kern w:val="0"/>
          <w:sz w:val="24"/>
          <w:lang w:val="zh-CN"/>
        </w:rPr>
        <w:t>1</w:t>
      </w:r>
      <w:r>
        <w:rPr>
          <w:rFonts w:hint="eastAsia" w:asciiTheme="minorEastAsia" w:hAnsiTheme="minorEastAsia" w:eastAsiaTheme="minorEastAsia" w:cstheme="minorEastAsia"/>
          <w:b/>
          <w:bCs/>
          <w:kern w:val="0"/>
          <w:sz w:val="24"/>
        </w:rPr>
        <w:t>0</w:t>
      </w:r>
      <w:r>
        <w:rPr>
          <w:rFonts w:hint="eastAsia" w:asciiTheme="minorEastAsia" w:hAnsiTheme="minorEastAsia" w:eastAsiaTheme="minorEastAsia" w:cstheme="minorEastAsia"/>
          <w:b/>
          <w:bCs/>
          <w:kern w:val="0"/>
          <w:sz w:val="24"/>
          <w:lang w:val="zh-CN"/>
        </w:rPr>
        <w:t>.</w:t>
      </w:r>
      <w:r>
        <w:rPr>
          <w:rFonts w:hint="eastAsia" w:asciiTheme="minorEastAsia" w:hAnsiTheme="minorEastAsia" w:eastAsiaTheme="minorEastAsia" w:cstheme="minorEastAsia"/>
          <w:b/>
          <w:bCs/>
          <w:kern w:val="0"/>
          <w:sz w:val="24"/>
        </w:rPr>
        <w:t>3</w:t>
      </w:r>
      <w:r>
        <w:rPr>
          <w:rFonts w:hint="eastAsia" w:asciiTheme="minorEastAsia" w:hAnsiTheme="minorEastAsia" w:eastAsiaTheme="minorEastAsia" w:cstheme="minorEastAsia"/>
          <w:b/>
          <w:bCs/>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 w:val="24"/>
        </w:rPr>
        <w:t>供应商提供虚假材料交易的，交易无效。</w:t>
      </w:r>
    </w:p>
    <w:p w14:paraId="77163D79">
      <w:pPr>
        <w:pStyle w:val="129"/>
        <w:snapToGrid w:val="0"/>
        <w:spacing w:before="0" w:line="360" w:lineRule="auto"/>
        <w:ind w:firstLine="482"/>
        <w:outlineLvl w:val="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11</w:t>
      </w:r>
      <w:r>
        <w:rPr>
          <w:rFonts w:hint="eastAsia" w:asciiTheme="minorEastAsia" w:hAnsiTheme="minorEastAsia" w:eastAsiaTheme="minorEastAsia" w:cstheme="minorEastAsia"/>
          <w:b/>
          <w:kern w:val="0"/>
          <w:szCs w:val="24"/>
          <w:lang w:val="zh-CN"/>
        </w:rPr>
        <w:t xml:space="preserve">. </w:t>
      </w:r>
      <w:r>
        <w:rPr>
          <w:rFonts w:hint="eastAsia" w:asciiTheme="minorEastAsia" w:hAnsiTheme="minorEastAsia" w:eastAsiaTheme="minorEastAsia" w:cstheme="minorEastAsia"/>
          <w:b/>
          <w:szCs w:val="24"/>
        </w:rPr>
        <w:t>响应文件的编制</w:t>
      </w:r>
    </w:p>
    <w:p w14:paraId="631CEC64">
      <w:pPr>
        <w:spacing w:line="360" w:lineRule="auto"/>
        <w:ind w:firstLine="480"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12.响应文件的签署、盖章</w:t>
      </w:r>
    </w:p>
    <w:p w14:paraId="781C8CB1">
      <w:pPr>
        <w:pStyle w:val="129"/>
        <w:snapToGrid w:val="0"/>
        <w:spacing w:before="0" w:line="360" w:lineRule="auto"/>
        <w:ind w:firstLine="480"/>
        <w:rPr>
          <w:rFonts w:hint="eastAsia" w:asciiTheme="minorEastAsia" w:hAnsiTheme="minorEastAsia" w:eastAsiaTheme="minorEastAsia" w:cstheme="minorEastAsia"/>
          <w:b/>
        </w:rPr>
      </w:pPr>
      <w:r>
        <w:rPr>
          <w:rFonts w:hint="eastAsia" w:asciiTheme="minorEastAsia" w:hAnsiTheme="minorEastAsia" w:eastAsiaTheme="minorEastAsia" w:cstheme="minorEastAsia"/>
          <w:szCs w:val="24"/>
        </w:rPr>
        <w:t>12.1响应文件按照交易文件第六部分格式要</w:t>
      </w:r>
      <w:r>
        <w:rPr>
          <w:rFonts w:hint="eastAsia" w:asciiTheme="minorEastAsia" w:hAnsiTheme="minorEastAsia" w:eastAsiaTheme="minorEastAsia" w:cstheme="minorEastAsia"/>
        </w:rPr>
        <w:t>求进行签署、盖章。</w:t>
      </w:r>
      <w:r>
        <w:rPr>
          <w:rFonts w:hint="eastAsia" w:asciiTheme="minorEastAsia" w:hAnsiTheme="minorEastAsia" w:eastAsiaTheme="minorEastAsia" w:cstheme="minorEastAsia"/>
          <w:b/>
        </w:rPr>
        <w:t>▲供应商的响应文件未按照交易文件要求签署、盖章的，其交易无效</w:t>
      </w:r>
      <w:r>
        <w:rPr>
          <w:rFonts w:hint="eastAsia" w:asciiTheme="minorEastAsia" w:hAnsiTheme="minorEastAsia" w:eastAsiaTheme="minorEastAsia" w:cstheme="minorEastAsia"/>
          <w:szCs w:val="24"/>
        </w:rPr>
        <w:t>。</w:t>
      </w:r>
    </w:p>
    <w:p w14:paraId="37C61A28">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12.2为确保网上操作合法、有效和安全，供应商应当在交易截止时间前完成在“</w:t>
      </w:r>
      <w:r>
        <w:rPr>
          <w:rFonts w:hint="eastAsia" w:asciiTheme="minorEastAsia" w:hAnsiTheme="minorEastAsia" w:eastAsiaTheme="minorEastAsia" w:cstheme="minorEastAsia"/>
          <w:lang w:eastAsia="zh-CN"/>
        </w:rPr>
        <w:t>乐采云平台</w:t>
      </w:r>
      <w:r>
        <w:rPr>
          <w:rFonts w:hint="eastAsia" w:asciiTheme="minorEastAsia" w:hAnsiTheme="minorEastAsia" w:eastAsiaTheme="minorEastAsia" w:cstheme="minorEastAsia"/>
        </w:rPr>
        <w:t>”的身份认证，确保在电子交易（投标）过程中能够对相关数据电文进行加密和使用电子签名。</w:t>
      </w:r>
    </w:p>
    <w:p w14:paraId="30BBF1DD">
      <w:pPr>
        <w:pStyle w:val="129"/>
        <w:snapToGrid w:val="0"/>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rPr>
        <w:t>12.3交易文件对响应文件签署、盖章的要求适用于电子签名。</w:t>
      </w:r>
    </w:p>
    <w:p w14:paraId="3033F98D">
      <w:pPr>
        <w:pStyle w:val="129"/>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13. 响应文件的提交、补充、修改、撤回</w:t>
      </w:r>
    </w:p>
    <w:p w14:paraId="25366E7F">
      <w:pPr>
        <w:pStyle w:val="129"/>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129"/>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129"/>
        <w:spacing w:before="0" w:line="360" w:lineRule="auto"/>
        <w:ind w:firstLine="480"/>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32"/>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14.备份响应文件</w:t>
      </w:r>
    </w:p>
    <w:p w14:paraId="39EF4FE0">
      <w:pPr>
        <w:pStyle w:val="32"/>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本项目不收取备份响应文件</w:t>
      </w:r>
    </w:p>
    <w:p w14:paraId="1A812D2A">
      <w:pPr>
        <w:pStyle w:val="129"/>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15.响应文件的无效处理</w:t>
      </w:r>
    </w:p>
    <w:p w14:paraId="5BFA67AE">
      <w:pPr>
        <w:pStyle w:val="24"/>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有交易文件第四部分</w:t>
      </w:r>
      <w:r>
        <w:rPr>
          <w:rFonts w:hint="eastAsia" w:asciiTheme="minorEastAsia" w:hAnsiTheme="minorEastAsia" w:eastAsiaTheme="minorEastAsia" w:cstheme="minorEastAsia"/>
        </w:rPr>
        <w:t>4.2规定</w:t>
      </w:r>
      <w:r>
        <w:rPr>
          <w:rFonts w:hint="eastAsia" w:asciiTheme="minorEastAsia" w:hAnsiTheme="minorEastAsia" w:eastAsiaTheme="minorEastAsia" w:cstheme="minorEastAsia"/>
          <w:szCs w:val="21"/>
        </w:rPr>
        <w:t>的情形之一的，交易无效：</w:t>
      </w:r>
    </w:p>
    <w:p w14:paraId="31F6FD58">
      <w:pPr>
        <w:pStyle w:val="129"/>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16.交易有效期</w:t>
      </w:r>
    </w:p>
    <w:p w14:paraId="0A30F6BC">
      <w:pPr>
        <w:spacing w:line="360" w:lineRule="auto"/>
        <w:ind w:firstLine="480" w:firstLineChars="20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sz w:val="24"/>
          <w:szCs w:val="20"/>
        </w:rPr>
        <w:t>16.1交易有效期为从提交响应文件的截止之日起90天。▲</w:t>
      </w:r>
      <w:r>
        <w:rPr>
          <w:rFonts w:hint="eastAsia" w:asciiTheme="minorEastAsia" w:hAnsiTheme="minorEastAsia" w:eastAsiaTheme="minorEastAsia" w:cstheme="minorEastAsia"/>
          <w:b/>
          <w:sz w:val="24"/>
          <w:szCs w:val="20"/>
        </w:rPr>
        <w:t>供应商的响应文件中承</w:t>
      </w:r>
      <w:r>
        <w:rPr>
          <w:rFonts w:hint="eastAsia" w:asciiTheme="minorEastAsia" w:hAnsiTheme="minorEastAsia" w:eastAsiaTheme="minorEastAsia" w:cstheme="minorEastAsia"/>
          <w:b/>
          <w:sz w:val="24"/>
          <w:szCs w:val="21"/>
        </w:rPr>
        <w:t>诺的交易有效期少于交易文件中载明的交易有效期的，交易无效。</w:t>
      </w:r>
    </w:p>
    <w:p w14:paraId="5F41CA8F">
      <w:pPr>
        <w:pStyle w:val="129"/>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16.2响应文件合格投递后，自交易截止日期起，在交易有效期内有效。</w:t>
      </w:r>
    </w:p>
    <w:p w14:paraId="5CF9B28C">
      <w:pPr>
        <w:pStyle w:val="129"/>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129"/>
        <w:spacing w:before="0" w:line="360" w:lineRule="auto"/>
        <w:ind w:firstLine="0" w:firstLineChars="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四、交易、资格审查</w:t>
      </w:r>
    </w:p>
    <w:p w14:paraId="0BFBEB0C">
      <w:pPr>
        <w:pStyle w:val="555"/>
        <w:spacing w:before="0" w:line="360" w:lineRule="auto"/>
        <w:ind w:left="0" w:firstLine="482"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szCs w:val="24"/>
        </w:rPr>
        <w:t>17.交易</w:t>
      </w:r>
      <w:r>
        <w:rPr>
          <w:rFonts w:hint="eastAsia" w:asciiTheme="minorEastAsia" w:hAnsiTheme="minorEastAsia" w:eastAsiaTheme="minorEastAsia" w:cstheme="minorEastAsia"/>
          <w:sz w:val="24"/>
        </w:rPr>
        <w:t xml:space="preserve"> </w:t>
      </w:r>
    </w:p>
    <w:p w14:paraId="39399C01">
      <w:pPr>
        <w:pStyle w:val="555"/>
        <w:spacing w:before="0" w:line="360" w:lineRule="auto"/>
        <w:ind w:left="0"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17.1采购机构按照交易文件规定的时间通过电子交易平台组织开标，所有供应商均应当准时在线参加。供应商不足3家的，不得交易。</w:t>
      </w:r>
    </w:p>
    <w:p w14:paraId="5CB88EBF">
      <w:pPr>
        <w:pStyle w:val="555"/>
        <w:spacing w:before="0" w:line="360" w:lineRule="auto"/>
        <w:ind w:left="0" w:firstLine="240" w:firstLineChars="1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555"/>
        <w:spacing w:before="0" w:line="360" w:lineRule="auto"/>
        <w:ind w:left="0" w:firstLine="240"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　17.3</w:t>
      </w:r>
      <w:r>
        <w:rPr>
          <w:rFonts w:hint="eastAsia" w:asciiTheme="minorEastAsia" w:hAnsiTheme="minorEastAsia" w:eastAsiaTheme="minorEastAsia" w:cstheme="minorEastAsia"/>
          <w:b/>
          <w:sz w:val="24"/>
        </w:rPr>
        <w:t>响应文件未按时解密，供应商提供了备份响应文件的，以备份响应文件作为依据，否则视为响应文件撤回。响应文件已按时解密的，备份响应文件自动失效。</w:t>
      </w:r>
    </w:p>
    <w:p w14:paraId="3A8B2098">
      <w:pPr>
        <w:pStyle w:val="555"/>
        <w:spacing w:before="0" w:line="360" w:lineRule="auto"/>
        <w:ind w:left="0" w:firstLine="241" w:firstLineChars="100"/>
        <w:contextualSpacing/>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18、资格审查</w:t>
      </w:r>
    </w:p>
    <w:p w14:paraId="5CC9C234">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18.1交易后，采购人或采购机构将依法对供应商的资格进行审查。</w:t>
      </w:r>
    </w:p>
    <w:p w14:paraId="6A87A0CD">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18.2采购人或采购机构依据法律法规和交易文件的规定，对供应商的基本资格条件、特定资格条件进行审查。</w:t>
      </w:r>
    </w:p>
    <w:p w14:paraId="0C25B0D8">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18.3供应商未按照交易文件要求提供与基本资格条件、特定资格条件相应的有效资格证明材料的，视为供应商不具备交易文件中规定的资格要求，其响应无效。</w:t>
      </w:r>
    </w:p>
    <w:p w14:paraId="4C20B999">
      <w:pPr>
        <w:pStyle w:val="555"/>
        <w:spacing w:before="0" w:line="360" w:lineRule="auto"/>
        <w:ind w:left="0" w:firstLine="240" w:firstLineChars="100"/>
        <w:contextualSpacing/>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18.4对未通过资格审查的供应商，采购人或采购机构告知其未通过的原因。</w:t>
      </w:r>
    </w:p>
    <w:p w14:paraId="6821A82C">
      <w:pPr>
        <w:pStyle w:val="555"/>
        <w:spacing w:before="0" w:line="360" w:lineRule="auto"/>
        <w:ind w:left="0" w:firstLine="240" w:firstLineChars="100"/>
        <w:contextualSpacing/>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五、评标</w:t>
      </w:r>
    </w:p>
    <w:p w14:paraId="2E707586">
      <w:pPr>
        <w:spacing w:line="360" w:lineRule="auto"/>
        <w:ind w:firstLine="482" w:firstLineChars="200"/>
        <w:rPr>
          <w:rFonts w:hint="eastAsia" w:asciiTheme="minorEastAsia" w:hAnsiTheme="minorEastAsia" w:eastAsiaTheme="minorEastAsia" w:cstheme="minorEastAsia"/>
          <w:b/>
          <w:sz w:val="24"/>
        </w:rPr>
      </w:pPr>
      <w:bookmarkStart w:id="13" w:name="_Toc91899903"/>
      <w:r>
        <w:rPr>
          <w:rFonts w:hint="eastAsia" w:asciiTheme="minorEastAsia" w:hAnsiTheme="minorEastAsia" w:eastAsiaTheme="minorEastAsia" w:cstheme="minorEastAsia"/>
          <w:b/>
          <w:sz w:val="24"/>
        </w:rPr>
        <w:t>19.</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sz w:val="24"/>
        </w:rPr>
        <w:t>详见交易文件第四部分评标办法。</w:t>
      </w:r>
    </w:p>
    <w:p w14:paraId="7AAB74AB">
      <w:pPr>
        <w:spacing w:line="360" w:lineRule="auto"/>
        <w:rPr>
          <w:rFonts w:hint="eastAsia" w:asciiTheme="minorEastAsia" w:hAnsiTheme="minorEastAsia" w:eastAsiaTheme="minorEastAsia" w:cstheme="minorEastAsia"/>
          <w:b/>
          <w:sz w:val="24"/>
        </w:rPr>
      </w:pPr>
    </w:p>
    <w:p w14:paraId="36F3E7E2">
      <w:pPr>
        <w:snapToGrid w:val="0"/>
        <w:spacing w:line="360" w:lineRule="auto"/>
        <w:jc w:val="center"/>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六、定 标</w:t>
      </w:r>
    </w:p>
    <w:p w14:paraId="46054947">
      <w:pPr>
        <w:pStyle w:val="24"/>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20. 确定成交供应商</w:t>
      </w:r>
    </w:p>
    <w:p w14:paraId="01FEC4CA">
      <w:pPr>
        <w:pStyle w:val="129"/>
        <w:snapToGrid w:val="0"/>
        <w:spacing w:before="0" w:line="360" w:lineRule="auto"/>
        <w:ind w:firstLine="480"/>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szCs w:val="24"/>
        </w:rPr>
        <w:t>采购人将自收到评审报告之日起5个工作日内通过电子交易平台在评审报告推荐的成交候选人中按顺序确定成交供应商。</w:t>
      </w:r>
    </w:p>
    <w:p w14:paraId="4E13242D">
      <w:pPr>
        <w:pStyle w:val="129"/>
        <w:snapToGrid w:val="0"/>
        <w:spacing w:before="0" w:line="360" w:lineRule="auto"/>
        <w:ind w:firstLine="482"/>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rPr>
        <w:t>七、合同授予</w:t>
      </w:r>
    </w:p>
    <w:p w14:paraId="5089BE61">
      <w:pPr>
        <w:pStyle w:val="24"/>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22.1</w:t>
      </w:r>
      <w:r>
        <w:rPr>
          <w:rFonts w:hint="eastAsia" w:asciiTheme="minorEastAsia" w:hAnsiTheme="minorEastAsia" w:eastAsiaTheme="minorEastAsia" w:cstheme="minorEastAsia"/>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rPr>
        <w:t>2</w:t>
      </w:r>
      <w:r>
        <w:rPr>
          <w:rFonts w:hint="eastAsia" w:asciiTheme="minorEastAsia" w:hAnsiTheme="minorEastAsia" w:eastAsiaTheme="minorEastAsia" w:cstheme="minorEastAsia"/>
          <w:kern w:val="0"/>
          <w:lang w:val="zh-CN"/>
        </w:rPr>
        <w:t>.2</w:t>
      </w:r>
      <w:r>
        <w:rPr>
          <w:rFonts w:hint="eastAsia" w:asciiTheme="minorEastAsia" w:hAnsiTheme="minorEastAsia" w:eastAsiaTheme="minorEastAsia" w:cstheme="minorEastAsia"/>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22.3如签订合同并生效后，供应商无故拒绝或延期，除按照合同条款处理外，列入不良行为记录一次，并给予通报。</w:t>
      </w:r>
    </w:p>
    <w:p w14:paraId="1338CF0F">
      <w:pPr>
        <w:pStyle w:val="129"/>
        <w:snapToGrid w:val="0"/>
        <w:spacing w:before="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rPr>
        <w:t>22.4成交</w:t>
      </w:r>
      <w:r>
        <w:rPr>
          <w:rFonts w:hint="eastAsia" w:asciiTheme="minorEastAsia" w:hAnsiTheme="minorEastAsia" w:eastAsiaTheme="minorEastAsia" w:cstheme="minorEastAsia"/>
          <w:kern w:val="0"/>
          <w:szCs w:val="24"/>
        </w:rPr>
        <w:t>供应商拒绝与采购人签订合同的，采购人可以按照评审报告推荐的成交或者成交候选人名单排序，确定下一候选人为成交供应商，也可以重新开展采购活动。</w:t>
      </w:r>
    </w:p>
    <w:p w14:paraId="25319C2B">
      <w:pPr>
        <w:pStyle w:val="129"/>
        <w:snapToGrid w:val="0"/>
        <w:spacing w:before="0" w:after="120" w:line="360" w:lineRule="auto"/>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22.5采购合同由采购人与成交供应商根据交易文件、响应文件等内容通过采购电子交易平台在线签订，自动备案。</w:t>
      </w:r>
    </w:p>
    <w:p w14:paraId="360C1DAC">
      <w:pPr>
        <w:pStyle w:val="24"/>
        <w:spacing w:line="360" w:lineRule="auto"/>
        <w:ind w:left="479" w:leftChars="228" w:firstLine="0" w:firstLineChars="0"/>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23. 履约保证金</w:t>
      </w:r>
    </w:p>
    <w:p w14:paraId="5DDC13A9">
      <w:pPr>
        <w:tabs>
          <w:tab w:val="left" w:pos="0"/>
        </w:tabs>
        <w:spacing w:line="360" w:lineRule="auto"/>
        <w:ind w:firstLine="4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sz w:val="24"/>
        </w:rPr>
        <w:t>。</w:t>
      </w:r>
    </w:p>
    <w:p w14:paraId="354E5ACC">
      <w:pPr>
        <w:pStyle w:val="58"/>
        <w:spacing w:line="360" w:lineRule="auto"/>
        <w:rPr>
          <w:rFonts w:hint="eastAsia" w:asciiTheme="minorEastAsia" w:hAnsiTheme="minorEastAsia" w:eastAsiaTheme="minorEastAsia" w:cstheme="minorEastAsia"/>
        </w:rPr>
      </w:pPr>
    </w:p>
    <w:p w14:paraId="359CD696">
      <w:pPr>
        <w:snapToGrid w:val="0"/>
        <w:spacing w:line="360" w:lineRule="auto"/>
        <w:ind w:firstLine="3357" w:firstLineChars="10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2"/>
        </w:rPr>
        <w:t>八、电子交易活动的中止</w:t>
      </w:r>
    </w:p>
    <w:p w14:paraId="229A5C48">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bCs/>
          <w:szCs w:val="24"/>
        </w:rPr>
        <w:t>4.</w:t>
      </w:r>
      <w:r>
        <w:rPr>
          <w:rFonts w:hint="eastAsia" w:asciiTheme="minorEastAsia" w:hAnsiTheme="minorEastAsia" w:eastAsiaTheme="minorEastAsia" w:cstheme="minorEastAsia"/>
          <w:b/>
          <w:szCs w:val="24"/>
        </w:rPr>
        <w:t xml:space="preserve"> 电子交易活动的中止。</w:t>
      </w:r>
      <w:r>
        <w:rPr>
          <w:rFonts w:hint="eastAsia" w:asciiTheme="minorEastAsia" w:hAnsiTheme="minorEastAsia" w:eastAsiaTheme="minorEastAsia" w:cstheme="minorEastAsia"/>
        </w:rPr>
        <w:t>采购过程中出现以下情形，导致电子交易平台无法正常运行，或者无法保证电子交易的公平、公正和安全时，采购机构可中止电子交易活动：</w:t>
      </w:r>
    </w:p>
    <w:p w14:paraId="0B9A9FE2">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24.1电子交易平台发生故障而无法登录访问的； </w:t>
      </w:r>
    </w:p>
    <w:p w14:paraId="10A49744">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24.2电子交易平台应用或数据库出现错误，不能进行正常操作的；</w:t>
      </w:r>
    </w:p>
    <w:p w14:paraId="2D865E42">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24.3电子交易平台发现严重安全漏洞，有潜在泄密危险的；</w:t>
      </w:r>
    </w:p>
    <w:p w14:paraId="534612C0">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24.4病毒发作导致不能进行正常操作的； </w:t>
      </w:r>
    </w:p>
    <w:p w14:paraId="6D9F41B7">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24.5其他无法保证电子交易的公平、公正和安全的情况。</w:t>
      </w:r>
    </w:p>
    <w:p w14:paraId="5C722613">
      <w:pPr>
        <w:pStyle w:val="129"/>
        <w:snapToGrid w:val="0"/>
        <w:spacing w:before="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九、验收</w:t>
      </w:r>
    </w:p>
    <w:p w14:paraId="50A8F428">
      <w:pPr>
        <w:pStyle w:val="24"/>
        <w:spacing w:line="360" w:lineRule="auto"/>
        <w:ind w:firstLine="482"/>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26.验收</w:t>
      </w:r>
    </w:p>
    <w:p w14:paraId="4F96EA00">
      <w:pPr>
        <w:tabs>
          <w:tab w:val="left" w:pos="0"/>
        </w:tabs>
        <w:spacing w:line="360" w:lineRule="auto"/>
        <w:ind w:firstLine="48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kern w:val="0"/>
          <w:sz w:val="24"/>
        </w:rPr>
        <w:t>26.1采购人应当组织对供应商履约的验收。</w:t>
      </w:r>
      <w:bookmarkEnd w:id="13"/>
      <w:bookmarkStart w:id="14" w:name="第四部分"/>
    </w:p>
    <w:p w14:paraId="6AA09A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第三部分   采购需求</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一、交易一览表</w:t>
      </w:r>
    </w:p>
    <w:p w14:paraId="185395D3">
      <w:pPr>
        <w:keepNext w:val="0"/>
        <w:keepLines w:val="0"/>
        <w:pageBreakBefore w:val="0"/>
        <w:widowControl w:val="0"/>
        <w:kinsoku/>
        <w:wordWrap/>
        <w:overflowPunct/>
        <w:topLinePunct w:val="0"/>
        <w:bidi w:val="0"/>
        <w:adjustRightInd w:val="0"/>
        <w:spacing w:line="360" w:lineRule="auto"/>
        <w:ind w:firstLine="590" w:firstLineChars="245"/>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标项：一</w:t>
      </w:r>
    </w:p>
    <w:tbl>
      <w:tblPr>
        <w:tblStyle w:val="62"/>
        <w:tblW w:w="9438" w:type="dxa"/>
        <w:jc w:val="center"/>
        <w:tblLayout w:type="fixed"/>
        <w:tblCellMar>
          <w:top w:w="0" w:type="dxa"/>
          <w:left w:w="0" w:type="dxa"/>
          <w:bottom w:w="0" w:type="dxa"/>
          <w:right w:w="0" w:type="dxa"/>
        </w:tblCellMar>
      </w:tblPr>
      <w:tblGrid>
        <w:gridCol w:w="648"/>
        <w:gridCol w:w="2977"/>
        <w:gridCol w:w="698"/>
        <w:gridCol w:w="909"/>
        <w:gridCol w:w="1048"/>
        <w:gridCol w:w="1823"/>
        <w:gridCol w:w="1335"/>
      </w:tblGrid>
      <w:tr w14:paraId="6079D444">
        <w:tblPrEx>
          <w:tblCellMar>
            <w:top w:w="0" w:type="dxa"/>
            <w:left w:w="0" w:type="dxa"/>
            <w:bottom w:w="0" w:type="dxa"/>
            <w:right w:w="0" w:type="dxa"/>
          </w:tblCellMar>
        </w:tblPrEx>
        <w:trPr>
          <w:cantSplit/>
          <w:trHeight w:val="694"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02B439">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序号</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307D28">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名称</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639265">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数量</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93514F">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单位</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6D11ED">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预算</w:t>
            </w:r>
          </w:p>
          <w:p w14:paraId="2DFC6354">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（元）</w:t>
            </w:r>
          </w:p>
        </w:tc>
        <w:tc>
          <w:tcPr>
            <w:tcW w:w="1823" w:type="dxa"/>
            <w:tcBorders>
              <w:top w:val="single" w:color="auto" w:sz="4" w:space="0"/>
              <w:left w:val="nil"/>
              <w:bottom w:val="single" w:color="auto" w:sz="4" w:space="0"/>
              <w:right w:val="single" w:color="auto" w:sz="4" w:space="0"/>
            </w:tcBorders>
            <w:noWrap w:val="0"/>
            <w:vAlign w:val="center"/>
          </w:tcPr>
          <w:p w14:paraId="637CF45A">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简要规格描述或基本情况介绍</w:t>
            </w:r>
          </w:p>
        </w:tc>
        <w:tc>
          <w:tcPr>
            <w:tcW w:w="1335" w:type="dxa"/>
            <w:tcBorders>
              <w:top w:val="single" w:color="auto" w:sz="4" w:space="0"/>
              <w:left w:val="nil"/>
              <w:bottom w:val="single" w:color="auto" w:sz="4" w:space="0"/>
              <w:right w:val="single" w:color="auto" w:sz="4" w:space="0"/>
            </w:tcBorders>
            <w:noWrap w:val="0"/>
            <w:vAlign w:val="center"/>
          </w:tcPr>
          <w:p w14:paraId="265F36A5">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最高限价（元）</w:t>
            </w:r>
          </w:p>
        </w:tc>
      </w:tr>
      <w:tr w14:paraId="29E7E7F8">
        <w:tblPrEx>
          <w:tblCellMar>
            <w:top w:w="0" w:type="dxa"/>
            <w:left w:w="0" w:type="dxa"/>
            <w:bottom w:w="0" w:type="dxa"/>
            <w:right w:w="0" w:type="dxa"/>
          </w:tblCellMar>
        </w:tblPrEx>
        <w:trPr>
          <w:cantSplit/>
          <w:trHeight w:val="977"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A6FD4C">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E69E08">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萧山区南阳初级中学学生午睡课桌椅采购项目</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896365">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1F6DE">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59DC26">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val="en-US"/>
              </w:rPr>
            </w:pPr>
            <w:r>
              <w:rPr>
                <w:rFonts w:hint="eastAsia" w:asciiTheme="minorEastAsia" w:hAnsiTheme="minorEastAsia" w:eastAsiaTheme="minorEastAsia" w:cstheme="minorEastAsia"/>
                <w:color w:val="auto"/>
                <w:sz w:val="24"/>
                <w:highlight w:val="none"/>
                <w:lang w:val="en-US" w:eastAsia="zh-CN"/>
              </w:rPr>
              <w:t>396000</w:t>
            </w:r>
          </w:p>
        </w:tc>
        <w:tc>
          <w:tcPr>
            <w:tcW w:w="1823" w:type="dxa"/>
            <w:tcBorders>
              <w:top w:val="single" w:color="auto" w:sz="4" w:space="0"/>
              <w:left w:val="nil"/>
              <w:bottom w:val="single" w:color="auto" w:sz="4" w:space="0"/>
              <w:right w:val="single" w:color="auto" w:sz="4" w:space="0"/>
            </w:tcBorders>
            <w:noWrap w:val="0"/>
            <w:vAlign w:val="center"/>
          </w:tcPr>
          <w:p w14:paraId="7C308C37">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335" w:type="dxa"/>
            <w:tcBorders>
              <w:top w:val="single" w:color="auto" w:sz="4" w:space="0"/>
              <w:left w:val="nil"/>
              <w:bottom w:val="single" w:color="auto" w:sz="4" w:space="0"/>
              <w:right w:val="single" w:color="auto" w:sz="4" w:space="0"/>
            </w:tcBorders>
            <w:noWrap w:val="0"/>
            <w:vAlign w:val="center"/>
          </w:tcPr>
          <w:p w14:paraId="5921C7BE">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highlight w:val="none"/>
                <w:lang w:val="en-US" w:eastAsia="zh-CN"/>
              </w:rPr>
              <w:t>396000</w:t>
            </w:r>
          </w:p>
        </w:tc>
      </w:tr>
      <w:tr w14:paraId="3DFC141E">
        <w:tblPrEx>
          <w:tblCellMar>
            <w:top w:w="0" w:type="dxa"/>
            <w:left w:w="0" w:type="dxa"/>
            <w:bottom w:w="0" w:type="dxa"/>
            <w:right w:w="0" w:type="dxa"/>
          </w:tblCellMar>
        </w:tblPrEx>
        <w:trPr>
          <w:cantSplit/>
          <w:trHeight w:val="977" w:hRule="atLeast"/>
          <w:jc w:val="center"/>
        </w:trPr>
        <w:tc>
          <w:tcPr>
            <w:tcW w:w="64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BA817B">
            <w:pPr>
              <w:keepNext w:val="0"/>
              <w:keepLines w:val="0"/>
              <w:pageBreakBefore w:val="0"/>
              <w:widowControl w:val="0"/>
              <w:tabs>
                <w:tab w:val="left" w:pos="0"/>
              </w:tabs>
              <w:kinsoku/>
              <w:wordWrap/>
              <w:overflowPunct/>
              <w:topLinePunct w:val="0"/>
              <w:bidi w:val="0"/>
              <w:adjustRightInd w:val="0"/>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297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297B48D">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学生午睡课桌椅</w:t>
            </w:r>
          </w:p>
        </w:tc>
        <w:tc>
          <w:tcPr>
            <w:tcW w:w="69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07BA317">
            <w:pPr>
              <w:keepNext w:val="0"/>
              <w:keepLines w:val="0"/>
              <w:pageBreakBefore w:val="0"/>
              <w:widowControl w:val="0"/>
              <w:kinsoku/>
              <w:wordWrap/>
              <w:overflowPunct/>
              <w:topLinePunct w:val="0"/>
              <w:bidi w:val="0"/>
              <w:adjustRightInd w:val="0"/>
              <w:spacing w:line="360" w:lineRule="auto"/>
              <w:jc w:val="center"/>
              <w:textAlignment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720</w:t>
            </w:r>
          </w:p>
        </w:tc>
        <w:tc>
          <w:tcPr>
            <w:tcW w:w="90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5DAA67">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套</w:t>
            </w:r>
          </w:p>
        </w:tc>
        <w:tc>
          <w:tcPr>
            <w:tcW w:w="104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2EAAB9">
            <w:pPr>
              <w:keepNext w:val="0"/>
              <w:keepLines w:val="0"/>
              <w:pageBreakBefore w:val="0"/>
              <w:widowControl w:val="0"/>
              <w:kinsoku/>
              <w:wordWrap/>
              <w:overflowPunct/>
              <w:topLinePunct w:val="0"/>
              <w:bidi w:val="0"/>
              <w:adjustRightInd w:val="0"/>
              <w:spacing w:line="360" w:lineRule="auto"/>
              <w:jc w:val="center"/>
              <w:textAlignment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550元/套</w:t>
            </w:r>
          </w:p>
        </w:tc>
        <w:tc>
          <w:tcPr>
            <w:tcW w:w="1823" w:type="dxa"/>
            <w:tcBorders>
              <w:top w:val="single" w:color="auto" w:sz="4" w:space="0"/>
              <w:left w:val="nil"/>
              <w:bottom w:val="single" w:color="auto" w:sz="4" w:space="0"/>
              <w:right w:val="single" w:color="auto" w:sz="4" w:space="0"/>
            </w:tcBorders>
            <w:noWrap w:val="0"/>
            <w:vAlign w:val="center"/>
          </w:tcPr>
          <w:p w14:paraId="3999D108">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sz w:val="24"/>
                <w:lang w:eastAsia="zh-Hans"/>
              </w:rPr>
            </w:pPr>
            <w:r>
              <w:rPr>
                <w:rFonts w:hint="eastAsia" w:asciiTheme="minorEastAsia" w:hAnsiTheme="minorEastAsia" w:eastAsiaTheme="minorEastAsia" w:cstheme="minorEastAsia"/>
                <w:sz w:val="24"/>
                <w:lang w:eastAsia="zh-Hans"/>
              </w:rPr>
              <w:t>二、</w:t>
            </w:r>
            <w:r>
              <w:rPr>
                <w:rFonts w:hint="eastAsia" w:asciiTheme="minorEastAsia" w:hAnsiTheme="minorEastAsia" w:eastAsiaTheme="minorEastAsia" w:cstheme="minorEastAsia"/>
                <w:sz w:val="24"/>
              </w:rPr>
              <w:t>交易需求-1、技术需求</w:t>
            </w:r>
          </w:p>
        </w:tc>
        <w:tc>
          <w:tcPr>
            <w:tcW w:w="1335" w:type="dxa"/>
            <w:tcBorders>
              <w:top w:val="single" w:color="auto" w:sz="4" w:space="0"/>
              <w:left w:val="nil"/>
              <w:bottom w:val="single" w:color="auto" w:sz="4" w:space="0"/>
              <w:right w:val="single" w:color="auto" w:sz="4" w:space="0"/>
            </w:tcBorders>
            <w:noWrap w:val="0"/>
            <w:vAlign w:val="center"/>
          </w:tcPr>
          <w:p w14:paraId="1AC3BD86">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550元/套</w:t>
            </w:r>
          </w:p>
        </w:tc>
      </w:tr>
    </w:tbl>
    <w:p w14:paraId="69E62134">
      <w:pPr>
        <w:keepNext w:val="0"/>
        <w:keepLines w:val="0"/>
        <w:pageBreakBefore w:val="0"/>
        <w:widowControl w:val="0"/>
        <w:kinsoku/>
        <w:wordWrap/>
        <w:overflowPunct/>
        <w:topLinePunct w:val="0"/>
        <w:autoSpaceDE w:val="0"/>
        <w:autoSpaceDN w:val="0"/>
        <w:bidi w:val="0"/>
        <w:adjustRightInd w:val="0"/>
        <w:spacing w:line="360" w:lineRule="auto"/>
        <w:jc w:val="center"/>
        <w:rPr>
          <w:rFonts w:hint="eastAsia" w:asciiTheme="minorEastAsia" w:hAnsiTheme="minorEastAsia" w:eastAsiaTheme="minorEastAsia" w:cstheme="minorEastAsia"/>
          <w:b/>
          <w:sz w:val="18"/>
          <w:szCs w:val="18"/>
        </w:rPr>
      </w:pPr>
    </w:p>
    <w:p w14:paraId="5B3D46BF">
      <w:pPr>
        <w:keepNext w:val="0"/>
        <w:keepLines w:val="0"/>
        <w:pageBreakBefore w:val="0"/>
        <w:widowControl w:val="0"/>
        <w:numPr>
          <w:ilvl w:val="0"/>
          <w:numId w:val="1"/>
        </w:numPr>
        <w:kinsoku/>
        <w:wordWrap/>
        <w:overflowPunct/>
        <w:topLinePunct w:val="0"/>
        <w:bidi w:val="0"/>
        <w:adjustRightInd w:val="0"/>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交易需求</w:t>
      </w:r>
    </w:p>
    <w:p w14:paraId="6F0D599D">
      <w:pPr>
        <w:spacing w:line="360" w:lineRule="auto"/>
        <w:ind w:right="-166" w:rightChars="-79"/>
        <w:jc w:val="left"/>
        <w:rPr>
          <w:rFonts w:hint="eastAsia" w:asciiTheme="minorEastAsia" w:hAnsiTheme="minorEastAsia" w:eastAsiaTheme="minorEastAsia" w:cstheme="minorEastAsia"/>
          <w:sz w:val="24"/>
          <w:szCs w:val="24"/>
        </w:rPr>
      </w:pPr>
      <w:bookmarkStart w:id="15" w:name="_Toc310522576"/>
      <w:r>
        <w:rPr>
          <w:rFonts w:hint="eastAsia" w:asciiTheme="minorEastAsia" w:hAnsiTheme="minorEastAsia" w:eastAsiaTheme="minorEastAsia" w:cstheme="minorEastAsia"/>
          <w:sz w:val="24"/>
          <w:szCs w:val="24"/>
          <w:lang w:val="en-US" w:eastAsia="zh-CN"/>
        </w:rPr>
        <w:t>一、南阳初中</w:t>
      </w:r>
      <w:r>
        <w:rPr>
          <w:rFonts w:hint="eastAsia" w:asciiTheme="minorEastAsia" w:hAnsiTheme="minorEastAsia" w:eastAsiaTheme="minorEastAsia" w:cstheme="minorEastAsia"/>
          <w:sz w:val="24"/>
          <w:szCs w:val="24"/>
        </w:rPr>
        <w:t>学生午休躺睡装备参数</w:t>
      </w:r>
    </w:p>
    <w:p w14:paraId="045C1BD5">
      <w:pPr>
        <w:spacing w:line="360" w:lineRule="auto"/>
        <w:ind w:right="-166" w:rightChars="-79"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本次采购的装备为学生午休课桌椅，根据教室空间及学生人数，本次采购的午休躺睡课桌椅，需符合《浙江省中小学午休躺睡装备技术指南》质量标准和环保要求，通过权威机构的认证。</w:t>
      </w:r>
    </w:p>
    <w:p w14:paraId="5A87EA96">
      <w:pPr>
        <w:spacing w:line="360" w:lineRule="auto"/>
        <w:ind w:right="-166" w:rightChars="-7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午休课桌技术参数：</w:t>
      </w:r>
    </w:p>
    <w:p w14:paraId="4E4982B5">
      <w:pPr>
        <w:spacing w:line="360" w:lineRule="auto"/>
        <w:ind w:right="-166" w:rightChars="-79"/>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1、桌面参数：600mm*400mm*30mm±2mm</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材质采用符合国家标准的全新环保ABS耐冲击一级新料一体射出成型，耐冲击，耐抗压，耐磨。桌面靠胸部位置内弧设计，设有长度为400mm， 深度为27mm的凹型长条，防止挤压胸腔，更舒适有益健康，方便书写流畅。桌面永久牢固，流线美观，面板颜色可选，桌面四周边沿平滑，四角倒角设计。本产品具有良好的抗吸湿性、抗酸碱腐蚀性、抗氧化性。整体外观美观大方，人性化设计，手感、舒适度更好。面板底部设有強化承重之设计，可以嵌入30*15mm的方管</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ABS(桌面）检测报告同时含有“CMA”“CNAS”标志。检测依据HJ 2547-2016《环境标志产品技术要求 家具》要求未检出邻苯二甲酸酯（DBP、BBP、DEHP、DNOP、DINP、DIDP) ；根据GB/T 24128-2018塑料，塑料防腐剂的防腐效果评估，通过防腐测试，并提供第三方检测报告。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2、书斗参数：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书斗整体的尺寸为：550mm*385mm*1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45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 内净空尺寸：470mm*350mm*1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0mm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kern w:val="0"/>
          <w:sz w:val="24"/>
          <w:szCs w:val="24"/>
        </w:rPr>
        <w:t>采用</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全新环保一级工程塑料PP料，一次注塑而成；书斗三壁为多孔镂空设计，以防夹手指，起到通风透气作用；</w:t>
      </w:r>
      <w:r>
        <w:rPr>
          <w:rFonts w:hint="eastAsia" w:asciiTheme="minorEastAsia" w:hAnsiTheme="minorEastAsia" w:eastAsiaTheme="minorEastAsia" w:cstheme="minorEastAsia"/>
          <w:color w:val="000000" w:themeColor="text1"/>
          <w:sz w:val="24"/>
          <w:szCs w:val="24"/>
          <w14:textFill>
            <w14:solidFill>
              <w14:schemeClr w14:val="tx1"/>
            </w14:solidFill>
          </w14:textFill>
        </w:rPr>
        <w:t>桌斗左右两侧均设有不少于165个孔径为5mm±</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mm的透气圆孔，后侧板设有不少于9*32排孔径为5mm±</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mm的透气圆孔；桌斗底部设有不少于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27条波浪式弧形条纹，防止物品</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滑动产生噪音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，底部四角落均设有“</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”字型开孔以便排水</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桌斗前方开口倾斜设计，</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并设有一长410mm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宽40mm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的弧形三段式笔槽用以放置文具。</w:t>
      </w:r>
      <w:r>
        <w:rPr>
          <w:rFonts w:hint="eastAsia" w:asciiTheme="minorEastAsia" w:hAnsiTheme="minorEastAsia" w:eastAsiaTheme="minorEastAsia" w:cstheme="minorEastAsia"/>
          <w:kern w:val="0"/>
          <w:sz w:val="24"/>
          <w:szCs w:val="24"/>
        </w:rPr>
        <w:t>PP桌斗符合GB 28481-2012《塑料家具中有害物质限量》、GB 18584-2001《室内装饰装修材料木家具中有害物质限量》中邻苯二甲酸酯、重金属含量、甲醛释放量的标准要求，并提供第三方检测报告。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3、金属桌架：</w:t>
      </w:r>
      <w:r>
        <w:rPr>
          <w:rFonts w:hint="eastAsia" w:asciiTheme="minorEastAsia" w:hAnsiTheme="minorEastAsia" w:eastAsiaTheme="minorEastAsia" w:cstheme="minorEastAsia"/>
          <w:bCs/>
          <w:sz w:val="24"/>
          <w:szCs w:val="24"/>
        </w:rPr>
        <w:t>采用优质冷轧高频焊管，贴地管和立柱呈75度焊接，地脚管采用30mm</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60m</w:t>
      </w:r>
      <w:r>
        <w:rPr>
          <w:rFonts w:hint="eastAsia" w:asciiTheme="minorEastAsia" w:hAnsiTheme="minorEastAsia" w:eastAsiaTheme="minorEastAsia" w:cstheme="minorEastAsia"/>
          <w:bCs/>
          <w:sz w:val="24"/>
          <w:szCs w:val="24"/>
          <w:lang w:val="en-US" w:eastAsia="zh-CN"/>
        </w:rPr>
        <w:t>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mm</w:t>
      </w:r>
      <w:r>
        <w:rPr>
          <w:rFonts w:hint="eastAsia" w:asciiTheme="minorEastAsia" w:hAnsiTheme="minorEastAsia" w:eastAsiaTheme="minorEastAsia" w:cstheme="minorEastAsia"/>
          <w:color w:val="000000" w:themeColor="text1"/>
          <w:sz w:val="24"/>
          <w:szCs w:val="24"/>
          <w14:textFill>
            <w14:solidFill>
              <w14:schemeClr w14:val="tx1"/>
            </w14:solidFill>
          </w14:textFill>
        </w:rPr>
        <w:t>±2mm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椭圆</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钢</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管，立柱采用33mm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66mm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1.2mm椭圆眼镜管，升降管采用26mm*59mm*1.2mm椭圆眼镜管，桌脚连档采用</w:t>
      </w:r>
      <w:r>
        <w:rPr>
          <w:rFonts w:hint="eastAsia" w:asciiTheme="minorEastAsia" w:hAnsiTheme="minorEastAsia" w:eastAsiaTheme="minorEastAsia" w:cstheme="minorEastAsia"/>
          <w:bCs/>
          <w:color w:val="auto"/>
          <w:sz w:val="24"/>
          <w:szCs w:val="24"/>
          <w:lang w:val="en-US" w:eastAsia="zh-CN"/>
        </w:rPr>
        <w:t>26</w:t>
      </w:r>
      <w:r>
        <w:rPr>
          <w:rFonts w:hint="eastAsia" w:asciiTheme="minorEastAsia" w:hAnsiTheme="minorEastAsia" w:eastAsiaTheme="minorEastAsia" w:cstheme="minorEastAsia"/>
          <w:bCs/>
          <w:color w:val="auto"/>
          <w:sz w:val="24"/>
          <w:szCs w:val="24"/>
        </w:rPr>
        <w:t>*5</w:t>
      </w:r>
      <w:r>
        <w:rPr>
          <w:rFonts w:hint="eastAsia" w:asciiTheme="minorEastAsia" w:hAnsiTheme="minorEastAsia" w:eastAsiaTheme="minorEastAsia" w:cstheme="minorEastAsia"/>
          <w:bCs/>
          <w:color w:val="auto"/>
          <w:sz w:val="24"/>
          <w:szCs w:val="24"/>
          <w:lang w:val="en-US" w:eastAsia="zh-CN"/>
        </w:rPr>
        <w:t>9</w:t>
      </w:r>
      <w:r>
        <w:rPr>
          <w:rFonts w:hint="eastAsia" w:asciiTheme="minorEastAsia" w:hAnsiTheme="minorEastAsia" w:eastAsiaTheme="minorEastAsia" w:cstheme="minorEastAsia"/>
          <w:bCs/>
          <w:color w:val="auto"/>
          <w:sz w:val="24"/>
          <w:szCs w:val="24"/>
        </w:rPr>
        <w:t>*1.2mm</w:t>
      </w:r>
      <w:r>
        <w:rPr>
          <w:rFonts w:hint="eastAsia" w:asciiTheme="minorEastAsia" w:hAnsiTheme="minorEastAsia" w:eastAsiaTheme="minorEastAsia" w:cstheme="minorEastAsia"/>
          <w:bCs/>
          <w:sz w:val="24"/>
          <w:szCs w:val="24"/>
        </w:rPr>
        <w:t>椭圆</w:t>
      </w:r>
      <w:r>
        <w:rPr>
          <w:rFonts w:hint="eastAsia" w:asciiTheme="minorEastAsia" w:hAnsiTheme="minorEastAsia" w:eastAsiaTheme="minorEastAsia" w:cstheme="minorEastAsia"/>
          <w:bCs/>
          <w:sz w:val="24"/>
          <w:szCs w:val="24"/>
          <w:lang w:val="en-US" w:eastAsia="zh-CN"/>
        </w:rPr>
        <w:t>钢</w:t>
      </w:r>
      <w:r>
        <w:rPr>
          <w:rFonts w:hint="eastAsia" w:asciiTheme="minorEastAsia" w:hAnsiTheme="minorEastAsia" w:eastAsiaTheme="minorEastAsia" w:cstheme="minorEastAsia"/>
          <w:bCs/>
          <w:sz w:val="24"/>
          <w:szCs w:val="24"/>
        </w:rPr>
        <w:t>管</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桌子自由调节高度为6</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0mm-7</w:t>
      </w:r>
      <w:r>
        <w:rPr>
          <w:rFonts w:hint="eastAsia" w:asciiTheme="minorEastAsia" w:hAnsiTheme="minorEastAsia" w:eastAsiaTheme="minorEastAsia" w:cstheme="minorEastAsia"/>
          <w:bCs/>
          <w:sz w:val="24"/>
          <w:szCs w:val="24"/>
          <w:lang w:val="en-US" w:eastAsia="zh-CN"/>
        </w:rPr>
        <w:t>9</w:t>
      </w:r>
      <w:r>
        <w:rPr>
          <w:rFonts w:hint="eastAsia" w:asciiTheme="minorEastAsia" w:hAnsiTheme="minorEastAsia" w:eastAsiaTheme="minorEastAsia" w:cstheme="minorEastAsia"/>
          <w:bCs/>
          <w:sz w:val="24"/>
          <w:szCs w:val="24"/>
        </w:rPr>
        <w:t>0mm±10mm，桌面静负载300KG重物桌子整体不变形。</w:t>
      </w:r>
      <w:r>
        <w:rPr>
          <w:rFonts w:hint="eastAsia" w:asciiTheme="minorEastAsia" w:hAnsiTheme="minorEastAsia" w:eastAsiaTheme="minorEastAsia" w:cstheme="minorEastAsia"/>
          <w:kern w:val="0"/>
          <w:sz w:val="24"/>
          <w:szCs w:val="24"/>
        </w:rPr>
        <w:t>桌面桌斗可整体翻转呈</w:t>
      </w:r>
      <w:r>
        <w:rPr>
          <w:rFonts w:hint="eastAsia" w:asciiTheme="minorEastAsia" w:hAnsiTheme="minorEastAsia" w:eastAsiaTheme="minorEastAsia" w:cstheme="minorEastAsia"/>
          <w:kern w:val="0"/>
          <w:sz w:val="24"/>
          <w:szCs w:val="24"/>
          <w:lang w:val="en-US" w:eastAsia="zh-CN"/>
        </w:rPr>
        <w:t>39</w:t>
      </w:r>
      <w:r>
        <w:rPr>
          <w:rFonts w:hint="eastAsia" w:asciiTheme="minorEastAsia" w:hAnsiTheme="minorEastAsia" w:eastAsiaTheme="minorEastAsia" w:cstheme="minorEastAsia"/>
          <w:kern w:val="0"/>
          <w:sz w:val="24"/>
          <w:szCs w:val="24"/>
        </w:rPr>
        <w:t>°倾斜，要便于前排学生躺平时不用升起课桌，午睡时操作方便实用。金属钢架符合GB/T 3325-2017《金属家具通用技术条件》抗盐雾的标准要求，并提供第三方检测报告。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4、课桌升降结构：</w:t>
      </w:r>
      <w:r>
        <w:rPr>
          <w:rFonts w:hint="eastAsia" w:asciiTheme="minorEastAsia" w:hAnsiTheme="minorEastAsia" w:eastAsiaTheme="minorEastAsia" w:cstheme="minorEastAsia"/>
          <w:bCs/>
          <w:sz w:val="24"/>
          <w:szCs w:val="24"/>
        </w:rPr>
        <w:t>高度调节采用</w:t>
      </w:r>
      <w:r>
        <w:rPr>
          <w:rFonts w:hint="eastAsia" w:asciiTheme="minorEastAsia" w:hAnsiTheme="minorEastAsia" w:eastAsiaTheme="minorEastAsia" w:cstheme="minorEastAsia"/>
          <w:bCs/>
          <w:color w:val="000000"/>
          <w:sz w:val="24"/>
          <w:szCs w:val="24"/>
          <w:lang w:val="en-US" w:eastAsia="zh-CN"/>
        </w:rPr>
        <w:t>螺丝</w:t>
      </w:r>
      <w:r>
        <w:rPr>
          <w:rFonts w:hint="eastAsia" w:asciiTheme="minorEastAsia" w:hAnsiTheme="minorEastAsia" w:eastAsiaTheme="minorEastAsia" w:cstheme="minorEastAsia"/>
          <w:bCs/>
          <w:color w:val="000000"/>
          <w:sz w:val="24"/>
          <w:szCs w:val="24"/>
        </w:rPr>
        <w:t>升降结构。调节桌面高度可从桌高6</w:t>
      </w:r>
      <w:r>
        <w:rPr>
          <w:rFonts w:hint="eastAsia" w:asciiTheme="minorEastAsia" w:hAnsiTheme="minorEastAsia" w:eastAsiaTheme="minorEastAsia" w:cstheme="minorEastAsia"/>
          <w:bCs/>
          <w:color w:val="000000"/>
          <w:sz w:val="24"/>
          <w:szCs w:val="24"/>
          <w:lang w:val="en-US" w:eastAsia="zh-CN"/>
        </w:rPr>
        <w:t>6</w:t>
      </w:r>
      <w:r>
        <w:rPr>
          <w:rFonts w:hint="eastAsia" w:asciiTheme="minorEastAsia" w:hAnsiTheme="minorEastAsia" w:eastAsiaTheme="minorEastAsia" w:cstheme="minorEastAsia"/>
          <w:bCs/>
          <w:color w:val="000000"/>
          <w:sz w:val="24"/>
          <w:szCs w:val="24"/>
        </w:rPr>
        <w:t>0mm±10mm至780mm±10mm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生产工艺：钢管焊接均采用二氧化碳保护焊接工艺，焊接表面波纹均匀，焊接处无夹渣.气孔，焊瘤，焊丝咬边和飞溅，无脱焊，虚焊和焊空的现象。各钢件表面采用除油、脱脂、水洗、除锈、中和、酸洗、磷化、烘干处理，全自动静电喷塑，高温固化，表面光亮平整，无颗粒渣点，颜色均匀。钢管表面涂层粉末必须符合GB 28481-2012《塑料家具中有害物质限量》、GB/T22048-2022《玩具及儿童用品中特定邻苯二甲酸酯增塑剂的测定》中邻苯二甲酸酯、重金属含量的标准要求，并提供第三方检测报告。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6、脚套参数：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尺寸</w:t>
      </w:r>
      <w:r>
        <w:rPr>
          <w:rFonts w:hint="eastAsia" w:asciiTheme="minorEastAsia" w:hAnsiTheme="minorEastAsia" w:eastAsiaTheme="minorEastAsia" w:cstheme="minorEastAsia"/>
          <w:color w:val="000000" w:themeColor="text1"/>
          <w:sz w:val="24"/>
          <w:szCs w:val="24"/>
          <w14:textFill>
            <w14:solidFill>
              <w14:schemeClr w14:val="tx1"/>
            </w14:solidFill>
          </w14:textFill>
        </w:rPr>
        <w:t>100*65*40mm±2mm</w:t>
      </w:r>
      <w:r>
        <w:rPr>
          <w:rFonts w:hint="eastAsia" w:asciiTheme="minorEastAsia" w:hAnsiTheme="minorEastAsia" w:eastAsiaTheme="minorEastAsia" w:cstheme="minorEastAsia"/>
          <w:kern w:val="0"/>
          <w:sz w:val="24"/>
          <w:szCs w:val="24"/>
        </w:rPr>
        <w:t>,采用PP塑料一体注塑成型脚套；</w:t>
      </w:r>
      <w:r>
        <w:rPr>
          <w:rFonts w:hint="eastAsia" w:asciiTheme="minorEastAsia" w:hAnsiTheme="minorEastAsia" w:eastAsiaTheme="minorEastAsia" w:cstheme="minorEastAsia"/>
          <w:sz w:val="24"/>
          <w:szCs w:val="24"/>
        </w:rPr>
        <w:t>并用1支螺丝锁付，后端</w:t>
      </w:r>
      <w:r>
        <w:rPr>
          <w:rFonts w:hint="eastAsia" w:asciiTheme="minorEastAsia" w:hAnsiTheme="minorEastAsia" w:eastAsiaTheme="minorEastAsia" w:cstheme="minorEastAsia"/>
          <w:sz w:val="24"/>
          <w:szCs w:val="24"/>
          <w:lang w:val="en-US" w:eastAsia="zh-CN"/>
        </w:rPr>
        <w:t>脚套</w:t>
      </w:r>
      <w:r>
        <w:rPr>
          <w:rFonts w:hint="eastAsia" w:asciiTheme="minorEastAsia" w:hAnsiTheme="minorEastAsia" w:eastAsiaTheme="minorEastAsia" w:cstheme="minorEastAsia"/>
          <w:sz w:val="24"/>
          <w:szCs w:val="24"/>
        </w:rPr>
        <w:t>左右配1个水平调节螺丝。</w:t>
      </w:r>
      <w:r>
        <w:rPr>
          <w:rFonts w:hint="eastAsia" w:asciiTheme="minorEastAsia" w:hAnsiTheme="minorEastAsia" w:eastAsiaTheme="minorEastAsia" w:cstheme="minorEastAsia"/>
          <w:kern w:val="0"/>
          <w:sz w:val="24"/>
          <w:szCs w:val="24"/>
        </w:rPr>
        <w:t>脚套底部有防滑防刮软垫，增大摩擦力，减小因脚套摩擦带来的噪音。脚套符合GB 28481-2012《塑料家具中有害物质限量》中邻苯二甲酸酯、重金属含量的标准要求，并提供第三方检测报告。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7、课桌功能：桌斗桌面可呈一定角度翻转，待学生午休时，学生仅需提拉翻转器，桌面桌斗即可完成一定角度翻转，翻转后与椅子靠背呈同角度倾斜，为学生午休时腾出更多的空间，满足人人可午休的现状。整个操作过程简单明了，无论低年段还是高年段都能达到一学即会的效果，大大提高午休的效率和便捷性。</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kern w:val="0"/>
          <w:sz w:val="24"/>
          <w:szCs w:val="24"/>
        </w:rPr>
        <w:t>午休课椅技术参数：</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座椅尺寸：</w:t>
      </w:r>
      <w:r>
        <w:rPr>
          <w:rFonts w:hint="eastAsia" w:asciiTheme="minorEastAsia" w:hAnsiTheme="minorEastAsia" w:eastAsiaTheme="minorEastAsia" w:cstheme="minorEastAsia"/>
          <w:kern w:val="0"/>
          <w:sz w:val="24"/>
          <w:szCs w:val="24"/>
          <w:lang w:val="en-US" w:eastAsia="zh-CN"/>
        </w:rPr>
        <w:t>430mm*420mm*360mm-440mm</w:t>
      </w:r>
      <w:r>
        <w:rPr>
          <w:rFonts w:hint="eastAsia" w:asciiTheme="minorEastAsia" w:hAnsiTheme="minorEastAsia" w:eastAsiaTheme="minorEastAsia" w:cstheme="minorEastAsia"/>
          <w:kern w:val="0"/>
          <w:sz w:val="24"/>
          <w:szCs w:val="24"/>
        </w:rPr>
        <w:t>（坐高可调，</w:t>
      </w:r>
      <w:r>
        <w:rPr>
          <w:rFonts w:hint="eastAsia" w:asciiTheme="minorEastAsia" w:hAnsiTheme="minorEastAsia" w:eastAsiaTheme="minorEastAsia" w:cstheme="minorEastAsia"/>
          <w:bCs/>
          <w:sz w:val="24"/>
          <w:szCs w:val="24"/>
        </w:rPr>
        <w:t>高度调节采用</w:t>
      </w:r>
      <w:r>
        <w:rPr>
          <w:rFonts w:hint="eastAsia" w:asciiTheme="minorEastAsia" w:hAnsiTheme="minorEastAsia" w:eastAsiaTheme="minorEastAsia" w:cstheme="minorEastAsia"/>
          <w:bCs/>
          <w:color w:val="000000"/>
          <w:sz w:val="24"/>
          <w:szCs w:val="24"/>
          <w:lang w:val="en-US" w:eastAsia="zh-CN"/>
        </w:rPr>
        <w:t>螺丝</w:t>
      </w:r>
      <w:r>
        <w:rPr>
          <w:rFonts w:hint="eastAsia" w:asciiTheme="minorEastAsia" w:hAnsiTheme="minorEastAsia" w:eastAsiaTheme="minorEastAsia" w:cstheme="minorEastAsia"/>
          <w:bCs/>
          <w:color w:val="000000"/>
          <w:sz w:val="24"/>
          <w:szCs w:val="24"/>
        </w:rPr>
        <w:t>升降结构</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1.座椅靠背参数：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440</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*430</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*155mm</w:t>
      </w:r>
      <w:r>
        <w:rPr>
          <w:rFonts w:hint="eastAsia" w:asciiTheme="minorEastAsia" w:hAnsiTheme="minorEastAsia" w:eastAsiaTheme="minorEastAsia" w:cstheme="minorEastAsia"/>
          <w:color w:val="auto"/>
          <w:sz w:val="24"/>
          <w:szCs w:val="24"/>
        </w:rPr>
        <w:t>±2mm</w:t>
      </w:r>
      <w:r>
        <w:rPr>
          <w:rFonts w:hint="eastAsia" w:asciiTheme="minorEastAsia" w:hAnsiTheme="minorEastAsia" w:eastAsiaTheme="minorEastAsia" w:cstheme="minorEastAsia"/>
          <w:kern w:val="0"/>
          <w:sz w:val="24"/>
          <w:szCs w:val="24"/>
        </w:rPr>
        <w:t>；采用符合国家标准的PP耐冲击一级新料一体射出成型，耐冲击，耐抗压，耐磨；</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靠背上设计有可活动</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上下推拉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的多功能头枕（同时具有头枕/腰托两种功能模式</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尺寸为295mm*160mm*45mm</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，且两种功能模式切换方便、快捷，无须借助任何工具，自由</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上下推拉</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切换即可）</w:t>
      </w:r>
      <w:r>
        <w:rPr>
          <w:rFonts w:hint="eastAsia" w:asciiTheme="minorEastAsia" w:hAnsiTheme="minorEastAsia" w:eastAsiaTheme="minorEastAsia" w:cstheme="minorEastAsia"/>
          <w:kern w:val="0"/>
          <w:sz w:val="24"/>
          <w:szCs w:val="24"/>
        </w:rPr>
        <w:t>。靠背壁厚不小于4mm，靠背设计有完整的曲线弧度，能服帖地包覆支撑着正在成长中学童的背部脊椎，使其免于侧弯；座靠板符合GB 28481-2012《塑料家具中有害物质限量》、GB 18584-2001《室内装饰装修材料 木家具中有害物质限量》邻苯二甲酸酯、重金属含量、多环芳烃、甲醛释放量的标准要求，并提供第三方检测报告。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2.坐垫参数：</w:t>
      </w:r>
      <w:r>
        <w:rPr>
          <w:rFonts w:hint="eastAsia" w:asciiTheme="minorEastAsia" w:hAnsiTheme="minorEastAsia" w:eastAsiaTheme="minorEastAsia" w:cstheme="minorEastAsia"/>
          <w:bCs/>
          <w:sz w:val="24"/>
          <w:szCs w:val="24"/>
        </w:rPr>
        <w:t>430</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*420</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*80mm</w:t>
      </w:r>
      <w:r>
        <w:rPr>
          <w:rFonts w:hint="eastAsia" w:asciiTheme="minorEastAsia" w:hAnsiTheme="minorEastAsia" w:eastAsiaTheme="minorEastAsia" w:cstheme="minorEastAsia"/>
          <w:color w:val="auto"/>
          <w:sz w:val="24"/>
          <w:szCs w:val="24"/>
        </w:rPr>
        <w:t>±2mm</w:t>
      </w:r>
      <w:r>
        <w:rPr>
          <w:rFonts w:hint="eastAsia" w:asciiTheme="minorEastAsia" w:hAnsiTheme="minorEastAsia" w:eastAsiaTheme="minorEastAsia" w:cstheme="minorEastAsia"/>
          <w:kern w:val="0"/>
          <w:sz w:val="24"/>
          <w:szCs w:val="24"/>
        </w:rPr>
        <w:t>；采用符合国家标准的PP耐冲击一级新料一体射出成型，耐冲击，耐抗压，耐磨；</w:t>
      </w:r>
      <w:r>
        <w:rPr>
          <w:rFonts w:hint="eastAsia" w:asciiTheme="minorEastAsia" w:hAnsiTheme="minorEastAsia" w:eastAsiaTheme="minorEastAsia" w:cstheme="minorEastAsia"/>
          <w:bCs/>
          <w:sz w:val="24"/>
          <w:szCs w:val="24"/>
        </w:rPr>
        <w:t>坐垫整体呈内凹形，前端适当凸起后端内凹且带有</w:t>
      </w:r>
      <w:r>
        <w:rPr>
          <w:rFonts w:hint="eastAsia" w:asciiTheme="minorEastAsia" w:hAnsiTheme="minorEastAsia" w:eastAsiaTheme="minorEastAsia" w:cstheme="minorEastAsia"/>
          <w:bCs/>
          <w:sz w:val="24"/>
          <w:szCs w:val="24"/>
          <w:lang w:val="en-US" w:eastAsia="zh-CN"/>
        </w:rPr>
        <w:t>不少于</w:t>
      </w:r>
      <w:r>
        <w:rPr>
          <w:rFonts w:hint="eastAsia" w:asciiTheme="minorEastAsia" w:hAnsiTheme="minorEastAsia" w:eastAsiaTheme="minorEastAsia" w:cstheme="minorEastAsia"/>
          <w:bCs/>
          <w:sz w:val="24"/>
          <w:szCs w:val="24"/>
        </w:rPr>
        <w:t>66根条形散热孔，解决学生长时间学习与午休发热弊端；整体形状让学生正常上课时更为舒适不僵硬。</w:t>
      </w:r>
      <w:r>
        <w:rPr>
          <w:rFonts w:hint="eastAsia" w:asciiTheme="minorEastAsia" w:hAnsiTheme="minorEastAsia" w:eastAsiaTheme="minorEastAsia" w:cstheme="minorEastAsia"/>
          <w:kern w:val="0"/>
          <w:sz w:val="24"/>
          <w:szCs w:val="24"/>
        </w:rPr>
        <w:t>；PP坐板符合GB 28481-2012《塑料家具中有害物质限量》中邻苯二甲酸酯、重金属含量、多环芳烃的标准要求，并提供第三方检测报告。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3.腿托板参数：</w:t>
      </w:r>
      <w:r>
        <w:rPr>
          <w:rFonts w:hint="eastAsia" w:asciiTheme="minorEastAsia" w:hAnsiTheme="minorEastAsia" w:eastAsiaTheme="minorEastAsia" w:cstheme="minorEastAsia"/>
          <w:bCs/>
          <w:sz w:val="24"/>
          <w:szCs w:val="24"/>
        </w:rPr>
        <w:t>310</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*205</w:t>
      </w:r>
      <w:r>
        <w:rPr>
          <w:rFonts w:hint="eastAsia" w:asciiTheme="minorEastAsia" w:hAnsiTheme="minorEastAsia" w:eastAsiaTheme="minorEastAsia" w:cstheme="minorEastAsia"/>
          <w:bCs/>
          <w:sz w:val="24"/>
          <w:szCs w:val="24"/>
          <w:lang w:val="en-US" w:eastAsia="zh-CN"/>
        </w:rPr>
        <w:t>mm</w:t>
      </w:r>
      <w:r>
        <w:rPr>
          <w:rFonts w:hint="eastAsia" w:asciiTheme="minorEastAsia" w:hAnsiTheme="minorEastAsia" w:eastAsiaTheme="minorEastAsia" w:cstheme="minorEastAsia"/>
          <w:bCs/>
          <w:sz w:val="24"/>
          <w:szCs w:val="24"/>
        </w:rPr>
        <w:t>*50mm</w:t>
      </w:r>
      <w:r>
        <w:rPr>
          <w:rFonts w:hint="eastAsia" w:asciiTheme="minorEastAsia" w:hAnsiTheme="minorEastAsia" w:eastAsiaTheme="minorEastAsia" w:cstheme="minorEastAsia"/>
          <w:color w:val="auto"/>
          <w:sz w:val="24"/>
          <w:szCs w:val="24"/>
        </w:rPr>
        <w:t>±2mm</w:t>
      </w:r>
      <w:r>
        <w:rPr>
          <w:rFonts w:hint="eastAsia" w:asciiTheme="minorEastAsia" w:hAnsiTheme="minorEastAsia" w:eastAsiaTheme="minorEastAsia" w:cstheme="minorEastAsia"/>
          <w:kern w:val="0"/>
          <w:sz w:val="24"/>
          <w:szCs w:val="24"/>
        </w:rPr>
        <w:t>；采用符合国家标准的PP耐冲击一级新料一体射出成型，耐冲击，耐抗压，耐磨；腿托板壁厚不小于</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mm且可翻转，午睡躺平的时候可拉伸出来通过翻转即可托起腿部不滑落，学习端坐的时候可收缩放置，收放自如</w:t>
      </w:r>
      <w:r>
        <w:rPr>
          <w:rFonts w:hint="eastAsia" w:asciiTheme="minorEastAsia" w:hAnsiTheme="minorEastAsia" w:eastAsiaTheme="minorEastAsia" w:cstheme="minorEastAsia"/>
          <w:bCs/>
          <w:sz w:val="24"/>
          <w:szCs w:val="24"/>
        </w:rPr>
        <w:t>且带有</w:t>
      </w:r>
      <w:r>
        <w:rPr>
          <w:rFonts w:hint="eastAsia" w:asciiTheme="minorEastAsia" w:hAnsiTheme="minorEastAsia" w:eastAsiaTheme="minorEastAsia" w:cstheme="minorEastAsia"/>
          <w:bCs/>
          <w:sz w:val="24"/>
          <w:szCs w:val="24"/>
          <w:lang w:val="en-US" w:eastAsia="zh-CN"/>
        </w:rPr>
        <w:t>不少于</w:t>
      </w:r>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sz w:val="24"/>
          <w:szCs w:val="24"/>
        </w:rPr>
        <w:t>条出气孔使得整体椅子配套使得产品更为美观</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bCs/>
          <w:sz w:val="24"/>
          <w:szCs w:val="24"/>
        </w:rPr>
        <w:t>腿拖下方设置钢制托架尺寸为</w:t>
      </w:r>
      <w:r>
        <w:rPr>
          <w:rFonts w:hint="eastAsia" w:asciiTheme="minorEastAsia" w:hAnsiTheme="minorEastAsia" w:eastAsiaTheme="minorEastAsia" w:cstheme="minorEastAsia"/>
          <w:bCs/>
          <w:sz w:val="24"/>
          <w:szCs w:val="24"/>
          <w:highlight w:val="none"/>
        </w:rPr>
        <w:t>15</w:t>
      </w:r>
      <w:r>
        <w:rPr>
          <w:rFonts w:hint="eastAsia" w:asciiTheme="minorEastAsia" w:hAnsiTheme="minorEastAsia" w:eastAsiaTheme="minorEastAsia" w:cstheme="minorEastAsia"/>
          <w:bCs/>
          <w:sz w:val="24"/>
          <w:szCs w:val="24"/>
          <w:highlight w:val="none"/>
          <w:lang w:val="en-US" w:eastAsia="zh-CN"/>
        </w:rPr>
        <w:t>mm</w:t>
      </w:r>
      <w:r>
        <w:rPr>
          <w:rFonts w:hint="eastAsia" w:asciiTheme="minorEastAsia" w:hAnsiTheme="minorEastAsia" w:eastAsiaTheme="minorEastAsia" w:cstheme="minorEastAsia"/>
          <w:bCs/>
          <w:sz w:val="24"/>
          <w:szCs w:val="24"/>
          <w:highlight w:val="none"/>
        </w:rPr>
        <w:t>*30</w:t>
      </w:r>
      <w:r>
        <w:rPr>
          <w:rFonts w:hint="eastAsia" w:asciiTheme="minorEastAsia" w:hAnsiTheme="minorEastAsia" w:eastAsiaTheme="minorEastAsia" w:cstheme="minorEastAsia"/>
          <w:bCs/>
          <w:sz w:val="24"/>
          <w:szCs w:val="24"/>
          <w:highlight w:val="none"/>
          <w:lang w:val="en-US" w:eastAsia="zh-CN"/>
        </w:rPr>
        <w:t>mm</w:t>
      </w:r>
      <w:r>
        <w:rPr>
          <w:rFonts w:hint="eastAsia" w:asciiTheme="minorEastAsia" w:hAnsiTheme="minorEastAsia" w:eastAsiaTheme="minorEastAsia" w:cstheme="minorEastAsia"/>
          <w:bCs/>
          <w:sz w:val="24"/>
          <w:szCs w:val="24"/>
          <w:highlight w:val="none"/>
        </w:rPr>
        <w:t>*1.5mm</w:t>
      </w:r>
      <w:r>
        <w:rPr>
          <w:rFonts w:hint="eastAsia" w:asciiTheme="minorEastAsia" w:hAnsiTheme="minorEastAsia" w:eastAsiaTheme="minorEastAsia" w:cstheme="minorEastAsia"/>
          <w:bCs/>
          <w:sz w:val="24"/>
          <w:szCs w:val="24"/>
        </w:rPr>
        <w:t>可增强腿托板的强度。</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4.金属架参数：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采用优质冷轧高频焊管，贴地管和立柱呈75度焊接，地脚管采用30mm*60mm*1.</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mm椭圆</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钢</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管，立柱采用33mm*66mm*1.2mm椭圆眼镜管，升降管采用26mm*59mm*1.2mm椭圆眼镜管，椅脚连档采用20*40*1.2mm椭圆</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钢</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管，升降管侧面激光打印高度尺寸。靠背管采用直径25mm圆管焊接弯管而成，坐垫托架采用25mm*50mm</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*1.2mm</w:t>
      </w:r>
      <w:r>
        <w:rPr>
          <w:rFonts w:hint="eastAsia" w:asciiTheme="minorEastAsia" w:hAnsiTheme="minorEastAsia" w:eastAsiaTheme="minorEastAsia" w:cstheme="minorEastAsia"/>
          <w:kern w:val="0"/>
          <w:sz w:val="24"/>
          <w:szCs w:val="24"/>
        </w:rPr>
        <w:t>；金属桌架符合GB/T 3325-2017《金属家具通用技术条件》抗盐雾的标准要求，并提供第三方检测报告。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书包篮</w:t>
      </w:r>
      <w:r>
        <w:rPr>
          <w:rFonts w:hint="eastAsia" w:asciiTheme="minorEastAsia" w:hAnsiTheme="minorEastAsia" w:eastAsiaTheme="minorEastAsia" w:cstheme="minorEastAsia"/>
          <w:kern w:val="0"/>
          <w:sz w:val="24"/>
          <w:szCs w:val="24"/>
        </w:rPr>
        <w:t>参数：</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372*297*100mm</w:t>
      </w:r>
      <w:r>
        <w:rPr>
          <w:rFonts w:hint="eastAsia" w:asciiTheme="minorEastAsia" w:hAnsiTheme="minorEastAsia" w:eastAsiaTheme="minorEastAsia" w:cstheme="minorEastAsia"/>
          <w:kern w:val="0"/>
          <w:sz w:val="24"/>
          <w:szCs w:val="24"/>
        </w:rPr>
        <w:t>；采用符合国家标准的PP耐冲击一级新料一体射出成型，耐冲击，耐抗压，耐磨；采用全新料PP料制作，铅，汞，铬等有毒有害物质符合GB 28481-2012 《塑料家具中有害物质限量》中有害物质限量的标准要求，并提供第三方检测报告。</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xml:space="preserve">    6.课椅结构参数：</w:t>
      </w:r>
      <w:r>
        <w:rPr>
          <w:rFonts w:hint="eastAsia" w:asciiTheme="minorEastAsia" w:hAnsiTheme="minorEastAsia" w:eastAsiaTheme="minorEastAsia" w:cstheme="minorEastAsia"/>
          <w:bCs/>
          <w:sz w:val="24"/>
          <w:szCs w:val="24"/>
        </w:rPr>
        <w:t>高度调节采用</w:t>
      </w:r>
      <w:r>
        <w:rPr>
          <w:rFonts w:hint="eastAsia" w:asciiTheme="minorEastAsia" w:hAnsiTheme="minorEastAsia" w:eastAsiaTheme="minorEastAsia" w:cstheme="minorEastAsia"/>
          <w:bCs/>
          <w:color w:val="000000"/>
          <w:sz w:val="24"/>
          <w:szCs w:val="24"/>
          <w:lang w:val="en-US" w:eastAsia="zh-CN"/>
        </w:rPr>
        <w:t>螺丝</w:t>
      </w:r>
      <w:r>
        <w:rPr>
          <w:rFonts w:hint="eastAsia" w:asciiTheme="minorEastAsia" w:hAnsiTheme="minorEastAsia" w:eastAsiaTheme="minorEastAsia" w:cstheme="minorEastAsia"/>
          <w:bCs/>
          <w:color w:val="000000"/>
          <w:sz w:val="24"/>
          <w:szCs w:val="24"/>
        </w:rPr>
        <w:t>升降结构</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sz w:val="24"/>
          <w:szCs w:val="24"/>
        </w:rPr>
        <w:t>调节高度为3</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0-4</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0mm±10mm，</w:t>
      </w:r>
      <w:r>
        <w:rPr>
          <w:rFonts w:hint="eastAsia" w:asciiTheme="minorEastAsia" w:hAnsiTheme="minorEastAsia" w:eastAsiaTheme="minorEastAsia" w:cstheme="minorEastAsia"/>
          <w:bCs/>
          <w:color w:val="000000"/>
          <w:sz w:val="24"/>
          <w:szCs w:val="24"/>
        </w:rPr>
        <w:t>升降幅度范</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围为</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80</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0mm.</w:t>
      </w:r>
      <w:r>
        <w:rPr>
          <w:rFonts w:hint="eastAsia" w:asciiTheme="minorEastAsia" w:hAnsiTheme="minorEastAsia" w:eastAsiaTheme="minorEastAsia" w:cstheme="minorEastAsia"/>
          <w:sz w:val="24"/>
          <w:szCs w:val="24"/>
        </w:rPr>
        <w:t xml:space="preserve">如要躺下时，往上按动右侧座板下开关即可，靠背可在90°-165°范围内任意调节，操作简洁方便 </w:t>
      </w:r>
      <w:r>
        <w:rPr>
          <w:rFonts w:hint="eastAsia" w:asciiTheme="minorEastAsia" w:hAnsiTheme="minorEastAsia" w:eastAsiaTheme="minorEastAsia" w:cstheme="minorEastAsia"/>
          <w:sz w:val="24"/>
          <w:szCs w:val="24"/>
          <w:lang w:eastAsia="zh-CN"/>
        </w:rPr>
        <w:t>。</w:t>
      </w:r>
    </w:p>
    <w:p w14:paraId="69116D65">
      <w:pPr>
        <w:spacing w:line="360" w:lineRule="auto"/>
        <w:ind w:right="-166" w:rightChars="-79"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7.质量要求：为确保午休课桌椅质量，对管材、焊接件、冲压件、皱纹或波纹、喷涂层、塑料件外观、木工要求、课桌椅形状和位置公差、金属件喷涂层（抗盐雾、抗冲击、附着力）、耐污性、安全性、课桌（桌面垂直静载荷加载1000N，10次、桌面垂直耐久性、桌面垂直冲击、桌腿跌落、桌面水平静载荷）、课椅（椅子向前倾翻、椅子侧向倾翻、椅子向后倾翻、座面、椅背联合静载荷、座面侧向静载荷、椅腿向前静载荷、椅腿侧向静载荷、座面冲击、椅背冲击、踏脚静载荷、椅腿跌落）、可迁移元素、邻苯二甲酸酯、重金属、多环芳烃进行检测，提供生产厂家带CMA标识的产品检测报告及厂家授权原件。</w:t>
      </w:r>
    </w:p>
    <w:p w14:paraId="17A863F4">
      <w:pPr>
        <w:pStyle w:val="16"/>
      </w:pPr>
    </w:p>
    <w:p w14:paraId="721DCD3C">
      <w:pPr>
        <w:jc w:val="center"/>
        <w:rPr>
          <w:rFonts w:hint="eastAsia" w:eastAsiaTheme="minorEastAsia"/>
          <w:lang w:eastAsia="zh-CN"/>
        </w:rPr>
      </w:pPr>
      <w:r>
        <w:drawing>
          <wp:inline distT="0" distB="0" distL="114300" distR="114300">
            <wp:extent cx="3711575" cy="4491355"/>
            <wp:effectExtent l="0" t="0" r="6985" b="444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3"/>
                    <a:stretch>
                      <a:fillRect/>
                    </a:stretch>
                  </pic:blipFill>
                  <pic:spPr>
                    <a:xfrm>
                      <a:off x="0" y="0"/>
                      <a:ext cx="3711575" cy="4491355"/>
                    </a:xfrm>
                    <a:prstGeom prst="rect">
                      <a:avLst/>
                    </a:prstGeom>
                    <a:noFill/>
                    <a:ln>
                      <a:noFill/>
                    </a:ln>
                  </pic:spPr>
                </pic:pic>
              </a:graphicData>
            </a:graphic>
          </wp:inline>
        </w:drawing>
      </w:r>
    </w:p>
    <w:p w14:paraId="00C340A0">
      <w:pPr>
        <w:pStyle w:val="16"/>
      </w:pPr>
      <w:r>
        <w:rPr>
          <w:rFonts w:hint="eastAsia"/>
        </w:rPr>
        <w:t xml:space="preserve">                      </w:t>
      </w:r>
      <w:r>
        <w:rPr>
          <w:rFonts w:hint="eastAsia"/>
          <w:lang w:val="en-US" w:eastAsia="zh-CN"/>
        </w:rPr>
        <w:t xml:space="preserve">        </w:t>
      </w:r>
      <w:r>
        <w:rPr>
          <w:rFonts w:hint="eastAsia"/>
        </w:rPr>
        <w:t xml:space="preserve">    样品图</w:t>
      </w:r>
    </w:p>
    <w:p w14:paraId="1D5FA6DA">
      <w:pPr>
        <w:ind w:firstLine="110" w:firstLineChars="50"/>
        <w:rPr>
          <w:rFonts w:hint="eastAsia" w:asciiTheme="minorEastAsia" w:hAnsiTheme="minorEastAsia" w:eastAsiaTheme="minorEastAsia" w:cstheme="minorEastAsia"/>
          <w:b/>
          <w:bCs/>
          <w:sz w:val="22"/>
          <w:szCs w:val="22"/>
        </w:rPr>
      </w:pPr>
    </w:p>
    <w:p w14:paraId="6950324E">
      <w:pPr>
        <w:spacing w:line="288" w:lineRule="auto"/>
        <w:ind w:firstLine="120" w:firstLineChars="5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w:t>
      </w:r>
    </w:p>
    <w:p w14:paraId="3B76A4C0">
      <w:pPr>
        <w:spacing w:line="288"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请</w:t>
      </w:r>
      <w:r>
        <w:rPr>
          <w:rFonts w:hint="eastAsia" w:asciiTheme="minorEastAsia" w:hAnsiTheme="minorEastAsia" w:eastAsiaTheme="minorEastAsia" w:cstheme="minorEastAsia"/>
          <w:b/>
          <w:sz w:val="24"/>
          <w:lang w:val="en-US" w:eastAsia="zh-CN"/>
        </w:rPr>
        <w:t>供应商</w:t>
      </w:r>
      <w:r>
        <w:rPr>
          <w:rFonts w:hint="eastAsia" w:asciiTheme="minorEastAsia" w:hAnsiTheme="minorEastAsia" w:eastAsiaTheme="minorEastAsia" w:cstheme="minorEastAsia"/>
          <w:b/>
          <w:sz w:val="24"/>
        </w:rPr>
        <w:t>在报价前仔细踏勘现场、了解工程现状。本项目为一次性报价，包含包括</w:t>
      </w: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14:paraId="6283B694">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28BDEB94">
      <w:pPr>
        <w:spacing w:line="360" w:lineRule="auto"/>
        <w:ind w:left="0" w:leftChars="0" w:right="-218" w:rightChars="-104" w:firstLine="843" w:firstLineChars="35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2.商务需求</w:t>
      </w:r>
    </w:p>
    <w:p w14:paraId="0E54A8C4">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2.1交货时间及地点：</w:t>
      </w:r>
    </w:p>
    <w:p w14:paraId="3603704C">
      <w:pPr>
        <w:spacing w:line="360" w:lineRule="auto"/>
        <w:ind w:left="0" w:leftChars="0" w:right="-218" w:rightChars="-104" w:firstLine="843" w:firstLineChars="35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▲2.1.1中标人应在合同签订后</w:t>
      </w: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30</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日历天完成供货、安装、调试工作。</w:t>
      </w:r>
    </w:p>
    <w:p w14:paraId="23F68BFC">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交货地点：采购人指定地点。</w:t>
      </w:r>
    </w:p>
    <w:p w14:paraId="302B8E28">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625BC2F7">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2.2质保期及售后技术服务要求：</w:t>
      </w:r>
    </w:p>
    <w:p w14:paraId="0927C0EC">
      <w:pPr>
        <w:spacing w:line="360" w:lineRule="auto"/>
        <w:ind w:left="0" w:leftChars="0" w:right="-218" w:rightChars="-104" w:firstLine="843" w:firstLineChars="35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▲2.2.1质保期：不少于</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年。</w:t>
      </w:r>
    </w:p>
    <w:p w14:paraId="502E7CA5">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5EDFF4CE">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72E351BD">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1146EFF3">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2F44FDA2">
      <w:pPr>
        <w:spacing w:line="360" w:lineRule="auto"/>
        <w:ind w:left="0" w:leftChars="0" w:right="-218" w:rightChars="-104" w:firstLine="843" w:firstLineChars="35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▲2.3付款方式：</w:t>
      </w:r>
    </w:p>
    <w:p w14:paraId="4E29B7E5">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合同签订后，所有采购品目安装到位经验收合格后，采购人向</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支付</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所有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货款</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14:paraId="35D5D0E3">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2.4产品质量：</w:t>
      </w:r>
    </w:p>
    <w:p w14:paraId="0B8527F4">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中标后生产过程中需配合需求方生产现场查验生产情况（材料/工艺/设备）；</w:t>
      </w:r>
    </w:p>
    <w:p w14:paraId="20096DC6">
      <w:pPr>
        <w:spacing w:line="360" w:lineRule="auto"/>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2CC2F740">
      <w:pPr>
        <w:spacing w:line="500" w:lineRule="exact"/>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注：1、如有附图，仅作参考。</w:t>
      </w:r>
    </w:p>
    <w:p w14:paraId="69369A35">
      <w:pPr>
        <w:spacing w:line="500" w:lineRule="exact"/>
        <w:ind w:left="0" w:leftChars="0" w:right="-218" w:rightChars="-104" w:firstLine="840" w:firstLineChars="3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2、打▲内容为实质性要求，不允许有负偏离，否则将以涉及无效投标条款作无效投标。</w:t>
      </w:r>
    </w:p>
    <w:p w14:paraId="2177CC15">
      <w:pPr>
        <w:spacing w:line="500" w:lineRule="exact"/>
        <w:ind w:left="0" w:leftChars="0" w:right="-218" w:rightChars="-104" w:firstLine="840" w:firstLineChars="350"/>
        <w:rPr>
          <w:rFonts w:ascii="仿宋" w:hAnsi="仿宋" w:eastAsia="仿宋" w:cs="仿宋"/>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1927BDC9">
      <w:pPr>
        <w:widowControl/>
        <w:tabs>
          <w:tab w:val="left" w:pos="0"/>
          <w:tab w:val="left" w:pos="630"/>
        </w:tabs>
        <w:adjustRightInd/>
        <w:spacing w:line="360" w:lineRule="auto"/>
        <w:ind w:firstLine="0" w:firstLineChars="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rPr>
        <w:br w:type="page"/>
      </w:r>
      <w:bookmarkEnd w:id="15"/>
      <w:r>
        <w:rPr>
          <w:rFonts w:hint="eastAsia" w:asciiTheme="minorEastAsia" w:hAnsiTheme="minorEastAsia" w:eastAsiaTheme="minorEastAsia" w:cstheme="minorEastAsia"/>
          <w:b/>
          <w:bCs/>
          <w:sz w:val="32"/>
          <w:szCs w:val="32"/>
        </w:rPr>
        <w:t xml:space="preserve">第四部分   </w:t>
      </w:r>
      <w:bookmarkStart w:id="16" w:name="_Toc184313270"/>
      <w:bookmarkEnd w:id="16"/>
      <w:bookmarkStart w:id="17" w:name="_Toc184314469"/>
      <w:bookmarkEnd w:id="17"/>
      <w:bookmarkStart w:id="18" w:name="_Toc184314447"/>
      <w:bookmarkEnd w:id="18"/>
      <w:bookmarkStart w:id="19" w:name="_Toc184314436"/>
      <w:bookmarkEnd w:id="19"/>
      <w:bookmarkStart w:id="20" w:name="_Toc184310332"/>
      <w:bookmarkEnd w:id="20"/>
      <w:bookmarkStart w:id="21" w:name="_Toc184310318"/>
      <w:bookmarkEnd w:id="21"/>
      <w:bookmarkStart w:id="22" w:name="_Toc184308086"/>
      <w:bookmarkEnd w:id="22"/>
      <w:bookmarkStart w:id="23" w:name="_Toc184314417"/>
      <w:bookmarkEnd w:id="23"/>
      <w:bookmarkStart w:id="24" w:name="_Toc184310305"/>
      <w:bookmarkEnd w:id="24"/>
      <w:bookmarkStart w:id="25" w:name="_Toc184312094"/>
      <w:bookmarkEnd w:id="25"/>
      <w:bookmarkStart w:id="26" w:name="_Toc184308079"/>
      <w:bookmarkEnd w:id="26"/>
      <w:bookmarkStart w:id="27" w:name="_Toc184313301"/>
      <w:bookmarkEnd w:id="27"/>
      <w:bookmarkStart w:id="28" w:name="_Toc184310284"/>
      <w:bookmarkEnd w:id="28"/>
      <w:bookmarkStart w:id="29" w:name="_Toc184308097"/>
      <w:bookmarkEnd w:id="29"/>
      <w:bookmarkStart w:id="30" w:name="_Toc184308054"/>
      <w:bookmarkEnd w:id="30"/>
      <w:bookmarkStart w:id="31" w:name="_Toc184308043"/>
      <w:bookmarkEnd w:id="31"/>
      <w:bookmarkStart w:id="32" w:name="_Toc184310337"/>
      <w:bookmarkEnd w:id="32"/>
      <w:bookmarkStart w:id="33" w:name="_Toc184313241"/>
      <w:bookmarkEnd w:id="33"/>
      <w:bookmarkStart w:id="34" w:name="_Toc184308075"/>
      <w:bookmarkEnd w:id="34"/>
      <w:bookmarkStart w:id="35" w:name="_Toc184310314"/>
      <w:bookmarkEnd w:id="35"/>
      <w:bookmarkStart w:id="36" w:name="_Toc184312111"/>
      <w:bookmarkEnd w:id="36"/>
      <w:bookmarkStart w:id="37" w:name="_Toc184308066"/>
      <w:bookmarkEnd w:id="37"/>
      <w:bookmarkStart w:id="38" w:name="_Toc184308094"/>
      <w:bookmarkEnd w:id="38"/>
      <w:bookmarkStart w:id="39" w:name="_Toc184314427"/>
      <w:bookmarkEnd w:id="39"/>
      <w:bookmarkStart w:id="40" w:name="_Toc184308096"/>
      <w:bookmarkEnd w:id="40"/>
      <w:bookmarkStart w:id="41" w:name="_Toc184308055"/>
      <w:bookmarkEnd w:id="41"/>
      <w:bookmarkStart w:id="42" w:name="_Toc184312118"/>
      <w:bookmarkEnd w:id="42"/>
      <w:bookmarkStart w:id="43" w:name="_Toc184313298"/>
      <w:bookmarkEnd w:id="43"/>
      <w:bookmarkStart w:id="44" w:name="_Toc184313302"/>
      <w:bookmarkEnd w:id="44"/>
      <w:bookmarkStart w:id="45" w:name="_Toc184312091"/>
      <w:bookmarkEnd w:id="45"/>
      <w:bookmarkStart w:id="46" w:name="_Toc184314476"/>
      <w:bookmarkEnd w:id="46"/>
      <w:bookmarkStart w:id="47" w:name="_Toc184308057"/>
      <w:bookmarkEnd w:id="47"/>
      <w:bookmarkStart w:id="48" w:name="_Toc184310274"/>
      <w:bookmarkEnd w:id="48"/>
      <w:bookmarkStart w:id="49" w:name="_Toc184313291"/>
      <w:bookmarkEnd w:id="49"/>
      <w:bookmarkStart w:id="50" w:name="_Toc184313289"/>
      <w:bookmarkEnd w:id="50"/>
      <w:bookmarkStart w:id="51" w:name="_Toc184308056"/>
      <w:bookmarkEnd w:id="51"/>
      <w:bookmarkStart w:id="52" w:name="_Toc184312092"/>
      <w:bookmarkEnd w:id="52"/>
      <w:bookmarkStart w:id="53" w:name="_Toc184312097"/>
      <w:bookmarkEnd w:id="53"/>
      <w:bookmarkStart w:id="54" w:name="_Toc184314413"/>
      <w:bookmarkEnd w:id="54"/>
      <w:bookmarkStart w:id="55" w:name="_Toc184313252"/>
      <w:bookmarkEnd w:id="55"/>
      <w:bookmarkStart w:id="56" w:name="_Toc184313305"/>
      <w:bookmarkEnd w:id="56"/>
      <w:bookmarkStart w:id="57" w:name="_Toc184314440"/>
      <w:bookmarkEnd w:id="57"/>
      <w:bookmarkStart w:id="58" w:name="_Toc184308104"/>
      <w:bookmarkEnd w:id="58"/>
      <w:bookmarkStart w:id="59" w:name="_Toc184310323"/>
      <w:bookmarkEnd w:id="59"/>
      <w:bookmarkStart w:id="60" w:name="_Toc184310336"/>
      <w:bookmarkEnd w:id="60"/>
      <w:bookmarkStart w:id="61" w:name="_Toc184308059"/>
      <w:bookmarkEnd w:id="61"/>
      <w:bookmarkStart w:id="62" w:name="_Toc184313248"/>
      <w:bookmarkEnd w:id="62"/>
      <w:bookmarkStart w:id="63" w:name="_Toc184314457"/>
      <w:bookmarkEnd w:id="63"/>
      <w:bookmarkStart w:id="64" w:name="_Toc184312101"/>
      <w:bookmarkEnd w:id="64"/>
      <w:bookmarkStart w:id="65" w:name="_Toc184312124"/>
      <w:bookmarkEnd w:id="65"/>
      <w:bookmarkStart w:id="66" w:name="_Toc184314412"/>
      <w:bookmarkEnd w:id="66"/>
      <w:bookmarkStart w:id="67" w:name="_Toc184313269"/>
      <w:bookmarkEnd w:id="67"/>
      <w:bookmarkStart w:id="68" w:name="_Toc184312137"/>
      <w:bookmarkEnd w:id="68"/>
      <w:bookmarkStart w:id="69" w:name="_Toc184312076"/>
      <w:bookmarkEnd w:id="69"/>
      <w:bookmarkStart w:id="70" w:name="_Toc184313282"/>
      <w:bookmarkEnd w:id="70"/>
      <w:bookmarkStart w:id="71" w:name="_Toc184310293"/>
      <w:bookmarkEnd w:id="71"/>
      <w:bookmarkStart w:id="72" w:name="_Toc184310328"/>
      <w:bookmarkEnd w:id="72"/>
      <w:bookmarkStart w:id="73" w:name="_Toc184313279"/>
      <w:bookmarkEnd w:id="73"/>
      <w:bookmarkStart w:id="74" w:name="_Toc184312135"/>
      <w:bookmarkEnd w:id="74"/>
      <w:bookmarkStart w:id="75" w:name="_Toc184312121"/>
      <w:bookmarkEnd w:id="75"/>
      <w:bookmarkStart w:id="76" w:name="_Toc184314425"/>
      <w:bookmarkEnd w:id="76"/>
      <w:bookmarkStart w:id="77" w:name="_Toc184312112"/>
      <w:bookmarkEnd w:id="77"/>
      <w:bookmarkStart w:id="78" w:name="_Toc184310312"/>
      <w:bookmarkEnd w:id="78"/>
      <w:bookmarkStart w:id="79" w:name="_Toc184314428"/>
      <w:bookmarkEnd w:id="79"/>
      <w:bookmarkStart w:id="80" w:name="_Toc184308099"/>
      <w:bookmarkEnd w:id="80"/>
      <w:bookmarkStart w:id="81" w:name="_Toc184312129"/>
      <w:bookmarkEnd w:id="81"/>
      <w:bookmarkStart w:id="82" w:name="_Toc184314414"/>
      <w:bookmarkEnd w:id="82"/>
      <w:bookmarkStart w:id="83" w:name="_Toc184314462"/>
      <w:bookmarkEnd w:id="83"/>
      <w:bookmarkStart w:id="84" w:name="_Toc184314430"/>
      <w:bookmarkEnd w:id="84"/>
      <w:bookmarkStart w:id="85" w:name="_Toc184314432"/>
      <w:bookmarkEnd w:id="85"/>
      <w:bookmarkStart w:id="86" w:name="_Toc184314460"/>
      <w:bookmarkEnd w:id="86"/>
      <w:bookmarkStart w:id="87" w:name="_Toc184313246"/>
      <w:bookmarkEnd w:id="87"/>
      <w:bookmarkStart w:id="88" w:name="_Toc184313268"/>
      <w:bookmarkEnd w:id="88"/>
      <w:bookmarkStart w:id="89" w:name="_Toc184313262"/>
      <w:bookmarkEnd w:id="89"/>
      <w:bookmarkStart w:id="90" w:name="_Toc184313286"/>
      <w:bookmarkEnd w:id="90"/>
      <w:bookmarkStart w:id="91" w:name="_Toc184313304"/>
      <w:bookmarkEnd w:id="91"/>
      <w:bookmarkStart w:id="92" w:name="_Toc184308072"/>
      <w:bookmarkEnd w:id="92"/>
      <w:bookmarkStart w:id="93" w:name="_Toc184313243"/>
      <w:bookmarkEnd w:id="93"/>
      <w:bookmarkStart w:id="94" w:name="_Toc184312070"/>
      <w:bookmarkEnd w:id="94"/>
      <w:bookmarkStart w:id="95" w:name="_Toc184312089"/>
      <w:bookmarkEnd w:id="95"/>
      <w:bookmarkStart w:id="96" w:name="_Toc184313251"/>
      <w:bookmarkEnd w:id="96"/>
      <w:bookmarkStart w:id="97" w:name="_Toc184314421"/>
      <w:bookmarkEnd w:id="97"/>
      <w:bookmarkStart w:id="98" w:name="_Toc184314463"/>
      <w:bookmarkEnd w:id="98"/>
      <w:bookmarkStart w:id="99" w:name="_Toc184312085"/>
      <w:bookmarkEnd w:id="99"/>
      <w:bookmarkStart w:id="100" w:name="_Toc184312102"/>
      <w:bookmarkEnd w:id="100"/>
      <w:bookmarkStart w:id="101" w:name="_Toc184312073"/>
      <w:bookmarkEnd w:id="101"/>
      <w:bookmarkStart w:id="102" w:name="_Toc184308060"/>
      <w:bookmarkEnd w:id="102"/>
      <w:bookmarkStart w:id="103" w:name="_Toc184313293"/>
      <w:bookmarkEnd w:id="103"/>
      <w:bookmarkStart w:id="104" w:name="_Toc184312130"/>
      <w:bookmarkEnd w:id="104"/>
      <w:bookmarkStart w:id="105" w:name="_Toc184312067"/>
      <w:bookmarkEnd w:id="105"/>
      <w:bookmarkStart w:id="106" w:name="_Toc184314472"/>
      <w:bookmarkEnd w:id="106"/>
      <w:bookmarkStart w:id="107" w:name="_Toc184313250"/>
      <w:bookmarkEnd w:id="107"/>
      <w:bookmarkStart w:id="108" w:name="_Toc184312098"/>
      <w:bookmarkEnd w:id="108"/>
      <w:bookmarkStart w:id="109" w:name="_Toc184308064"/>
      <w:bookmarkEnd w:id="109"/>
      <w:bookmarkStart w:id="110" w:name="_Toc184310297"/>
      <w:bookmarkEnd w:id="110"/>
      <w:bookmarkStart w:id="111" w:name="_Toc184308069"/>
      <w:bookmarkEnd w:id="111"/>
      <w:bookmarkStart w:id="112" w:name="_Toc184308084"/>
      <w:bookmarkEnd w:id="112"/>
      <w:bookmarkStart w:id="113" w:name="_Toc184310278"/>
      <w:bookmarkEnd w:id="113"/>
      <w:bookmarkStart w:id="114" w:name="_Toc184314442"/>
      <w:bookmarkEnd w:id="114"/>
      <w:bookmarkStart w:id="115" w:name="_Toc184310273"/>
      <w:bookmarkEnd w:id="115"/>
      <w:bookmarkStart w:id="116" w:name="_Toc184313245"/>
      <w:bookmarkEnd w:id="116"/>
      <w:bookmarkStart w:id="117" w:name="_Toc184314465"/>
      <w:bookmarkEnd w:id="117"/>
      <w:bookmarkStart w:id="118" w:name="_Toc184314443"/>
      <w:bookmarkEnd w:id="118"/>
      <w:bookmarkStart w:id="119" w:name="_Toc184308100"/>
      <w:bookmarkEnd w:id="119"/>
      <w:bookmarkStart w:id="120" w:name="_Toc184312128"/>
      <w:bookmarkEnd w:id="120"/>
      <w:bookmarkStart w:id="121" w:name="_Toc184310301"/>
      <w:bookmarkEnd w:id="121"/>
      <w:bookmarkStart w:id="122" w:name="_Toc184314426"/>
      <w:bookmarkEnd w:id="122"/>
      <w:bookmarkStart w:id="123" w:name="_Toc184314441"/>
      <w:bookmarkEnd w:id="123"/>
      <w:bookmarkStart w:id="124" w:name="_Toc184313300"/>
      <w:bookmarkEnd w:id="124"/>
      <w:bookmarkStart w:id="125" w:name="_Toc184308062"/>
      <w:bookmarkEnd w:id="125"/>
      <w:bookmarkStart w:id="126" w:name="_Toc184313239"/>
      <w:bookmarkEnd w:id="126"/>
      <w:bookmarkStart w:id="127" w:name="_Toc184310319"/>
      <w:bookmarkEnd w:id="127"/>
      <w:bookmarkStart w:id="128" w:name="_Toc184310327"/>
      <w:bookmarkEnd w:id="128"/>
      <w:bookmarkStart w:id="129" w:name="_Toc184310321"/>
      <w:bookmarkEnd w:id="129"/>
      <w:bookmarkStart w:id="130" w:name="_Toc184312139"/>
      <w:bookmarkEnd w:id="130"/>
      <w:bookmarkStart w:id="131" w:name="_Toc184310331"/>
      <w:bookmarkEnd w:id="131"/>
      <w:bookmarkStart w:id="132" w:name="_Toc184314422"/>
      <w:bookmarkEnd w:id="132"/>
      <w:bookmarkStart w:id="133" w:name="_Toc184310326"/>
      <w:bookmarkEnd w:id="133"/>
      <w:bookmarkStart w:id="134" w:name="_Toc184312103"/>
      <w:bookmarkEnd w:id="134"/>
      <w:bookmarkStart w:id="135" w:name="_Toc184308107"/>
      <w:bookmarkEnd w:id="135"/>
      <w:bookmarkStart w:id="136" w:name="_Toc184308042"/>
      <w:bookmarkEnd w:id="136"/>
      <w:bookmarkStart w:id="137" w:name="_Toc184314459"/>
      <w:bookmarkEnd w:id="137"/>
      <w:bookmarkStart w:id="138" w:name="_Toc184314438"/>
      <w:bookmarkEnd w:id="138"/>
      <w:bookmarkStart w:id="139" w:name="_Toc184312131"/>
      <w:bookmarkEnd w:id="139"/>
      <w:bookmarkStart w:id="140" w:name="_Toc184312083"/>
      <w:bookmarkEnd w:id="140"/>
      <w:bookmarkStart w:id="141" w:name="_Toc184314449"/>
      <w:bookmarkEnd w:id="141"/>
      <w:bookmarkStart w:id="142" w:name="_Toc184313273"/>
      <w:bookmarkEnd w:id="142"/>
      <w:bookmarkStart w:id="143" w:name="_Toc184314455"/>
      <w:bookmarkEnd w:id="143"/>
      <w:bookmarkStart w:id="144" w:name="_Toc184310316"/>
      <w:bookmarkEnd w:id="144"/>
      <w:bookmarkStart w:id="145" w:name="_Toc184314444"/>
      <w:bookmarkEnd w:id="145"/>
      <w:bookmarkStart w:id="146" w:name="_Toc184313280"/>
      <w:bookmarkEnd w:id="146"/>
      <w:bookmarkStart w:id="147" w:name="_Toc184314482"/>
      <w:bookmarkEnd w:id="147"/>
      <w:bookmarkStart w:id="148" w:name="_Toc184308041"/>
      <w:bookmarkEnd w:id="148"/>
      <w:bookmarkStart w:id="149" w:name="_Toc184314470"/>
      <w:bookmarkEnd w:id="149"/>
      <w:bookmarkStart w:id="150" w:name="_Toc184308083"/>
      <w:bookmarkEnd w:id="150"/>
      <w:bookmarkStart w:id="151" w:name="_Toc184310322"/>
      <w:bookmarkEnd w:id="151"/>
      <w:bookmarkStart w:id="152" w:name="_Toc184314477"/>
      <w:bookmarkEnd w:id="152"/>
      <w:bookmarkStart w:id="153" w:name="_Toc184313306"/>
      <w:bookmarkEnd w:id="153"/>
      <w:bookmarkStart w:id="154" w:name="_Toc184313281"/>
      <w:bookmarkEnd w:id="154"/>
      <w:bookmarkStart w:id="155" w:name="_Toc184308088"/>
      <w:bookmarkEnd w:id="155"/>
      <w:bookmarkStart w:id="156" w:name="_Toc184312106"/>
      <w:bookmarkEnd w:id="156"/>
      <w:bookmarkStart w:id="157" w:name="_Toc184308037"/>
      <w:bookmarkEnd w:id="157"/>
      <w:bookmarkStart w:id="158" w:name="_Toc184308051"/>
      <w:bookmarkEnd w:id="158"/>
      <w:bookmarkStart w:id="159" w:name="_Toc184310310"/>
      <w:bookmarkEnd w:id="159"/>
      <w:bookmarkStart w:id="160" w:name="_Toc184310292"/>
      <w:bookmarkEnd w:id="160"/>
      <w:bookmarkStart w:id="161" w:name="_Toc184310340"/>
      <w:bookmarkEnd w:id="161"/>
      <w:bookmarkStart w:id="162" w:name="_Toc184308105"/>
      <w:bookmarkEnd w:id="162"/>
      <w:bookmarkStart w:id="163" w:name="_Toc184308082"/>
      <w:bookmarkEnd w:id="163"/>
      <w:bookmarkStart w:id="164" w:name="_Toc184313292"/>
      <w:bookmarkEnd w:id="164"/>
      <w:bookmarkStart w:id="165" w:name="_Toc184312104"/>
      <w:bookmarkEnd w:id="165"/>
      <w:bookmarkStart w:id="166" w:name="_Toc184314475"/>
      <w:bookmarkEnd w:id="166"/>
      <w:bookmarkStart w:id="167" w:name="_Toc184313260"/>
      <w:bookmarkEnd w:id="167"/>
      <w:bookmarkStart w:id="168" w:name="_Toc184312095"/>
      <w:bookmarkEnd w:id="168"/>
      <w:bookmarkStart w:id="169" w:name="_Toc184314467"/>
      <w:bookmarkEnd w:id="169"/>
      <w:bookmarkStart w:id="170" w:name="_Toc184310298"/>
      <w:bookmarkEnd w:id="170"/>
      <w:bookmarkStart w:id="171" w:name="_Toc184308052"/>
      <w:bookmarkEnd w:id="171"/>
      <w:bookmarkStart w:id="172" w:name="_Toc184312084"/>
      <w:bookmarkEnd w:id="172"/>
      <w:bookmarkStart w:id="173" w:name="_Toc184310286"/>
      <w:bookmarkEnd w:id="173"/>
      <w:bookmarkStart w:id="174" w:name="_Toc184308077"/>
      <w:bookmarkEnd w:id="174"/>
      <w:bookmarkStart w:id="175" w:name="_Toc184312114"/>
      <w:bookmarkEnd w:id="175"/>
      <w:bookmarkStart w:id="176" w:name="_Toc184313242"/>
      <w:bookmarkEnd w:id="176"/>
      <w:bookmarkStart w:id="177" w:name="_Toc184314453"/>
      <w:bookmarkEnd w:id="177"/>
      <w:bookmarkStart w:id="178" w:name="_Toc184313284"/>
      <w:bookmarkEnd w:id="178"/>
      <w:bookmarkStart w:id="179" w:name="_Toc184314433"/>
      <w:bookmarkEnd w:id="179"/>
      <w:bookmarkStart w:id="180" w:name="_Toc184310275"/>
      <w:bookmarkEnd w:id="180"/>
      <w:bookmarkStart w:id="181" w:name="_Toc184310324"/>
      <w:bookmarkEnd w:id="181"/>
      <w:bookmarkStart w:id="182" w:name="_Toc184313255"/>
      <w:bookmarkEnd w:id="182"/>
      <w:bookmarkStart w:id="183" w:name="_Toc184310280"/>
      <w:bookmarkEnd w:id="183"/>
      <w:bookmarkStart w:id="184" w:name="_Toc184308089"/>
      <w:bookmarkEnd w:id="184"/>
      <w:bookmarkStart w:id="185" w:name="_Toc184310317"/>
      <w:bookmarkEnd w:id="185"/>
      <w:bookmarkStart w:id="186" w:name="_Toc184312116"/>
      <w:bookmarkEnd w:id="186"/>
      <w:bookmarkStart w:id="187" w:name="_Toc184314471"/>
      <w:bookmarkEnd w:id="187"/>
      <w:bookmarkStart w:id="188" w:name="_Toc184308058"/>
      <w:bookmarkEnd w:id="188"/>
      <w:bookmarkStart w:id="189" w:name="_Toc184308102"/>
      <w:bookmarkEnd w:id="189"/>
      <w:bookmarkStart w:id="190" w:name="_Toc184308053"/>
      <w:bookmarkEnd w:id="190"/>
      <w:bookmarkStart w:id="191" w:name="_Toc184310320"/>
      <w:bookmarkEnd w:id="191"/>
      <w:bookmarkStart w:id="192" w:name="_Toc184312087"/>
      <w:bookmarkEnd w:id="192"/>
      <w:bookmarkStart w:id="193" w:name="_Toc184312068"/>
      <w:bookmarkEnd w:id="193"/>
      <w:bookmarkStart w:id="194" w:name="_Toc184313238"/>
      <w:bookmarkEnd w:id="194"/>
      <w:bookmarkStart w:id="195" w:name="_Toc184308092"/>
      <w:bookmarkEnd w:id="195"/>
      <w:bookmarkStart w:id="196" w:name="_Toc184310302"/>
      <w:bookmarkEnd w:id="196"/>
      <w:bookmarkStart w:id="197" w:name="_Toc184314466"/>
      <w:bookmarkEnd w:id="197"/>
      <w:bookmarkStart w:id="198" w:name="_Toc184314411"/>
      <w:bookmarkEnd w:id="198"/>
      <w:bookmarkStart w:id="199" w:name="_Toc184308063"/>
      <w:bookmarkEnd w:id="199"/>
      <w:bookmarkStart w:id="200" w:name="_Toc184312086"/>
      <w:bookmarkEnd w:id="200"/>
      <w:bookmarkStart w:id="201" w:name="_Toc184310330"/>
      <w:bookmarkEnd w:id="201"/>
      <w:bookmarkStart w:id="202" w:name="_Toc184314461"/>
      <w:bookmarkEnd w:id="202"/>
      <w:bookmarkStart w:id="203" w:name="_Toc184310306"/>
      <w:bookmarkEnd w:id="203"/>
      <w:bookmarkStart w:id="204" w:name="_Toc184308073"/>
      <w:bookmarkEnd w:id="204"/>
      <w:bookmarkStart w:id="205" w:name="_Toc184310299"/>
      <w:bookmarkEnd w:id="205"/>
      <w:bookmarkStart w:id="206" w:name="_Toc184310342"/>
      <w:bookmarkEnd w:id="206"/>
      <w:bookmarkStart w:id="207" w:name="_Toc184312127"/>
      <w:bookmarkEnd w:id="207"/>
      <w:bookmarkStart w:id="208" w:name="_Toc184310333"/>
      <w:bookmarkEnd w:id="208"/>
      <w:bookmarkStart w:id="209" w:name="_Toc184313278"/>
      <w:bookmarkEnd w:id="209"/>
      <w:bookmarkStart w:id="210" w:name="_Toc184308045"/>
      <w:bookmarkEnd w:id="210"/>
      <w:bookmarkStart w:id="211" w:name="_Toc184314439"/>
      <w:bookmarkEnd w:id="211"/>
      <w:bookmarkStart w:id="212" w:name="_Toc184308090"/>
      <w:bookmarkEnd w:id="212"/>
      <w:bookmarkStart w:id="213" w:name="_Toc184314448"/>
      <w:bookmarkEnd w:id="213"/>
      <w:bookmarkStart w:id="214" w:name="_Toc184308048"/>
      <w:bookmarkEnd w:id="214"/>
      <w:bookmarkStart w:id="215" w:name="_Toc184312108"/>
      <w:bookmarkEnd w:id="215"/>
      <w:bookmarkStart w:id="216" w:name="_Toc184314418"/>
      <w:bookmarkEnd w:id="216"/>
      <w:bookmarkStart w:id="217" w:name="_Toc184308080"/>
      <w:bookmarkEnd w:id="217"/>
      <w:bookmarkStart w:id="218" w:name="_Toc184312075"/>
      <w:bookmarkEnd w:id="218"/>
      <w:bookmarkStart w:id="219" w:name="_Toc184310289"/>
      <w:bookmarkEnd w:id="219"/>
      <w:bookmarkStart w:id="220" w:name="_Toc184310338"/>
      <w:bookmarkEnd w:id="220"/>
      <w:bookmarkStart w:id="221" w:name="_Toc184308078"/>
      <w:bookmarkEnd w:id="221"/>
      <w:bookmarkStart w:id="222" w:name="_Toc184314429"/>
      <w:bookmarkEnd w:id="222"/>
      <w:bookmarkStart w:id="223" w:name="_Toc184313258"/>
      <w:bookmarkEnd w:id="223"/>
      <w:bookmarkStart w:id="224" w:name="_Toc184312115"/>
      <w:bookmarkEnd w:id="224"/>
      <w:bookmarkStart w:id="225" w:name="_Toc184312105"/>
      <w:bookmarkEnd w:id="225"/>
      <w:bookmarkStart w:id="226" w:name="_Toc184312132"/>
      <w:bookmarkEnd w:id="226"/>
      <w:bookmarkStart w:id="227" w:name="_Toc184314437"/>
      <w:bookmarkEnd w:id="227"/>
      <w:bookmarkStart w:id="228" w:name="_Toc184310285"/>
      <w:bookmarkEnd w:id="228"/>
      <w:bookmarkStart w:id="229" w:name="_Toc184308047"/>
      <w:bookmarkEnd w:id="229"/>
      <w:bookmarkStart w:id="230" w:name="_Toc184308039"/>
      <w:bookmarkEnd w:id="230"/>
      <w:bookmarkStart w:id="231" w:name="_Toc184313253"/>
      <w:bookmarkEnd w:id="231"/>
      <w:bookmarkStart w:id="232" w:name="_Toc184313249"/>
      <w:bookmarkEnd w:id="232"/>
      <w:bookmarkStart w:id="233" w:name="_Toc184310281"/>
      <w:bookmarkEnd w:id="233"/>
      <w:bookmarkStart w:id="234" w:name="_Toc184313287"/>
      <w:bookmarkEnd w:id="234"/>
      <w:bookmarkStart w:id="235" w:name="_Toc184312125"/>
      <w:bookmarkEnd w:id="235"/>
      <w:bookmarkStart w:id="236" w:name="_Toc184313288"/>
      <w:bookmarkEnd w:id="236"/>
      <w:bookmarkStart w:id="237" w:name="_Toc184308061"/>
      <w:bookmarkEnd w:id="237"/>
      <w:bookmarkStart w:id="238" w:name="_Toc184310294"/>
      <w:bookmarkEnd w:id="238"/>
      <w:bookmarkStart w:id="239" w:name="_Toc184313272"/>
      <w:bookmarkEnd w:id="239"/>
      <w:bookmarkStart w:id="240" w:name="_Toc184310307"/>
      <w:bookmarkEnd w:id="240"/>
      <w:bookmarkStart w:id="241" w:name="_Toc184312071"/>
      <w:bookmarkEnd w:id="241"/>
      <w:bookmarkStart w:id="242" w:name="_Toc184312072"/>
      <w:bookmarkEnd w:id="242"/>
      <w:bookmarkStart w:id="243" w:name="_Toc184308103"/>
      <w:bookmarkEnd w:id="243"/>
      <w:bookmarkStart w:id="244" w:name="_Toc184308071"/>
      <w:bookmarkEnd w:id="244"/>
      <w:bookmarkStart w:id="245" w:name="_Toc184310343"/>
      <w:bookmarkEnd w:id="245"/>
      <w:bookmarkStart w:id="246" w:name="_Toc184313274"/>
      <w:bookmarkEnd w:id="246"/>
      <w:bookmarkStart w:id="247" w:name="_Toc184314420"/>
      <w:bookmarkEnd w:id="247"/>
      <w:bookmarkStart w:id="248" w:name="_Toc184310308"/>
      <w:bookmarkEnd w:id="248"/>
      <w:bookmarkStart w:id="249" w:name="_Toc184308046"/>
      <w:bookmarkEnd w:id="249"/>
      <w:bookmarkStart w:id="250" w:name="_Toc184308098"/>
      <w:bookmarkEnd w:id="250"/>
      <w:bookmarkStart w:id="251" w:name="_Toc184312122"/>
      <w:bookmarkEnd w:id="251"/>
      <w:bookmarkStart w:id="252" w:name="_Toc184310300"/>
      <w:bookmarkEnd w:id="252"/>
      <w:bookmarkStart w:id="253" w:name="_Toc184313283"/>
      <w:bookmarkEnd w:id="253"/>
      <w:bookmarkStart w:id="254" w:name="_Toc184313267"/>
      <w:bookmarkEnd w:id="254"/>
      <w:bookmarkStart w:id="255" w:name="_Toc184310304"/>
      <w:bookmarkEnd w:id="255"/>
      <w:bookmarkStart w:id="256" w:name="_Toc184308067"/>
      <w:bookmarkEnd w:id="256"/>
      <w:bookmarkStart w:id="257" w:name="_Toc184313310"/>
      <w:bookmarkEnd w:id="257"/>
      <w:bookmarkStart w:id="258" w:name="_Toc184314410"/>
      <w:bookmarkEnd w:id="258"/>
      <w:bookmarkStart w:id="259" w:name="_Toc184313290"/>
      <w:bookmarkEnd w:id="259"/>
      <w:bookmarkStart w:id="260" w:name="_Toc184310303"/>
      <w:bookmarkEnd w:id="260"/>
      <w:bookmarkStart w:id="261" w:name="_Toc184314431"/>
      <w:bookmarkEnd w:id="261"/>
      <w:bookmarkStart w:id="262" w:name="_Toc184310344"/>
      <w:bookmarkEnd w:id="262"/>
      <w:bookmarkStart w:id="263" w:name="_Toc184308065"/>
      <w:bookmarkEnd w:id="263"/>
      <w:bookmarkStart w:id="264" w:name="_Toc184308091"/>
      <w:bookmarkEnd w:id="264"/>
      <w:bookmarkStart w:id="265" w:name="_Toc184313265"/>
      <w:bookmarkEnd w:id="265"/>
      <w:bookmarkStart w:id="266" w:name="_Toc184310315"/>
      <w:bookmarkEnd w:id="266"/>
      <w:bookmarkStart w:id="267" w:name="_Toc184310329"/>
      <w:bookmarkEnd w:id="267"/>
      <w:bookmarkStart w:id="268" w:name="_Toc184314450"/>
      <w:bookmarkEnd w:id="268"/>
      <w:bookmarkStart w:id="269" w:name="_Toc184314451"/>
      <w:bookmarkEnd w:id="269"/>
      <w:bookmarkStart w:id="270" w:name="_Toc184310296"/>
      <w:bookmarkEnd w:id="270"/>
      <w:bookmarkStart w:id="271" w:name="_Toc184308106"/>
      <w:bookmarkEnd w:id="271"/>
      <w:bookmarkStart w:id="272" w:name="_Toc184314479"/>
      <w:bookmarkEnd w:id="272"/>
      <w:bookmarkStart w:id="273" w:name="_Toc184312117"/>
      <w:bookmarkEnd w:id="273"/>
      <w:bookmarkStart w:id="274" w:name="_Toc184312074"/>
      <w:bookmarkEnd w:id="274"/>
      <w:bookmarkStart w:id="275" w:name="_Toc184312069"/>
      <w:bookmarkEnd w:id="275"/>
      <w:bookmarkStart w:id="276" w:name="_Toc184313257"/>
      <w:bookmarkEnd w:id="276"/>
      <w:bookmarkStart w:id="277" w:name="_Toc184313309"/>
      <w:bookmarkEnd w:id="277"/>
      <w:bookmarkStart w:id="278" w:name="_Toc184314456"/>
      <w:bookmarkEnd w:id="278"/>
      <w:bookmarkStart w:id="279" w:name="_Toc184312133"/>
      <w:bookmarkEnd w:id="279"/>
      <w:bookmarkStart w:id="280" w:name="_Toc184310279"/>
      <w:bookmarkEnd w:id="280"/>
      <w:bookmarkStart w:id="281" w:name="_Toc184308074"/>
      <w:bookmarkEnd w:id="281"/>
      <w:bookmarkStart w:id="282" w:name="_Toc184308050"/>
      <w:bookmarkEnd w:id="282"/>
      <w:bookmarkStart w:id="283" w:name="_Toc184308081"/>
      <w:bookmarkEnd w:id="283"/>
      <w:bookmarkStart w:id="284" w:name="_Toc184312088"/>
      <w:bookmarkEnd w:id="284"/>
      <w:bookmarkStart w:id="285" w:name="_Toc184308038"/>
      <w:bookmarkEnd w:id="285"/>
      <w:bookmarkStart w:id="286" w:name="_Toc184313308"/>
      <w:bookmarkEnd w:id="286"/>
      <w:bookmarkStart w:id="287" w:name="_Toc184313266"/>
      <w:bookmarkEnd w:id="287"/>
      <w:bookmarkStart w:id="288" w:name="_Toc184313261"/>
      <w:bookmarkEnd w:id="288"/>
      <w:bookmarkStart w:id="289" w:name="_Toc184310272"/>
      <w:bookmarkEnd w:id="289"/>
      <w:bookmarkStart w:id="290" w:name="_Toc184314435"/>
      <w:bookmarkEnd w:id="290"/>
      <w:bookmarkStart w:id="291" w:name="_Toc184312100"/>
      <w:bookmarkEnd w:id="291"/>
      <w:bookmarkStart w:id="292" w:name="_Toc184308095"/>
      <w:bookmarkEnd w:id="292"/>
      <w:bookmarkStart w:id="293" w:name="_Toc184314480"/>
      <w:bookmarkEnd w:id="293"/>
      <w:bookmarkStart w:id="294" w:name="_Toc184312081"/>
      <w:bookmarkEnd w:id="294"/>
      <w:bookmarkStart w:id="295" w:name="_Toc184312090"/>
      <w:bookmarkEnd w:id="295"/>
      <w:bookmarkStart w:id="296" w:name="_Toc184313264"/>
      <w:bookmarkEnd w:id="296"/>
      <w:bookmarkStart w:id="297" w:name="_Toc184308101"/>
      <w:bookmarkEnd w:id="297"/>
      <w:bookmarkStart w:id="298" w:name="_Toc184312077"/>
      <w:bookmarkEnd w:id="298"/>
      <w:bookmarkStart w:id="299" w:name="_Toc184312080"/>
      <w:bookmarkEnd w:id="299"/>
      <w:bookmarkStart w:id="300" w:name="_Toc184310291"/>
      <w:bookmarkEnd w:id="300"/>
      <w:bookmarkStart w:id="301" w:name="_Toc184310311"/>
      <w:bookmarkEnd w:id="301"/>
      <w:bookmarkStart w:id="302" w:name="_Toc184312120"/>
      <w:bookmarkEnd w:id="302"/>
      <w:bookmarkStart w:id="303" w:name="_Toc184312123"/>
      <w:bookmarkEnd w:id="303"/>
      <w:bookmarkStart w:id="304" w:name="_Toc184310325"/>
      <w:bookmarkEnd w:id="304"/>
      <w:bookmarkStart w:id="305" w:name="_Toc184313263"/>
      <w:bookmarkEnd w:id="305"/>
      <w:bookmarkStart w:id="306" w:name="_Toc184310276"/>
      <w:bookmarkEnd w:id="306"/>
      <w:bookmarkStart w:id="307" w:name="_Toc184313271"/>
      <w:bookmarkEnd w:id="307"/>
      <w:bookmarkStart w:id="308" w:name="_Toc184310277"/>
      <w:bookmarkEnd w:id="308"/>
      <w:bookmarkStart w:id="309" w:name="_Toc184313277"/>
      <w:bookmarkEnd w:id="309"/>
      <w:bookmarkStart w:id="310" w:name="_Toc184314424"/>
      <w:bookmarkEnd w:id="310"/>
      <w:bookmarkStart w:id="311" w:name="_Toc184312110"/>
      <w:bookmarkEnd w:id="311"/>
      <w:bookmarkStart w:id="312" w:name="_Toc184312138"/>
      <w:bookmarkEnd w:id="312"/>
      <w:bookmarkStart w:id="313" w:name="_Toc184314423"/>
      <w:bookmarkEnd w:id="313"/>
      <w:bookmarkStart w:id="314" w:name="_Toc184313254"/>
      <w:bookmarkEnd w:id="314"/>
      <w:bookmarkStart w:id="315" w:name="_Toc184314464"/>
      <w:bookmarkEnd w:id="315"/>
      <w:bookmarkStart w:id="316" w:name="_Toc184308070"/>
      <w:bookmarkEnd w:id="316"/>
      <w:bookmarkStart w:id="317" w:name="_Toc184308040"/>
      <w:bookmarkEnd w:id="317"/>
      <w:bookmarkStart w:id="318" w:name="_Toc184308044"/>
      <w:bookmarkEnd w:id="318"/>
      <w:bookmarkStart w:id="319" w:name="_Toc184314445"/>
      <w:bookmarkEnd w:id="319"/>
      <w:bookmarkStart w:id="320" w:name="_Toc184308068"/>
      <w:bookmarkEnd w:id="320"/>
      <w:bookmarkStart w:id="321" w:name="_Toc184313247"/>
      <w:bookmarkEnd w:id="321"/>
      <w:bookmarkStart w:id="322" w:name="_Toc184314474"/>
      <w:bookmarkEnd w:id="322"/>
      <w:bookmarkStart w:id="323" w:name="_Toc184313297"/>
      <w:bookmarkEnd w:id="323"/>
      <w:bookmarkStart w:id="324" w:name="_Toc184314478"/>
      <w:bookmarkEnd w:id="324"/>
      <w:bookmarkStart w:id="325" w:name="_Toc184312079"/>
      <w:bookmarkEnd w:id="325"/>
      <w:bookmarkStart w:id="326" w:name="_Toc184313294"/>
      <w:bookmarkEnd w:id="326"/>
      <w:bookmarkStart w:id="327" w:name="_Toc184310309"/>
      <w:bookmarkEnd w:id="327"/>
      <w:bookmarkStart w:id="328" w:name="_Toc184312078"/>
      <w:bookmarkEnd w:id="328"/>
      <w:bookmarkStart w:id="329" w:name="_Toc184313307"/>
      <w:bookmarkEnd w:id="329"/>
      <w:bookmarkStart w:id="330" w:name="_Toc184310339"/>
      <w:bookmarkEnd w:id="330"/>
      <w:bookmarkStart w:id="331" w:name="_Toc184313296"/>
      <w:bookmarkEnd w:id="331"/>
      <w:bookmarkStart w:id="332" w:name="_Toc184313240"/>
      <w:bookmarkEnd w:id="332"/>
      <w:bookmarkStart w:id="333" w:name="_Toc184312096"/>
      <w:bookmarkEnd w:id="333"/>
      <w:bookmarkStart w:id="334" w:name="_Toc184313276"/>
      <w:bookmarkEnd w:id="334"/>
      <w:bookmarkStart w:id="335" w:name="_Toc184313285"/>
      <w:bookmarkEnd w:id="335"/>
      <w:bookmarkStart w:id="336" w:name="_Toc184314416"/>
      <w:bookmarkEnd w:id="336"/>
      <w:bookmarkStart w:id="337" w:name="_Toc184314458"/>
      <w:bookmarkEnd w:id="337"/>
      <w:bookmarkStart w:id="338" w:name="_Toc184308093"/>
      <w:bookmarkEnd w:id="338"/>
      <w:bookmarkStart w:id="339" w:name="_Toc184310313"/>
      <w:bookmarkEnd w:id="339"/>
      <w:bookmarkStart w:id="340" w:name="_Toc184314434"/>
      <w:bookmarkEnd w:id="340"/>
      <w:bookmarkStart w:id="341" w:name="_Toc184313244"/>
      <w:bookmarkEnd w:id="341"/>
      <w:bookmarkStart w:id="342" w:name="_Toc184308049"/>
      <w:bookmarkEnd w:id="342"/>
      <w:bookmarkStart w:id="343" w:name="_Toc184314415"/>
      <w:bookmarkEnd w:id="343"/>
      <w:bookmarkStart w:id="344" w:name="_Toc184312136"/>
      <w:bookmarkEnd w:id="344"/>
      <w:bookmarkStart w:id="345" w:name="_Toc184308085"/>
      <w:bookmarkEnd w:id="345"/>
      <w:bookmarkStart w:id="346" w:name="_Toc184308087"/>
      <w:bookmarkEnd w:id="346"/>
      <w:bookmarkStart w:id="347" w:name="_Toc184313275"/>
      <w:bookmarkEnd w:id="347"/>
      <w:bookmarkStart w:id="348" w:name="_Toc184313303"/>
      <w:bookmarkEnd w:id="348"/>
      <w:bookmarkStart w:id="349" w:name="_Toc184310295"/>
      <w:bookmarkEnd w:id="349"/>
      <w:bookmarkStart w:id="350" w:name="_Toc184312093"/>
      <w:bookmarkEnd w:id="350"/>
      <w:bookmarkStart w:id="351" w:name="_Toc184312109"/>
      <w:bookmarkEnd w:id="351"/>
      <w:bookmarkStart w:id="352" w:name="_Toc184308036"/>
      <w:bookmarkEnd w:id="352"/>
      <w:bookmarkStart w:id="353" w:name="_Toc184313256"/>
      <w:bookmarkEnd w:id="353"/>
      <w:bookmarkStart w:id="354" w:name="_Toc184308076"/>
      <w:bookmarkEnd w:id="354"/>
      <w:bookmarkStart w:id="355" w:name="_Toc184312134"/>
      <w:bookmarkEnd w:id="355"/>
      <w:bookmarkStart w:id="356" w:name="_Toc184313259"/>
      <w:bookmarkEnd w:id="356"/>
      <w:bookmarkStart w:id="357" w:name="_Toc184314446"/>
      <w:bookmarkEnd w:id="357"/>
      <w:bookmarkStart w:id="358" w:name="_Toc184314419"/>
      <w:bookmarkEnd w:id="358"/>
      <w:bookmarkStart w:id="359" w:name="_Toc184313295"/>
      <w:bookmarkEnd w:id="359"/>
      <w:bookmarkStart w:id="360" w:name="_Toc184310288"/>
      <w:bookmarkEnd w:id="360"/>
      <w:bookmarkStart w:id="361" w:name="_Toc184314452"/>
      <w:bookmarkEnd w:id="361"/>
      <w:bookmarkStart w:id="362" w:name="_Toc184312099"/>
      <w:bookmarkEnd w:id="362"/>
      <w:bookmarkStart w:id="363" w:name="_Toc184310334"/>
      <w:bookmarkEnd w:id="363"/>
      <w:bookmarkStart w:id="364" w:name="_Toc184312119"/>
      <w:bookmarkEnd w:id="364"/>
      <w:bookmarkStart w:id="365" w:name="_Toc184314481"/>
      <w:bookmarkEnd w:id="365"/>
      <w:bookmarkStart w:id="366" w:name="_Toc184310282"/>
      <w:bookmarkEnd w:id="366"/>
      <w:bookmarkStart w:id="367" w:name="_Toc184314468"/>
      <w:bookmarkEnd w:id="367"/>
      <w:bookmarkStart w:id="368" w:name="_Toc184310341"/>
      <w:bookmarkEnd w:id="368"/>
      <w:bookmarkStart w:id="369" w:name="_Toc184310290"/>
      <w:bookmarkEnd w:id="369"/>
      <w:bookmarkStart w:id="370" w:name="_Toc184310335"/>
      <w:bookmarkEnd w:id="370"/>
      <w:bookmarkStart w:id="371" w:name="_Toc184313299"/>
      <w:bookmarkEnd w:id="371"/>
      <w:bookmarkStart w:id="372" w:name="_Toc184314454"/>
      <w:bookmarkEnd w:id="372"/>
      <w:bookmarkStart w:id="373" w:name="_Toc184312113"/>
      <w:bookmarkEnd w:id="373"/>
      <w:bookmarkStart w:id="374" w:name="_Toc184312126"/>
      <w:bookmarkEnd w:id="374"/>
      <w:bookmarkStart w:id="375" w:name="_Toc184312082"/>
      <w:bookmarkEnd w:id="375"/>
      <w:bookmarkStart w:id="376" w:name="_Toc184312107"/>
      <w:bookmarkEnd w:id="376"/>
      <w:bookmarkStart w:id="377" w:name="_Toc184308108"/>
      <w:bookmarkEnd w:id="377"/>
      <w:bookmarkStart w:id="378" w:name="_Toc184314473"/>
      <w:bookmarkEnd w:id="378"/>
      <w:bookmarkStart w:id="379" w:name="_Toc184310283"/>
      <w:bookmarkEnd w:id="379"/>
      <w:bookmarkStart w:id="380" w:name="_Toc184310287"/>
      <w:bookmarkEnd w:id="380"/>
      <w:r>
        <w:rPr>
          <w:rFonts w:hint="eastAsia" w:asciiTheme="minorEastAsia" w:hAnsiTheme="minorEastAsia" w:eastAsiaTheme="minorEastAsia" w:cstheme="minorEastAsia"/>
          <w:b/>
          <w:bCs/>
          <w:sz w:val="32"/>
          <w:szCs w:val="32"/>
        </w:rPr>
        <w:t>评标办法</w:t>
      </w:r>
    </w:p>
    <w:p w14:paraId="674098D7">
      <w:pP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商务技术分（</w:t>
      </w:r>
      <w:r>
        <w:rPr>
          <w:rFonts w:hint="eastAsia"/>
          <w:b/>
          <w:color w:val="000000" w:themeColor="text1"/>
          <w:sz w:val="24"/>
          <w:szCs w:val="24"/>
          <w:highlight w:val="none"/>
          <w:lang w:val="en-US" w:eastAsia="zh-CN"/>
          <w14:textFill>
            <w14:solidFill>
              <w14:schemeClr w14:val="tx1"/>
            </w14:solidFill>
          </w14:textFill>
        </w:rPr>
        <w:t>70</w:t>
      </w:r>
      <w:r>
        <w:rPr>
          <w:rFonts w:hint="eastAsia"/>
          <w:b/>
          <w:color w:val="000000" w:themeColor="text1"/>
          <w:sz w:val="24"/>
          <w:szCs w:val="24"/>
          <w:highlight w:val="none"/>
          <w14:textFill>
            <w14:solidFill>
              <w14:schemeClr w14:val="tx1"/>
            </w14:solidFill>
          </w14:textFill>
        </w:rPr>
        <w:t>分）</w:t>
      </w:r>
    </w:p>
    <w:tbl>
      <w:tblPr>
        <w:tblStyle w:val="63"/>
        <w:tblpPr w:leftFromText="180" w:rightFromText="180" w:vertAnchor="text" w:tblpXSpec="center" w:tblpY="1"/>
        <w:tblOverlap w:val="never"/>
        <w:tblW w:w="10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7815"/>
        <w:gridCol w:w="893"/>
        <w:gridCol w:w="862"/>
      </w:tblGrid>
      <w:tr w14:paraId="604A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27" w:type="dxa"/>
            <w:vAlign w:val="center"/>
          </w:tcPr>
          <w:p w14:paraId="2312F1FD">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7815" w:type="dxa"/>
            <w:vAlign w:val="center"/>
          </w:tcPr>
          <w:p w14:paraId="7B960303">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评分内容和标准</w:t>
            </w:r>
          </w:p>
        </w:tc>
        <w:tc>
          <w:tcPr>
            <w:tcW w:w="893" w:type="dxa"/>
            <w:vAlign w:val="center"/>
          </w:tcPr>
          <w:p w14:paraId="4C81488D">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分值区间</w:t>
            </w:r>
          </w:p>
        </w:tc>
        <w:tc>
          <w:tcPr>
            <w:tcW w:w="862" w:type="dxa"/>
            <w:vAlign w:val="center"/>
          </w:tcPr>
          <w:p w14:paraId="4E25B219">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主客观分</w:t>
            </w:r>
          </w:p>
        </w:tc>
      </w:tr>
      <w:tr w14:paraId="1AC7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627" w:type="dxa"/>
            <w:vAlign w:val="center"/>
          </w:tcPr>
          <w:p w14:paraId="22A4208C">
            <w:pPr>
              <w:bidi w:val="0"/>
              <w:jc w:val="center"/>
              <w:rPr>
                <w:sz w:val="24"/>
                <w:szCs w:val="24"/>
              </w:rPr>
            </w:pPr>
          </w:p>
          <w:p w14:paraId="213FB88B">
            <w:pPr>
              <w:bidi w:val="0"/>
              <w:jc w:val="center"/>
              <w:rPr>
                <w:rFonts w:hint="eastAsia" w:eastAsia="宋体"/>
                <w:sz w:val="24"/>
                <w:szCs w:val="24"/>
                <w:lang w:val="en-US" w:eastAsia="zh-CN"/>
              </w:rPr>
            </w:pPr>
            <w:r>
              <w:rPr>
                <w:rFonts w:hint="eastAsia"/>
                <w:sz w:val="24"/>
                <w:szCs w:val="24"/>
                <w:lang w:val="en-US" w:eastAsia="zh-CN"/>
              </w:rPr>
              <w:t>1</w:t>
            </w:r>
          </w:p>
        </w:tc>
        <w:tc>
          <w:tcPr>
            <w:tcW w:w="7815" w:type="dxa"/>
            <w:vAlign w:val="center"/>
          </w:tcPr>
          <w:p w14:paraId="6660308E">
            <w:pPr>
              <w:spacing w:after="0"/>
              <w:jc w:val="both"/>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或所投产品制造商主要产品（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）有效期内的</w:t>
            </w:r>
            <w:r>
              <w:rPr>
                <w:rFonts w:hint="eastAsia" w:ascii="宋体" w:hAnsi="宋体" w:eastAsia="宋体" w:cs="宋体"/>
                <w:kern w:val="0"/>
                <w:sz w:val="24"/>
                <w:szCs w:val="24"/>
                <w:highlight w:val="none"/>
                <w:lang w:bidi="ar"/>
                <w14:ligatures w14:val="none"/>
              </w:rPr>
              <w:t>质量体系认证证书、职业健康安全管理体系认证证书、环境管理体系认证证书</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证书认证范围体现午休课桌椅即可，不要求与本条产品名称完全一致</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提供证书</w:t>
            </w:r>
            <w:r>
              <w:rPr>
                <w:rFonts w:hint="eastAsia"/>
                <w:color w:val="000000" w:themeColor="text1"/>
                <w:sz w:val="24"/>
                <w:szCs w:val="24"/>
                <w:highlight w:val="none"/>
                <w:lang w:val="en-US" w:eastAsia="zh-CN"/>
                <w14:textFill>
                  <w14:solidFill>
                    <w14:schemeClr w14:val="tx1"/>
                  </w14:solidFill>
                </w14:textFill>
              </w:rPr>
              <w:t>复印件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w:t>
            </w:r>
            <w:r>
              <w:rPr>
                <w:rFonts w:hint="eastAsia"/>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14:textFill>
                  <w14:solidFill>
                    <w14:schemeClr w14:val="tx1"/>
                  </w14:solidFill>
                </w14:textFill>
              </w:rPr>
              <w:t>佐证</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在全国认证认可信息公共服务平台http://cx.cnca.cn/网站的查询截图，不提供不得分。每个证书得</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分，满分</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分</w:t>
            </w:r>
          </w:p>
        </w:tc>
        <w:tc>
          <w:tcPr>
            <w:tcW w:w="893" w:type="dxa"/>
            <w:vAlign w:val="center"/>
          </w:tcPr>
          <w:p w14:paraId="59C99A73">
            <w:pPr>
              <w:spacing w:after="0"/>
              <w:ind w:left="194" w:hanging="194" w:hangingChars="81"/>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6</w:t>
            </w:r>
          </w:p>
        </w:tc>
        <w:tc>
          <w:tcPr>
            <w:tcW w:w="862" w:type="dxa"/>
            <w:vAlign w:val="center"/>
          </w:tcPr>
          <w:p w14:paraId="106716EA">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796B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627" w:type="dxa"/>
            <w:vAlign w:val="center"/>
          </w:tcPr>
          <w:p w14:paraId="05495ADB">
            <w:pPr>
              <w:bidi w:val="0"/>
              <w:jc w:val="center"/>
              <w:rPr>
                <w:rFonts w:hint="eastAsia" w:eastAsia="宋体"/>
                <w:sz w:val="24"/>
                <w:szCs w:val="24"/>
                <w:lang w:val="en-US" w:eastAsia="zh-CN"/>
              </w:rPr>
            </w:pPr>
            <w:r>
              <w:rPr>
                <w:rFonts w:hint="eastAsia"/>
                <w:sz w:val="24"/>
                <w:szCs w:val="24"/>
                <w:lang w:val="en-US" w:eastAsia="zh-CN"/>
              </w:rPr>
              <w:t>2</w:t>
            </w:r>
          </w:p>
        </w:tc>
        <w:tc>
          <w:tcPr>
            <w:tcW w:w="7815" w:type="dxa"/>
            <w:vAlign w:val="center"/>
          </w:tcPr>
          <w:p w14:paraId="0CCA52C0">
            <w:pPr>
              <w:spacing w:after="0"/>
              <w:jc w:val="both"/>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或所投产品制造商主要产品（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）有效期内的CQC中国环保产品</w:t>
            </w:r>
            <w:r>
              <w:rPr>
                <w:rFonts w:hint="eastAsia" w:ascii="宋体" w:hAnsi="宋体" w:eastAsia="宋体" w:cs="宋体"/>
                <w:kern w:val="0"/>
                <w:sz w:val="24"/>
                <w:szCs w:val="24"/>
                <w:highlight w:val="none"/>
                <w:lang w:bidi="ar"/>
                <w14:ligatures w14:val="none"/>
              </w:rPr>
              <w:t>认证证书</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证书认证范围体现午休课桌椅即可，不要求与本条产品名称完全一致</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，提供证书复印件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w:t>
            </w:r>
            <w:r>
              <w:rPr>
                <w:rFonts w:hint="eastAsia"/>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14:textFill>
                  <w14:solidFill>
                    <w14:schemeClr w14:val="tx1"/>
                  </w14:solidFill>
                </w14:textFill>
              </w:rPr>
              <w:t>佐证</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得2分</w:t>
            </w:r>
          </w:p>
        </w:tc>
        <w:tc>
          <w:tcPr>
            <w:tcW w:w="893" w:type="dxa"/>
            <w:vAlign w:val="center"/>
          </w:tcPr>
          <w:p w14:paraId="744042AF">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0-2</w:t>
            </w:r>
          </w:p>
        </w:tc>
        <w:tc>
          <w:tcPr>
            <w:tcW w:w="862" w:type="dxa"/>
            <w:vAlign w:val="center"/>
          </w:tcPr>
          <w:p w14:paraId="73B94440">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63C5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627" w:type="dxa"/>
            <w:vAlign w:val="center"/>
          </w:tcPr>
          <w:p w14:paraId="4763CB3B">
            <w:pPr>
              <w:pStyle w:val="256"/>
              <w:numPr>
                <w:ilvl w:val="0"/>
                <w:numId w:val="0"/>
              </w:num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7815" w:type="dxa"/>
            <w:vAlign w:val="center"/>
          </w:tcPr>
          <w:p w14:paraId="6AE46847">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或所投产品制造商主要产品（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14:textFill>
                  <w14:solidFill>
                    <w14:schemeClr w14:val="tx1"/>
                  </w14:solidFill>
                </w14:textFill>
              </w:rPr>
              <w:t>生产厂家具有有效期内的有害物质限量认证证书</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证书认证范围体现产品即可，不要求与本条产品名称完全一致</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，提供证书复印件</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响应单位</w:t>
            </w:r>
            <w:r>
              <w:rPr>
                <w:rFonts w:hint="eastAsia"/>
                <w:color w:val="000000" w:themeColor="text1"/>
                <w:sz w:val="24"/>
                <w:szCs w:val="24"/>
                <w:highlight w:val="none"/>
                <w14:textFill>
                  <w14:solidFill>
                    <w14:schemeClr w14:val="tx1"/>
                  </w14:solidFill>
                </w14:textFill>
              </w:rPr>
              <w:t>或所投产品制造商</w:t>
            </w:r>
            <w:r>
              <w:rPr>
                <w:rFonts w:hint="eastAsia"/>
                <w:color w:val="000000" w:themeColor="text1"/>
                <w:sz w:val="24"/>
                <w:szCs w:val="24"/>
                <w:highlight w:val="none"/>
                <w:lang w:val="en-US" w:eastAsia="zh-CN"/>
                <w14:textFill>
                  <w14:solidFill>
                    <w14:schemeClr w14:val="tx1"/>
                  </w14:solidFill>
                </w14:textFill>
              </w:rPr>
              <w:t>公章</w:t>
            </w:r>
            <w:r>
              <w:rPr>
                <w:rFonts w:hint="eastAsia"/>
                <w:color w:val="000000" w:themeColor="text1"/>
                <w:sz w:val="24"/>
                <w:szCs w:val="24"/>
                <w:highlight w:val="none"/>
                <w14:textFill>
                  <w14:solidFill>
                    <w14:schemeClr w14:val="tx1"/>
                  </w14:solidFill>
                </w14:textFill>
              </w:rPr>
              <w:t>佐证</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得</w:t>
            </w:r>
            <w:r>
              <w:rPr>
                <w:rFonts w:hint="eastAsia"/>
                <w:color w:val="000000" w:themeColor="text1"/>
                <w:sz w:val="24"/>
                <w:szCs w:val="24"/>
                <w:highlight w:val="none"/>
                <w14:textFill>
                  <w14:solidFill>
                    <w14:schemeClr w14:val="tx1"/>
                  </w14:solidFill>
                </w14:textFill>
              </w:rPr>
              <w:t>2分</w:t>
            </w:r>
            <w:r>
              <w:rPr>
                <w:color w:val="000000" w:themeColor="text1"/>
                <w:sz w:val="24"/>
                <w:szCs w:val="24"/>
                <w:highlight w:val="none"/>
                <w14:textFill>
                  <w14:solidFill>
                    <w14:schemeClr w14:val="tx1"/>
                  </w14:solidFill>
                </w14:textFill>
              </w:rPr>
              <w:t>。</w:t>
            </w:r>
          </w:p>
        </w:tc>
        <w:tc>
          <w:tcPr>
            <w:tcW w:w="893" w:type="dxa"/>
            <w:vAlign w:val="center"/>
          </w:tcPr>
          <w:p w14:paraId="2BABA7AC">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0-2</w:t>
            </w:r>
          </w:p>
        </w:tc>
        <w:tc>
          <w:tcPr>
            <w:tcW w:w="862" w:type="dxa"/>
            <w:vAlign w:val="center"/>
          </w:tcPr>
          <w:p w14:paraId="4ED845F2">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00E1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627" w:type="dxa"/>
            <w:vAlign w:val="center"/>
          </w:tcPr>
          <w:p w14:paraId="35124C0F">
            <w:pPr>
              <w:pStyle w:val="256"/>
              <w:numPr>
                <w:ilvl w:val="0"/>
                <w:numId w:val="0"/>
              </w:num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7815" w:type="dxa"/>
            <w:vAlign w:val="center"/>
          </w:tcPr>
          <w:p w14:paraId="127FB0CB">
            <w:pPr>
              <w:spacing w:after="0"/>
              <w:jc w:val="both"/>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根据响应单位或制造商的业绩情况评分：</w:t>
            </w:r>
          </w:p>
          <w:p w14:paraId="1DFFB454">
            <w:pPr>
              <w:spacing w:after="0"/>
              <w:jc w:val="both"/>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响应单位或制造商自2022年1月1日（含）以来（以合同签订时间为准），完成的核心产品（</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、学生午睡课椅）供货及安装的成功业绩项目，每一个项目得1分，最高得3分。证明材料：每个项目需同时提供合同复印件。</w:t>
            </w:r>
          </w:p>
        </w:tc>
        <w:tc>
          <w:tcPr>
            <w:tcW w:w="893" w:type="dxa"/>
            <w:vAlign w:val="center"/>
          </w:tcPr>
          <w:p w14:paraId="1502318F">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3</w:t>
            </w:r>
          </w:p>
        </w:tc>
        <w:tc>
          <w:tcPr>
            <w:tcW w:w="862" w:type="dxa"/>
            <w:vAlign w:val="center"/>
          </w:tcPr>
          <w:p w14:paraId="22507DB0">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461AD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27" w:type="dxa"/>
            <w:vAlign w:val="center"/>
          </w:tcPr>
          <w:p w14:paraId="1625BA56">
            <w:pPr>
              <w:pStyle w:val="256"/>
              <w:numPr>
                <w:ilvl w:val="0"/>
                <w:numId w:val="0"/>
              </w:num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7815" w:type="dxa"/>
            <w:vAlign w:val="center"/>
          </w:tcPr>
          <w:p w14:paraId="74182269">
            <w:pPr>
              <w:spacing w:line="3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根据采购需求中所投产品的具体配置表、技术参数及偏离情况：</w:t>
            </w:r>
          </w:p>
          <w:p w14:paraId="1222D917">
            <w:pPr>
              <w:spacing w:after="0"/>
              <w:jc w:val="both"/>
              <w:rPr>
                <w:rFonts w:hint="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rPr>
              <w:t>完全满足（或优于)招标文件货物各项技术指标参数要求的得1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分；每有一项负偏离扣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分，扣完为止。（投标人须提供技术参数偏离表，包含各项技术指标参数项并写明是否偏离。）</w:t>
            </w:r>
          </w:p>
        </w:tc>
        <w:tc>
          <w:tcPr>
            <w:tcW w:w="893" w:type="dxa"/>
            <w:vAlign w:val="center"/>
          </w:tcPr>
          <w:p w14:paraId="797FF02F">
            <w:pPr>
              <w:spacing w:after="0"/>
              <w:jc w:val="center"/>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0-10</w:t>
            </w:r>
          </w:p>
        </w:tc>
        <w:tc>
          <w:tcPr>
            <w:tcW w:w="862" w:type="dxa"/>
            <w:vAlign w:val="center"/>
          </w:tcPr>
          <w:p w14:paraId="3CEBEAD2">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客观分</w:t>
            </w:r>
          </w:p>
        </w:tc>
      </w:tr>
      <w:tr w14:paraId="759C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627" w:type="dxa"/>
            <w:vAlign w:val="center"/>
          </w:tcPr>
          <w:p w14:paraId="3DB2BB88">
            <w:pPr>
              <w:pStyle w:val="256"/>
              <w:numPr>
                <w:ilvl w:val="0"/>
                <w:numId w:val="0"/>
              </w:numPr>
              <w:spacing w:after="0"/>
              <w:ind w:leftChars="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7815" w:type="dxa"/>
            <w:vAlign w:val="center"/>
          </w:tcPr>
          <w:p w14:paraId="368921E9">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须提供符合核心技术性能要求的与采购标的同品类（</w:t>
            </w:r>
            <w:r>
              <w:rPr>
                <w:rFonts w:hint="eastAsia" w:cs="仿宋_GB2312"/>
                <w:color w:val="000000" w:themeColor="text1"/>
                <w:sz w:val="24"/>
                <w:szCs w:val="24"/>
                <w:highlight w:val="none"/>
                <w:lang w:val="en-US" w:eastAsia="zh-CN"/>
                <w14:textFill>
                  <w14:solidFill>
                    <w14:schemeClr w14:val="tx1"/>
                  </w14:solidFill>
                </w14:textFill>
              </w:rPr>
              <w:t>学生午睡课桌</w:t>
            </w:r>
            <w:r>
              <w:rPr>
                <w:rFonts w:hint="eastAsia"/>
                <w:color w:val="000000" w:themeColor="text1"/>
                <w:sz w:val="24"/>
                <w:szCs w:val="24"/>
                <w:highlight w:val="none"/>
                <w:lang w:val="en-US" w:eastAsia="zh-CN"/>
                <w14:textFill>
                  <w14:solidFill>
                    <w14:schemeClr w14:val="tx1"/>
                  </w14:solidFill>
                </w14:textFill>
              </w:rPr>
              <w:t>、学生午睡课椅</w:t>
            </w:r>
            <w:r>
              <w:rPr>
                <w:rFonts w:hint="eastAsia"/>
                <w:color w:val="000000" w:themeColor="text1"/>
                <w:sz w:val="24"/>
                <w:szCs w:val="24"/>
                <w:highlight w:val="none"/>
                <w14:textFill>
                  <w14:solidFill>
                    <w14:schemeClr w14:val="tx1"/>
                  </w14:solidFill>
                </w14:textFill>
              </w:rPr>
              <w:t>）成品检测报告（一年内有效，（开标当天日期一年内，含一年前同一天））；采购标的涉及两个及以上品类时，采购人可自行决定需提供检测报告的品类数量，评分数值可在以下评分内容和评分范围内合理分配。每个品类的核心技术指标评分内容如下：</w:t>
            </w:r>
          </w:p>
          <w:p w14:paraId="48FFD36F">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.产品涉及的表面理化性能（如：漆膜、软硬质覆面、金属</w:t>
            </w:r>
            <w:r>
              <w:rPr>
                <w:rFonts w:hint="eastAsia"/>
                <w:color w:val="000000" w:themeColor="text1"/>
                <w:sz w:val="24"/>
                <w:szCs w:val="24"/>
                <w:highlight w:val="none"/>
                <w14:textFill>
                  <w14:solidFill>
                    <w14:schemeClr w14:val="tx1"/>
                  </w14:solidFill>
                </w14:textFill>
              </w:rPr>
              <w:t>件、封边条表面胶合强度等），符合得</w:t>
            </w:r>
            <w:r>
              <w:rPr>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 分，不符合不得</w:t>
            </w:r>
            <w:r>
              <w:rPr>
                <w:rFonts w:hint="eastAsia"/>
                <w:color w:val="000000" w:themeColor="text1"/>
                <w:sz w:val="24"/>
                <w:szCs w:val="24"/>
                <w:highlight w:val="none"/>
                <w14:textFill>
                  <w14:solidFill>
                    <w14:schemeClr w14:val="tx1"/>
                  </w14:solidFill>
                </w14:textFill>
              </w:rPr>
              <w:t>分；</w:t>
            </w:r>
          </w:p>
          <w:p w14:paraId="50C76525">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.甲醛释放量按对应的国家标准执行评分（选取两项中的其中</w:t>
            </w:r>
            <w:r>
              <w:rPr>
                <w:rFonts w:hint="eastAsia"/>
                <w:color w:val="000000" w:themeColor="text1"/>
                <w:sz w:val="24"/>
                <w:szCs w:val="24"/>
                <w:highlight w:val="none"/>
                <w14:textFill>
                  <w14:solidFill>
                    <w14:schemeClr w14:val="tx1"/>
                  </w14:solidFill>
                </w14:textFill>
              </w:rPr>
              <w:t>一项）：</w:t>
            </w:r>
          </w:p>
          <w:p w14:paraId="794BF39A">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（1）试验方法 GB/T 17657 中规定的 1m3气候箱法进行，甲醛</w:t>
            </w:r>
            <w:r>
              <w:rPr>
                <w:rFonts w:hint="eastAsia"/>
                <w:color w:val="000000" w:themeColor="text1"/>
                <w:sz w:val="24"/>
                <w:szCs w:val="24"/>
                <w:highlight w:val="none"/>
                <w14:textFill>
                  <w14:solidFill>
                    <w14:schemeClr w14:val="tx1"/>
                  </w14:solidFill>
                </w14:textFill>
              </w:rPr>
              <w:t>释放量≤</w:t>
            </w:r>
            <w:r>
              <w:rPr>
                <w:color w:val="000000" w:themeColor="text1"/>
                <w:sz w:val="24"/>
                <w:szCs w:val="24"/>
                <w:highlight w:val="none"/>
                <w14:textFill>
                  <w14:solidFill>
                    <w14:schemeClr w14:val="tx1"/>
                  </w14:solidFill>
                </w14:textFill>
              </w:rPr>
              <w:t>0.05mg/m3 得</w:t>
            </w: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分,0.05（不含）～0.124mg/m3 得 </w:t>
            </w:r>
            <w:r>
              <w:rPr>
                <w:rFonts w:hint="eastAsia"/>
                <w:color w:val="000000" w:themeColor="text1"/>
                <w:sz w:val="24"/>
                <w:szCs w:val="24"/>
                <w:highlight w:val="none"/>
                <w14:textFill>
                  <w14:solidFill>
                    <w14:schemeClr w14:val="tx1"/>
                  </w14:solidFill>
                </w14:textFill>
              </w:rPr>
              <w:t>0.5分；</w:t>
            </w:r>
          </w:p>
          <w:p w14:paraId="3BD800E2">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（2）试验方法 GB/T 17657 中规定的 24h 干燥法进行，甲醛</w:t>
            </w:r>
            <w:r>
              <w:rPr>
                <w:rFonts w:hint="eastAsia"/>
                <w:color w:val="000000" w:themeColor="text1"/>
                <w:sz w:val="24"/>
                <w:szCs w:val="24"/>
                <w:highlight w:val="none"/>
                <w14:textFill>
                  <w14:solidFill>
                    <w14:schemeClr w14:val="tx1"/>
                  </w14:solidFill>
                </w14:textFill>
              </w:rPr>
              <w:t>释放量≤</w:t>
            </w:r>
            <w:r>
              <w:rPr>
                <w:color w:val="000000" w:themeColor="text1"/>
                <w:sz w:val="24"/>
                <w:szCs w:val="24"/>
                <w:highlight w:val="none"/>
                <w14:textFill>
                  <w14:solidFill>
                    <w14:schemeClr w14:val="tx1"/>
                  </w14:solidFill>
                </w14:textFill>
              </w:rPr>
              <w:t>0.5mg/L 得</w:t>
            </w: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 xml:space="preserve">分,0.5（不含）～1.5mg/L 得 </w:t>
            </w:r>
            <w:r>
              <w:rPr>
                <w:rFonts w:hint="eastAsia"/>
                <w:color w:val="000000" w:themeColor="text1"/>
                <w:sz w:val="24"/>
                <w:szCs w:val="24"/>
                <w:highlight w:val="none"/>
                <w14:textFill>
                  <w14:solidFill>
                    <w14:schemeClr w14:val="tx1"/>
                  </w14:solidFill>
                </w14:textFill>
              </w:rPr>
              <w:t>0.5</w:t>
            </w:r>
            <w:r>
              <w:rPr>
                <w:color w:val="000000" w:themeColor="text1"/>
                <w:sz w:val="24"/>
                <w:szCs w:val="24"/>
                <w:highlight w:val="none"/>
                <w14:textFill>
                  <w14:solidFill>
                    <w14:schemeClr w14:val="tx1"/>
                  </w14:solidFill>
                </w14:textFill>
              </w:rPr>
              <w:t>分。</w:t>
            </w:r>
          </w:p>
          <w:p w14:paraId="314ADA70">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注：出具的检测报告必须由具备家具成品及其原辅材料检测能力且具有</w:t>
            </w:r>
            <w:r>
              <w:rPr>
                <w:color w:val="000000" w:themeColor="text1"/>
                <w:sz w:val="24"/>
                <w:szCs w:val="24"/>
                <w:highlight w:val="none"/>
                <w14:textFill>
                  <w14:solidFill>
                    <w14:schemeClr w14:val="tx1"/>
                  </w14:solidFill>
                </w14:textFill>
              </w:rPr>
              <w:t>CMA资质的第三方检测机构提供。</w:t>
            </w:r>
          </w:p>
        </w:tc>
        <w:tc>
          <w:tcPr>
            <w:tcW w:w="893" w:type="dxa"/>
            <w:vAlign w:val="center"/>
          </w:tcPr>
          <w:p w14:paraId="6F26E4F5">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0-4</w:t>
            </w:r>
          </w:p>
        </w:tc>
        <w:tc>
          <w:tcPr>
            <w:tcW w:w="862" w:type="dxa"/>
            <w:vAlign w:val="center"/>
          </w:tcPr>
          <w:p w14:paraId="1FA2AA08">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0809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trPr>
        <w:tc>
          <w:tcPr>
            <w:tcW w:w="627" w:type="dxa"/>
            <w:vAlign w:val="center"/>
          </w:tcPr>
          <w:p w14:paraId="30EC4EEF">
            <w:pPr>
              <w:pStyle w:val="256"/>
              <w:numPr>
                <w:ilvl w:val="0"/>
                <w:numId w:val="0"/>
              </w:numPr>
              <w:spacing w:after="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7815" w:type="dxa"/>
            <w:vAlign w:val="center"/>
          </w:tcPr>
          <w:p w14:paraId="6D61B560">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须提供符合国家标准或行业标准要求的主要原材料（ABS塑料</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钢管、PU皮）的检测报告（一年内）。每提供一个种类的原材料检测报告，得</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分，最高得3分。</w:t>
            </w:r>
          </w:p>
          <w:p w14:paraId="1C0D2DAB">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1、ABS塑料检测报告。依据GB 28481-2012标准，邻苯二甲酸酯、重金属、多环芳径、多溴联苯、多溴二联苯检测合格。依据GB/T 32487-2016标准，耐老化性500h（外观颜色变色评级≥3级）、冲击强度检测合格。</w:t>
            </w:r>
          </w:p>
          <w:p w14:paraId="4A8A5BC7">
            <w:pPr>
              <w:spacing w:after="0"/>
              <w:jc w:val="both"/>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钢管检测报告。依据QB/T3826-1999标准，中性盐雾（≥1000h），涂（镀）层本身的耐腐蚀等级和对基体的保护等级≥10级检测合格。依据QB/T3827-1999标准，乙酸盐雾（≥1000h），涂（镀）层本身的耐腐蚀等级和对基体的保护等级≥10级检测合格。</w:t>
            </w:r>
          </w:p>
          <w:p w14:paraId="397A199F">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、PU皮检测报告。依据WS/T650-2019标准，金黄色葡萄球菌、大肠杆菌、白色念珠菌抗菌活性值≥2.0。</w:t>
            </w:r>
          </w:p>
          <w:p w14:paraId="66762751">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备注：出具的检测报告必须由具备家具成品及其原辅材料检测能力并通过国家计量认证（</w:t>
            </w:r>
            <w:r>
              <w:rPr>
                <w:color w:val="000000" w:themeColor="text1"/>
                <w:sz w:val="24"/>
                <w:szCs w:val="24"/>
                <w:highlight w:val="none"/>
                <w14:textFill>
                  <w14:solidFill>
                    <w14:schemeClr w14:val="tx1"/>
                  </w14:solidFill>
                </w14:textFill>
              </w:rPr>
              <w:t>CMA资质）的第三方检测机构提供。</w:t>
            </w:r>
            <w:r>
              <w:rPr>
                <w:rFonts w:hint="eastAsia"/>
                <w:color w:val="000000" w:themeColor="text1"/>
                <w:sz w:val="24"/>
                <w:szCs w:val="24"/>
                <w:highlight w:val="none"/>
                <w14:textFill>
                  <w14:solidFill>
                    <w14:schemeClr w14:val="tx1"/>
                  </w14:solidFill>
                </w14:textFill>
              </w:rPr>
              <w:t>（一年内为开标当天日期一年内，含一年前同一天）。</w:t>
            </w:r>
          </w:p>
        </w:tc>
        <w:tc>
          <w:tcPr>
            <w:tcW w:w="893" w:type="dxa"/>
            <w:vAlign w:val="center"/>
          </w:tcPr>
          <w:p w14:paraId="0B8A2279">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0-3</w:t>
            </w:r>
          </w:p>
        </w:tc>
        <w:tc>
          <w:tcPr>
            <w:tcW w:w="862" w:type="dxa"/>
            <w:vAlign w:val="center"/>
          </w:tcPr>
          <w:p w14:paraId="49578CE7">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713B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27" w:type="dxa"/>
            <w:vAlign w:val="center"/>
          </w:tcPr>
          <w:p w14:paraId="5FEB4EEF">
            <w:pPr>
              <w:pStyle w:val="256"/>
              <w:numPr>
                <w:ilvl w:val="0"/>
                <w:numId w:val="0"/>
              </w:numPr>
              <w:spacing w:after="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7815" w:type="dxa"/>
            <w:vAlign w:val="center"/>
          </w:tcPr>
          <w:p w14:paraId="50AD4DE9">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项目实施规划方案，提出合理的项目整体实施方案，能按照项目分解节点，并可跟踪实施。根据供应商提供的方案能否满足采购需求</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736F04E3">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5D571E33">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7CA8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27" w:type="dxa"/>
            <w:vAlign w:val="center"/>
          </w:tcPr>
          <w:p w14:paraId="78D9BCB6">
            <w:pPr>
              <w:pStyle w:val="256"/>
              <w:numPr>
                <w:ilvl w:val="0"/>
                <w:numId w:val="0"/>
              </w:numPr>
              <w:spacing w:after="0"/>
              <w:ind w:left="420" w:hanging="42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p>
        </w:tc>
        <w:tc>
          <w:tcPr>
            <w:tcW w:w="7815" w:type="dxa"/>
            <w:vAlign w:val="center"/>
          </w:tcPr>
          <w:p w14:paraId="4B0C7EF3">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生产实施方案，要具备生产能力，在规定的时间内有计划的完成项目需求产品的生产装配。根据供应商提供的方案能否满足采购需求</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6FCB9E2A">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636DE119">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7058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627" w:type="dxa"/>
            <w:vAlign w:val="center"/>
          </w:tcPr>
          <w:p w14:paraId="015DF16F">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p>
        </w:tc>
        <w:tc>
          <w:tcPr>
            <w:tcW w:w="7815" w:type="dxa"/>
            <w:vAlign w:val="center"/>
          </w:tcPr>
          <w:p w14:paraId="1E0B9349">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品质管理管控过程，有独立品管部门和专门品管人员，确保产品生产过程中的质量控制完善。由评审小组对响应方案评审后评分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54C28E47">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4B85789C">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2D2F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627" w:type="dxa"/>
            <w:vAlign w:val="center"/>
          </w:tcPr>
          <w:p w14:paraId="742C49A1">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11</w:t>
            </w:r>
          </w:p>
        </w:tc>
        <w:tc>
          <w:tcPr>
            <w:tcW w:w="7815" w:type="dxa"/>
            <w:vAlign w:val="center"/>
          </w:tcPr>
          <w:p w14:paraId="531CFF1B">
            <w:pPr>
              <w:spacing w:after="0"/>
              <w:jc w:val="both"/>
              <w:rPr>
                <w:rFonts w:hint="eastAsia" w:eastAsia="仿宋"/>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安装服务实施方案，安装方案的制定，根据货物交付时间节点，落实送货安装时间和人员安排，确保按期交付使用。根据供应商提供的方案能否满足采购需求，由评审小组判定评分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5分，4分，</w:t>
            </w:r>
            <w:r>
              <w:rPr>
                <w:rFonts w:hint="eastAsia"/>
                <w:color w:val="000000" w:themeColor="text1"/>
                <w:sz w:val="24"/>
                <w:szCs w:val="24"/>
                <w:highlight w:val="none"/>
                <w14:textFill>
                  <w14:solidFill>
                    <w14:schemeClr w14:val="tx1"/>
                  </w14:solidFill>
                </w14:textFill>
              </w:rPr>
              <w:t>3分，2分，1分，0分）</w:t>
            </w:r>
          </w:p>
        </w:tc>
        <w:tc>
          <w:tcPr>
            <w:tcW w:w="893" w:type="dxa"/>
            <w:vAlign w:val="center"/>
          </w:tcPr>
          <w:p w14:paraId="5A2DAB10">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p>
        </w:tc>
        <w:tc>
          <w:tcPr>
            <w:tcW w:w="862" w:type="dxa"/>
            <w:vAlign w:val="center"/>
          </w:tcPr>
          <w:p w14:paraId="64A34305">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59B9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27" w:type="dxa"/>
            <w:vAlign w:val="center"/>
          </w:tcPr>
          <w:p w14:paraId="43574945">
            <w:pPr>
              <w:pStyle w:val="256"/>
              <w:numPr>
                <w:ilvl w:val="0"/>
                <w:numId w:val="0"/>
              </w:numPr>
              <w:spacing w:after="0"/>
              <w:ind w:left="420" w:hanging="420"/>
              <w:jc w:val="center"/>
              <w:rPr>
                <w:rFonts w:hint="eastAsia"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w:t>
            </w:r>
          </w:p>
        </w:tc>
        <w:tc>
          <w:tcPr>
            <w:tcW w:w="7815" w:type="dxa"/>
            <w:vAlign w:val="center"/>
          </w:tcPr>
          <w:p w14:paraId="589636B8">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售后服务应对方案及承诺：</w:t>
            </w:r>
          </w:p>
          <w:p w14:paraId="20EA4F6B">
            <w:pPr>
              <w:spacing w:after="0"/>
              <w:jc w:val="both"/>
              <w:rPr>
                <w:rFonts w:hint="eastAsia" w:eastAsia="宋体"/>
                <w:color w:val="000000" w:themeColor="text1"/>
                <w:sz w:val="24"/>
                <w:szCs w:val="24"/>
                <w:highlight w:val="none"/>
                <w:lang w:eastAsia="zh-CN"/>
                <w14:textFill>
                  <w14:solidFill>
                    <w14:schemeClr w14:val="tx1"/>
                  </w14:solidFill>
                </w14:textFill>
              </w:rPr>
            </w:pPr>
            <w:r>
              <w:rPr>
                <w:color w:val="000000" w:themeColor="text1"/>
                <w:sz w:val="24"/>
                <w:szCs w:val="24"/>
                <w:highlight w:val="none"/>
                <w14:textFill>
                  <w14:solidFill>
                    <w14:schemeClr w14:val="tx1"/>
                  </w14:solidFill>
                </w14:textFill>
              </w:rPr>
              <w:t>提供产品</w:t>
            </w:r>
            <w:r>
              <w:rPr>
                <w:rFonts w:hint="eastAsia"/>
                <w:color w:val="000000" w:themeColor="text1"/>
                <w:sz w:val="24"/>
                <w:szCs w:val="24"/>
                <w:highlight w:val="none"/>
                <w14:textFill>
                  <w14:solidFill>
                    <w14:schemeClr w14:val="tx1"/>
                  </w14:solidFill>
                </w14:textFill>
              </w:rPr>
              <w:t>基本</w:t>
            </w:r>
            <w:r>
              <w:rPr>
                <w:color w:val="000000" w:themeColor="text1"/>
                <w:sz w:val="24"/>
                <w:szCs w:val="24"/>
                <w:highlight w:val="none"/>
                <w14:textFill>
                  <w14:solidFill>
                    <w14:schemeClr w14:val="tx1"/>
                  </w14:solidFill>
                </w14:textFill>
              </w:rPr>
              <w:t>需求的质保期基础上，每增加一年加</w:t>
            </w:r>
            <w:r>
              <w:rPr>
                <w:rFonts w:hint="eastAsia"/>
                <w:color w:val="000000" w:themeColor="text1"/>
                <w:sz w:val="24"/>
                <w:szCs w:val="24"/>
                <w:highlight w:val="none"/>
                <w:lang w:val="en-US" w:eastAsia="zh-CN"/>
                <w14:textFill>
                  <w14:solidFill>
                    <w14:schemeClr w14:val="tx1"/>
                  </w14:solidFill>
                </w14:textFill>
              </w:rPr>
              <w:t>0.5</w:t>
            </w:r>
            <w:r>
              <w:rPr>
                <w:color w:val="000000" w:themeColor="text1"/>
                <w:sz w:val="24"/>
                <w:szCs w:val="24"/>
                <w:highlight w:val="none"/>
                <w14:textFill>
                  <w14:solidFill>
                    <w14:schemeClr w14:val="tx1"/>
                  </w14:solidFill>
                </w14:textFill>
              </w:rPr>
              <w:t>分，最高得</w:t>
            </w: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提供承诺函</w:t>
            </w:r>
            <w:r>
              <w:rPr>
                <w:rFonts w:hint="eastAsia"/>
                <w:color w:val="000000" w:themeColor="text1"/>
                <w:sz w:val="24"/>
                <w:szCs w:val="24"/>
                <w:highlight w:val="none"/>
                <w:lang w:eastAsia="zh-CN"/>
                <w14:textFill>
                  <w14:solidFill>
                    <w14:schemeClr w14:val="tx1"/>
                  </w14:solidFill>
                </w14:textFill>
              </w:rPr>
              <w:t>）</w:t>
            </w:r>
          </w:p>
        </w:tc>
        <w:tc>
          <w:tcPr>
            <w:tcW w:w="893" w:type="dxa"/>
            <w:vAlign w:val="center"/>
          </w:tcPr>
          <w:p w14:paraId="79AD7D21">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1</w:t>
            </w:r>
          </w:p>
        </w:tc>
        <w:tc>
          <w:tcPr>
            <w:tcW w:w="862" w:type="dxa"/>
            <w:vAlign w:val="center"/>
          </w:tcPr>
          <w:p w14:paraId="65BA4C29">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客观分</w:t>
            </w:r>
          </w:p>
        </w:tc>
      </w:tr>
      <w:tr w14:paraId="47E9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27" w:type="dxa"/>
            <w:vAlign w:val="center"/>
          </w:tcPr>
          <w:p w14:paraId="5C0E8141">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13</w:t>
            </w:r>
          </w:p>
        </w:tc>
        <w:tc>
          <w:tcPr>
            <w:tcW w:w="7815" w:type="dxa"/>
            <w:vAlign w:val="center"/>
          </w:tcPr>
          <w:p w14:paraId="12A1A1BB">
            <w:pPr>
              <w:spacing w:after="0"/>
              <w:jc w:val="both"/>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本项目合理化建议及实质性优惠措施，由评审小组判定评分</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（评审分值：</w:t>
            </w:r>
            <w:r>
              <w:rPr>
                <w:rFonts w:hint="eastAsia"/>
                <w:color w:val="000000" w:themeColor="text1"/>
                <w:sz w:val="24"/>
                <w:szCs w:val="24"/>
                <w:highlight w:val="none"/>
                <w:lang w:val="en-US" w:eastAsia="zh-CN"/>
                <w14:textFill>
                  <w14:solidFill>
                    <w14:schemeClr w14:val="tx1"/>
                  </w14:solidFill>
                </w14:textFill>
              </w:rPr>
              <w:t>4分，3</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14:textFill>
                  <w14:solidFill>
                    <w14:schemeClr w14:val="tx1"/>
                  </w14:solidFill>
                </w14:textFill>
              </w:rPr>
              <w:t>分，0分）</w:t>
            </w:r>
            <w:r>
              <w:rPr>
                <w:color w:val="000000" w:themeColor="text1"/>
                <w:sz w:val="24"/>
                <w:szCs w:val="24"/>
                <w:highlight w:val="none"/>
                <w14:textFill>
                  <w14:solidFill>
                    <w14:schemeClr w14:val="tx1"/>
                  </w14:solidFill>
                </w14:textFill>
              </w:rPr>
              <w:t>。</w:t>
            </w:r>
          </w:p>
        </w:tc>
        <w:tc>
          <w:tcPr>
            <w:tcW w:w="893" w:type="dxa"/>
            <w:vAlign w:val="center"/>
          </w:tcPr>
          <w:p w14:paraId="6E2C48E7">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4</w:t>
            </w:r>
          </w:p>
        </w:tc>
        <w:tc>
          <w:tcPr>
            <w:tcW w:w="862" w:type="dxa"/>
            <w:vAlign w:val="center"/>
          </w:tcPr>
          <w:p w14:paraId="6221A05D">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r w14:paraId="1B7E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627" w:type="dxa"/>
            <w:vAlign w:val="center"/>
          </w:tcPr>
          <w:p w14:paraId="019D94AD">
            <w:pPr>
              <w:pStyle w:val="256"/>
              <w:numPr>
                <w:ilvl w:val="0"/>
                <w:numId w:val="0"/>
              </w:numPr>
              <w:spacing w:after="0"/>
              <w:ind w:left="420" w:hanging="420"/>
              <w:jc w:val="center"/>
              <w:rPr>
                <w:rFonts w:hint="default" w:eastAsia="楷体_GB2312"/>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14</w:t>
            </w:r>
          </w:p>
        </w:tc>
        <w:tc>
          <w:tcPr>
            <w:tcW w:w="7815" w:type="dxa"/>
            <w:vAlign w:val="center"/>
          </w:tcPr>
          <w:p w14:paraId="1DB8DAA5">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样品综合情况分：</w:t>
            </w:r>
          </w:p>
          <w:p w14:paraId="0E829BF0">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提供满足招标文件要求的样品。对产品用材等方面符合安全、卫生等情况以及制造工艺先进性、合理化、器材耐用、所有材料的抗老化、安全等方面，评审专家根据各投标文件提供数据，结合样品，综合评定：</w:t>
            </w:r>
          </w:p>
          <w:p w14:paraId="0BC0E0AC">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 xml:space="preserve">1 </w:t>
            </w:r>
            <w:r>
              <w:rPr>
                <w:rFonts w:hint="eastAsia" w:cs="仿宋"/>
                <w:color w:val="000000" w:themeColor="text1"/>
                <w:sz w:val="24"/>
                <w:szCs w:val="24"/>
                <w:highlight w:val="none"/>
                <w14:textFill>
                  <w14:solidFill>
                    <w14:schemeClr w14:val="tx1"/>
                  </w14:solidFill>
                </w14:textFill>
              </w:rPr>
              <w:t>)产品制造工艺、外观、材质得分：（</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-4分）</w:t>
            </w:r>
          </w:p>
          <w:p w14:paraId="0748EAC9">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（2）产品性能、功能、技术特色得分；（</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-4分）</w:t>
            </w:r>
          </w:p>
          <w:p w14:paraId="630BEE84">
            <w:pPr>
              <w:spacing w:after="0" w:line="360" w:lineRule="auto"/>
              <w:jc w:val="both"/>
              <w:rPr>
                <w:rFonts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（3）产品尺寸、形状、结构及安全性得分；（</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-4分）</w:t>
            </w:r>
          </w:p>
          <w:p w14:paraId="1ADBF965">
            <w:pPr>
              <w:spacing w:after="0"/>
              <w:jc w:val="both"/>
              <w:rPr>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14:textFill>
                  <w14:solidFill>
                    <w14:schemeClr w14:val="tx1"/>
                  </w14:solidFill>
                </w14:textFill>
              </w:rPr>
              <w:t>（4）投标产品材料样本的提供情况：与采购需求的符合程度、品质的比较等；（</w:t>
            </w:r>
            <w:r>
              <w:rPr>
                <w:rFonts w:hint="eastAsia" w:cs="仿宋"/>
                <w:color w:val="000000" w:themeColor="text1"/>
                <w:sz w:val="24"/>
                <w:szCs w:val="24"/>
                <w:highlight w:val="none"/>
                <w:lang w:val="en-US" w:eastAsia="zh-CN"/>
                <w14:textFill>
                  <w14:solidFill>
                    <w14:schemeClr w14:val="tx1"/>
                  </w14:solidFill>
                </w14:textFill>
              </w:rPr>
              <w:t>0</w:t>
            </w:r>
            <w:r>
              <w:rPr>
                <w:rFonts w:hint="eastAsia" w:cs="仿宋"/>
                <w:color w:val="000000" w:themeColor="text1"/>
                <w:sz w:val="24"/>
                <w:szCs w:val="24"/>
                <w:highlight w:val="none"/>
                <w14:textFill>
                  <w14:solidFill>
                    <w14:schemeClr w14:val="tx1"/>
                  </w14:solidFill>
                </w14:textFill>
              </w:rPr>
              <w:t>-3分）</w:t>
            </w:r>
          </w:p>
        </w:tc>
        <w:tc>
          <w:tcPr>
            <w:tcW w:w="893" w:type="dxa"/>
            <w:vAlign w:val="center"/>
          </w:tcPr>
          <w:p w14:paraId="1B084385">
            <w:pPr>
              <w:spacing w:after="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-15</w:t>
            </w:r>
          </w:p>
        </w:tc>
        <w:tc>
          <w:tcPr>
            <w:tcW w:w="862" w:type="dxa"/>
            <w:vAlign w:val="center"/>
          </w:tcPr>
          <w:p w14:paraId="640C3437">
            <w:pPr>
              <w:spacing w:after="0"/>
              <w:jc w:val="both"/>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主观分</w:t>
            </w:r>
          </w:p>
        </w:tc>
      </w:tr>
    </w:tbl>
    <w:p w14:paraId="38CE615D">
      <w:pPr>
        <w:spacing w:line="360" w:lineRule="auto"/>
        <w:rPr>
          <w:rFonts w:cs="仿宋_GB2312"/>
          <w:b/>
          <w:color w:val="000000" w:themeColor="text1"/>
          <w:sz w:val="24"/>
          <w:szCs w:val="24"/>
          <w:highlight w:val="none"/>
          <w14:textFill>
            <w14:solidFill>
              <w14:schemeClr w14:val="tx1"/>
            </w14:solidFill>
          </w14:textFill>
        </w:rPr>
      </w:pPr>
    </w:p>
    <w:p w14:paraId="2563CBB2">
      <w:pPr>
        <w:spacing w:line="360" w:lineRule="auto"/>
        <w:rPr>
          <w:rFonts w:cs="仿宋_GB2312"/>
          <w:b/>
          <w:color w:val="000000" w:themeColor="text1"/>
          <w:sz w:val="24"/>
          <w:szCs w:val="24"/>
          <w:highlight w:val="none"/>
          <w14:textFill>
            <w14:solidFill>
              <w14:schemeClr w14:val="tx1"/>
            </w14:solidFill>
          </w14:textFill>
        </w:rPr>
      </w:pPr>
      <w:r>
        <w:rPr>
          <w:rFonts w:hint="eastAsia" w:cs="仿宋_GB2312"/>
          <w:b/>
          <w:color w:val="000000" w:themeColor="text1"/>
          <w:sz w:val="24"/>
          <w:szCs w:val="24"/>
          <w:highlight w:val="none"/>
          <w14:textFill>
            <w14:solidFill>
              <w14:schemeClr w14:val="tx1"/>
            </w14:solidFill>
          </w14:textFill>
        </w:rPr>
        <w:t>价格分（3</w:t>
      </w:r>
      <w:r>
        <w:rPr>
          <w:rFonts w:hint="eastAsia" w:cs="仿宋_GB2312"/>
          <w:b/>
          <w:color w:val="000000" w:themeColor="text1"/>
          <w:sz w:val="24"/>
          <w:szCs w:val="24"/>
          <w:highlight w:val="none"/>
          <w:lang w:val="en-US" w:eastAsia="zh-CN"/>
          <w14:textFill>
            <w14:solidFill>
              <w14:schemeClr w14:val="tx1"/>
            </w14:solidFill>
          </w14:textFill>
        </w:rPr>
        <w:t>0</w:t>
      </w:r>
      <w:r>
        <w:rPr>
          <w:rFonts w:hint="eastAsia" w:cs="仿宋_GB2312"/>
          <w:b/>
          <w:color w:val="000000" w:themeColor="text1"/>
          <w:sz w:val="24"/>
          <w:szCs w:val="24"/>
          <w:highlight w:val="none"/>
          <w14:textFill>
            <w14:solidFill>
              <w14:schemeClr w14:val="tx1"/>
            </w14:solidFill>
          </w14:textFill>
        </w:rPr>
        <w:t>分）</w:t>
      </w:r>
    </w:p>
    <w:tbl>
      <w:tblPr>
        <w:tblStyle w:val="6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438"/>
        <w:gridCol w:w="5042"/>
        <w:gridCol w:w="812"/>
        <w:gridCol w:w="973"/>
      </w:tblGrid>
      <w:tr w14:paraId="08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12" w:type="dxa"/>
            <w:vAlign w:val="center"/>
          </w:tcPr>
          <w:p w14:paraId="0EABB74D">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价格分</w:t>
            </w:r>
          </w:p>
        </w:tc>
        <w:tc>
          <w:tcPr>
            <w:tcW w:w="2438" w:type="dxa"/>
            <w:vAlign w:val="center"/>
          </w:tcPr>
          <w:p w14:paraId="75744FCA">
            <w:pPr>
              <w:spacing w:after="0"/>
              <w:jc w:val="center"/>
              <w:rPr>
                <w:color w:val="000000" w:themeColor="text1"/>
                <w:sz w:val="24"/>
                <w:szCs w:val="24"/>
                <w:highlight w:val="none"/>
                <w14:textFill>
                  <w14:solidFill>
                    <w14:schemeClr w14:val="tx1"/>
                  </w14:solidFill>
                </w14:textFill>
              </w:rPr>
            </w:pPr>
            <w:r>
              <w:rPr>
                <w:rFonts w:hint="eastAsia" w:cs="仿宋_GB2312"/>
                <w:color w:val="000000" w:themeColor="text1"/>
                <w:sz w:val="24"/>
                <w:szCs w:val="24"/>
                <w:highlight w:val="none"/>
                <w14:textFill>
                  <w14:solidFill>
                    <w14:schemeClr w14:val="tx1"/>
                  </w14:solidFill>
                </w14:textFill>
              </w:rPr>
              <w:t>价格权值</w:t>
            </w:r>
          </w:p>
        </w:tc>
        <w:tc>
          <w:tcPr>
            <w:tcW w:w="5042" w:type="dxa"/>
            <w:vAlign w:val="center"/>
          </w:tcPr>
          <w:p w14:paraId="64D9519E">
            <w:pPr>
              <w:bidi w:val="0"/>
              <w:jc w:val="center"/>
              <w:rPr>
                <w:sz w:val="24"/>
                <w:szCs w:val="24"/>
              </w:rPr>
            </w:pPr>
            <w:r>
              <w:rPr>
                <w:rFonts w:hint="eastAsia"/>
                <w:sz w:val="24"/>
                <w:szCs w:val="24"/>
              </w:rPr>
              <w:t>价格分采用低价优先法计算，即满足招标文件要求且投标价格最低的投标报价为评标基准价，其价格分为满分。</w:t>
            </w:r>
          </w:p>
          <w:p w14:paraId="576F9262">
            <w:pPr>
              <w:bidi w:val="0"/>
              <w:jc w:val="center"/>
              <w:rPr>
                <w:color w:val="000000" w:themeColor="text1"/>
                <w:sz w:val="24"/>
                <w:szCs w:val="24"/>
                <w:highlight w:val="none"/>
                <w14:textFill>
                  <w14:solidFill>
                    <w14:schemeClr w14:val="tx1"/>
                  </w14:solidFill>
                </w14:textFill>
              </w:rPr>
            </w:pPr>
            <w:r>
              <w:rPr>
                <w:rFonts w:hint="eastAsia"/>
                <w:sz w:val="24"/>
                <w:szCs w:val="24"/>
              </w:rPr>
              <w:t>其他投标人的价格分统一按下列公式计算：投标报价得分=（评标基准价/投标报价）×30%×100；计算结果保留至小数点后两位。</w:t>
            </w:r>
          </w:p>
        </w:tc>
        <w:tc>
          <w:tcPr>
            <w:tcW w:w="812" w:type="dxa"/>
            <w:vAlign w:val="center"/>
          </w:tcPr>
          <w:p w14:paraId="5103549E">
            <w:pPr>
              <w:spacing w:after="0"/>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0</w:t>
            </w:r>
          </w:p>
        </w:tc>
        <w:tc>
          <w:tcPr>
            <w:tcW w:w="973" w:type="dxa"/>
            <w:vAlign w:val="center"/>
          </w:tcPr>
          <w:p w14:paraId="3B25AF6D">
            <w:pPr>
              <w:spacing w:after="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价格分</w:t>
            </w:r>
          </w:p>
        </w:tc>
      </w:tr>
    </w:tbl>
    <w:p w14:paraId="6483F004">
      <w:pPr>
        <w:pStyle w:val="24"/>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2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81" w:name="OLE_LINK11"/>
      <w:bookmarkStart w:id="382" w:name="OLE_LINK12"/>
      <w:r>
        <w:rPr>
          <w:rFonts w:hint="eastAsia" w:asciiTheme="minorEastAsia" w:hAnsiTheme="minorEastAsia" w:eastAsiaTheme="minorEastAsia" w:cstheme="minorEastAsia"/>
          <w:color w:val="auto"/>
          <w:sz w:val="24"/>
        </w:rPr>
        <w:t>评分条款中涉及的业绩、荣誉、人员、社保等均应提供本公司的，母公司</w:t>
      </w:r>
      <w:bookmarkEnd w:id="381"/>
      <w:bookmarkEnd w:id="382"/>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sz w:val="24"/>
        </w:rPr>
        <w:t>附在相关外文资料后面，否则外文资料不予认可。翻译的中文资料与外文资料不符的，均不予认可。翻译严重错误的，将视同提供虚假资料。</w:t>
      </w:r>
    </w:p>
    <w:p w14:paraId="1061358A">
      <w:pPr>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p>
    <w:p w14:paraId="4322334E">
      <w:pP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1.本项目采用综合评分法。</w:t>
      </w:r>
      <w:r>
        <w:rPr>
          <w:rFonts w:hint="eastAsia" w:asciiTheme="minorEastAsia" w:hAnsiTheme="minorEastAsia" w:eastAsiaTheme="minorEastAsia" w:cstheme="minorEastAsia"/>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sz w:val="32"/>
        </w:rPr>
        <w:t>二、评标标准</w:t>
      </w:r>
    </w:p>
    <w:p w14:paraId="015EC362">
      <w:pPr>
        <w:spacing w:line="360" w:lineRule="auto"/>
        <w:ind w:firstLine="472" w:firstLineChars="196"/>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sz w:val="24"/>
        </w:rPr>
        <w:t>评标标准：</w:t>
      </w:r>
      <w:r>
        <w:rPr>
          <w:rFonts w:hint="eastAsia" w:asciiTheme="minorEastAsia" w:hAnsiTheme="minorEastAsia" w:eastAsiaTheme="minorEastAsia" w:cstheme="minorEastAsia"/>
          <w:kern w:val="0"/>
          <w:sz w:val="24"/>
        </w:rPr>
        <w:t>见评标办法前附表。</w:t>
      </w:r>
    </w:p>
    <w:p w14:paraId="5B644D9A">
      <w:pPr>
        <w:spacing w:line="360" w:lineRule="auto"/>
        <w:outlineLvl w:val="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3.1符合性审查。</w:t>
      </w:r>
      <w:r>
        <w:rPr>
          <w:rFonts w:hint="eastAsia" w:asciiTheme="minorEastAsia" w:hAnsiTheme="minorEastAsia" w:eastAsiaTheme="minorEastAsia" w:cstheme="minorEastAsia"/>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3.2 比较与评价。</w:t>
      </w:r>
      <w:r>
        <w:rPr>
          <w:rFonts w:hint="eastAsia" w:asciiTheme="minorEastAsia" w:hAnsiTheme="minorEastAsia" w:eastAsiaTheme="minorEastAsia" w:cstheme="minorEastAsia"/>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3.3汇总商务技术得分。</w:t>
      </w:r>
      <w:r>
        <w:rPr>
          <w:rFonts w:hint="eastAsia" w:asciiTheme="minorEastAsia" w:hAnsiTheme="minorEastAsia" w:eastAsiaTheme="minorEastAsia" w:cstheme="minorEastAsia"/>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3.4报价评审。</w:t>
      </w:r>
    </w:p>
    <w:p w14:paraId="5CFE1195">
      <w:pPr>
        <w:pStyle w:val="129"/>
        <w:spacing w:before="0"/>
        <w:ind w:firstLine="508" w:firstLineChars="212"/>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3.4.1响应文件报价出现前后不一致的，按照下列规定修正：</w:t>
      </w:r>
    </w:p>
    <w:p w14:paraId="1443064B">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3.4.1.1响应文件中交易一览表(报价表)内容与响应文件中相应内容不一致的，以交易一览表(报价表)为准;</w:t>
      </w:r>
    </w:p>
    <w:p w14:paraId="7EE563F9">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3.4.1.2大写金额和小写金额不一致的，以大写金额为准;</w:t>
      </w:r>
    </w:p>
    <w:p w14:paraId="50F8BE46">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3.4.1.3单价金额小数点或者百分比有明显错位的，以交易一览表的总价为准，并修改单价;</w:t>
      </w:r>
    </w:p>
    <w:p w14:paraId="59CF2FB2">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3.4.1.4总价金额与按单价汇总金额不一致的，以单价金额计算结果为准。</w:t>
      </w:r>
    </w:p>
    <w:p w14:paraId="47645522">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3.4.3响应报价超过交易文件中规定的预算金额或者最高限价的，交易无效。</w:t>
      </w:r>
    </w:p>
    <w:p w14:paraId="465ED50C">
      <w:pPr>
        <w:pStyle w:val="129"/>
        <w:spacing w:before="0"/>
        <w:ind w:firstLine="480"/>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3.5排序与推荐。</w:t>
      </w:r>
      <w:r>
        <w:rPr>
          <w:rFonts w:hint="eastAsia" w:asciiTheme="minorEastAsia" w:hAnsiTheme="minorEastAsia" w:eastAsiaTheme="minorEastAsia" w:cstheme="minorEastAsia"/>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3.6编写评标报告。</w:t>
      </w:r>
      <w:r>
        <w:rPr>
          <w:rFonts w:hint="eastAsia" w:asciiTheme="minorEastAsia" w:hAnsiTheme="minorEastAsia" w:eastAsiaTheme="minorEastAsia" w:cstheme="min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sz w:val="32"/>
        </w:rPr>
      </w:pPr>
      <w:r>
        <w:rPr>
          <w:rFonts w:hint="eastAsia" w:asciiTheme="minorEastAsia" w:hAnsiTheme="minorEastAsia" w:eastAsiaTheme="minorEastAsia" w:cstheme="minorEastAsia"/>
          <w:b/>
          <w:sz w:val="32"/>
        </w:rPr>
        <w:t>四、评标中的其他事项</w:t>
      </w:r>
    </w:p>
    <w:p w14:paraId="041E6550">
      <w:pPr>
        <w:pStyle w:val="129"/>
        <w:spacing w:before="0"/>
        <w:ind w:firstLine="472" w:firstLineChars="196"/>
        <w:rPr>
          <w:rFonts w:hint="eastAsia" w:asciiTheme="minorEastAsia" w:hAnsiTheme="minorEastAsia" w:eastAsiaTheme="minorEastAsia" w:cstheme="minorEastAsia"/>
          <w:kern w:val="0"/>
          <w:szCs w:val="24"/>
        </w:rPr>
      </w:pPr>
      <w:r>
        <w:rPr>
          <w:rFonts w:hint="eastAsia" w:asciiTheme="minorEastAsia" w:hAnsiTheme="minorEastAsia" w:eastAsiaTheme="minorEastAsia" w:cstheme="minorEastAsia"/>
          <w:b/>
          <w:kern w:val="0"/>
          <w:szCs w:val="24"/>
        </w:rPr>
        <w:t>4.1供应商澄清、说明或者补正。</w:t>
      </w:r>
      <w:r>
        <w:rPr>
          <w:rFonts w:hint="eastAsia" w:asciiTheme="minorEastAsia" w:hAnsiTheme="minorEastAsia" w:eastAsiaTheme="minorEastAsia" w:cstheme="minorEastAsia"/>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24"/>
        <w:spacing w:line="360" w:lineRule="auto"/>
        <w:ind w:left="954" w:leftChars="226" w:hanging="479"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kern w:val="0"/>
        </w:rPr>
        <w:t>4.2交易无效。</w:t>
      </w:r>
      <w:r>
        <w:rPr>
          <w:rFonts w:hint="eastAsia" w:asciiTheme="minorEastAsia" w:hAnsiTheme="minorEastAsia" w:eastAsiaTheme="minorEastAsia" w:cstheme="minorEastAsia"/>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4.2.13 法律、法规、规章（适用本市的）及省级以上规范性文件（适用本市的）规定的其他无效情形。</w:t>
      </w:r>
    </w:p>
    <w:p w14:paraId="6063E586">
      <w:pPr>
        <w:pStyle w:val="24"/>
        <w:snapToGrid w:val="0"/>
        <w:spacing w:line="360" w:lineRule="auto"/>
        <w:ind w:firstLine="472" w:firstLineChars="196"/>
        <w:rPr>
          <w:rFonts w:hint="eastAsia" w:asciiTheme="minorEastAsia" w:hAnsiTheme="minorEastAsia" w:eastAsiaTheme="minorEastAsia" w:cstheme="minorEastAsia"/>
        </w:rPr>
      </w:pPr>
      <w:r>
        <w:rPr>
          <w:rFonts w:hint="eastAsia" w:asciiTheme="minorEastAsia" w:hAnsiTheme="minorEastAsia" w:eastAsiaTheme="minorEastAsia" w:cstheme="minorEastAsia"/>
          <w:b/>
        </w:rPr>
        <w:t>5.废标。</w:t>
      </w:r>
      <w:r>
        <w:rPr>
          <w:rFonts w:hint="eastAsia" w:asciiTheme="minorEastAsia" w:hAnsiTheme="minorEastAsia" w:eastAsiaTheme="minorEastAsia" w:cstheme="minorEastAsia"/>
        </w:rPr>
        <w:t>在采购中，出现下列情形之一的，应予废标：</w:t>
      </w:r>
    </w:p>
    <w:p w14:paraId="3871FDAC">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5.1符合专业条件的供应商或者对交易文件作实质响应的供应商不足3家的；</w:t>
      </w:r>
    </w:p>
    <w:p w14:paraId="54F59D57">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5.2出现影响采购公正的违法、违规行为的；</w:t>
      </w:r>
    </w:p>
    <w:p w14:paraId="42E22879">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5.3供应商的报价均超过了采购预算，采购人不能支付的；</w:t>
      </w:r>
    </w:p>
    <w:p w14:paraId="6C514FE1">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5.4因重大变故，采购任务取消的。</w:t>
      </w:r>
    </w:p>
    <w:p w14:paraId="7818ED3E">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废标后，采购机构应当将废标理由通知所有供应商。</w:t>
      </w:r>
    </w:p>
    <w:p w14:paraId="35D46F26">
      <w:pPr>
        <w:pStyle w:val="24"/>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rPr>
        <w:t>6.修改交易文件，重新组织采购活动。</w:t>
      </w:r>
      <w:r>
        <w:rPr>
          <w:rFonts w:hint="eastAsia" w:asciiTheme="minorEastAsia" w:hAnsiTheme="minorEastAsia" w:eastAsiaTheme="minorEastAsia" w:cstheme="minorEastAsia"/>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24"/>
        <w:snapToGrid w:val="0"/>
        <w:spacing w:line="360" w:lineRule="auto"/>
        <w:ind w:firstLine="590" w:firstLineChars="245"/>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rPr>
        <w:t>7.重新开展采购。</w:t>
      </w:r>
      <w:r>
        <w:rPr>
          <w:rFonts w:hint="eastAsia" w:asciiTheme="minorEastAsia" w:hAnsiTheme="minorEastAsia" w:eastAsiaTheme="minorEastAsia" w:cstheme="minorEastAsia"/>
        </w:rPr>
        <w:t>有影响或者可能影响成交、成交结果的，依照下列规定处理：</w:t>
      </w:r>
    </w:p>
    <w:p w14:paraId="0DF56872">
      <w:pPr>
        <w:pStyle w:val="24"/>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7.1未确定成交或者成交人的，终止本次采购活动，重新开展采购活动。</w:t>
      </w:r>
    </w:p>
    <w:p w14:paraId="568F105B">
      <w:pPr>
        <w:pStyle w:val="24"/>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24"/>
        <w:snapToGrid w:val="0"/>
        <w:spacing w:line="360" w:lineRule="auto"/>
        <w:ind w:firstLine="600" w:firstLineChars="250"/>
        <w:rPr>
          <w:rFonts w:hint="eastAsia" w:asciiTheme="minorEastAsia" w:hAnsiTheme="minorEastAsia" w:eastAsiaTheme="minorEastAsia" w:cstheme="minorEastAsia"/>
        </w:rPr>
      </w:pPr>
      <w:r>
        <w:rPr>
          <w:rFonts w:hint="eastAsia" w:asciiTheme="minorEastAsia" w:hAnsiTheme="minorEastAsia" w:eastAsiaTheme="minorEastAsia" w:cstheme="minorEastAsia"/>
        </w:rPr>
        <w:t>7.3采购合同已签订但尚未履行的，撤销合同，从合格的成交或者成交候选人中另行确定成交或者成交人；没有合格的成交或者成交候选人的，重新开展采购活动。</w:t>
      </w:r>
    </w:p>
    <w:p w14:paraId="1271C054">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7.4采购合同已经履行，给采购人、供应商造成损失的，由责任人承担赔偿责任。</w:t>
      </w:r>
    </w:p>
    <w:p w14:paraId="42584A79">
      <w:pPr>
        <w:pStyle w:val="24"/>
        <w:snapToGrid w:val="0"/>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7.5采购当事人有其他违反相关</w:t>
      </w:r>
      <w:r>
        <w:rPr>
          <w:rFonts w:hint="eastAsia" w:asciiTheme="minorEastAsia" w:hAnsiTheme="minorEastAsia" w:eastAsiaTheme="minorEastAsia" w:cstheme="minorEastAsia"/>
          <w:kern w:val="0"/>
        </w:rPr>
        <w:t>法律法规规定</w:t>
      </w:r>
      <w:r>
        <w:rPr>
          <w:rFonts w:hint="eastAsia" w:asciiTheme="minorEastAsia" w:hAnsiTheme="minorEastAsia" w:eastAsiaTheme="minorEastAsia" w:cstheme="minorEastAsia"/>
        </w:rPr>
        <w:t>的行为，经改正后仍然影响或者可能影响成交、成交结果或者依法被认定为成交、成交无效的，依照7.1-7.4规定处理。</w:t>
      </w:r>
    </w:p>
    <w:bookmarkEnd w:id="14"/>
    <w:p w14:paraId="17B3C402">
      <w:pPr>
        <w:jc w:val="center"/>
        <w:rPr>
          <w:rFonts w:hint="eastAsia" w:asciiTheme="minorEastAsia" w:hAnsiTheme="minorEastAsia" w:eastAsiaTheme="minorEastAsia" w:cstheme="minorEastAsia"/>
          <w:b/>
          <w:sz w:val="36"/>
          <w:szCs w:val="36"/>
        </w:rPr>
      </w:pPr>
      <w:bookmarkStart w:id="383" w:name="第五部分"/>
      <w:bookmarkStart w:id="384" w:name="_Toc86217003"/>
      <w:r>
        <w:rPr>
          <w:rFonts w:hint="eastAsia" w:asciiTheme="minorEastAsia" w:hAnsiTheme="minorEastAsia" w:eastAsiaTheme="minorEastAsia" w:cstheme="minorEastAsia"/>
          <w:b/>
          <w:bCs/>
          <w:sz w:val="32"/>
          <w:szCs w:val="32"/>
        </w:rPr>
        <w:t>第五部分   拟签订的合同文本</w:t>
      </w:r>
    </w:p>
    <w:p w14:paraId="12687EFC">
      <w:pPr>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合同编号：</w:t>
      </w:r>
      <w:r>
        <w:rPr>
          <w:rFonts w:hint="eastAsia" w:asciiTheme="minorEastAsia" w:hAnsiTheme="minorEastAsia" w:eastAsiaTheme="minorEastAsia" w:cstheme="minorEastAsia"/>
          <w:color w:val="auto"/>
          <w:sz w:val="24"/>
          <w:u w:val="single"/>
        </w:rPr>
        <w:t xml:space="preserve">           </w:t>
      </w:r>
    </w:p>
    <w:p w14:paraId="751D73FD">
      <w:pPr>
        <w:spacing w:line="480" w:lineRule="auto"/>
        <w:jc w:val="center"/>
        <w:rPr>
          <w:rFonts w:hint="eastAsia" w:asciiTheme="minorEastAsia" w:hAnsiTheme="minorEastAsia" w:eastAsiaTheme="minorEastAsia" w:cstheme="minorEastAsia"/>
          <w:b/>
          <w:color w:val="auto"/>
          <w:sz w:val="28"/>
          <w:szCs w:val="28"/>
        </w:rPr>
      </w:pPr>
    </w:p>
    <w:p w14:paraId="1159791C">
      <w:pPr>
        <w:spacing w:line="480" w:lineRule="auto"/>
        <w:jc w:val="center"/>
        <w:rPr>
          <w:rFonts w:hint="eastAsia" w:asciiTheme="minorEastAsia" w:hAnsiTheme="minorEastAsia" w:eastAsiaTheme="minorEastAsia" w:cstheme="minorEastAsia"/>
          <w:b/>
          <w:color w:val="auto"/>
          <w:sz w:val="24"/>
        </w:rPr>
      </w:pPr>
    </w:p>
    <w:p w14:paraId="38F728BB">
      <w:pPr>
        <w:spacing w:line="480" w:lineRule="auto"/>
        <w:jc w:val="center"/>
        <w:rPr>
          <w:rFonts w:hint="eastAsia" w:asciiTheme="minorEastAsia" w:hAnsiTheme="minorEastAsia" w:eastAsiaTheme="minorEastAsia" w:cstheme="minorEastAsia"/>
          <w:b/>
          <w:color w:val="auto"/>
          <w:sz w:val="24"/>
        </w:rPr>
      </w:pPr>
    </w:p>
    <w:p w14:paraId="403E656E">
      <w:pPr>
        <w:spacing w:line="480" w:lineRule="auto"/>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lang w:eastAsia="zh-CN"/>
        </w:rPr>
        <w:t>采购</w:t>
      </w:r>
      <w:r>
        <w:rPr>
          <w:rFonts w:hint="eastAsia" w:asciiTheme="minorEastAsia" w:hAnsiTheme="minorEastAsia" w:eastAsiaTheme="minorEastAsia" w:cstheme="minorEastAsia"/>
          <w:b/>
          <w:color w:val="auto"/>
          <w:sz w:val="36"/>
          <w:szCs w:val="36"/>
        </w:rPr>
        <w:t>合同参考范本</w:t>
      </w:r>
    </w:p>
    <w:p w14:paraId="0D30718B">
      <w:pPr>
        <w:spacing w:line="480" w:lineRule="auto"/>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（货物类）</w:t>
      </w:r>
    </w:p>
    <w:p w14:paraId="20BFE544">
      <w:pPr>
        <w:pStyle w:val="79"/>
        <w:rPr>
          <w:rFonts w:hint="eastAsia" w:asciiTheme="minorEastAsia" w:hAnsiTheme="minorEastAsia" w:eastAsiaTheme="minorEastAsia" w:cstheme="minorEastAsia"/>
          <w:color w:val="auto"/>
          <w:szCs w:val="24"/>
        </w:rPr>
      </w:pPr>
    </w:p>
    <w:p w14:paraId="6061F963">
      <w:pPr>
        <w:pStyle w:val="79"/>
        <w:rPr>
          <w:rFonts w:hint="eastAsia" w:asciiTheme="minorEastAsia" w:hAnsiTheme="minorEastAsia" w:eastAsiaTheme="minorEastAsia" w:cstheme="minorEastAsia"/>
          <w:color w:val="auto"/>
          <w:szCs w:val="24"/>
        </w:rPr>
      </w:pPr>
    </w:p>
    <w:p w14:paraId="165CF937">
      <w:pPr>
        <w:pStyle w:val="79"/>
        <w:jc w:val="center"/>
        <w:rPr>
          <w:rFonts w:hint="eastAsia" w:asciiTheme="minorEastAsia" w:hAnsiTheme="minorEastAsia" w:eastAsiaTheme="minorEastAsia" w:cstheme="minorEastAsia"/>
          <w:color w:val="auto"/>
          <w:szCs w:val="24"/>
        </w:rPr>
      </w:pPr>
    </w:p>
    <w:p w14:paraId="60B1DA2B">
      <w:pPr>
        <w:pStyle w:val="79"/>
        <w:ind w:firstLine="2843" w:firstLineChars="118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第一部分 合同书</w:t>
      </w:r>
    </w:p>
    <w:p w14:paraId="05A42AA2">
      <w:pPr>
        <w:pStyle w:val="79"/>
        <w:rPr>
          <w:rFonts w:hint="eastAsia" w:asciiTheme="minorEastAsia" w:hAnsiTheme="minorEastAsia" w:eastAsiaTheme="minorEastAsia" w:cstheme="minorEastAsia"/>
          <w:color w:val="auto"/>
          <w:szCs w:val="24"/>
        </w:rPr>
      </w:pPr>
    </w:p>
    <w:p w14:paraId="4D95E7B8">
      <w:pPr>
        <w:pStyle w:val="79"/>
        <w:rPr>
          <w:rFonts w:hint="eastAsia" w:asciiTheme="minorEastAsia" w:hAnsiTheme="minorEastAsia" w:eastAsiaTheme="minorEastAsia" w:cstheme="minorEastAsia"/>
          <w:color w:val="auto"/>
          <w:szCs w:val="24"/>
        </w:rPr>
      </w:pPr>
    </w:p>
    <w:p w14:paraId="117FFBDA">
      <w:pPr>
        <w:spacing w:before="120" w:line="22" w:lineRule="atLeast"/>
        <w:rPr>
          <w:rFonts w:hint="eastAsia" w:asciiTheme="minorEastAsia" w:hAnsiTheme="minorEastAsia" w:eastAsiaTheme="minorEastAsia" w:cstheme="minorEastAsia"/>
          <w:color w:val="auto"/>
          <w:sz w:val="24"/>
        </w:rPr>
      </w:pPr>
    </w:p>
    <w:p w14:paraId="2E26976D">
      <w:pPr>
        <w:spacing w:before="120" w:line="22" w:lineRule="atLeast"/>
        <w:ind w:left="96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10B69BCC">
      <w:pPr>
        <w:pStyle w:val="597"/>
        <w:spacing w:before="120" w:line="22" w:lineRule="atLeast"/>
        <w:rPr>
          <w:rFonts w:hint="eastAsia" w:asciiTheme="minorEastAsia" w:hAnsiTheme="minorEastAsia" w:eastAsiaTheme="minorEastAsia" w:cstheme="minorEastAsia"/>
          <w:color w:val="auto"/>
          <w:szCs w:val="24"/>
        </w:rPr>
      </w:pPr>
    </w:p>
    <w:p w14:paraId="3FE47F8E">
      <w:pPr>
        <w:pStyle w:val="597"/>
        <w:spacing w:before="120" w:line="22" w:lineRule="atLeast"/>
        <w:rPr>
          <w:rFonts w:hint="eastAsia" w:asciiTheme="minorEastAsia" w:hAnsiTheme="minorEastAsia" w:eastAsiaTheme="minorEastAsia" w:cstheme="minorEastAsia"/>
          <w:color w:val="auto"/>
          <w:szCs w:val="24"/>
        </w:rPr>
      </w:pPr>
    </w:p>
    <w:p w14:paraId="7CE8277C">
      <w:pPr>
        <w:rPr>
          <w:rFonts w:hint="eastAsia" w:asciiTheme="minorEastAsia" w:hAnsiTheme="minorEastAsia" w:eastAsiaTheme="minorEastAsia" w:cstheme="minorEastAsia"/>
          <w:color w:val="auto"/>
          <w:sz w:val="24"/>
        </w:rPr>
      </w:pPr>
    </w:p>
    <w:p w14:paraId="28C3A2EF">
      <w:pPr>
        <w:spacing w:before="120" w:line="22" w:lineRule="atLeast"/>
        <w:ind w:left="96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u w:val="single"/>
        </w:rPr>
        <w:t xml:space="preserve">                                       </w:t>
      </w:r>
    </w:p>
    <w:p w14:paraId="58523D1E">
      <w:pPr>
        <w:spacing w:before="120" w:line="22" w:lineRule="atLeast"/>
        <w:rPr>
          <w:rFonts w:hint="eastAsia" w:asciiTheme="minorEastAsia" w:hAnsiTheme="minorEastAsia" w:eastAsiaTheme="minorEastAsia" w:cstheme="minorEastAsia"/>
          <w:color w:val="auto"/>
          <w:sz w:val="24"/>
        </w:rPr>
      </w:pPr>
    </w:p>
    <w:p w14:paraId="42F945BD">
      <w:pPr>
        <w:spacing w:before="120" w:line="22" w:lineRule="atLeast"/>
        <w:ind w:left="96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乙方：</w:t>
      </w:r>
      <w:r>
        <w:rPr>
          <w:rFonts w:hint="eastAsia" w:asciiTheme="minorEastAsia" w:hAnsiTheme="minorEastAsia" w:eastAsiaTheme="minorEastAsia" w:cstheme="minorEastAsia"/>
          <w:color w:val="auto"/>
          <w:sz w:val="24"/>
          <w:u w:val="single"/>
        </w:rPr>
        <w:t xml:space="preserve">                                       </w:t>
      </w:r>
    </w:p>
    <w:p w14:paraId="66708D6D">
      <w:pPr>
        <w:spacing w:before="120" w:line="22" w:lineRule="atLeast"/>
        <w:rPr>
          <w:rFonts w:hint="eastAsia" w:asciiTheme="minorEastAsia" w:hAnsiTheme="minorEastAsia" w:eastAsiaTheme="minorEastAsia" w:cstheme="minorEastAsia"/>
          <w:color w:val="auto"/>
          <w:sz w:val="24"/>
        </w:rPr>
      </w:pPr>
    </w:p>
    <w:p w14:paraId="5E1D7355">
      <w:pPr>
        <w:spacing w:before="120" w:line="22" w:lineRule="atLeast"/>
        <w:ind w:firstLine="960" w:firstLineChars="4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签订地：</w:t>
      </w:r>
      <w:r>
        <w:rPr>
          <w:rFonts w:hint="eastAsia" w:asciiTheme="minorEastAsia" w:hAnsiTheme="minorEastAsia" w:eastAsiaTheme="minorEastAsia" w:cstheme="minorEastAsia"/>
          <w:color w:val="auto"/>
          <w:sz w:val="24"/>
          <w:u w:val="single"/>
        </w:rPr>
        <w:t xml:space="preserve">                                     </w:t>
      </w:r>
    </w:p>
    <w:p w14:paraId="30110541">
      <w:pPr>
        <w:spacing w:before="120" w:line="22" w:lineRule="atLeast"/>
        <w:rPr>
          <w:rFonts w:hint="eastAsia" w:asciiTheme="minorEastAsia" w:hAnsiTheme="minorEastAsia" w:eastAsiaTheme="minorEastAsia" w:cstheme="minorEastAsia"/>
          <w:color w:val="auto"/>
          <w:sz w:val="24"/>
        </w:rPr>
      </w:pPr>
    </w:p>
    <w:p w14:paraId="7DDC1095">
      <w:pPr>
        <w:spacing w:before="120" w:line="22" w:lineRule="atLeast"/>
        <w:ind w:firstLine="960" w:firstLineChars="4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14:paraId="13BAB1EA">
      <w:pPr>
        <w:widowControl/>
        <w:jc w:val="left"/>
        <w:rPr>
          <w:rFonts w:hint="eastAsia" w:asciiTheme="minorEastAsia" w:hAnsiTheme="minorEastAsia" w:eastAsiaTheme="minorEastAsia" w:cstheme="minorEastAsia"/>
          <w:color w:val="auto"/>
          <w:kern w:val="0"/>
          <w:sz w:val="24"/>
        </w:rPr>
        <w:sectPr>
          <w:headerReference r:id="rId3" w:type="default"/>
          <w:footerReference r:id="rId4" w:type="default"/>
          <w:pgSz w:w="11907" w:h="16840"/>
          <w:pgMar w:top="1417" w:right="1250" w:bottom="1417" w:left="1417" w:header="851" w:footer="851" w:gutter="0"/>
          <w:pgNumType w:fmt="decimal" w:start="1"/>
          <w:cols w:space="720" w:num="1"/>
        </w:sectPr>
      </w:pPr>
    </w:p>
    <w:p w14:paraId="0F7D5A1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年</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月</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日</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（采购人）   </w:t>
      </w:r>
      <w:r>
        <w:rPr>
          <w:rFonts w:hint="eastAsia" w:asciiTheme="minorEastAsia" w:hAnsiTheme="minorEastAsia" w:eastAsiaTheme="minorEastAsia" w:cstheme="minorEastAsia"/>
          <w:color w:val="auto"/>
          <w:sz w:val="24"/>
        </w:rPr>
        <w:t>以</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采购</w:t>
      </w:r>
      <w:r>
        <w:rPr>
          <w:rFonts w:hint="eastAsia" w:asciiTheme="minorEastAsia" w:hAnsiTheme="minorEastAsia" w:eastAsiaTheme="minorEastAsia" w:cstheme="minorEastAsia"/>
          <w:color w:val="auto"/>
          <w:sz w:val="24"/>
          <w:u w:val="single"/>
        </w:rPr>
        <w:t xml:space="preserve">方式）  </w:t>
      </w:r>
      <w:r>
        <w:rPr>
          <w:rFonts w:hint="eastAsia" w:asciiTheme="minorEastAsia" w:hAnsiTheme="minorEastAsia" w:eastAsiaTheme="minorEastAsia" w:cstheme="minorEastAsia"/>
          <w:color w:val="auto"/>
          <w:sz w:val="24"/>
        </w:rPr>
        <w:t>对</w:t>
      </w:r>
      <w:r>
        <w:rPr>
          <w:rFonts w:hint="eastAsia" w:asciiTheme="minorEastAsia" w:hAnsiTheme="minorEastAsia" w:eastAsiaTheme="minorEastAsia" w:cstheme="minorEastAsia"/>
          <w:color w:val="auto"/>
          <w:sz w:val="24"/>
          <w:u w:val="single"/>
        </w:rPr>
        <w:t xml:space="preserve">   （项目名称、编号）   </w:t>
      </w:r>
      <w:r>
        <w:rPr>
          <w:rFonts w:hint="eastAsia" w:asciiTheme="minorEastAsia" w:hAnsiTheme="minorEastAsia" w:eastAsiaTheme="minorEastAsia" w:cstheme="minorEastAsia"/>
          <w:color w:val="auto"/>
          <w:sz w:val="24"/>
        </w:rPr>
        <w:t>项目进行了采购。经</w:t>
      </w:r>
      <w:r>
        <w:rPr>
          <w:rFonts w:hint="eastAsia" w:asciiTheme="minorEastAsia" w:hAnsiTheme="minorEastAsia" w:eastAsiaTheme="minorEastAsia" w:cstheme="minorEastAsia"/>
          <w:color w:val="auto"/>
          <w:sz w:val="24"/>
          <w:u w:val="single"/>
        </w:rPr>
        <w:t xml:space="preserve">   （相关评定主体名称）   </w:t>
      </w:r>
      <w:r>
        <w:rPr>
          <w:rFonts w:hint="eastAsia" w:asciiTheme="minorEastAsia" w:hAnsiTheme="minorEastAsia" w:eastAsiaTheme="minorEastAsia" w:cstheme="minorEastAsia"/>
          <w:color w:val="auto"/>
          <w:sz w:val="24"/>
        </w:rPr>
        <w:t>评定，</w:t>
      </w:r>
      <w:r>
        <w:rPr>
          <w:rFonts w:hint="eastAsia" w:asciiTheme="minorEastAsia" w:hAnsiTheme="minorEastAsia" w:eastAsiaTheme="minorEastAsia" w:cstheme="minorEastAsia"/>
          <w:color w:val="auto"/>
          <w:sz w:val="24"/>
          <w:u w:val="single"/>
        </w:rPr>
        <w:t xml:space="preserve">   （中标或者成交供应商名称）</w:t>
      </w:r>
      <w:r>
        <w:rPr>
          <w:rFonts w:hint="eastAsia" w:asciiTheme="minorEastAsia" w:hAnsiTheme="minorEastAsia" w:eastAsiaTheme="minorEastAsia" w:cstheme="minorEastAsia"/>
          <w:color w:val="auto"/>
          <w:sz w:val="24"/>
        </w:rPr>
        <w:t>为该项目中标或者成交供应商。现于中标或者成交通知书发出之日起10个工作日内，按照采购文件等确定的事项签订本合同。</w:t>
      </w:r>
    </w:p>
    <w:p w14:paraId="62054F3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auto"/>
          <w:sz w:val="24"/>
          <w:u w:val="single"/>
        </w:rPr>
        <w:t xml:space="preserve">   （采购人）   </w:t>
      </w:r>
      <w:r>
        <w:rPr>
          <w:rFonts w:hint="eastAsia" w:asciiTheme="minorEastAsia" w:hAnsiTheme="minorEastAsia" w:eastAsiaTheme="minorEastAsia" w:cstheme="minorEastAsia"/>
          <w:color w:val="auto"/>
          <w:sz w:val="24"/>
          <w:lang w:val="zh-CN"/>
        </w:rPr>
        <w:t>(以下简称：甲方)和</w:t>
      </w:r>
      <w:r>
        <w:rPr>
          <w:rFonts w:hint="eastAsia" w:asciiTheme="minorEastAsia" w:hAnsiTheme="minorEastAsia" w:eastAsiaTheme="minorEastAsia" w:cstheme="minorEastAsia"/>
          <w:color w:val="auto"/>
          <w:sz w:val="24"/>
          <w:u w:val="single"/>
        </w:rPr>
        <w:t xml:space="preserve">   （中标或者成交供应商名称）   </w:t>
      </w:r>
      <w:r>
        <w:rPr>
          <w:rFonts w:hint="eastAsia" w:asciiTheme="minorEastAsia" w:hAnsiTheme="minorEastAsia" w:eastAsiaTheme="minorEastAsia" w:cstheme="minorEastAsia"/>
          <w:color w:val="auto"/>
          <w:sz w:val="24"/>
          <w:lang w:val="zh-CN"/>
        </w:rPr>
        <w:t>(以下简称：乙方)协商一致，约定以下合同</w:t>
      </w:r>
      <w:r>
        <w:rPr>
          <w:rFonts w:hint="eastAsia" w:asciiTheme="minorEastAsia" w:hAnsiTheme="minorEastAsia" w:eastAsiaTheme="minorEastAsia" w:cstheme="minorEastAsia"/>
          <w:color w:val="auto"/>
          <w:sz w:val="24"/>
        </w:rPr>
        <w:t>条款，以兹共同遵守、全面履行。</w:t>
      </w:r>
    </w:p>
    <w:p w14:paraId="415A5EA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85" w:name="_Toc3029"/>
      <w:bookmarkStart w:id="386" w:name="_Toc2232"/>
      <w:bookmarkStart w:id="387" w:name="_Toc24059"/>
      <w:r>
        <w:rPr>
          <w:rFonts w:hint="eastAsia" w:asciiTheme="minorEastAsia" w:hAnsiTheme="minorEastAsia" w:eastAsiaTheme="minorEastAsia" w:cstheme="minorEastAsia"/>
          <w:b/>
          <w:color w:val="auto"/>
          <w:sz w:val="24"/>
        </w:rPr>
        <w:t>1.1 合同组成部分</w:t>
      </w:r>
      <w:bookmarkEnd w:id="385"/>
      <w:bookmarkEnd w:id="386"/>
      <w:bookmarkEnd w:id="387"/>
    </w:p>
    <w:p w14:paraId="0504730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F0E56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本合同及其补充合同、变更协议；</w:t>
      </w:r>
    </w:p>
    <w:p w14:paraId="1C9A2D1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 中标或者成交通知书；</w:t>
      </w:r>
    </w:p>
    <w:p w14:paraId="694C997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 投标或者响应文件（含澄清或者说明文件）；</w:t>
      </w:r>
    </w:p>
    <w:p w14:paraId="2484B14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1.1.4 采购文件（含澄清或者修改文件）；</w:t>
      </w:r>
    </w:p>
    <w:p w14:paraId="6D60853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1.1.5 其他相关采购文件。</w:t>
      </w:r>
    </w:p>
    <w:p w14:paraId="551E2A2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88" w:name="_Toc21295"/>
      <w:bookmarkStart w:id="389" w:name="_Toc27126"/>
      <w:bookmarkStart w:id="390" w:name="_Toc24300"/>
      <w:r>
        <w:rPr>
          <w:rFonts w:hint="eastAsia" w:asciiTheme="minorEastAsia" w:hAnsiTheme="minorEastAsia" w:eastAsiaTheme="minorEastAsia" w:cstheme="minorEastAsia"/>
          <w:b/>
          <w:color w:val="auto"/>
          <w:sz w:val="24"/>
        </w:rPr>
        <w:t>1.2 货物</w:t>
      </w:r>
      <w:bookmarkEnd w:id="388"/>
      <w:bookmarkEnd w:id="389"/>
      <w:bookmarkEnd w:id="390"/>
    </w:p>
    <w:p w14:paraId="6CDD796D">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1.2.1 货物名称、品牌、规格型号、花色：</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1690F762">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1.2.2 货物数量：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28BBB347">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1.2.3 货物质量：</w:t>
      </w:r>
      <w:r>
        <w:rPr>
          <w:rFonts w:hint="eastAsia" w:asciiTheme="minorEastAsia" w:hAnsiTheme="minorEastAsia" w:eastAsiaTheme="minorEastAsia" w:cstheme="minorEastAsia"/>
          <w:color w:val="auto"/>
          <w:sz w:val="24"/>
          <w:u w:val="single"/>
        </w:rPr>
        <w:t>　　　　　　　　　                      　      ；</w:t>
      </w:r>
    </w:p>
    <w:p w14:paraId="626F4342">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91" w:name="_Toc23292"/>
      <w:bookmarkStart w:id="392" w:name="_Toc21631"/>
      <w:bookmarkStart w:id="393" w:name="_Toc21551"/>
      <w:r>
        <w:rPr>
          <w:rFonts w:hint="eastAsia" w:asciiTheme="minorEastAsia" w:hAnsiTheme="minorEastAsia" w:eastAsiaTheme="minorEastAsia" w:cstheme="minorEastAsia"/>
          <w:b/>
          <w:color w:val="auto"/>
          <w:sz w:val="24"/>
        </w:rPr>
        <w:t>1.3 价款</w:t>
      </w:r>
      <w:bookmarkEnd w:id="391"/>
      <w:bookmarkEnd w:id="392"/>
      <w:bookmarkEnd w:id="393"/>
    </w:p>
    <w:p w14:paraId="55E6B8C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本合同总价（含税）为：￥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元人民币）。</w:t>
      </w:r>
    </w:p>
    <w:p w14:paraId="6DD2E67E">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46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E51509F">
            <w:pPr>
              <w:pStyle w:val="318"/>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713007D">
            <w:pPr>
              <w:pStyle w:val="318"/>
              <w:spacing w:line="560" w:lineRule="exact"/>
              <w:ind w:firstLine="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49735CE">
            <w:pPr>
              <w:pStyle w:val="318"/>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分项价格</w:t>
            </w:r>
          </w:p>
        </w:tc>
      </w:tr>
      <w:tr w14:paraId="11EF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14F09D9">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F61BE32">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5CCD36">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75B6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3F8B002">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7B842E1">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120F77">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10E3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4F27EA">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7915BFE">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0E83122">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7E37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88F211A">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0AFCADB">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058342">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2200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34DFE3F">
            <w:pPr>
              <w:pStyle w:val="318"/>
              <w:spacing w:line="560" w:lineRule="exact"/>
              <w:ind w:firstLine="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A0A907">
            <w:pPr>
              <w:pStyle w:val="318"/>
              <w:spacing w:line="560" w:lineRule="exact"/>
              <w:ind w:firstLine="200"/>
              <w:jc w:val="center"/>
              <w:rPr>
                <w:rFonts w:hint="eastAsia" w:asciiTheme="minorEastAsia" w:hAnsiTheme="minorEastAsia" w:eastAsiaTheme="minorEastAsia" w:cstheme="minorEastAsia"/>
                <w:color w:val="auto"/>
                <w:sz w:val="24"/>
                <w:szCs w:val="24"/>
              </w:rPr>
            </w:pPr>
          </w:p>
        </w:tc>
      </w:tr>
    </w:tbl>
    <w:p w14:paraId="277EDD58">
      <w:pPr>
        <w:pStyle w:val="957"/>
        <w:spacing w:before="0" w:beforeAutospacing="0" w:after="0" w:afterAutospacing="0" w:line="360" w:lineRule="auto"/>
        <w:ind w:firstLine="480"/>
        <w:rPr>
          <w:rFonts w:hint="eastAsia" w:asciiTheme="minorEastAsia" w:hAnsiTheme="minorEastAsia" w:eastAsiaTheme="minorEastAsia" w:cstheme="minorEastAsia"/>
          <w:b/>
          <w:color w:val="auto"/>
        </w:rPr>
      </w:pPr>
      <w:bookmarkStart w:id="394" w:name="_Toc10340"/>
      <w:bookmarkStart w:id="395" w:name="_Toc1814"/>
      <w:bookmarkStart w:id="396" w:name="_Toc22618"/>
      <w:r>
        <w:rPr>
          <w:rFonts w:hint="eastAsia" w:asciiTheme="minorEastAsia" w:hAnsiTheme="minorEastAsia" w:eastAsiaTheme="minorEastAsia" w:cstheme="minorEastAsia"/>
          <w:b/>
          <w:color w:val="auto"/>
        </w:rPr>
        <w:t>1.4履约保证金</w:t>
      </w:r>
    </w:p>
    <w:p w14:paraId="68D21858">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（是/否）需要支付履约保证金。若需要支付履约保证金的，则：</w:t>
      </w:r>
    </w:p>
    <w:p w14:paraId="60023FF9">
      <w:pPr>
        <w:spacing w:line="560" w:lineRule="exact"/>
        <w:ind w:firstLine="480" w:firstLineChars="200"/>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1.4.1履约保证金的比例为合同金额的</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6EAAD596">
      <w:pPr>
        <w:spacing w:line="560" w:lineRule="exact"/>
        <w:ind w:firstLine="480" w:firstLineChars="200"/>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1.4.2履约保证金支付方式详见</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0D3A5D65">
      <w:pPr>
        <w:pStyle w:val="3"/>
        <w:tabs>
          <w:tab w:val="left" w:pos="0"/>
          <w:tab w:val="clear" w:pos="432"/>
        </w:tabs>
        <w:spacing w:line="560" w:lineRule="exact"/>
        <w:ind w:left="0" w:firstLine="480" w:firstLineChars="2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E945A7">
      <w:pPr>
        <w:spacing w:line="560" w:lineRule="exact"/>
        <w:ind w:firstLine="480" w:firstLineChars="200"/>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1.4.4 甲方在项目验收结束后及时退还履约保证金。甲方在项目通过验收之日起</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u w:val="single"/>
        </w:rPr>
        <w:t xml:space="preserve">  0.05（可根据情况修改）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%计算，最高限额为本合同履约保证金的</w:t>
      </w:r>
      <w:r>
        <w:rPr>
          <w:rFonts w:hint="eastAsia" w:asciiTheme="minorEastAsia" w:hAnsiTheme="minorEastAsia" w:eastAsiaTheme="minorEastAsia" w:cstheme="minorEastAsia"/>
          <w:color w:val="auto"/>
          <w:kern w:val="0"/>
          <w:sz w:val="24"/>
          <w:u w:val="single"/>
        </w:rPr>
        <w:t xml:space="preserve">  20  </w:t>
      </w:r>
      <w:r>
        <w:rPr>
          <w:rFonts w:hint="eastAsia" w:asciiTheme="minorEastAsia" w:hAnsiTheme="minorEastAsia" w:eastAsiaTheme="minorEastAsia" w:cstheme="minorEastAsia"/>
          <w:color w:val="auto"/>
          <w:kern w:val="0"/>
          <w:sz w:val="24"/>
        </w:rPr>
        <w:t xml:space="preserve"> %。</w:t>
      </w:r>
    </w:p>
    <w:p w14:paraId="614086DB">
      <w:pPr>
        <w:spacing w:line="560" w:lineRule="exact"/>
        <w:ind w:firstLine="482" w:firstLineChars="200"/>
        <w:outlineLvl w:val="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1.5</w:t>
      </w:r>
      <w:bookmarkEnd w:id="394"/>
      <w:bookmarkEnd w:id="395"/>
      <w:bookmarkEnd w:id="396"/>
      <w:r>
        <w:rPr>
          <w:rFonts w:hint="eastAsia" w:asciiTheme="minorEastAsia" w:hAnsiTheme="minorEastAsia" w:eastAsiaTheme="minorEastAsia" w:cstheme="minorEastAsia"/>
          <w:b/>
          <w:color w:val="auto"/>
          <w:sz w:val="24"/>
        </w:rPr>
        <w:t>预付款</w:t>
      </w:r>
    </w:p>
    <w:p w14:paraId="041D2FBC">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（是/否）需要支付预付款。若需要支付预付款的，则：</w:t>
      </w:r>
    </w:p>
    <w:p w14:paraId="5563B875">
      <w:pPr>
        <w:spacing w:line="56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1.5.1预付款比例、支付方式、时间详见</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7AC04CF5">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1.5.2预付款的扣回方式详见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i/>
          <w:color w:val="auto"/>
          <w:u w:val="single"/>
        </w:rPr>
        <w:t>合同专用条款</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9079BA0">
      <w:pPr>
        <w:pStyle w:val="957"/>
        <w:spacing w:before="0" w:beforeAutospacing="0" w:after="0" w:afterAutospacing="0" w:line="360" w:lineRule="auto"/>
        <w:ind w:firstLine="48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1.5.3预付款的担保措施详见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i/>
          <w:color w:val="auto"/>
          <w:u w:val="single"/>
        </w:rPr>
        <w:t>合同专用条款</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DB386AE">
      <w:pPr>
        <w:pStyle w:val="957"/>
        <w:spacing w:before="0" w:beforeAutospacing="0" w:after="0" w:afterAutospacing="0" w:line="360" w:lineRule="auto"/>
        <w:ind w:firstLine="48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1.6资金支付</w:t>
      </w:r>
    </w:p>
    <w:p w14:paraId="10DC1EB2">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594A86">
      <w:pPr>
        <w:spacing w:line="560" w:lineRule="exact"/>
        <w:ind w:firstLine="480" w:firstLineChars="200"/>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1.6.2资金支付的方式、时间和条件详见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ABF6F89">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97" w:name="_Toc32071"/>
      <w:bookmarkStart w:id="398" w:name="_Toc2846"/>
      <w:bookmarkStart w:id="399" w:name="_Toc19304"/>
      <w:r>
        <w:rPr>
          <w:rFonts w:hint="eastAsia" w:asciiTheme="minorEastAsia" w:hAnsiTheme="minorEastAsia" w:eastAsiaTheme="minorEastAsia" w:cstheme="minorEastAsia"/>
          <w:b/>
          <w:color w:val="auto"/>
          <w:sz w:val="24"/>
        </w:rPr>
        <w:t>1.7货物交付期限、地点和方式</w:t>
      </w:r>
      <w:bookmarkEnd w:id="397"/>
      <w:bookmarkEnd w:id="398"/>
      <w:bookmarkEnd w:id="399"/>
    </w:p>
    <w:p w14:paraId="7F5EC09A">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1.7.1 交付期限：详见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915100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 交付地点：</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673C477C">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 交付方式：</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536869C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0" w:name="_Toc19554"/>
      <w:bookmarkStart w:id="401" w:name="_Toc21423"/>
      <w:bookmarkStart w:id="402" w:name="_Toc27250"/>
      <w:r>
        <w:rPr>
          <w:rFonts w:hint="eastAsia" w:asciiTheme="minorEastAsia" w:hAnsiTheme="minorEastAsia" w:eastAsiaTheme="minorEastAsia" w:cstheme="minorEastAsia"/>
          <w:b/>
          <w:color w:val="auto"/>
          <w:sz w:val="24"/>
        </w:rPr>
        <w:t>1.8违约责任</w:t>
      </w:r>
      <w:bookmarkEnd w:id="400"/>
      <w:bookmarkEnd w:id="401"/>
      <w:bookmarkEnd w:id="402"/>
    </w:p>
    <w:p w14:paraId="70556FF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color w:val="auto"/>
          <w:sz w:val="24"/>
          <w:u w:val="single"/>
        </w:rPr>
        <w:t xml:space="preserve">  0.05</w:t>
      </w:r>
      <w:r>
        <w:rPr>
          <w:rFonts w:hint="eastAsia" w:asciiTheme="minorEastAsia" w:hAnsiTheme="minorEastAsia" w:eastAsiaTheme="minorEastAsia" w:cstheme="minorEastAsia"/>
          <w:color w:val="auto"/>
          <w:kern w:val="0"/>
          <w:sz w:val="24"/>
          <w:u w:val="single"/>
        </w:rPr>
        <w:t>（可根据情况修改）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%计算，最高限额为本合同总价的</w:t>
      </w:r>
      <w:r>
        <w:rPr>
          <w:rFonts w:hint="eastAsia" w:asciiTheme="minorEastAsia" w:hAnsiTheme="minorEastAsia" w:eastAsiaTheme="minorEastAsia" w:cstheme="minorEastAsia"/>
          <w:color w:val="auto"/>
          <w:sz w:val="24"/>
          <w:u w:val="single"/>
        </w:rPr>
        <w:t xml:space="preserve"> 20   </w:t>
      </w:r>
      <w:r>
        <w:rPr>
          <w:rFonts w:hint="eastAsia" w:asciiTheme="minorEastAsia" w:hAnsiTheme="minorEastAsia" w:eastAsiaTheme="minorEastAsia" w:cstheme="minorEastAsia"/>
          <w:color w:val="auto"/>
          <w:sz w:val="24"/>
        </w:rPr>
        <w:t>%；迟延交付货物的违约金计算数额达到前述最高限额之日起，甲方有权在要求乙方支付违约金的同时，书面通知乙方解除本合同；</w:t>
      </w:r>
    </w:p>
    <w:p w14:paraId="5F6F383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u w:val="single"/>
        </w:rPr>
        <w:t xml:space="preserve"> 0.05</w:t>
      </w:r>
      <w:r>
        <w:rPr>
          <w:rFonts w:hint="eastAsia" w:asciiTheme="minorEastAsia" w:hAnsiTheme="minorEastAsia" w:eastAsiaTheme="minorEastAsia" w:cstheme="minorEastAsia"/>
          <w:color w:val="auto"/>
          <w:kern w:val="0"/>
          <w:sz w:val="24"/>
          <w:u w:val="single"/>
        </w:rPr>
        <w:t>（可根据情况修改）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%计算，最高限额为本合同总价的</w:t>
      </w:r>
      <w:r>
        <w:rPr>
          <w:rFonts w:hint="eastAsia" w:asciiTheme="minorEastAsia" w:hAnsiTheme="minorEastAsia" w:eastAsiaTheme="minorEastAsia" w:cstheme="minorEastAsia"/>
          <w:color w:val="auto"/>
          <w:sz w:val="24"/>
          <w:u w:val="single"/>
        </w:rPr>
        <w:t xml:space="preserve">   20   </w:t>
      </w:r>
      <w:r>
        <w:rPr>
          <w:rFonts w:hint="eastAsia" w:asciiTheme="minorEastAsia" w:hAnsiTheme="minorEastAsia" w:eastAsiaTheme="minorEastAsia" w:cstheme="minorEastAsia"/>
          <w:color w:val="auto"/>
          <w:sz w:val="24"/>
        </w:rPr>
        <w:t>%；迟延付款的违约金计算数额达到前述最高限额之日起，乙方有权在要求甲方支付违约金的同时，书面通知甲方解除本合同；</w:t>
      </w:r>
    </w:p>
    <w:p w14:paraId="1E7B78C0">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921E0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AFBC7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1.8.5如果出现</w:t>
      </w:r>
      <w:r>
        <w:rPr>
          <w:rFonts w:hint="eastAsia" w:asciiTheme="minorEastAsia" w:hAnsiTheme="minorEastAsia" w:eastAsiaTheme="minorEastAsia" w:cstheme="minorEastAsia"/>
          <w:color w:val="auto"/>
          <w:sz w:val="24"/>
          <w:lang w:eastAsia="zh-CN"/>
        </w:rPr>
        <w:t>采购</w:t>
      </w:r>
      <w:r>
        <w:rPr>
          <w:rFonts w:hint="eastAsia" w:asciiTheme="minorEastAsia" w:hAnsiTheme="minorEastAsia" w:eastAsiaTheme="minorEastAsia" w:cstheme="minorEastAsia"/>
          <w:color w:val="auto"/>
          <w:sz w:val="24"/>
        </w:rPr>
        <w:t>监督管理部门在处理投诉事项期间，书面通知甲方暂停采购活动的情形，或者询问或质疑事项可能影响中标或者成交结果的，导致甲方中止履行合同的情形，均不视为甲方违约。</w:t>
      </w:r>
    </w:p>
    <w:p w14:paraId="7504C0A5">
      <w:pPr>
        <w:spacing w:line="560" w:lineRule="exact"/>
        <w:ind w:left="-420" w:leftChars="-200" w:right="-420" w:rightChars="-200" w:firstLine="960" w:firstLineChars="4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1.8.6违约责任</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另有约定的，从其约定。</w:t>
      </w:r>
    </w:p>
    <w:p w14:paraId="0DB0BB1E">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3" w:name="_Toc15583"/>
      <w:bookmarkStart w:id="404" w:name="_Toc16021"/>
      <w:bookmarkStart w:id="405" w:name="_Toc28375"/>
      <w:r>
        <w:rPr>
          <w:rFonts w:hint="eastAsia" w:asciiTheme="minorEastAsia" w:hAnsiTheme="minorEastAsia" w:eastAsiaTheme="minorEastAsia" w:cstheme="minorEastAsia"/>
          <w:b/>
          <w:color w:val="auto"/>
          <w:sz w:val="24"/>
        </w:rPr>
        <w:t>1.9合同争议的解决</w:t>
      </w:r>
      <w:bookmarkEnd w:id="403"/>
      <w:bookmarkEnd w:id="404"/>
      <w:bookmarkEnd w:id="405"/>
    </w:p>
    <w:p w14:paraId="127F725B">
      <w:pPr>
        <w:spacing w:line="560" w:lineRule="exact"/>
        <w:ind w:left="-61" w:leftChars="-29" w:right="-420" w:rightChars="-200"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u w:val="single"/>
        </w:rPr>
        <w:t xml:space="preserve">      </w:t>
      </w:r>
      <w:r>
        <w:rPr>
          <w:rFonts w:hint="eastAsia" w:asciiTheme="minorEastAsia" w:hAnsiTheme="minorEastAsia" w:eastAsiaTheme="minorEastAsia" w:cstheme="minorEastAsia"/>
          <w:color w:val="auto"/>
          <w:sz w:val="24"/>
        </w:rPr>
        <w:t>条款规定的方式解决：</w:t>
      </w:r>
    </w:p>
    <w:p w14:paraId="263B0B13">
      <w:pPr>
        <w:spacing w:line="560" w:lineRule="exact"/>
        <w:ind w:left="-420" w:leftChars="-200" w:right="-420" w:rightChars="-200" w:firstLine="840" w:firstLineChars="3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 将争议提交</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仲裁委员会依申请仲裁时其现行有效的仲裁规则裁决；</w:t>
      </w:r>
    </w:p>
    <w:p w14:paraId="2ABAD1A8">
      <w:pPr>
        <w:spacing w:line="560" w:lineRule="exact"/>
        <w:ind w:left="-420" w:leftChars="-200" w:right="-420" w:rightChars="-200" w:firstLine="840" w:firstLineChars="3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 向</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人民法院起诉。</w:t>
      </w:r>
    </w:p>
    <w:p w14:paraId="619E69F5">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6" w:name="_Toc11173"/>
      <w:bookmarkStart w:id="407" w:name="_Toc7245"/>
      <w:bookmarkStart w:id="408" w:name="_Toc15322"/>
      <w:r>
        <w:rPr>
          <w:rFonts w:hint="eastAsia" w:asciiTheme="minorEastAsia" w:hAnsiTheme="minorEastAsia" w:eastAsiaTheme="minorEastAsia" w:cstheme="minorEastAsia"/>
          <w:b/>
          <w:color w:val="auto"/>
          <w:sz w:val="24"/>
        </w:rPr>
        <w:t>2.0 合同生效</w:t>
      </w:r>
      <w:bookmarkEnd w:id="406"/>
      <w:bookmarkEnd w:id="407"/>
      <w:bookmarkEnd w:id="408"/>
    </w:p>
    <w:p w14:paraId="4079D502">
      <w:pPr>
        <w:spacing w:line="560" w:lineRule="exact"/>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本合同自双方当事人盖章签字时生效。</w:t>
      </w:r>
    </w:p>
    <w:p w14:paraId="5A2D7AD5">
      <w:pPr>
        <w:autoSpaceDE w:val="0"/>
        <w:autoSpaceDN w:val="0"/>
        <w:spacing w:line="560" w:lineRule="exact"/>
        <w:rPr>
          <w:rFonts w:hint="eastAsia" w:asciiTheme="minorEastAsia" w:hAnsiTheme="minorEastAsia" w:eastAsiaTheme="minorEastAsia" w:cstheme="minorEastAsia"/>
          <w:color w:val="auto"/>
          <w:sz w:val="24"/>
          <w:lang w:val="zh-CN"/>
        </w:rPr>
      </w:pPr>
    </w:p>
    <w:p w14:paraId="43E7A2D2">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
          <w:color w:val="auto"/>
          <w:sz w:val="24"/>
          <w:lang w:val="zh-CN"/>
        </w:rPr>
        <w:t>甲方</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b/>
          <w:color w:val="auto"/>
          <w:sz w:val="24"/>
          <w:lang w:val="zh-CN"/>
        </w:rPr>
        <w:t xml:space="preserve">      乙方</w:t>
      </w:r>
      <w:r>
        <w:rPr>
          <w:rFonts w:hint="eastAsia" w:asciiTheme="minorEastAsia" w:hAnsiTheme="minorEastAsia" w:eastAsiaTheme="minorEastAsia" w:cstheme="minorEastAsia"/>
          <w:color w:val="auto"/>
          <w:sz w:val="24"/>
          <w:lang w:val="zh-CN"/>
        </w:rPr>
        <w:t>：</w:t>
      </w:r>
    </w:p>
    <w:p w14:paraId="66875938">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统一社会信用代码：                        统一社会信用代码或身份证号码：</w:t>
      </w:r>
    </w:p>
    <w:p w14:paraId="12CE4627">
      <w:pPr>
        <w:autoSpaceDE w:val="0"/>
        <w:autoSpaceDN w:val="0"/>
        <w:spacing w:line="560" w:lineRule="exact"/>
        <w:rPr>
          <w:rFonts w:hint="eastAsia" w:asciiTheme="minorEastAsia" w:hAnsiTheme="minorEastAsia" w:eastAsiaTheme="minorEastAsia" w:cstheme="minorEastAsia"/>
          <w:color w:val="auto"/>
          <w:sz w:val="24"/>
          <w:lang w:val="zh-CN"/>
        </w:rPr>
      </w:pPr>
    </w:p>
    <w:p w14:paraId="35793647">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住所：                                   住所：</w:t>
      </w:r>
    </w:p>
    <w:p w14:paraId="7C395F74">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法定代表人或                             法定代表人</w:t>
      </w:r>
    </w:p>
    <w:p w14:paraId="2FF40DF9">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授权代表（签字）：                        或授权代表（签字）: </w:t>
      </w:r>
    </w:p>
    <w:p w14:paraId="5EA31922">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联系人：                                 联系人：</w:t>
      </w:r>
    </w:p>
    <w:p w14:paraId="74854AE6">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约定送达地址：                           约定送达地址：</w:t>
      </w:r>
    </w:p>
    <w:p w14:paraId="125B56E0">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邮政编码：                               邮政编码：</w:t>
      </w:r>
    </w:p>
    <w:p w14:paraId="2C4A8978">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电话:                                    电话: </w:t>
      </w:r>
    </w:p>
    <w:p w14:paraId="32631FED">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传真:                                    传真:</w:t>
      </w:r>
    </w:p>
    <w:p w14:paraId="591F752F">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电子邮箱：                               电子邮箱：</w:t>
      </w:r>
    </w:p>
    <w:p w14:paraId="207F36FF">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开户银行： </w:t>
      </w:r>
    </w:p>
    <w:p w14:paraId="491D2429">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开户名称：                               开户名称： </w:t>
      </w:r>
    </w:p>
    <w:p w14:paraId="57F318EC">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开户账号：</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开户账号：</w:t>
      </w:r>
    </w:p>
    <w:p w14:paraId="5FA3341D">
      <w:pPr>
        <w:pStyle w:val="3"/>
        <w:rPr>
          <w:rFonts w:hint="eastAsia" w:asciiTheme="minorEastAsia" w:hAnsiTheme="minorEastAsia" w:eastAsiaTheme="minorEastAsia" w:cstheme="minorEastAsia"/>
          <w:color w:val="auto"/>
          <w:sz w:val="24"/>
        </w:rPr>
      </w:pPr>
    </w:p>
    <w:p w14:paraId="52CAD9F2">
      <w:pPr>
        <w:rPr>
          <w:rFonts w:hint="eastAsia" w:asciiTheme="minorEastAsia" w:hAnsiTheme="minorEastAsia" w:eastAsiaTheme="minorEastAsia" w:cstheme="minorEastAsia"/>
          <w:color w:val="auto"/>
          <w:sz w:val="24"/>
        </w:rPr>
      </w:pPr>
    </w:p>
    <w:p w14:paraId="076A4271">
      <w:pPr>
        <w:pStyle w:val="3"/>
        <w:rPr>
          <w:rFonts w:hint="eastAsia" w:asciiTheme="minorEastAsia" w:hAnsiTheme="minorEastAsia" w:eastAsiaTheme="minorEastAsia" w:cstheme="minorEastAsia"/>
          <w:color w:val="auto"/>
          <w:sz w:val="24"/>
        </w:rPr>
      </w:pPr>
    </w:p>
    <w:p w14:paraId="4E1599E6">
      <w:pPr>
        <w:rPr>
          <w:rFonts w:hint="eastAsia" w:asciiTheme="minorEastAsia" w:hAnsiTheme="minorEastAsia" w:eastAsiaTheme="minorEastAsia" w:cstheme="minorEastAsia"/>
          <w:color w:val="auto"/>
          <w:sz w:val="24"/>
        </w:rPr>
      </w:pPr>
    </w:p>
    <w:p w14:paraId="7F851813">
      <w:pPr>
        <w:pStyle w:val="3"/>
        <w:rPr>
          <w:rFonts w:hint="eastAsia" w:asciiTheme="minorEastAsia" w:hAnsiTheme="minorEastAsia" w:eastAsiaTheme="minorEastAsia" w:cstheme="minorEastAsia"/>
          <w:color w:val="auto"/>
          <w:sz w:val="24"/>
        </w:rPr>
      </w:pPr>
    </w:p>
    <w:p w14:paraId="473EB85B">
      <w:pPr>
        <w:rPr>
          <w:rFonts w:hint="eastAsia" w:asciiTheme="minorEastAsia" w:hAnsiTheme="minorEastAsia" w:eastAsiaTheme="minorEastAsia" w:cstheme="minorEastAsia"/>
          <w:color w:val="auto"/>
          <w:sz w:val="24"/>
        </w:rPr>
      </w:pPr>
    </w:p>
    <w:p w14:paraId="28309959">
      <w:pPr>
        <w:pStyle w:val="79"/>
        <w:spacing w:line="560" w:lineRule="exact"/>
        <w:ind w:firstLine="482"/>
        <w:jc w:val="center"/>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第二部分 合同一般条款</w:t>
      </w:r>
    </w:p>
    <w:p w14:paraId="1DECD610">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9" w:name="_Ref467379094"/>
      <w:bookmarkStart w:id="410" w:name="_Toc259093669"/>
      <w:bookmarkStart w:id="411" w:name="_Toc28763"/>
      <w:bookmarkStart w:id="412" w:name="_Ref467378404"/>
      <w:bookmarkStart w:id="413" w:name="_Ref467379109"/>
      <w:bookmarkStart w:id="414" w:name="_Ref467378463"/>
      <w:bookmarkStart w:id="415" w:name="_Ref467379214"/>
      <w:bookmarkStart w:id="416" w:name="_Ref467379101"/>
      <w:bookmarkStart w:id="417" w:name="_Toc16917"/>
      <w:bookmarkStart w:id="418" w:name="_Ref467379225"/>
      <w:bookmarkStart w:id="419" w:name="_Toc279701240"/>
      <w:bookmarkStart w:id="420" w:name="_Ref467378499"/>
      <w:bookmarkStart w:id="421" w:name="_Toc19614"/>
      <w:bookmarkStart w:id="422" w:name="_Ref467379205"/>
      <w:bookmarkStart w:id="423" w:name="_Toc487900349"/>
      <w:bookmarkStart w:id="424" w:name="_Ref467379195"/>
      <w:r>
        <w:rPr>
          <w:rFonts w:hint="eastAsia" w:asciiTheme="minorEastAsia" w:hAnsiTheme="minorEastAsia" w:eastAsiaTheme="minorEastAsia" w:cstheme="minorEastAsia"/>
          <w:b/>
          <w:color w:val="auto"/>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395C5F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本合同中的下列词语应按以下内容进行解释：</w:t>
      </w:r>
    </w:p>
    <w:p w14:paraId="7CEA86A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 “合同”系指采购人和中标或成交供应商签订的载明双方当事人所达成的协议，并包括所有的附件、附录和构成合同的其他文件。</w:t>
      </w:r>
    </w:p>
    <w:p w14:paraId="5DC4E84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 “合同价”系指根据合同约定，中标或成交供应商在完全履行合同义务后，采购人应支付给中标或成交供应商的价格。</w:t>
      </w:r>
    </w:p>
    <w:p w14:paraId="59B6062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43E2B57">
      <w:pPr>
        <w:spacing w:line="560" w:lineRule="exact"/>
        <w:ind w:firstLine="480" w:firstLineChars="200"/>
        <w:rPr>
          <w:rFonts w:hint="eastAsia" w:asciiTheme="minorEastAsia" w:hAnsiTheme="minorEastAsia" w:eastAsiaTheme="minorEastAsia" w:cstheme="minorEastAsia"/>
          <w:color w:val="auto"/>
          <w:sz w:val="24"/>
        </w:rPr>
      </w:pPr>
      <w:bookmarkStart w:id="425" w:name="_Ref467378840"/>
      <w:r>
        <w:rPr>
          <w:rFonts w:hint="eastAsia" w:asciiTheme="minorEastAsia" w:hAnsiTheme="minorEastAsia" w:eastAsiaTheme="minorEastAsia" w:cstheme="minorEastAsia"/>
          <w:color w:val="auto"/>
          <w:sz w:val="24"/>
        </w:rPr>
        <w:t>2.1.4 “甲方”系指与中标或成交供应商签署合同的采购人</w:t>
      </w:r>
      <w:bookmarkEnd w:id="425"/>
      <w:r>
        <w:rPr>
          <w:rFonts w:hint="eastAsia" w:asciiTheme="minorEastAsia" w:hAnsiTheme="minorEastAsia" w:eastAsiaTheme="minorEastAsia" w:cstheme="minorEastAsia"/>
          <w:color w:val="auto"/>
          <w:sz w:val="24"/>
        </w:rPr>
        <w:t>；采购人委托采购代理机构代表其与乙方签订合同的，采购人的授权委托书作为合同附件。</w:t>
      </w:r>
    </w:p>
    <w:p w14:paraId="730EDC51">
      <w:pPr>
        <w:spacing w:line="560" w:lineRule="exact"/>
        <w:ind w:firstLine="480" w:firstLineChars="200"/>
        <w:rPr>
          <w:rFonts w:hint="eastAsia" w:asciiTheme="minorEastAsia" w:hAnsiTheme="minorEastAsia" w:eastAsiaTheme="minorEastAsia" w:cstheme="minorEastAsia"/>
          <w:color w:val="auto"/>
          <w:sz w:val="24"/>
        </w:rPr>
      </w:pPr>
      <w:bookmarkStart w:id="426" w:name="_Ref467379400"/>
      <w:r>
        <w:rPr>
          <w:rFonts w:hint="eastAsia" w:asciiTheme="minorEastAsia" w:hAnsiTheme="minorEastAsia" w:eastAsiaTheme="minorEastAsia" w:cstheme="minorEastAsia"/>
          <w:color w:val="auto"/>
          <w:sz w:val="24"/>
        </w:rPr>
        <w:t>2.1.5 “乙方”系指根据合同约定交付货物的中标或成交供应商</w:t>
      </w:r>
      <w:bookmarkEnd w:id="426"/>
      <w:r>
        <w:rPr>
          <w:rFonts w:hint="eastAsia" w:asciiTheme="minorEastAsia" w:hAnsiTheme="minorEastAsia" w:eastAsiaTheme="minorEastAsia" w:cstheme="minorEastAsia"/>
          <w:color w:val="auto"/>
          <w:sz w:val="24"/>
        </w:rPr>
        <w:t>；两个以上的自然人、法人或者其他组织组成一个联合体，以一个供应商的身份共同参加</w:t>
      </w:r>
      <w:r>
        <w:rPr>
          <w:rFonts w:hint="eastAsia" w:asciiTheme="minorEastAsia" w:hAnsiTheme="minorEastAsia" w:eastAsiaTheme="minorEastAsia" w:cstheme="minorEastAsia"/>
          <w:color w:val="auto"/>
          <w:sz w:val="24"/>
          <w:lang w:eastAsia="zh-CN"/>
        </w:rPr>
        <w:t>采购</w:t>
      </w:r>
      <w:r>
        <w:rPr>
          <w:rFonts w:hint="eastAsia" w:asciiTheme="minorEastAsia" w:hAnsiTheme="minorEastAsia" w:eastAsiaTheme="minorEastAsia" w:cstheme="minorEastAsia"/>
          <w:color w:val="auto"/>
          <w:sz w:val="24"/>
        </w:rPr>
        <w:t>的，联合体各方均应为乙方或者与乙方相同地位的合同当事人，并就合同约定的事项对甲方承担连带责任。</w:t>
      </w:r>
    </w:p>
    <w:p w14:paraId="36EDA29F">
      <w:pPr>
        <w:spacing w:line="560" w:lineRule="exact"/>
        <w:ind w:firstLine="480" w:firstLineChars="200"/>
        <w:rPr>
          <w:rFonts w:hint="eastAsia" w:asciiTheme="minorEastAsia" w:hAnsiTheme="minorEastAsia" w:eastAsiaTheme="minorEastAsia" w:cstheme="minorEastAsia"/>
          <w:color w:val="auto"/>
          <w:sz w:val="24"/>
        </w:rPr>
      </w:pPr>
      <w:bookmarkStart w:id="427" w:name="_Ref467379436"/>
      <w:r>
        <w:rPr>
          <w:rFonts w:hint="eastAsia" w:asciiTheme="minorEastAsia" w:hAnsiTheme="minorEastAsia" w:eastAsiaTheme="minorEastAsia" w:cstheme="minorEastAsia"/>
          <w:color w:val="auto"/>
          <w:sz w:val="24"/>
        </w:rPr>
        <w:t>2.1.6 “现场”系指合同约定货物将要运至或者安装的地点。</w:t>
      </w:r>
      <w:bookmarkEnd w:id="427"/>
    </w:p>
    <w:p w14:paraId="41C030FC">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28" w:name="_Toc13336"/>
      <w:bookmarkStart w:id="429" w:name="_Toc27635"/>
      <w:bookmarkStart w:id="430" w:name="_Toc32504"/>
      <w:bookmarkStart w:id="431" w:name="_Toc259093670"/>
      <w:bookmarkStart w:id="432" w:name="_Toc487900350"/>
      <w:bookmarkStart w:id="433" w:name="_Toc279701241"/>
      <w:r>
        <w:rPr>
          <w:rFonts w:hint="eastAsia" w:asciiTheme="minorEastAsia" w:hAnsiTheme="minorEastAsia" w:eastAsiaTheme="minorEastAsia" w:cstheme="minorEastAsia"/>
          <w:b/>
          <w:color w:val="auto"/>
          <w:sz w:val="24"/>
        </w:rPr>
        <w:t>2.2 技术规范</w:t>
      </w:r>
      <w:bookmarkEnd w:id="428"/>
      <w:bookmarkEnd w:id="429"/>
      <w:bookmarkEnd w:id="430"/>
      <w:bookmarkEnd w:id="431"/>
      <w:bookmarkEnd w:id="432"/>
      <w:bookmarkEnd w:id="433"/>
    </w:p>
    <w:p w14:paraId="60009C4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8B528C">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34" w:name="_Toc27853"/>
      <w:bookmarkStart w:id="435" w:name="_Toc279701242"/>
      <w:bookmarkStart w:id="436" w:name="_Toc487900351"/>
      <w:bookmarkStart w:id="437" w:name="_Toc259093671"/>
      <w:bookmarkStart w:id="438" w:name="_Toc31634"/>
      <w:bookmarkStart w:id="439" w:name="_Toc9829"/>
      <w:r>
        <w:rPr>
          <w:rFonts w:hint="eastAsia" w:asciiTheme="minorEastAsia" w:hAnsiTheme="minorEastAsia" w:eastAsiaTheme="minorEastAsia" w:cstheme="minorEastAsia"/>
          <w:b/>
          <w:color w:val="auto"/>
          <w:sz w:val="24"/>
        </w:rPr>
        <w:t>2.3 知识产权</w:t>
      </w:r>
      <w:bookmarkEnd w:id="434"/>
      <w:bookmarkEnd w:id="435"/>
      <w:bookmarkEnd w:id="436"/>
      <w:bookmarkEnd w:id="437"/>
      <w:bookmarkEnd w:id="438"/>
      <w:bookmarkEnd w:id="439"/>
    </w:p>
    <w:p w14:paraId="5320026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1C29B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2.3.2具有知识产权的计算机软件等货物的知识产权归属，详见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77CD44B">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40" w:name="_Toc11932"/>
      <w:bookmarkStart w:id="441" w:name="_Toc29149"/>
      <w:bookmarkStart w:id="442" w:name="_Toc4194"/>
      <w:r>
        <w:rPr>
          <w:rFonts w:hint="eastAsia" w:asciiTheme="minorEastAsia" w:hAnsiTheme="minorEastAsia" w:eastAsiaTheme="minorEastAsia" w:cstheme="minorEastAsia"/>
          <w:b/>
          <w:color w:val="auto"/>
          <w:sz w:val="24"/>
        </w:rPr>
        <w:t>2.4 包装和装运</w:t>
      </w:r>
      <w:bookmarkEnd w:id="440"/>
      <w:bookmarkEnd w:id="441"/>
      <w:bookmarkEnd w:id="442"/>
    </w:p>
    <w:p w14:paraId="25020818">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2.4.1除</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25570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3FCF75F">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2.4.3 装运货物的要求和通知，详见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57F88411">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43" w:name="_Ref467379542"/>
      <w:bookmarkStart w:id="444" w:name="_Toc487900354"/>
      <w:bookmarkStart w:id="445" w:name="_Toc279701245"/>
      <w:bookmarkStart w:id="446" w:name="_Ref467378541"/>
      <w:bookmarkStart w:id="447" w:name="_Toc259093674"/>
      <w:bookmarkStart w:id="448" w:name="_Ref467379536"/>
      <w:bookmarkStart w:id="449" w:name="_Ref467378591"/>
      <w:bookmarkStart w:id="450" w:name="_Ref467379527"/>
      <w:bookmarkStart w:id="451" w:name="_Toc26182"/>
      <w:bookmarkStart w:id="452" w:name="_Toc30272"/>
      <w:bookmarkStart w:id="453" w:name="_Toc19074"/>
      <w:r>
        <w:rPr>
          <w:rFonts w:hint="eastAsia" w:asciiTheme="minorEastAsia" w:hAnsiTheme="minorEastAsia" w:eastAsiaTheme="minorEastAsia" w:cstheme="minorEastAsia"/>
          <w:b/>
          <w:color w:val="auto"/>
          <w:sz w:val="24"/>
        </w:rPr>
        <w:t>2.</w:t>
      </w:r>
      <w:bookmarkEnd w:id="443"/>
      <w:bookmarkEnd w:id="444"/>
      <w:bookmarkEnd w:id="445"/>
      <w:bookmarkEnd w:id="446"/>
      <w:bookmarkEnd w:id="447"/>
      <w:bookmarkEnd w:id="448"/>
      <w:bookmarkEnd w:id="449"/>
      <w:bookmarkEnd w:id="450"/>
      <w:r>
        <w:rPr>
          <w:rFonts w:hint="eastAsia" w:asciiTheme="minorEastAsia" w:hAnsiTheme="minorEastAsia" w:eastAsiaTheme="minorEastAsia" w:cstheme="minorEastAsia"/>
          <w:b/>
          <w:color w:val="auto"/>
          <w:sz w:val="24"/>
        </w:rPr>
        <w:t>5 履约检查和问题反馈</w:t>
      </w:r>
      <w:bookmarkEnd w:id="451"/>
      <w:bookmarkEnd w:id="452"/>
      <w:bookmarkEnd w:id="453"/>
    </w:p>
    <w:p w14:paraId="00C13C6C">
      <w:pPr>
        <w:spacing w:line="560" w:lineRule="exact"/>
        <w:ind w:firstLine="480" w:firstLineChars="200"/>
        <w:rPr>
          <w:rFonts w:hint="eastAsia" w:asciiTheme="minorEastAsia" w:hAnsiTheme="minorEastAsia" w:eastAsiaTheme="minorEastAsia" w:cstheme="minorEastAsia"/>
          <w:color w:val="auto"/>
          <w:sz w:val="24"/>
        </w:rPr>
      </w:pPr>
      <w:bookmarkStart w:id="454" w:name="_Ref467379657"/>
      <w:r>
        <w:rPr>
          <w:rFonts w:hint="eastAsia" w:asciiTheme="minorEastAsia" w:hAnsiTheme="minorEastAsia" w:eastAsiaTheme="minorEastAsia" w:cstheme="minorEastAsia"/>
          <w:color w:val="auto"/>
          <w:sz w:val="24"/>
        </w:rPr>
        <w:t>2.5.1</w:t>
      </w:r>
      <w:bookmarkEnd w:id="454"/>
      <w:bookmarkStart w:id="455" w:name="_Toc186431854"/>
      <w:bookmarkStart w:id="456" w:name="_Ref467379793"/>
      <w:bookmarkStart w:id="457" w:name="_Toc487900357"/>
      <w:bookmarkStart w:id="458" w:name="_Toc279701247"/>
      <w:bookmarkStart w:id="459" w:name="_Ref467379807"/>
      <w:bookmarkStart w:id="460" w:name="_Toc259093676"/>
      <w:r>
        <w:rPr>
          <w:rFonts w:hint="eastAsia" w:asciiTheme="minorEastAsia" w:hAnsiTheme="minorEastAsia" w:eastAsiaTheme="minorEastAsia" w:cstheme="minorEastAsia"/>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83B5EE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2.5.2 合同履行期间，甲方有权将履行过程中出现的问题反馈给乙方，双方当事人应以书面形式约定需要完善和改进的内容</w:t>
      </w:r>
      <w:bookmarkEnd w:id="455"/>
      <w:bookmarkStart w:id="461" w:name="_Toc186431855"/>
      <w:r>
        <w:rPr>
          <w:rFonts w:hint="eastAsia" w:asciiTheme="minorEastAsia" w:hAnsiTheme="minorEastAsia" w:eastAsiaTheme="minorEastAsia" w:cstheme="minorEastAsia"/>
          <w:color w:val="auto"/>
          <w:sz w:val="24"/>
        </w:rPr>
        <w:t>。</w:t>
      </w:r>
    </w:p>
    <w:bookmarkEnd w:id="456"/>
    <w:bookmarkEnd w:id="457"/>
    <w:bookmarkEnd w:id="458"/>
    <w:bookmarkEnd w:id="459"/>
    <w:bookmarkEnd w:id="460"/>
    <w:bookmarkEnd w:id="461"/>
    <w:p w14:paraId="2BFABF6B">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62" w:name="_Toc259093677"/>
      <w:bookmarkStart w:id="463" w:name="_Ref467379923"/>
      <w:bookmarkStart w:id="464" w:name="_Toc487900358"/>
      <w:bookmarkStart w:id="465" w:name="_Ref467379852"/>
      <w:bookmarkStart w:id="466" w:name="_Ref467379863"/>
      <w:bookmarkStart w:id="467" w:name="_Toc279701248"/>
      <w:bookmarkStart w:id="468" w:name="_Toc16110"/>
      <w:bookmarkStart w:id="469" w:name="_Toc774"/>
      <w:bookmarkStart w:id="470" w:name="_Toc3225"/>
      <w:r>
        <w:rPr>
          <w:rFonts w:hint="eastAsia" w:asciiTheme="minorEastAsia" w:hAnsiTheme="minorEastAsia" w:eastAsiaTheme="minorEastAsia" w:cstheme="minorEastAsia"/>
          <w:b/>
          <w:color w:val="auto"/>
          <w:sz w:val="24"/>
        </w:rPr>
        <w:t>2.6 技术资料</w:t>
      </w:r>
      <w:bookmarkEnd w:id="462"/>
      <w:bookmarkEnd w:id="463"/>
      <w:bookmarkEnd w:id="464"/>
      <w:bookmarkEnd w:id="465"/>
      <w:bookmarkEnd w:id="466"/>
      <w:bookmarkEnd w:id="467"/>
      <w:r>
        <w:rPr>
          <w:rFonts w:hint="eastAsia" w:asciiTheme="minorEastAsia" w:hAnsiTheme="minorEastAsia" w:eastAsiaTheme="minorEastAsia" w:cstheme="minorEastAsia"/>
          <w:b/>
          <w:color w:val="auto"/>
          <w:sz w:val="24"/>
        </w:rPr>
        <w:t>和保密义务</w:t>
      </w:r>
      <w:bookmarkEnd w:id="468"/>
      <w:bookmarkEnd w:id="469"/>
      <w:bookmarkEnd w:id="470"/>
    </w:p>
    <w:p w14:paraId="58766DEC">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2.6.1 乙方有权依据合同约定和项目需要，向甲方了解有关情况，调阅有关资料等，甲方应予积极配合；</w:t>
      </w:r>
    </w:p>
    <w:p w14:paraId="51C3DC4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 乙方有义务妥善保管和保护由甲方提供的前款信息和资料等；</w:t>
      </w:r>
    </w:p>
    <w:p w14:paraId="3F9D569B">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211F6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1" w:name="_Toc7860"/>
      <w:r>
        <w:rPr>
          <w:rFonts w:hint="eastAsia" w:asciiTheme="minorEastAsia" w:hAnsiTheme="minorEastAsia" w:eastAsiaTheme="minorEastAsia" w:cstheme="minorEastAsia"/>
          <w:b/>
          <w:color w:val="auto"/>
          <w:sz w:val="24"/>
        </w:rPr>
        <w:t>2.7 质量保证</w:t>
      </w:r>
      <w:bookmarkEnd w:id="471"/>
    </w:p>
    <w:p w14:paraId="21848F55">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 乙方应建立和完善履行合同的内部质量保证体系，并提供相关内部规章制度给甲方，以便甲方进行监督检查；</w:t>
      </w:r>
    </w:p>
    <w:p w14:paraId="2B39E82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 乙方应保证履行合同的人员数量和素质、软件和硬件设备的配置、场地、环境和设施等满足全面履行合同的要求，并应接受甲方的监督检查。</w:t>
      </w:r>
    </w:p>
    <w:p w14:paraId="4326794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2" w:name="_Toc17244"/>
      <w:bookmarkStart w:id="473" w:name="_Toc487900362"/>
      <w:bookmarkStart w:id="474" w:name="_Toc279701252"/>
      <w:bookmarkStart w:id="475" w:name="_Toc259093681"/>
      <w:r>
        <w:rPr>
          <w:rFonts w:hint="eastAsia" w:asciiTheme="minorEastAsia" w:hAnsiTheme="minorEastAsia" w:eastAsiaTheme="minorEastAsia" w:cstheme="minorEastAsia"/>
          <w:b/>
          <w:color w:val="auto"/>
          <w:sz w:val="24"/>
        </w:rPr>
        <w:t>2.8 货物的风险负担</w:t>
      </w:r>
      <w:bookmarkEnd w:id="472"/>
    </w:p>
    <w:p w14:paraId="49791CEC">
      <w:pPr>
        <w:spacing w:line="560" w:lineRule="exact"/>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货物或者在途货物或者交付给第一承运人后的货物毁损、灭失的风险负担详见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2C29852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6" w:name="_Toc14055"/>
      <w:r>
        <w:rPr>
          <w:rFonts w:hint="eastAsia" w:asciiTheme="minorEastAsia" w:hAnsiTheme="minorEastAsia" w:eastAsiaTheme="minorEastAsia" w:cstheme="minorEastAsia"/>
          <w:b/>
          <w:color w:val="auto"/>
          <w:sz w:val="24"/>
        </w:rPr>
        <w:t>2.9 延迟交货</w:t>
      </w:r>
      <w:bookmarkEnd w:id="473"/>
      <w:bookmarkEnd w:id="474"/>
      <w:bookmarkEnd w:id="475"/>
      <w:bookmarkEnd w:id="476"/>
    </w:p>
    <w:p w14:paraId="7E186960">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A0B391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7" w:name="_Toc7502"/>
      <w:bookmarkStart w:id="478" w:name="_Ref467378121"/>
      <w:bookmarkStart w:id="479" w:name="_Toc279701254"/>
      <w:bookmarkStart w:id="480" w:name="_Toc487900364"/>
      <w:bookmarkStart w:id="481" w:name="_Toc259093683"/>
      <w:r>
        <w:rPr>
          <w:rFonts w:hint="eastAsia" w:asciiTheme="minorEastAsia" w:hAnsiTheme="minorEastAsia" w:eastAsiaTheme="minorEastAsia" w:cstheme="minorEastAsia"/>
          <w:b/>
          <w:color w:val="auto"/>
          <w:sz w:val="24"/>
        </w:rPr>
        <w:t>2.10 合同变更</w:t>
      </w:r>
      <w:bookmarkEnd w:id="477"/>
    </w:p>
    <w:p w14:paraId="30AA87D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合同继续履行将损害国家利益和社会公共利益的，双方当事人应当以书面形式变更合同。有过错的一方应当承担赔偿责任，双方当事人都有过错的，各自承担相应的责任。</w:t>
      </w:r>
      <w:bookmarkStart w:id="482" w:name="_Toc487900369"/>
      <w:bookmarkStart w:id="483" w:name="_Toc259093688"/>
      <w:bookmarkStart w:id="484" w:name="_Toc279701259"/>
    </w:p>
    <w:p w14:paraId="3F8C32D9">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85" w:name="_Toc15237"/>
      <w:bookmarkStart w:id="486" w:name="_Toc10366"/>
      <w:bookmarkStart w:id="487" w:name="_Toc22955"/>
      <w:r>
        <w:rPr>
          <w:rFonts w:hint="eastAsia" w:asciiTheme="minorEastAsia" w:hAnsiTheme="minorEastAsia" w:eastAsiaTheme="minorEastAsia" w:cstheme="minorEastAsia"/>
          <w:b/>
          <w:color w:val="auto"/>
          <w:sz w:val="24"/>
        </w:rPr>
        <w:t>2.11 合同转让</w:t>
      </w:r>
      <w:bookmarkEnd w:id="482"/>
      <w:bookmarkEnd w:id="483"/>
      <w:bookmarkEnd w:id="484"/>
      <w:r>
        <w:rPr>
          <w:rFonts w:hint="eastAsia" w:asciiTheme="minorEastAsia" w:hAnsiTheme="minorEastAsia" w:eastAsiaTheme="minorEastAsia" w:cstheme="minorEastAsia"/>
          <w:b/>
          <w:color w:val="auto"/>
          <w:sz w:val="24"/>
        </w:rPr>
        <w:t>和分包</w:t>
      </w:r>
      <w:bookmarkEnd w:id="485"/>
      <w:bookmarkEnd w:id="486"/>
      <w:bookmarkEnd w:id="487"/>
    </w:p>
    <w:p w14:paraId="6C617B4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523D1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2.11.2乙方采取分包方式履行合同的，甲方可直接向分包供应商支付款项。</w:t>
      </w:r>
    </w:p>
    <w:p w14:paraId="4BDF61E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88" w:name="_Toc16508"/>
      <w:bookmarkStart w:id="489" w:name="_Toc13566"/>
      <w:bookmarkStart w:id="490" w:name="_Toc14066"/>
      <w:r>
        <w:rPr>
          <w:rFonts w:hint="eastAsia" w:asciiTheme="minorEastAsia" w:hAnsiTheme="minorEastAsia" w:eastAsiaTheme="minorEastAsia" w:cstheme="minorEastAsia"/>
          <w:b/>
          <w:color w:val="auto"/>
          <w:sz w:val="24"/>
        </w:rPr>
        <w:t>2.12 不可抗力</w:t>
      </w:r>
      <w:bookmarkEnd w:id="488"/>
      <w:bookmarkEnd w:id="489"/>
      <w:bookmarkEnd w:id="490"/>
    </w:p>
    <w:p w14:paraId="7C92047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2.12.1如果任何一方遭遇法律规定的不可抗力，致使合同履行受阻时，履行合同的期限应予延长，延长的期限应相当于不可抗力所影响的时间；</w:t>
      </w:r>
    </w:p>
    <w:p w14:paraId="1FCF1FF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2.12.2 因不可抗力致使不能实现合同目的的，当事人可以解除合同；</w:t>
      </w:r>
    </w:p>
    <w:p w14:paraId="3F5A9D4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2.12.3 因不可抗力致使合同有变更必要的，双方当事人应在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约定时间内以书面形式变更合同；</w:t>
      </w:r>
    </w:p>
    <w:p w14:paraId="43D445A5">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2.12.4受不可抗力影响的一方在不可抗力发生后，应在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约定时间内以书面形式通知对方当事人，并在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约定时间内，将有关部门出具的证明文件送达对方当事人。</w:t>
      </w:r>
    </w:p>
    <w:p w14:paraId="7EA401E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91" w:name="_Toc259093684"/>
      <w:bookmarkStart w:id="492" w:name="_Toc487900365"/>
      <w:bookmarkStart w:id="493" w:name="_Toc689"/>
      <w:bookmarkStart w:id="494" w:name="_Toc6969"/>
      <w:bookmarkStart w:id="495" w:name="_Toc279701255"/>
      <w:bookmarkStart w:id="496" w:name="_Toc30676"/>
      <w:r>
        <w:rPr>
          <w:rFonts w:hint="eastAsia" w:asciiTheme="minorEastAsia" w:hAnsiTheme="minorEastAsia" w:eastAsiaTheme="minorEastAsia" w:cstheme="minorEastAsia"/>
          <w:b/>
          <w:color w:val="auto"/>
          <w:sz w:val="24"/>
        </w:rPr>
        <w:t>2.13 税费</w:t>
      </w:r>
      <w:bookmarkEnd w:id="491"/>
      <w:bookmarkEnd w:id="492"/>
      <w:bookmarkEnd w:id="493"/>
      <w:bookmarkEnd w:id="494"/>
      <w:bookmarkEnd w:id="495"/>
      <w:bookmarkEnd w:id="496"/>
    </w:p>
    <w:p w14:paraId="3E6AEF1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与合同有关的一切税费，均按照中华人民共和国法律的相关规定。</w:t>
      </w:r>
    </w:p>
    <w:p w14:paraId="70B04BC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97" w:name="_Toc259093687"/>
      <w:bookmarkStart w:id="498" w:name="_Toc487900368"/>
      <w:bookmarkStart w:id="499" w:name="_Toc8298"/>
      <w:bookmarkStart w:id="500" w:name="_Toc16959"/>
      <w:bookmarkStart w:id="501" w:name="_Toc279701258"/>
      <w:bookmarkStart w:id="502" w:name="_Toc7102"/>
      <w:r>
        <w:rPr>
          <w:rFonts w:hint="eastAsia" w:asciiTheme="minorEastAsia" w:hAnsiTheme="minorEastAsia" w:eastAsiaTheme="minorEastAsia" w:cstheme="minorEastAsia"/>
          <w:b/>
          <w:color w:val="auto"/>
          <w:sz w:val="24"/>
        </w:rPr>
        <w:t>2.14乙方破产</w:t>
      </w:r>
      <w:bookmarkEnd w:id="497"/>
      <w:bookmarkEnd w:id="498"/>
      <w:bookmarkEnd w:id="499"/>
      <w:bookmarkEnd w:id="500"/>
      <w:bookmarkEnd w:id="501"/>
      <w:bookmarkEnd w:id="502"/>
    </w:p>
    <w:p w14:paraId="24BA19E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DDD16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3" w:name="_Toc15387"/>
      <w:bookmarkStart w:id="504" w:name="_Toc6134"/>
      <w:bookmarkStart w:id="505" w:name="_Toc29333"/>
      <w:r>
        <w:rPr>
          <w:rFonts w:hint="eastAsia" w:asciiTheme="minorEastAsia" w:hAnsiTheme="minorEastAsia" w:eastAsiaTheme="minorEastAsia" w:cstheme="minorEastAsia"/>
          <w:b/>
          <w:color w:val="auto"/>
          <w:sz w:val="24"/>
        </w:rPr>
        <w:t>2.15 合同中止、终止</w:t>
      </w:r>
      <w:bookmarkEnd w:id="503"/>
      <w:bookmarkEnd w:id="504"/>
      <w:bookmarkEnd w:id="505"/>
    </w:p>
    <w:p w14:paraId="3EB6000B">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2.15.1 双方当事人不得擅自中止或者终止合同；</w:t>
      </w:r>
    </w:p>
    <w:p w14:paraId="15A3C9B3">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2.15.2合同继续履行将损害国家利益和社会公共利益的，双方当事人应当中止或者终止合同。有过错的一方应当承担赔偿责任，双方当事人都有过错的，各自承担相应的责任。</w:t>
      </w:r>
    </w:p>
    <w:p w14:paraId="0CC1AA07">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6" w:name="_Toc14563"/>
      <w:bookmarkStart w:id="507" w:name="_Toc1125"/>
      <w:bookmarkStart w:id="508" w:name="_Toc6596"/>
      <w:r>
        <w:rPr>
          <w:rFonts w:hint="eastAsia" w:asciiTheme="minorEastAsia" w:hAnsiTheme="minorEastAsia" w:eastAsiaTheme="minorEastAsia" w:cstheme="minorEastAsia"/>
          <w:b/>
          <w:color w:val="auto"/>
          <w:sz w:val="24"/>
        </w:rPr>
        <w:t>2.16检验和验收</w:t>
      </w:r>
      <w:bookmarkEnd w:id="506"/>
      <w:bookmarkEnd w:id="507"/>
      <w:bookmarkEnd w:id="508"/>
    </w:p>
    <w:p w14:paraId="6BFCC8CA">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2.16.1货物交付前，乙方应对货物的质量、数量等方面进行详细、全面的检验，并向甲方出具证明货物符合合同约定的文件；货物交付时，甲方在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约定时间内组织验收，并可依法邀请相关方参加，验收应出具验收书。</w:t>
      </w:r>
    </w:p>
    <w:p w14:paraId="20C2A6E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5FC722B">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2.16.3 检验和验收标准、程序等具体内容以及前述验收书的效力详见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i/>
          <w:color w:val="auto"/>
          <w:sz w:val="24"/>
        </w:rPr>
        <w:t>。</w:t>
      </w:r>
    </w:p>
    <w:bookmarkEnd w:id="478"/>
    <w:bookmarkEnd w:id="479"/>
    <w:bookmarkEnd w:id="480"/>
    <w:bookmarkEnd w:id="481"/>
    <w:p w14:paraId="58A66F4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9" w:name="_Toc487900371"/>
      <w:bookmarkStart w:id="510" w:name="_Toc259093690"/>
      <w:bookmarkStart w:id="511" w:name="_Toc279701261"/>
      <w:bookmarkStart w:id="512" w:name="_Toc11284"/>
      <w:bookmarkStart w:id="513" w:name="_Toc19604"/>
      <w:bookmarkStart w:id="514" w:name="_Toc25182"/>
      <w:r>
        <w:rPr>
          <w:rFonts w:hint="eastAsia" w:asciiTheme="minorEastAsia" w:hAnsiTheme="minorEastAsia" w:eastAsiaTheme="minorEastAsia" w:cstheme="minorEastAsia"/>
          <w:b/>
          <w:color w:val="auto"/>
          <w:sz w:val="24"/>
        </w:rPr>
        <w:t>2.17 通知</w:t>
      </w:r>
      <w:bookmarkEnd w:id="509"/>
      <w:bookmarkEnd w:id="510"/>
      <w:bookmarkEnd w:id="511"/>
      <w:r>
        <w:rPr>
          <w:rFonts w:hint="eastAsia" w:asciiTheme="minorEastAsia" w:hAnsiTheme="minorEastAsia" w:eastAsiaTheme="minorEastAsia" w:cstheme="minorEastAsia"/>
          <w:b/>
          <w:color w:val="auto"/>
          <w:sz w:val="24"/>
        </w:rPr>
        <w:t>和送达</w:t>
      </w:r>
      <w:bookmarkEnd w:id="512"/>
      <w:bookmarkEnd w:id="513"/>
      <w:bookmarkEnd w:id="514"/>
    </w:p>
    <w:p w14:paraId="37CD731B">
      <w:pPr>
        <w:spacing w:line="560" w:lineRule="exact"/>
        <w:ind w:firstLine="480" w:firstLineChars="200"/>
        <w:rPr>
          <w:rFonts w:hint="eastAsia" w:asciiTheme="minorEastAsia" w:hAnsiTheme="minorEastAsia" w:eastAsiaTheme="minorEastAsia" w:cstheme="minorEastAsia"/>
          <w:color w:val="auto"/>
          <w:sz w:val="24"/>
        </w:rPr>
      </w:pPr>
      <w:bookmarkStart w:id="515" w:name="_Toc6698"/>
      <w:bookmarkStart w:id="516" w:name="_Toc3135"/>
      <w:bookmarkStart w:id="517" w:name="_Toc279701262"/>
      <w:bookmarkStart w:id="518" w:name="_Toc487900372"/>
      <w:bookmarkStart w:id="519" w:name="_Toc259093691"/>
      <w:r>
        <w:rPr>
          <w:rFonts w:hint="eastAsia" w:asciiTheme="minorEastAsia" w:hAnsiTheme="minorEastAsia" w:eastAsiaTheme="minorEastAsia" w:cstheme="minorEastAsia"/>
          <w:color w:val="auto"/>
          <w:sz w:val="24"/>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u w:val="single"/>
        </w:rPr>
        <w:t>3</w:t>
      </w:r>
      <w:r>
        <w:rPr>
          <w:rFonts w:hint="eastAsia" w:asciiTheme="minorEastAsia" w:hAnsiTheme="minorEastAsia" w:eastAsiaTheme="minorEastAsia" w:cstheme="minorEastAsia"/>
          <w:color w:val="auto"/>
          <w:sz w:val="24"/>
        </w:rPr>
        <w:t>个工作日内书面通知对方当事人，在对方当事人收到有关变更通知之前，变更前的约定送达方式或者地址仍视为有效。</w:t>
      </w:r>
      <w:bookmarkEnd w:id="515"/>
      <w:bookmarkEnd w:id="516"/>
    </w:p>
    <w:p w14:paraId="48051E9C">
      <w:pPr>
        <w:spacing w:line="560" w:lineRule="exact"/>
        <w:ind w:firstLine="480" w:firstLineChars="200"/>
        <w:rPr>
          <w:rFonts w:hint="eastAsia" w:asciiTheme="minorEastAsia" w:hAnsiTheme="minorEastAsia" w:eastAsiaTheme="minorEastAsia" w:cstheme="minorEastAsia"/>
          <w:color w:val="auto"/>
          <w:sz w:val="24"/>
        </w:rPr>
      </w:pPr>
      <w:bookmarkStart w:id="520" w:name="_Toc23128"/>
      <w:bookmarkStart w:id="521" w:name="_Toc23294"/>
      <w:r>
        <w:rPr>
          <w:rFonts w:hint="eastAsia" w:asciiTheme="minorEastAsia" w:hAnsiTheme="minorEastAsia" w:eastAsiaTheme="minorEastAsia" w:cstheme="minorEastAsia"/>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14:paraId="6F951C8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22" w:name="_Toc4355"/>
      <w:bookmarkStart w:id="523" w:name="_Toc30599"/>
      <w:bookmarkStart w:id="524" w:name="_Toc18540"/>
      <w:r>
        <w:rPr>
          <w:rFonts w:hint="eastAsia" w:asciiTheme="minorEastAsia" w:hAnsiTheme="minorEastAsia" w:eastAsiaTheme="minorEastAsia" w:cstheme="minorEastAsia"/>
          <w:b/>
          <w:color w:val="auto"/>
          <w:sz w:val="24"/>
        </w:rPr>
        <w:t>2.18 计量单位</w:t>
      </w:r>
      <w:bookmarkEnd w:id="517"/>
      <w:bookmarkEnd w:id="518"/>
      <w:bookmarkEnd w:id="519"/>
      <w:bookmarkEnd w:id="522"/>
      <w:bookmarkEnd w:id="523"/>
      <w:bookmarkEnd w:id="524"/>
    </w:p>
    <w:p w14:paraId="3A727B3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除技术规范中另有规定外,合同的计量单位均使用国家法定计量单位。</w:t>
      </w:r>
    </w:p>
    <w:p w14:paraId="0BAD1B52">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25" w:name="_Toc279701263"/>
      <w:bookmarkStart w:id="526" w:name="_Toc10330"/>
      <w:bookmarkStart w:id="527" w:name="_Toc259093692"/>
      <w:bookmarkStart w:id="528" w:name="_Toc12773"/>
      <w:bookmarkStart w:id="529" w:name="_Toc18567"/>
      <w:bookmarkStart w:id="530" w:name="_Toc487900373"/>
      <w:r>
        <w:rPr>
          <w:rFonts w:hint="eastAsia" w:asciiTheme="minorEastAsia" w:hAnsiTheme="minorEastAsia" w:eastAsiaTheme="minorEastAsia" w:cstheme="minorEastAsia"/>
          <w:b/>
          <w:color w:val="auto"/>
          <w:sz w:val="24"/>
        </w:rPr>
        <w:t>2.19 合同使用的文字和适用的法律</w:t>
      </w:r>
      <w:bookmarkEnd w:id="525"/>
      <w:bookmarkEnd w:id="526"/>
      <w:bookmarkEnd w:id="527"/>
      <w:bookmarkEnd w:id="528"/>
      <w:bookmarkEnd w:id="529"/>
      <w:bookmarkEnd w:id="530"/>
    </w:p>
    <w:p w14:paraId="19A3100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2.19.1 合同使用汉语书就、变更和解释；</w:t>
      </w:r>
    </w:p>
    <w:p w14:paraId="0898AB4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2.19.2 合同适用中华人民共和国法律。</w:t>
      </w:r>
    </w:p>
    <w:p w14:paraId="624BEDC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31" w:name="_Toc14001"/>
      <w:bookmarkStart w:id="532" w:name="_Toc6885"/>
      <w:bookmarkStart w:id="533" w:name="_Toc19890"/>
      <w:r>
        <w:rPr>
          <w:rFonts w:hint="eastAsia" w:asciiTheme="minorEastAsia" w:hAnsiTheme="minorEastAsia" w:eastAsiaTheme="minorEastAsia" w:cstheme="minorEastAsia"/>
          <w:b/>
          <w:color w:val="auto"/>
          <w:sz w:val="24"/>
        </w:rPr>
        <w:t>2.20 合同份数</w:t>
      </w:r>
      <w:bookmarkEnd w:id="531"/>
      <w:bookmarkEnd w:id="532"/>
      <w:bookmarkEnd w:id="533"/>
    </w:p>
    <w:p w14:paraId="51AE943F">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合同份数按</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规定，每份均具有同等法律效力。</w:t>
      </w:r>
    </w:p>
    <w:p w14:paraId="517568EE">
      <w:pPr>
        <w:rPr>
          <w:rFonts w:hint="eastAsia" w:asciiTheme="minorEastAsia" w:hAnsiTheme="minorEastAsia" w:eastAsiaTheme="minorEastAsia" w:cstheme="minorEastAsia"/>
        </w:rPr>
      </w:pPr>
    </w:p>
    <w:p w14:paraId="03A5DA81">
      <w:pPr>
        <w:pStyle w:val="24"/>
        <w:snapToGrid w:val="0"/>
        <w:spacing w:line="360" w:lineRule="auto"/>
        <w:jc w:val="center"/>
        <w:rPr>
          <w:rFonts w:hint="eastAsia" w:asciiTheme="minorEastAsia" w:hAnsiTheme="minorEastAsia" w:eastAsiaTheme="minorEastAsia" w:cstheme="minorEastAsia"/>
        </w:rPr>
      </w:pPr>
    </w:p>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36"/>
        </w:rPr>
        <w:br w:type="page"/>
      </w:r>
      <w:r>
        <w:rPr>
          <w:rFonts w:hint="eastAsia" w:asciiTheme="minorEastAsia" w:hAnsiTheme="minorEastAsia" w:eastAsiaTheme="minorEastAsia" w:cstheme="minorEastAsia"/>
          <w:b/>
          <w:sz w:val="36"/>
          <w:szCs w:val="36"/>
        </w:rPr>
        <w:t xml:space="preserve">第六部分 </w:t>
      </w:r>
      <w:bookmarkEnd w:id="383"/>
      <w:r>
        <w:rPr>
          <w:rFonts w:hint="eastAsia" w:asciiTheme="minorEastAsia" w:hAnsiTheme="minorEastAsia" w:eastAsiaTheme="minorEastAsia" w:cstheme="minorEastAsia"/>
          <w:b/>
          <w:sz w:val="36"/>
          <w:szCs w:val="20"/>
        </w:rPr>
        <w:t xml:space="preserve"> </w:t>
      </w:r>
      <w:bookmarkEnd w:id="384"/>
      <w:r>
        <w:rPr>
          <w:rFonts w:hint="eastAsia" w:asciiTheme="minorEastAsia" w:hAnsiTheme="minorEastAsia" w:eastAsiaTheme="minorEastAsia" w:cstheme="minorEastAsia"/>
          <w:b/>
          <w:sz w:val="36"/>
          <w:szCs w:val="20"/>
        </w:rPr>
        <w:t>应提交的有关格式范例</w:t>
      </w:r>
    </w:p>
    <w:p w14:paraId="252F4C83">
      <w:pPr>
        <w:spacing w:line="360" w:lineRule="auto"/>
        <w:jc w:val="center"/>
        <w:outlineLvl w:val="0"/>
        <w:rPr>
          <w:rFonts w:hint="eastAsia" w:asciiTheme="minorEastAsia" w:hAnsiTheme="minorEastAsia" w:eastAsiaTheme="minorEastAsia" w:cstheme="minorEastAsia"/>
          <w:b/>
          <w:kern w:val="0"/>
          <w:sz w:val="36"/>
          <w:szCs w:val="36"/>
        </w:rPr>
      </w:pPr>
    </w:p>
    <w:p w14:paraId="2D412E7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kern w:val="0"/>
          <w:sz w:val="36"/>
          <w:szCs w:val="36"/>
        </w:rPr>
      </w:pPr>
    </w:p>
    <w:p w14:paraId="6B69E912">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（3）本项目的特定资格要求…………………………………………（页码）</w:t>
      </w:r>
    </w:p>
    <w:p w14:paraId="0E7508E8">
      <w:pPr>
        <w:pStyle w:val="5"/>
        <w:rPr>
          <w:rFonts w:hint="eastAsia" w:asciiTheme="minorEastAsia" w:hAnsiTheme="minorEastAsia" w:eastAsiaTheme="minorEastAsia" w:cstheme="minorEastAsia"/>
        </w:rPr>
      </w:pPr>
    </w:p>
    <w:p w14:paraId="76731DF3">
      <w:pPr>
        <w:snapToGrid w:val="0"/>
        <w:spacing w:line="360" w:lineRule="auto"/>
        <w:ind w:right="480"/>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kern w:val="0"/>
          <w:sz w:val="24"/>
        </w:rPr>
        <w:br w:type="page"/>
      </w:r>
      <w:r>
        <w:rPr>
          <w:rFonts w:hint="eastAsia" w:asciiTheme="minorEastAsia" w:hAnsiTheme="minorEastAsia" w:eastAsiaTheme="minorEastAsia" w:cstheme="minorEastAsia"/>
          <w:b/>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2、为采购项目提供整体设计、规范编制或者项目管理、监理、检测等服务后再参加该采购项目的其他采购活动的。</w:t>
      </w:r>
    </w:p>
    <w:p w14:paraId="35BB04A6">
      <w:pPr>
        <w:pStyle w:val="3"/>
        <w:rPr>
          <w:rFonts w:hint="eastAsia" w:asciiTheme="minorEastAsia" w:hAnsiTheme="minorEastAsia" w:eastAsiaTheme="minorEastAsia" w:cstheme="minorEastAsia"/>
          <w:sz w:val="24"/>
        </w:rPr>
      </w:pPr>
    </w:p>
    <w:p w14:paraId="61891156">
      <w:pPr>
        <w:spacing w:line="360" w:lineRule="auto"/>
        <w:rPr>
          <w:rFonts w:hint="eastAsia" w:asciiTheme="minorEastAsia" w:hAnsiTheme="minorEastAsia" w:eastAsiaTheme="minorEastAsia" w:cstheme="minorEastAsia"/>
        </w:rPr>
      </w:pPr>
    </w:p>
    <w:p w14:paraId="09CF3723">
      <w:pPr>
        <w:snapToGrid w:val="0"/>
        <w:spacing w:line="360" w:lineRule="auto"/>
        <w:ind w:firstLine="5520" w:firstLineChars="23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 xml:space="preserve">：  年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kern w:val="0"/>
          <w:sz w:val="32"/>
          <w:szCs w:val="32"/>
        </w:rPr>
      </w:pPr>
    </w:p>
    <w:p w14:paraId="17C1BD2C">
      <w:pPr>
        <w:rPr>
          <w:rFonts w:hint="eastAsia" w:asciiTheme="minorEastAsia" w:hAnsiTheme="minorEastAsia" w:eastAsiaTheme="minorEastAsia" w:cstheme="minorEastAsia"/>
        </w:rPr>
      </w:pPr>
    </w:p>
    <w:p w14:paraId="28480B6E">
      <w:pPr>
        <w:snapToGrid w:val="0"/>
        <w:spacing w:line="360" w:lineRule="auto"/>
        <w:ind w:right="480"/>
        <w:jc w:val="center"/>
        <w:rPr>
          <w:rFonts w:hint="eastAsia" w:asciiTheme="minorEastAsia" w:hAnsiTheme="minorEastAsia" w:eastAsiaTheme="minorEastAsia" w:cstheme="minorEastAsia"/>
          <w:b/>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kern w:val="0"/>
          <w:sz w:val="32"/>
          <w:szCs w:val="32"/>
        </w:rPr>
      </w:pPr>
    </w:p>
    <w:p w14:paraId="607A5A87">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6C01A249">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（根据交易公告本项目的特定资格要求提供相应的材料；未要求的，无需提供）</w:t>
      </w:r>
    </w:p>
    <w:p w14:paraId="76EDF134">
      <w:pPr>
        <w:pStyle w:val="60"/>
        <w:rPr>
          <w:rFonts w:hint="eastAsia" w:asciiTheme="minorEastAsia" w:hAnsiTheme="minorEastAsia" w:eastAsiaTheme="minorEastAsia" w:cstheme="minorEastAsia"/>
        </w:rPr>
      </w:pPr>
    </w:p>
    <w:p w14:paraId="75379633">
      <w:pPr>
        <w:rPr>
          <w:rFonts w:hint="eastAsia" w:asciiTheme="minorEastAsia" w:hAnsiTheme="minorEastAsia" w:eastAsiaTheme="minorEastAsia" w:cstheme="minorEastAsia"/>
        </w:rPr>
      </w:pPr>
    </w:p>
    <w:p w14:paraId="02F7D54C">
      <w:pPr>
        <w:snapToGrid w:val="0"/>
        <w:spacing w:line="360" w:lineRule="auto"/>
        <w:ind w:right="480"/>
        <w:jc w:val="center"/>
        <w:rPr>
          <w:rFonts w:hint="eastAsia" w:asciiTheme="minorEastAsia" w:hAnsiTheme="minorEastAsia" w:eastAsiaTheme="minorEastAsia" w:cstheme="minorEastAsia"/>
          <w:b/>
          <w:kern w:val="0"/>
          <w:sz w:val="32"/>
          <w:szCs w:val="32"/>
        </w:rPr>
      </w:pPr>
    </w:p>
    <w:p w14:paraId="39E6EFBA">
      <w:pPr>
        <w:rPr>
          <w:rFonts w:hint="eastAsia" w:asciiTheme="minorEastAsia" w:hAnsiTheme="minorEastAsia" w:eastAsiaTheme="minorEastAsia" w:cstheme="minorEastAsia"/>
        </w:rPr>
      </w:pPr>
    </w:p>
    <w:p w14:paraId="0DCCAF78">
      <w:pPr>
        <w:snapToGrid w:val="0"/>
        <w:spacing w:line="360" w:lineRule="auto"/>
        <w:ind w:right="480"/>
        <w:jc w:val="center"/>
        <w:rPr>
          <w:rFonts w:hint="eastAsia" w:asciiTheme="minorEastAsia" w:hAnsiTheme="minorEastAsia" w:eastAsiaTheme="minorEastAsia" w:cstheme="minorEastAsia"/>
          <w:b/>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kern w:val="0"/>
          <w:sz w:val="32"/>
          <w:szCs w:val="32"/>
        </w:rPr>
      </w:pPr>
    </w:p>
    <w:p w14:paraId="50AF8388">
      <w:pPr>
        <w:rPr>
          <w:rFonts w:hint="eastAsia" w:asciiTheme="minorEastAsia" w:hAnsiTheme="minorEastAsia" w:eastAsiaTheme="minorEastAsia" w:cstheme="minorEastAsia"/>
          <w:b/>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kern w:val="0"/>
          <w:sz w:val="36"/>
          <w:szCs w:val="36"/>
        </w:rPr>
      </w:pPr>
    </w:p>
    <w:p w14:paraId="33C91693">
      <w:pPr>
        <w:spacing w:line="360" w:lineRule="auto"/>
        <w:ind w:right="420"/>
        <w:jc w:val="center"/>
        <w:rPr>
          <w:rFonts w:hint="eastAsia" w:asciiTheme="minorEastAsia" w:hAnsiTheme="minorEastAsia" w:eastAsiaTheme="minorEastAsia" w:cstheme="minorEastAsia"/>
          <w:b/>
          <w:kern w:val="0"/>
          <w:sz w:val="36"/>
          <w:szCs w:val="36"/>
        </w:rPr>
      </w:pPr>
    </w:p>
    <w:p w14:paraId="52CBEE8E">
      <w:pPr>
        <w:pStyle w:val="4"/>
        <w:rPr>
          <w:rFonts w:hint="eastAsia" w:asciiTheme="minorEastAsia" w:hAnsiTheme="minorEastAsia" w:eastAsiaTheme="minorEastAsia" w:cstheme="minorEastAsia"/>
          <w:kern w:val="0"/>
          <w:sz w:val="36"/>
          <w:szCs w:val="36"/>
        </w:rPr>
      </w:pPr>
    </w:p>
    <w:p w14:paraId="648C7C53">
      <w:pPr>
        <w:rPr>
          <w:rFonts w:hint="eastAsia" w:asciiTheme="minorEastAsia" w:hAnsiTheme="minorEastAsia" w:eastAsiaTheme="minorEastAsia" w:cstheme="minorEastAsia"/>
          <w:b/>
          <w:kern w:val="0"/>
          <w:sz w:val="36"/>
          <w:szCs w:val="36"/>
        </w:rPr>
      </w:pPr>
    </w:p>
    <w:p w14:paraId="6A8D471B">
      <w:pPr>
        <w:pStyle w:val="4"/>
        <w:ind w:left="0" w:leftChars="0" w:firstLine="0" w:firstLineChars="0"/>
        <w:rPr>
          <w:rFonts w:hint="eastAsia" w:asciiTheme="minorEastAsia" w:hAnsiTheme="minorEastAsia" w:eastAsiaTheme="minorEastAsia" w:cstheme="minorEastAsia"/>
        </w:rPr>
      </w:pPr>
    </w:p>
    <w:p w14:paraId="6D535550">
      <w:pPr>
        <w:spacing w:line="360" w:lineRule="auto"/>
        <w:ind w:right="420"/>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kern w:val="0"/>
          <w:sz w:val="24"/>
        </w:rPr>
      </w:pPr>
    </w:p>
    <w:p w14:paraId="616CECEE">
      <w:pPr>
        <w:spacing w:line="360" w:lineRule="auto"/>
        <w:jc w:val="center"/>
        <w:outlineLvl w:val="0"/>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（1）响应函</w:t>
      </w:r>
      <w:r>
        <w:rPr>
          <w:rFonts w:hint="eastAsia" w:asciiTheme="minorEastAsia" w:hAnsiTheme="minorEastAsia" w:eastAsiaTheme="minorEastAsia" w:cstheme="minorEastAsia"/>
        </w:rPr>
        <w:t>…………………………………………………………………………………（页码）</w:t>
      </w:r>
      <w:r>
        <w:rPr>
          <w:rFonts w:hint="eastAsia" w:asciiTheme="minorEastAsia" w:hAnsiTheme="minorEastAsia" w:eastAsiaTheme="minorEastAsia" w:cstheme="minorEastAsia"/>
          <w:sz w:val="24"/>
        </w:rPr>
        <w:t>（2）授权委托书或法定代表人（单位负责人、自然人本人）身份证明</w:t>
      </w:r>
      <w:r>
        <w:rPr>
          <w:rFonts w:hint="eastAsia" w:asciiTheme="minorEastAsia" w:hAnsiTheme="minorEastAsia" w:eastAsiaTheme="minorEastAsia" w:cstheme="minorEastAsia"/>
        </w:rPr>
        <w:t>………（页码）</w:t>
      </w:r>
    </w:p>
    <w:p w14:paraId="425A6AB7">
      <w:pPr>
        <w:snapToGrid w:val="0"/>
        <w:spacing w:line="360" w:lineRule="auto"/>
        <w:ind w:left="479" w:leftChars="228"/>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（3）符合性审查资料 </w:t>
      </w:r>
      <w:r>
        <w:rPr>
          <w:rFonts w:hint="eastAsia" w:asciiTheme="minorEastAsia" w:hAnsiTheme="minorEastAsia" w:eastAsiaTheme="minorEastAsia" w:cstheme="minorEastAsia"/>
        </w:rPr>
        <w:t>……………………………………………………………………（页码）</w:t>
      </w:r>
    </w:p>
    <w:p w14:paraId="7793E237">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………………………………………………（页码）</w:t>
      </w:r>
    </w:p>
    <w:p w14:paraId="3A9B9026">
      <w:pPr>
        <w:snapToGrid w:val="0"/>
        <w:spacing w:line="360" w:lineRule="auto"/>
        <w:jc w:val="center"/>
        <w:rPr>
          <w:rFonts w:hint="eastAsia" w:asciiTheme="minorEastAsia" w:hAnsiTheme="minorEastAsia" w:eastAsiaTheme="minorEastAsia" w:cstheme="minorEastAsia"/>
          <w:b/>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kern w:val="0"/>
          <w:sz w:val="32"/>
          <w:szCs w:val="32"/>
        </w:rPr>
      </w:pPr>
    </w:p>
    <w:p w14:paraId="07661030">
      <w:pP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br w:type="page"/>
      </w:r>
    </w:p>
    <w:p w14:paraId="2ED88AB8">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kern w:val="0"/>
          <w:sz w:val="32"/>
          <w:szCs w:val="32"/>
        </w:rPr>
        <w:t>一、响应</w:t>
      </w:r>
      <w:r>
        <w:rPr>
          <w:rFonts w:hint="eastAsia" w:asciiTheme="minorEastAsia" w:hAnsiTheme="minorEastAsia" w:eastAsiaTheme="minorEastAsia" w:cstheme="minorEastAsia"/>
          <w:b/>
          <w:sz w:val="32"/>
          <w:szCs w:val="32"/>
        </w:rPr>
        <w:t>函</w:t>
      </w:r>
    </w:p>
    <w:p w14:paraId="0C2D1709">
      <w:pPr>
        <w:snapToGrid w:val="0"/>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sz w:val="24"/>
        </w:rPr>
        <w:t>：</w:t>
      </w:r>
    </w:p>
    <w:p w14:paraId="3C54FC1D">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我方参加你方组织的</w:t>
      </w:r>
      <w:r>
        <w:rPr>
          <w:rFonts w:hint="eastAsia" w:asciiTheme="minorEastAsia" w:hAnsiTheme="minorEastAsia" w:eastAsiaTheme="minorEastAsia" w:cstheme="minorEastAsia"/>
          <w:sz w:val="24"/>
          <w:u w:val="single"/>
        </w:rPr>
        <w:t>（项目名称）【交易编号：       】</w:t>
      </w:r>
      <w:r>
        <w:rPr>
          <w:rFonts w:hint="eastAsia" w:asciiTheme="minorEastAsia" w:hAnsiTheme="minorEastAsia" w:eastAsiaTheme="minorEastAsia" w:cstheme="minorEastAsia"/>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1、我方承诺交易有效期从提交响应文件的截止之日起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天（不少于90天）</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商务技术</w:t>
      </w:r>
      <w:r>
        <w:rPr>
          <w:rFonts w:hint="eastAsia" w:asciiTheme="minorEastAsia" w:hAnsiTheme="minorEastAsia" w:eastAsiaTheme="minorEastAsia" w:cstheme="minorEastAsia"/>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2.2.1响应函；</w:t>
      </w:r>
      <w:r>
        <w:rPr>
          <w:rFonts w:hint="eastAsia" w:asciiTheme="minorEastAsia" w:hAnsiTheme="minorEastAsia" w:eastAsiaTheme="minorEastAsia" w:cstheme="minorEastAsia"/>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2.2.7</w:t>
      </w:r>
      <w:r>
        <w:rPr>
          <w:rFonts w:hint="eastAsia" w:asciiTheme="minorEastAsia" w:hAnsiTheme="minorEastAsia" w:eastAsiaTheme="minorEastAsia" w:cstheme="minorEastAsia"/>
          <w:sz w:val="24"/>
          <w:lang w:val="zh-CN"/>
        </w:rPr>
        <w:t>采购供应商廉洁自律承诺书</w:t>
      </w:r>
      <w:r>
        <w:rPr>
          <w:rFonts w:hint="eastAsia" w:asciiTheme="minorEastAsia" w:hAnsiTheme="minorEastAsia" w:eastAsiaTheme="minorEastAsia" w:cstheme="minorEastAsia"/>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5、其他补充说明: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4BB6E8D6">
      <w:pPr>
        <w:spacing w:line="440" w:lineRule="exact"/>
        <w:ind w:firstLine="3600" w:firstLineChars="15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供应商名称（电子签名）：                          </w:t>
      </w:r>
    </w:p>
    <w:p w14:paraId="1ACDD82B">
      <w:pPr>
        <w:spacing w:line="44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       注：按本格式和要求提供。</w:t>
      </w:r>
    </w:p>
    <w:p w14:paraId="490DEF8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07EBA63C">
      <w:pPr>
        <w:jc w:val="center"/>
        <w:rPr>
          <w:rFonts w:hint="eastAsia" w:asciiTheme="minorEastAsia" w:hAnsiTheme="minorEastAsia" w:eastAsiaTheme="minorEastAsia" w:cstheme="minorEastAsia"/>
          <w:b/>
          <w:kern w:val="0"/>
          <w:sz w:val="32"/>
          <w:szCs w:val="32"/>
          <w:lang w:val="zh-CN"/>
        </w:rPr>
      </w:pPr>
      <w:r>
        <w:rPr>
          <w:rFonts w:hint="eastAsia" w:asciiTheme="minorEastAsia" w:hAnsiTheme="minorEastAsia" w:eastAsiaTheme="minorEastAsia" w:cstheme="minorEastAsia"/>
          <w:b/>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14:paraId="76287170">
      <w:pPr>
        <w:snapToGrid w:val="0"/>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（采购人）、（采购代理机构）</w:t>
      </w:r>
      <w:r>
        <w:rPr>
          <w:rFonts w:hint="eastAsia" w:asciiTheme="minorEastAsia" w:hAnsiTheme="minorEastAsia" w:eastAsiaTheme="minorEastAsia" w:cstheme="minorEastAsia"/>
          <w:kern w:val="0"/>
          <w:sz w:val="24"/>
          <w:lang w:val="zh-CN"/>
        </w:rPr>
        <w:t>：</w:t>
      </w:r>
    </w:p>
    <w:p w14:paraId="35150B3D">
      <w:pPr>
        <w:snapToGrid w:val="0"/>
        <w:spacing w:line="360" w:lineRule="auto"/>
        <w:ind w:firstLine="576"/>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现</w:t>
      </w:r>
      <w:r>
        <w:rPr>
          <w:rFonts w:hint="eastAsia" w:asciiTheme="minorEastAsia" w:hAnsiTheme="minorEastAsia" w:eastAsiaTheme="minorEastAsia" w:cstheme="minorEastAsia"/>
          <w:kern w:val="0"/>
          <w:sz w:val="24"/>
          <w:lang w:val="zh-CN"/>
        </w:rPr>
        <w:t>委托</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（姓名）为我方代理人（身份证号码：</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，手机：</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kern w:val="0"/>
          <w:sz w:val="24"/>
          <w:lang w:val="zh-CN"/>
        </w:rPr>
        <w:t>），以我方名义处理</w:t>
      </w:r>
      <w:r>
        <w:rPr>
          <w:rFonts w:hint="eastAsia" w:asciiTheme="minorEastAsia" w:hAnsiTheme="minorEastAsia" w:eastAsiaTheme="minorEastAsia" w:cstheme="minorEastAsia"/>
          <w:sz w:val="24"/>
        </w:rPr>
        <w:t>（项目名称）【交易编号：    】</w:t>
      </w:r>
      <w:r>
        <w:rPr>
          <w:rFonts w:hint="eastAsia" w:asciiTheme="minorEastAsia" w:hAnsiTheme="minorEastAsia" w:eastAsiaTheme="minorEastAsia" w:cstheme="minorEastAsia"/>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委托期限</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自</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日起至</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年</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月</w:t>
      </w: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日止。</w:t>
      </w:r>
    </w:p>
    <w:p w14:paraId="0768391B">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zh-CN"/>
        </w:rPr>
        <w:t>特此告知。</w:t>
      </w:r>
    </w:p>
    <w:p w14:paraId="5738F575">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sz w:val="24"/>
        </w:rPr>
      </w:pPr>
    </w:p>
    <w:p w14:paraId="0730A064">
      <w:pPr>
        <w:snapToGrid w:val="0"/>
        <w:spacing w:line="360" w:lineRule="auto"/>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b/>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kern w:val="0"/>
          <w:sz w:val="32"/>
          <w:szCs w:val="32"/>
          <w:lang w:val="zh-CN"/>
        </w:rPr>
        <w:t>法定代表人、单位负责人或自然人本人</w:t>
      </w:r>
      <w:r>
        <w:rPr>
          <w:rFonts w:hint="eastAsia" w:asciiTheme="minorEastAsia" w:hAnsiTheme="minorEastAsia" w:eastAsiaTheme="minorEastAsia" w:cstheme="minorEastAsia"/>
          <w:b/>
          <w:sz w:val="30"/>
          <w:szCs w:val="30"/>
        </w:rPr>
        <w:t>的身份证明（适用于法定代表人、单位负责人或者自然人本人代表供应商参加交易）</w:t>
      </w:r>
    </w:p>
    <w:p w14:paraId="665A873D">
      <w:pPr>
        <w:pStyle w:val="147"/>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147"/>
              <w:adjustRightIn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正面：                                 反面：</w:t>
            </w:r>
          </w:p>
          <w:p w14:paraId="38F963F4">
            <w:pPr>
              <w:pStyle w:val="147"/>
              <w:adjustRightInd w:val="0"/>
              <w:spacing w:line="360" w:lineRule="auto"/>
              <w:rPr>
                <w:rFonts w:hint="eastAsia" w:asciiTheme="minorEastAsia" w:hAnsiTheme="minorEastAsia" w:eastAsiaTheme="minorEastAsia" w:cstheme="minorEastAsia"/>
                <w:bCs/>
                <w:sz w:val="24"/>
              </w:rPr>
            </w:pPr>
          </w:p>
        </w:tc>
      </w:tr>
    </w:tbl>
    <w:p w14:paraId="331549F1">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                   日期：  年  月  日</w:t>
      </w:r>
    </w:p>
    <w:p w14:paraId="1777F7F8">
      <w:pPr>
        <w:jc w:val="center"/>
        <w:rPr>
          <w:rFonts w:hint="eastAsia" w:asciiTheme="minorEastAsia" w:hAnsiTheme="minorEastAsia" w:eastAsiaTheme="minorEastAsia" w:cstheme="minorEastAsia"/>
          <w:b/>
          <w:kern w:val="0"/>
          <w:sz w:val="32"/>
          <w:szCs w:val="32"/>
        </w:rPr>
      </w:pPr>
    </w:p>
    <w:p w14:paraId="0AFCEE08">
      <w:pPr>
        <w:snapToGrid w:val="0"/>
        <w:spacing w:line="360" w:lineRule="auto"/>
        <w:rPr>
          <w:rFonts w:hint="eastAsia" w:asciiTheme="minorEastAsia" w:hAnsiTheme="minorEastAsia" w:eastAsiaTheme="minorEastAsia" w:cstheme="minorEastAsia"/>
          <w:kern w:val="0"/>
          <w:sz w:val="24"/>
        </w:rPr>
      </w:pPr>
    </w:p>
    <w:p w14:paraId="59628A35">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三、符合性审查资料</w:t>
      </w:r>
    </w:p>
    <w:p w14:paraId="753219BB">
      <w:pPr>
        <w:jc w:val="center"/>
        <w:rPr>
          <w:rFonts w:hint="eastAsia" w:asciiTheme="minorEastAsia" w:hAnsiTheme="minorEastAsia" w:eastAsiaTheme="minorEastAsia" w:cstheme="minorEastAsia"/>
          <w:b/>
          <w:kern w:val="0"/>
          <w:sz w:val="32"/>
          <w:szCs w:val="32"/>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响应文件中的</w:t>
            </w:r>
          </w:p>
          <w:p w14:paraId="54290DF2">
            <w:pPr>
              <w:snapToGrid w:val="0"/>
              <w:spacing w:line="24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sz w:val="24"/>
              </w:rPr>
            </w:pPr>
          </w:p>
          <w:p w14:paraId="19A52A7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见响应文件</w:t>
            </w:r>
          </w:p>
          <w:p w14:paraId="24CED97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见响应文件第</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页</w:t>
            </w:r>
          </w:p>
        </w:tc>
      </w:tr>
    </w:tbl>
    <w:p w14:paraId="51AEBEB8">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8C7B764">
      <w:pPr>
        <w:jc w:val="center"/>
        <w:rPr>
          <w:rFonts w:hint="eastAsia" w:asciiTheme="minorEastAsia" w:hAnsiTheme="minorEastAsia" w:eastAsiaTheme="minorEastAsia" w:cstheme="minorEastAsia"/>
          <w:b/>
          <w:kern w:val="0"/>
          <w:sz w:val="32"/>
          <w:szCs w:val="32"/>
        </w:rPr>
      </w:pPr>
    </w:p>
    <w:p w14:paraId="4A27E7B4">
      <w:pPr>
        <w:jc w:val="center"/>
        <w:rPr>
          <w:rFonts w:hint="eastAsia" w:asciiTheme="minorEastAsia" w:hAnsiTheme="minorEastAsia" w:eastAsiaTheme="minorEastAsia" w:cstheme="minorEastAsia"/>
          <w:b/>
          <w:kern w:val="0"/>
          <w:sz w:val="32"/>
          <w:szCs w:val="32"/>
        </w:rPr>
      </w:pPr>
    </w:p>
    <w:p w14:paraId="45B4CD60">
      <w:pPr>
        <w:jc w:val="center"/>
        <w:rPr>
          <w:rFonts w:hint="eastAsia" w:asciiTheme="minorEastAsia" w:hAnsiTheme="minorEastAsia" w:eastAsiaTheme="minorEastAsia" w:cstheme="minorEastAsia"/>
          <w:b/>
          <w:kern w:val="0"/>
          <w:sz w:val="32"/>
          <w:szCs w:val="32"/>
        </w:rPr>
      </w:pPr>
    </w:p>
    <w:p w14:paraId="560ACFBC">
      <w:pPr>
        <w:jc w:val="center"/>
        <w:rPr>
          <w:rFonts w:hint="eastAsia" w:asciiTheme="minorEastAsia" w:hAnsiTheme="minorEastAsia" w:eastAsiaTheme="minorEastAsia" w:cstheme="minorEastAsia"/>
          <w:b/>
          <w:kern w:val="0"/>
          <w:sz w:val="32"/>
          <w:szCs w:val="32"/>
        </w:rPr>
      </w:pPr>
    </w:p>
    <w:p w14:paraId="259D37CF">
      <w:pPr>
        <w:jc w:val="center"/>
        <w:rPr>
          <w:rFonts w:hint="eastAsia" w:asciiTheme="minorEastAsia" w:hAnsiTheme="minorEastAsia" w:eastAsiaTheme="minorEastAsia" w:cstheme="minorEastAsia"/>
          <w:b/>
          <w:kern w:val="0"/>
          <w:sz w:val="32"/>
          <w:szCs w:val="32"/>
        </w:rPr>
      </w:pPr>
    </w:p>
    <w:p w14:paraId="50A88A38">
      <w:pPr>
        <w:jc w:val="center"/>
        <w:rPr>
          <w:rFonts w:hint="eastAsia" w:asciiTheme="minorEastAsia" w:hAnsiTheme="minorEastAsia" w:eastAsiaTheme="minorEastAsia" w:cstheme="minorEastAsia"/>
          <w:b/>
          <w:kern w:val="0"/>
          <w:sz w:val="32"/>
          <w:szCs w:val="32"/>
        </w:rPr>
      </w:pPr>
    </w:p>
    <w:p w14:paraId="0F99D3F3">
      <w:pPr>
        <w:jc w:val="center"/>
        <w:rPr>
          <w:rFonts w:hint="eastAsia" w:asciiTheme="minorEastAsia" w:hAnsiTheme="minorEastAsia" w:eastAsiaTheme="minorEastAsia" w:cstheme="minorEastAsia"/>
          <w:b/>
          <w:kern w:val="0"/>
          <w:sz w:val="32"/>
          <w:szCs w:val="32"/>
        </w:rPr>
      </w:pPr>
    </w:p>
    <w:p w14:paraId="4C7551D0">
      <w:pPr>
        <w:jc w:val="center"/>
        <w:rPr>
          <w:rFonts w:hint="eastAsia" w:asciiTheme="minorEastAsia" w:hAnsiTheme="minorEastAsia" w:eastAsiaTheme="minorEastAsia" w:cstheme="minorEastAsia"/>
          <w:b/>
          <w:kern w:val="0"/>
          <w:sz w:val="32"/>
          <w:szCs w:val="32"/>
        </w:rPr>
      </w:pPr>
    </w:p>
    <w:p w14:paraId="2727133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kern w:val="0"/>
          <w:sz w:val="32"/>
          <w:szCs w:val="32"/>
        </w:rPr>
      </w:pPr>
    </w:p>
    <w:p w14:paraId="036FBC8B">
      <w:pPr>
        <w:jc w:val="center"/>
        <w:rPr>
          <w:rFonts w:hint="eastAsia" w:asciiTheme="minorEastAsia" w:hAnsiTheme="minorEastAsia" w:eastAsiaTheme="minorEastAsia" w:cstheme="minorEastAsia"/>
          <w:b/>
          <w:kern w:val="0"/>
          <w:sz w:val="32"/>
          <w:szCs w:val="32"/>
        </w:rPr>
      </w:pPr>
    </w:p>
    <w:p w14:paraId="18D400CE">
      <w:pPr>
        <w:jc w:val="center"/>
        <w:rPr>
          <w:rFonts w:hint="eastAsia" w:asciiTheme="minorEastAsia" w:hAnsiTheme="minorEastAsia" w:eastAsiaTheme="minorEastAsia" w:cstheme="minorEastAsia"/>
          <w:b/>
          <w:kern w:val="0"/>
          <w:sz w:val="32"/>
          <w:szCs w:val="32"/>
        </w:rPr>
      </w:pPr>
    </w:p>
    <w:p w14:paraId="4AAAA648">
      <w:pPr>
        <w:jc w:val="center"/>
        <w:rPr>
          <w:rFonts w:hint="eastAsia" w:asciiTheme="minorEastAsia" w:hAnsiTheme="minorEastAsia" w:eastAsiaTheme="minorEastAsia" w:cstheme="minorEastAsia"/>
          <w:b/>
          <w:kern w:val="0"/>
          <w:sz w:val="32"/>
          <w:szCs w:val="32"/>
        </w:rPr>
      </w:pPr>
    </w:p>
    <w:p w14:paraId="08806EEE">
      <w:pPr>
        <w:jc w:val="center"/>
        <w:rPr>
          <w:rFonts w:hint="eastAsia" w:asciiTheme="minorEastAsia" w:hAnsiTheme="minorEastAsia" w:eastAsiaTheme="minorEastAsia" w:cstheme="minorEastAsia"/>
          <w:b/>
          <w:kern w:val="0"/>
          <w:sz w:val="32"/>
          <w:szCs w:val="32"/>
        </w:rPr>
      </w:pPr>
    </w:p>
    <w:p w14:paraId="0D99B604">
      <w:pPr>
        <w:jc w:val="center"/>
        <w:rPr>
          <w:rFonts w:hint="eastAsia" w:asciiTheme="minorEastAsia" w:hAnsiTheme="minorEastAsia" w:eastAsiaTheme="minorEastAsia" w:cstheme="minorEastAsia"/>
          <w:b/>
          <w:kern w:val="0"/>
          <w:sz w:val="32"/>
          <w:szCs w:val="32"/>
        </w:rPr>
      </w:pPr>
    </w:p>
    <w:p w14:paraId="1BED5876">
      <w:pPr>
        <w:jc w:val="center"/>
        <w:rPr>
          <w:rFonts w:hint="eastAsia" w:asciiTheme="minorEastAsia" w:hAnsiTheme="minorEastAsia" w:eastAsiaTheme="minorEastAsia" w:cstheme="minorEastAsia"/>
          <w:b/>
          <w:kern w:val="0"/>
          <w:sz w:val="32"/>
          <w:szCs w:val="32"/>
        </w:rPr>
      </w:pPr>
    </w:p>
    <w:p w14:paraId="034525D7">
      <w:pPr>
        <w:ind w:firstLine="2891" w:firstLineChars="900"/>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五、交易标的清单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sz w:val="24"/>
              </w:rPr>
            </w:pPr>
          </w:p>
        </w:tc>
      </w:tr>
    </w:tbl>
    <w:p w14:paraId="7C02B28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7CA09863">
      <w:pPr>
        <w:jc w:val="center"/>
        <w:rPr>
          <w:rFonts w:hint="eastAsia" w:asciiTheme="minorEastAsia" w:hAnsiTheme="minorEastAsia" w:eastAsiaTheme="minorEastAsia" w:cstheme="minorEastAsia"/>
          <w:b/>
          <w:kern w:val="0"/>
          <w:sz w:val="32"/>
          <w:szCs w:val="32"/>
        </w:rPr>
      </w:pPr>
    </w:p>
    <w:p w14:paraId="1BDA7238">
      <w:pPr>
        <w:jc w:val="center"/>
        <w:rPr>
          <w:rFonts w:hint="eastAsia" w:asciiTheme="minorEastAsia" w:hAnsiTheme="minorEastAsia" w:eastAsiaTheme="minorEastAsia" w:cstheme="minorEastAsia"/>
          <w:b/>
          <w:kern w:val="0"/>
          <w:sz w:val="32"/>
          <w:szCs w:val="32"/>
        </w:rPr>
      </w:pPr>
    </w:p>
    <w:p w14:paraId="4810AC81">
      <w:pPr>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kern w:val="0"/>
                <w:sz w:val="32"/>
                <w:szCs w:val="32"/>
              </w:rPr>
            </w:pPr>
          </w:p>
        </w:tc>
      </w:tr>
    </w:tbl>
    <w:p w14:paraId="052B3E18">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kern w:val="0"/>
          <w:sz w:val="32"/>
          <w:szCs w:val="32"/>
        </w:rPr>
      </w:pPr>
    </w:p>
    <w:p w14:paraId="02E5E1AA">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1FA93D89">
      <w:pPr>
        <w:jc w:val="center"/>
        <w:rPr>
          <w:rFonts w:hint="eastAsia" w:asciiTheme="minorEastAsia" w:hAnsiTheme="minorEastAsia" w:eastAsiaTheme="minorEastAsia" w:cstheme="minorEastAsia"/>
          <w:b/>
          <w:kern w:val="0"/>
          <w:sz w:val="32"/>
          <w:szCs w:val="32"/>
        </w:rPr>
      </w:pPr>
    </w:p>
    <w:p w14:paraId="15D6F248">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14:paraId="5C2F723C">
      <w:pPr>
        <w:ind w:firstLine="1911" w:firstLineChars="595"/>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eastAsiaTheme="minorEastAsia" w:cstheme="minorEastAsia"/>
          <w:b/>
          <w:kern w:val="0"/>
          <w:sz w:val="32"/>
          <w:szCs w:val="32"/>
        </w:rPr>
        <w:t>、</w:t>
      </w:r>
      <w:r>
        <w:rPr>
          <w:rFonts w:hint="eastAsia" w:asciiTheme="minorEastAsia" w:hAnsiTheme="minorEastAsia" w:eastAsiaTheme="minorEastAsia" w:cstheme="minorEastAsia"/>
          <w:b/>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sz w:val="24"/>
        </w:rPr>
      </w:pPr>
    </w:p>
    <w:p w14:paraId="19C662B6">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我单位响应你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如违反上述承诺，你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sz w:val="24"/>
        </w:rPr>
        <w:t>单位</w:t>
      </w:r>
      <w:r>
        <w:rPr>
          <w:rFonts w:hint="eastAsia" w:asciiTheme="minorEastAsia" w:hAnsiTheme="minorEastAsia" w:eastAsiaTheme="minorEastAsia" w:cstheme="minorEastAsia"/>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供应商名称（</w:t>
      </w:r>
      <w:r>
        <w:rPr>
          <w:rFonts w:hint="eastAsia" w:asciiTheme="minorEastAsia" w:hAnsiTheme="minorEastAsia" w:eastAsiaTheme="minorEastAsia" w:cstheme="minorEastAsia"/>
          <w:sz w:val="24"/>
        </w:rPr>
        <w:t>电子签名</w:t>
      </w:r>
      <w:r>
        <w:rPr>
          <w:rFonts w:hint="eastAsia" w:asciiTheme="minorEastAsia" w:hAnsiTheme="minorEastAsia" w:eastAsiaTheme="minorEastAsia" w:cstheme="minorEastAsia"/>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日期</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sz w:val="24"/>
        </w:rPr>
      </w:pPr>
    </w:p>
    <w:p w14:paraId="7D44A3F9">
      <w:pPr>
        <w:spacing w:line="360" w:lineRule="auto"/>
        <w:ind w:right="4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注：按本格式和要求提供。</w:t>
      </w:r>
    </w:p>
    <w:p w14:paraId="4B701F8D">
      <w:pPr>
        <w:spacing w:line="360" w:lineRule="auto"/>
        <w:jc w:val="center"/>
        <w:rPr>
          <w:rFonts w:hint="eastAsia" w:asciiTheme="minorEastAsia" w:hAnsiTheme="minorEastAsia" w:eastAsiaTheme="minorEastAsia" w:cstheme="minorEastAsia"/>
          <w:b/>
          <w:bCs/>
          <w:sz w:val="24"/>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kern w:val="0"/>
          <w:sz w:val="36"/>
          <w:szCs w:val="36"/>
        </w:rPr>
      </w:pPr>
    </w:p>
    <w:p w14:paraId="66E6C936">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kern w:val="0"/>
          <w:sz w:val="36"/>
          <w:szCs w:val="36"/>
        </w:rPr>
      </w:pPr>
    </w:p>
    <w:p w14:paraId="5488A229">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kern w:val="0"/>
          <w:sz w:val="32"/>
          <w:szCs w:val="32"/>
        </w:rPr>
      </w:pPr>
    </w:p>
    <w:p w14:paraId="11B15C25">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30DE946">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u w:val="single"/>
        </w:rPr>
        <w:t>（采购人）、（采购代理机构）</w:t>
      </w:r>
      <w:r>
        <w:rPr>
          <w:rFonts w:hint="eastAsia" w:asciiTheme="minorEastAsia" w:hAnsiTheme="minorEastAsia" w:eastAsiaTheme="minorEastAsia" w:cstheme="minorEastAsia"/>
          <w:kern w:val="0"/>
          <w:sz w:val="24"/>
          <w:lang w:val="zh-CN"/>
        </w:rPr>
        <w:t>：</w:t>
      </w:r>
    </w:p>
    <w:p w14:paraId="5F3BC6FF">
      <w:pPr>
        <w:snapToGrid w:val="0"/>
        <w:spacing w:line="360" w:lineRule="auto"/>
        <w:ind w:firstLine="482"/>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sz w:val="24"/>
          <w:u w:val="single"/>
        </w:rPr>
        <w:t>（项目名称）</w:t>
      </w:r>
      <w:r>
        <w:rPr>
          <w:rFonts w:hint="eastAsia" w:asciiTheme="minorEastAsia" w:hAnsiTheme="minorEastAsia" w:eastAsiaTheme="minorEastAsia" w:cstheme="minorEastAsia"/>
          <w:kern w:val="0"/>
          <w:sz w:val="24"/>
          <w:u w:val="single"/>
          <w:lang w:val="zh-CN"/>
        </w:rPr>
        <w:t>【交易编号：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的实施</w:t>
      </w:r>
      <w:r>
        <w:rPr>
          <w:rFonts w:hint="eastAsia" w:asciiTheme="minorEastAsia" w:hAnsiTheme="minorEastAsia" w:eastAsiaTheme="minorEastAsia" w:cstheme="minorEastAsia"/>
          <w:kern w:val="0"/>
          <w:sz w:val="24"/>
          <w:lang w:val="zh-CN"/>
        </w:rPr>
        <w:t>。</w:t>
      </w:r>
    </w:p>
    <w:p w14:paraId="44AADE7B">
      <w:pPr>
        <w:spacing w:line="360" w:lineRule="auto"/>
        <w:jc w:val="center"/>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sz w:val="24"/>
              </w:rPr>
            </w:pPr>
          </w:p>
          <w:p w14:paraId="4A5F691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sz w:val="24"/>
              </w:rPr>
            </w:pPr>
          </w:p>
        </w:tc>
      </w:tr>
    </w:tbl>
    <w:p w14:paraId="3925572B">
      <w:pPr>
        <w:snapToGrid w:val="0"/>
        <w:spacing w:line="360" w:lineRule="auto"/>
        <w:ind w:left="480"/>
        <w:rPr>
          <w:rFonts w:hint="eastAsia" w:asciiTheme="minorEastAsia" w:hAnsiTheme="minorEastAsia" w:eastAsiaTheme="minorEastAsia" w:cstheme="minorEastAsia"/>
          <w:b/>
          <w:kern w:val="0"/>
          <w:sz w:val="24"/>
          <w:lang w:val="zh-CN"/>
        </w:rPr>
      </w:pPr>
      <w:r>
        <w:rPr>
          <w:rFonts w:hint="eastAsia" w:asciiTheme="minorEastAsia" w:hAnsiTheme="minorEastAsia" w:eastAsiaTheme="minorEastAsia" w:cstheme="minorEastAsia"/>
          <w:b/>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zh-CN"/>
        </w:rPr>
        <w:t>2、有关本项目实施所涉及的一切费用均计入报价。</w:t>
      </w:r>
      <w:r>
        <w:rPr>
          <w:rFonts w:hint="eastAsia" w:asciiTheme="minorEastAsia" w:hAnsiTheme="minorEastAsia" w:eastAsiaTheme="minorEastAsia" w:cstheme="minorEastAsia"/>
          <w:b/>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kern w:val="0"/>
          <w:sz w:val="24"/>
          <w:lang w:val="zh-CN"/>
        </w:rPr>
        <w:t>，</w:t>
      </w:r>
      <w:r>
        <w:rPr>
          <w:rFonts w:hint="eastAsia" w:asciiTheme="minorEastAsia" w:hAnsiTheme="minorEastAsia" w:eastAsiaTheme="minorEastAsia" w:cstheme="minorEastAsia"/>
          <w:b/>
          <w:kern w:val="0"/>
          <w:sz w:val="24"/>
          <w:lang w:val="zh-CN"/>
        </w:rPr>
        <w:t>不得出现“0元”“免费赠送”等形式的无偿报价，</w:t>
      </w:r>
      <w:r>
        <w:rPr>
          <w:rFonts w:hint="eastAsia" w:asciiTheme="minorEastAsia" w:hAnsiTheme="minorEastAsia" w:eastAsiaTheme="minorEastAsia" w:cstheme="minorEastAsia"/>
          <w:b/>
          <w:kern w:val="0"/>
          <w:sz w:val="24"/>
        </w:rPr>
        <w:t>否则视为</w:t>
      </w:r>
      <w:r>
        <w:rPr>
          <w:rFonts w:hint="eastAsia" w:asciiTheme="minorEastAsia" w:hAnsiTheme="minorEastAsia" w:eastAsiaTheme="minorEastAsia" w:cstheme="minorEastAsia"/>
          <w:b/>
          <w:sz w:val="24"/>
        </w:rPr>
        <w:t>响应文件含有采购人不能接受的附加条件的，交易无效</w:t>
      </w:r>
      <w:r>
        <w:rPr>
          <w:rFonts w:hint="eastAsia" w:asciiTheme="minorEastAsia" w:hAnsiTheme="minorEastAsia" w:eastAsiaTheme="minorEastAsia" w:cstheme="minorEastAsia"/>
          <w:b/>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kern w:val="0"/>
          <w:sz w:val="24"/>
        </w:rPr>
        <w:t>视为</w:t>
      </w:r>
      <w:r>
        <w:rPr>
          <w:rFonts w:hint="eastAsia" w:asciiTheme="minorEastAsia" w:hAnsiTheme="minorEastAsia" w:eastAsiaTheme="minorEastAsia" w:cstheme="minorEastAsia"/>
          <w:b/>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kern w:val="0"/>
          <w:sz w:val="24"/>
        </w:rPr>
      </w:pPr>
    </w:p>
    <w:p w14:paraId="275FB73B">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pPr>
    </w:p>
    <w:p w14:paraId="4044D33C">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2"/>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sz w:val="24"/>
        </w:rPr>
      </w:pPr>
      <w:bookmarkStart w:id="534" w:name="_Toc465665161"/>
      <w:r>
        <w:rPr>
          <w:rFonts w:hint="eastAsia" w:asciiTheme="minorEastAsia" w:hAnsiTheme="minorEastAsia" w:eastAsiaTheme="minorEastAsia" w:cstheme="minorEastAsia"/>
        </w:rPr>
        <w:t>附件</w:t>
      </w:r>
      <w:bookmarkEnd w:id="534"/>
    </w:p>
    <w:p w14:paraId="7A6251A7">
      <w:pPr>
        <w:pStyle w:val="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样品（演示）授权委托书</w:t>
      </w:r>
    </w:p>
    <w:p w14:paraId="68E0038E">
      <w:pPr>
        <w:jc w:val="center"/>
        <w:rPr>
          <w:rFonts w:hint="eastAsia" w:asciiTheme="minorEastAsia" w:hAnsiTheme="minorEastAsia" w:eastAsiaTheme="minorEastAsia" w:cstheme="minorEastAsia"/>
          <w:sz w:val="40"/>
        </w:rPr>
      </w:pPr>
      <w:r>
        <w:rPr>
          <w:rFonts w:hint="eastAsia" w:asciiTheme="minorEastAsia" w:hAnsiTheme="minorEastAsia" w:eastAsiaTheme="minorEastAsia" w:cstheme="minorEastAsia"/>
          <w:sz w:val="40"/>
        </w:rPr>
        <w:t>样品（演示）授权委托书</w:t>
      </w:r>
    </w:p>
    <w:p w14:paraId="544F02C2">
      <w:pPr>
        <w:jc w:val="center"/>
        <w:rPr>
          <w:rFonts w:hint="eastAsia" w:asciiTheme="minorEastAsia" w:hAnsiTheme="minorEastAsia" w:eastAsiaTheme="minorEastAsia" w:cstheme="minorEastAsia"/>
          <w:sz w:val="40"/>
        </w:rPr>
      </w:pPr>
    </w:p>
    <w:p w14:paraId="27DF49D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XXX（单位名称或采购机构名称）</w:t>
      </w:r>
      <w:r>
        <w:rPr>
          <w:rFonts w:hint="eastAsia" w:asciiTheme="minorEastAsia" w:hAnsiTheme="minorEastAsia" w:eastAsiaTheme="minorEastAsia" w:cstheme="minorEastAsia"/>
          <w:color w:val="000000"/>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000000"/>
          <w:sz w:val="24"/>
          <w:u w:val="single"/>
          <w:lang w:val="zh-CN"/>
        </w:rPr>
      </w:pPr>
      <w:r>
        <w:rPr>
          <w:rFonts w:hint="eastAsia" w:asciiTheme="minorEastAsia" w:hAnsiTheme="minorEastAsia" w:eastAsiaTheme="minorEastAsia" w:cstheme="minorEastAsia"/>
          <w:color w:val="000000"/>
          <w:sz w:val="24"/>
          <w:lang w:val="zh-CN"/>
        </w:rPr>
        <w:t>兹委派</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先生/女士，身份证号：</w:t>
      </w:r>
      <w:r>
        <w:rPr>
          <w:rFonts w:hint="eastAsia" w:asciiTheme="minorEastAsia" w:hAnsiTheme="minorEastAsia" w:eastAsiaTheme="minorEastAsia" w:cstheme="minorEastAsia"/>
          <w:color w:val="000000"/>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手机：</w:t>
      </w:r>
      <w:r>
        <w:rPr>
          <w:rFonts w:hint="eastAsia" w:asciiTheme="minorEastAsia" w:hAnsiTheme="minorEastAsia" w:eastAsiaTheme="minorEastAsia" w:cstheme="minorEastAsia"/>
          <w:color w:val="000000"/>
          <w:sz w:val="24"/>
          <w:u w:val="single"/>
          <w:lang w:val="zh-CN"/>
        </w:rPr>
        <w:t xml:space="preserve">             </w:t>
      </w:r>
      <w:r>
        <w:rPr>
          <w:rFonts w:hint="eastAsia" w:asciiTheme="minorEastAsia" w:hAnsiTheme="minorEastAsia" w:eastAsiaTheme="minorEastAsia" w:cstheme="minorEastAsia"/>
          <w:color w:val="000000"/>
          <w:sz w:val="24"/>
          <w:lang w:val="zh-CN"/>
        </w:rPr>
        <w:t>，代表我公司前来递交</w:t>
      </w:r>
      <w:r>
        <w:rPr>
          <w:rFonts w:hint="eastAsia" w:asciiTheme="minorEastAsia" w:hAnsiTheme="minorEastAsia" w:eastAsiaTheme="minorEastAsia" w:cstheme="minorEastAsia"/>
          <w:color w:val="000000"/>
          <w:sz w:val="24"/>
          <w:u w:val="single"/>
          <w:lang w:val="zh-CN"/>
        </w:rPr>
        <w:t xml:space="preserve">                           采购项目</w:t>
      </w:r>
      <w:r>
        <w:rPr>
          <w:rFonts w:hint="eastAsia" w:asciiTheme="minorEastAsia" w:hAnsiTheme="minorEastAsia" w:eastAsiaTheme="minorEastAsia" w:cstheme="minorEastAsia"/>
          <w:color w:val="000000"/>
          <w:sz w:val="24"/>
          <w:lang w:val="zh-CN"/>
        </w:rPr>
        <w:t>【项目编号：              】（标项号：  ）</w:t>
      </w:r>
      <w:r>
        <w:rPr>
          <w:rFonts w:hint="eastAsia" w:asciiTheme="minorEastAsia" w:hAnsiTheme="minorEastAsia" w:eastAsiaTheme="minorEastAsia" w:cstheme="minorEastAsia"/>
          <w:sz w:val="24"/>
          <w:lang w:val="zh-CN"/>
        </w:rPr>
        <w:t>投标样品或参加演示，</w:t>
      </w:r>
      <w:r>
        <w:rPr>
          <w:rFonts w:hint="eastAsia" w:asciiTheme="minorEastAsia" w:hAnsiTheme="minorEastAsia" w:eastAsiaTheme="minorEastAsia" w:cstheme="minorEastAsia"/>
          <w:color w:val="000000"/>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 xml:space="preserve">  </w:t>
      </w:r>
    </w:p>
    <w:p w14:paraId="4BAD0ABD">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64FF1CF6">
      <w:pPr>
        <w:snapToGrid w:val="0"/>
        <w:spacing w:line="360" w:lineRule="auto"/>
        <w:ind w:right="1920"/>
        <w:rPr>
          <w:rFonts w:hint="eastAsia" w:asciiTheme="minorEastAsia" w:hAnsiTheme="minorEastAsia" w:eastAsiaTheme="minorEastAsia" w:cstheme="minorEastAsia"/>
          <w:color w:val="000000"/>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000000"/>
          <w:sz w:val="24"/>
          <w:lang w:val="zh-CN"/>
        </w:rPr>
      </w:pPr>
    </w:p>
    <w:p w14:paraId="794B119A">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rPr>
        <w:t>受委托人</w:t>
      </w:r>
      <w:r>
        <w:rPr>
          <w:rFonts w:hint="eastAsia" w:asciiTheme="minorEastAsia" w:hAnsiTheme="minorEastAsia" w:eastAsiaTheme="minorEastAsia" w:cstheme="minorEastAsia"/>
          <w:color w:val="000000"/>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000000"/>
          <w:sz w:val="24"/>
          <w:lang w:val="zh-CN"/>
        </w:rPr>
      </w:pPr>
    </w:p>
    <w:p w14:paraId="6F1F7387">
      <w:pPr>
        <w:snapToGrid w:val="0"/>
        <w:spacing w:line="360" w:lineRule="auto"/>
        <w:ind w:right="240"/>
        <w:rPr>
          <w:rFonts w:hint="eastAsia" w:asciiTheme="minorEastAsia" w:hAnsiTheme="minorEastAsia" w:eastAsiaTheme="minorEastAsia" w:cstheme="minorEastAsia"/>
          <w:color w:val="000000"/>
          <w:sz w:val="24"/>
          <w:lang w:val="zh-CN"/>
        </w:rPr>
      </w:pPr>
      <w:r>
        <w:rPr>
          <w:rFonts w:hint="eastAsia" w:asciiTheme="minorEastAsia" w:hAnsiTheme="minorEastAsia" w:eastAsiaTheme="minorEastAsia" w:cstheme="minorEastAsia"/>
          <w:color w:val="000000"/>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同时有样品和演示的，可委托不同人员。</w:t>
      </w:r>
    </w:p>
    <w:p w14:paraId="24928198">
      <w:pPr>
        <w:spacing w:line="360" w:lineRule="auto"/>
        <w:jc w:val="left"/>
        <w:rPr>
          <w:rFonts w:hint="eastAsia" w:asciiTheme="minorEastAsia" w:hAnsiTheme="minorEastAsia" w:eastAsiaTheme="minorEastAsia" w:cstheme="minorEastAsia"/>
          <w:b/>
          <w:spacing w:val="6"/>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一、质疑供应商基本信息</w:t>
      </w:r>
    </w:p>
    <w:p w14:paraId="43D6C8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质疑供应商：</w:t>
      </w:r>
      <w:r>
        <w:rPr>
          <w:rFonts w:hint="eastAsia" w:asciiTheme="minorEastAsia" w:hAnsiTheme="minorEastAsia" w:eastAsiaTheme="minorEastAsia" w:cstheme="minorEastAsia"/>
          <w:sz w:val="24"/>
          <w:u w:val="dotted"/>
        </w:rPr>
        <w:t xml:space="preserve">                                        </w:t>
      </w:r>
    </w:p>
    <w:p w14:paraId="0D4291A4">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2190A55A">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45742DBD">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p>
    <w:p w14:paraId="186BD735">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7CF69B1F">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地址： </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p>
    <w:p w14:paraId="77EF1493">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二、质疑项目基本情况</w:t>
      </w:r>
    </w:p>
    <w:p w14:paraId="02A402AD">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质疑项目的名称：</w:t>
      </w:r>
      <w:r>
        <w:rPr>
          <w:rFonts w:hint="eastAsia" w:asciiTheme="minorEastAsia" w:hAnsiTheme="minorEastAsia" w:eastAsiaTheme="minorEastAsia" w:cstheme="minorEastAsia"/>
          <w:sz w:val="24"/>
          <w:u w:val="dotted"/>
        </w:rPr>
        <w:t xml:space="preserve">                                      </w:t>
      </w:r>
    </w:p>
    <w:p w14:paraId="4D93A336">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质疑项目的编号：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25A1C2A6">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p>
    <w:p w14:paraId="5F15EC17">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采购文件获取日期：</w:t>
      </w:r>
      <w:r>
        <w:rPr>
          <w:rFonts w:hint="eastAsia" w:asciiTheme="minorEastAsia" w:hAnsiTheme="minorEastAsia" w:eastAsiaTheme="minorEastAsia" w:cstheme="minorEastAsia"/>
          <w:sz w:val="24"/>
          <w:u w:val="dotted"/>
        </w:rPr>
        <w:t xml:space="preserve">                                           </w:t>
      </w:r>
    </w:p>
    <w:p w14:paraId="4016F496">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三、质疑事项具体内容</w:t>
      </w:r>
    </w:p>
    <w:p w14:paraId="5EDF201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质疑事项1：</w:t>
      </w:r>
      <w:r>
        <w:rPr>
          <w:rFonts w:hint="eastAsia" w:asciiTheme="minorEastAsia" w:hAnsiTheme="minorEastAsia" w:eastAsiaTheme="minorEastAsia" w:cstheme="minorEastAsia"/>
          <w:sz w:val="24"/>
          <w:u w:val="dotted"/>
        </w:rPr>
        <w:t xml:space="preserve">                                         </w:t>
      </w:r>
    </w:p>
    <w:p w14:paraId="347E60C9">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15AB22CC">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 xml:space="preserve">                                                       </w:t>
      </w:r>
    </w:p>
    <w:p w14:paraId="7FD5D9B5">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276747E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2F01241E">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质疑事项2</w:t>
      </w:r>
    </w:p>
    <w:p w14:paraId="6C69491E">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p w14:paraId="66E42D5E">
      <w:pPr>
        <w:snapToGrid w:val="0"/>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四、与质疑事项相关的质疑请求</w:t>
      </w:r>
    </w:p>
    <w:p w14:paraId="2B90E678">
      <w:pPr>
        <w:snapToGrid w:val="0"/>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p>
    <w:p w14:paraId="04F1CE3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7A3CF13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1FB92CDE">
      <w:pPr>
        <w:spacing w:line="360" w:lineRule="auto"/>
        <w:jc w:val="center"/>
        <w:rPr>
          <w:rFonts w:hint="eastAsia" w:asciiTheme="minorEastAsia" w:hAnsiTheme="minorEastAsia" w:eastAsiaTheme="minorEastAsia" w:cstheme="minorEastAsia"/>
          <w:b/>
          <w:bCs/>
          <w:sz w:val="24"/>
        </w:rPr>
      </w:pPr>
    </w:p>
    <w:p w14:paraId="302F4427">
      <w:pPr>
        <w:spacing w:line="360" w:lineRule="auto"/>
        <w:rPr>
          <w:rFonts w:hint="eastAsia" w:asciiTheme="minorEastAsia" w:hAnsiTheme="minorEastAsia" w:eastAsiaTheme="minorEastAsia" w:cstheme="minorEastAsia"/>
          <w:b/>
          <w:sz w:val="24"/>
        </w:rPr>
      </w:pPr>
    </w:p>
    <w:p w14:paraId="4D25F589">
      <w:pPr>
        <w:spacing w:line="360" w:lineRule="auto"/>
        <w:rPr>
          <w:rFonts w:hint="eastAsia" w:asciiTheme="minorEastAsia" w:hAnsiTheme="minorEastAsia" w:eastAsiaTheme="minorEastAsia" w:cstheme="minorEastAsia"/>
          <w:b/>
          <w:sz w:val="24"/>
        </w:rPr>
      </w:pPr>
    </w:p>
    <w:p w14:paraId="2D125D6F">
      <w:pPr>
        <w:spacing w:line="360" w:lineRule="auto"/>
        <w:rPr>
          <w:rFonts w:hint="eastAsia" w:asciiTheme="minorEastAsia" w:hAnsiTheme="minorEastAsia" w:eastAsiaTheme="minorEastAsia" w:cstheme="minorEastAsia"/>
          <w:b/>
          <w:sz w:val="24"/>
        </w:rPr>
      </w:pPr>
    </w:p>
    <w:p w14:paraId="49D0654D">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sz w:val="30"/>
          <w:szCs w:val="30"/>
        </w:rPr>
      </w:pPr>
    </w:p>
    <w:p w14:paraId="512BC525">
      <w:pPr>
        <w:spacing w:line="360" w:lineRule="auto"/>
        <w:jc w:val="center"/>
        <w:rPr>
          <w:rFonts w:hint="eastAsia" w:asciiTheme="minorEastAsia" w:hAnsiTheme="minorEastAsia" w:eastAsiaTheme="minorEastAsia" w:cstheme="minorEastAsia"/>
          <w:b/>
          <w:spacing w:val="6"/>
          <w:sz w:val="32"/>
          <w:szCs w:val="32"/>
        </w:rPr>
      </w:pPr>
    </w:p>
    <w:p w14:paraId="3CDB773C">
      <w:pPr>
        <w:spacing w:line="360" w:lineRule="auto"/>
        <w:jc w:val="center"/>
        <w:rPr>
          <w:rFonts w:hint="eastAsia" w:asciiTheme="minorEastAsia" w:hAnsiTheme="minorEastAsia" w:eastAsiaTheme="minorEastAsia" w:cstheme="minorEastAsia"/>
          <w:b/>
          <w:spacing w:val="6"/>
          <w:sz w:val="32"/>
          <w:szCs w:val="32"/>
        </w:rPr>
      </w:pPr>
    </w:p>
    <w:p w14:paraId="0414CD20">
      <w:pPr>
        <w:spacing w:line="360" w:lineRule="auto"/>
        <w:jc w:val="center"/>
        <w:rPr>
          <w:rFonts w:hint="eastAsia" w:asciiTheme="minorEastAsia" w:hAnsiTheme="minorEastAsia" w:eastAsiaTheme="minorEastAsia" w:cstheme="minorEastAsia"/>
          <w:b/>
          <w:spacing w:val="6"/>
          <w:sz w:val="32"/>
          <w:szCs w:val="32"/>
        </w:rPr>
      </w:pPr>
    </w:p>
    <w:p w14:paraId="155736BB">
      <w:pPr>
        <w:spacing w:line="360" w:lineRule="auto"/>
        <w:jc w:val="center"/>
        <w:rPr>
          <w:rFonts w:hint="eastAsia" w:asciiTheme="minorEastAsia" w:hAnsiTheme="minorEastAsia" w:eastAsiaTheme="minorEastAsia" w:cstheme="minorEastAsia"/>
          <w:b/>
          <w:spacing w:val="6"/>
          <w:sz w:val="32"/>
          <w:szCs w:val="32"/>
        </w:rPr>
      </w:pPr>
    </w:p>
    <w:p w14:paraId="2B479B76">
      <w:pPr>
        <w:spacing w:line="360" w:lineRule="auto"/>
        <w:jc w:val="center"/>
        <w:rPr>
          <w:rFonts w:hint="eastAsia" w:asciiTheme="minorEastAsia" w:hAnsiTheme="minorEastAsia" w:eastAsiaTheme="minorEastAsia" w:cstheme="minorEastAsia"/>
          <w:b/>
          <w:spacing w:val="6"/>
          <w:sz w:val="32"/>
          <w:szCs w:val="32"/>
        </w:rPr>
      </w:pPr>
    </w:p>
    <w:p w14:paraId="25E4CEFD">
      <w:pPr>
        <w:spacing w:line="360" w:lineRule="auto"/>
        <w:jc w:val="center"/>
        <w:rPr>
          <w:rFonts w:hint="eastAsia" w:asciiTheme="minorEastAsia" w:hAnsiTheme="minorEastAsia" w:eastAsiaTheme="minorEastAsia" w:cstheme="minorEastAsia"/>
          <w:b/>
          <w:spacing w:val="6"/>
          <w:sz w:val="32"/>
          <w:szCs w:val="32"/>
        </w:rPr>
      </w:pPr>
    </w:p>
    <w:p w14:paraId="3D686D5C">
      <w:pPr>
        <w:spacing w:line="360" w:lineRule="auto"/>
        <w:jc w:val="center"/>
        <w:rPr>
          <w:rFonts w:hint="eastAsia" w:asciiTheme="minorEastAsia" w:hAnsiTheme="minorEastAsia" w:eastAsiaTheme="minorEastAsia" w:cstheme="minorEastAsia"/>
          <w:b/>
          <w:spacing w:val="6"/>
          <w:sz w:val="32"/>
          <w:szCs w:val="32"/>
        </w:rPr>
      </w:pPr>
    </w:p>
    <w:p w14:paraId="0507437C">
      <w:pPr>
        <w:spacing w:line="360" w:lineRule="auto"/>
        <w:jc w:val="center"/>
        <w:rPr>
          <w:rFonts w:hint="eastAsia" w:asciiTheme="minorEastAsia" w:hAnsiTheme="minorEastAsia" w:eastAsiaTheme="minorEastAsia" w:cstheme="minorEastAsia"/>
          <w:b/>
          <w:spacing w:val="6"/>
          <w:sz w:val="32"/>
          <w:szCs w:val="32"/>
        </w:rPr>
      </w:pPr>
    </w:p>
    <w:p w14:paraId="0C0FD9F1">
      <w:pPr>
        <w:spacing w:line="360" w:lineRule="auto"/>
        <w:jc w:val="center"/>
        <w:rPr>
          <w:rFonts w:hint="eastAsia" w:asciiTheme="minorEastAsia" w:hAnsiTheme="minorEastAsia" w:eastAsiaTheme="minorEastAsia" w:cstheme="minorEastAsia"/>
          <w:b/>
          <w:spacing w:val="6"/>
          <w:sz w:val="32"/>
          <w:szCs w:val="32"/>
        </w:rPr>
      </w:pPr>
    </w:p>
    <w:p w14:paraId="00F28026">
      <w:pPr>
        <w:spacing w:line="360" w:lineRule="auto"/>
        <w:jc w:val="center"/>
        <w:rPr>
          <w:rFonts w:hint="eastAsia" w:asciiTheme="minorEastAsia" w:hAnsiTheme="minorEastAsia" w:eastAsiaTheme="minorEastAsia" w:cstheme="minorEastAsia"/>
          <w:b/>
          <w:spacing w:val="6"/>
          <w:sz w:val="32"/>
          <w:szCs w:val="32"/>
        </w:rPr>
      </w:pPr>
    </w:p>
    <w:p w14:paraId="05244F7B">
      <w:pPr>
        <w:spacing w:line="360" w:lineRule="auto"/>
        <w:jc w:val="center"/>
        <w:rPr>
          <w:rFonts w:hint="eastAsia" w:asciiTheme="minorEastAsia" w:hAnsiTheme="minorEastAsia" w:eastAsiaTheme="minorEastAsia" w:cstheme="minorEastAsia"/>
          <w:b/>
          <w:spacing w:val="6"/>
          <w:sz w:val="32"/>
          <w:szCs w:val="32"/>
        </w:rPr>
      </w:pPr>
    </w:p>
    <w:p w14:paraId="7B2F1C21">
      <w:pP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br w:type="page"/>
      </w:r>
    </w:p>
    <w:p w14:paraId="18680D7D">
      <w:pPr>
        <w:spacing w:line="360" w:lineRule="auto"/>
        <w:jc w:val="left"/>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sz w:val="24"/>
        </w:rPr>
      </w:pPr>
    </w:p>
    <w:p w14:paraId="2F9FA3BE">
      <w:pPr>
        <w:spacing w:line="360" w:lineRule="auto"/>
        <w:jc w:val="center"/>
        <w:rPr>
          <w:rFonts w:hint="eastAsia" w:asciiTheme="minorEastAsia" w:hAnsiTheme="minorEastAsia" w:eastAsiaTheme="minorEastAsia" w:cstheme="minorEastAsia"/>
          <w:b/>
          <w:spacing w:val="6"/>
          <w:sz w:val="32"/>
          <w:szCs w:val="32"/>
        </w:rPr>
      </w:pPr>
      <w:r>
        <w:rPr>
          <w:rFonts w:hint="eastAsia" w:asciiTheme="minorEastAsia" w:hAnsiTheme="minorEastAsia" w:eastAsiaTheme="minorEastAsia" w:cstheme="minorEastAsia"/>
          <w:b/>
          <w:spacing w:val="6"/>
          <w:sz w:val="32"/>
          <w:szCs w:val="32"/>
        </w:rPr>
        <w:t>投诉书范本</w:t>
      </w:r>
    </w:p>
    <w:p w14:paraId="50AD41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一、投诉相关主体基本情况</w:t>
      </w:r>
    </w:p>
    <w:p w14:paraId="475CEB57">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w:t>
      </w:r>
      <w:r>
        <w:rPr>
          <w:rFonts w:hint="eastAsia" w:asciiTheme="minorEastAsia" w:hAnsiTheme="minorEastAsia" w:eastAsiaTheme="minorEastAsia" w:cstheme="minorEastAsia"/>
          <w:sz w:val="24"/>
          <w:u w:val="dotted"/>
        </w:rPr>
        <w:t xml:space="preserve">                                               </w:t>
      </w:r>
    </w:p>
    <w:p w14:paraId="0FB45CA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法定代表人/主要负责人：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628245C">
      <w:pPr>
        <w:tabs>
          <w:tab w:val="left" w:pos="6510"/>
        </w:tabs>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6F1FA2E">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授权代表：</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p>
    <w:p w14:paraId="271C6C2D">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dotted"/>
        </w:rPr>
        <w:t xml:space="preserve">                   </w:t>
      </w:r>
    </w:p>
    <w:p w14:paraId="7B47E28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被投诉人1：</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1B9BC1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3806F747">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B36101">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被投诉人2</w:t>
      </w:r>
    </w:p>
    <w:p w14:paraId="28B3D6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43D7A510">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相关供应商：</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D63295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邮编：</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56773B15">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721CED9A">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二、投诉项目基本情况</w:t>
      </w:r>
    </w:p>
    <w:p w14:paraId="484D1A4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采购项目名称：</w:t>
      </w:r>
      <w:r>
        <w:rPr>
          <w:rFonts w:hint="eastAsia" w:asciiTheme="minorEastAsia" w:hAnsiTheme="minorEastAsia" w:eastAsiaTheme="minorEastAsia" w:cstheme="minorEastAsia"/>
          <w:sz w:val="24"/>
          <w:u w:val="dotted"/>
        </w:rPr>
        <w:t xml:space="preserve">                                        </w:t>
      </w:r>
    </w:p>
    <w:p w14:paraId="40CF55A9">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采购项目编号：</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包号：</w:t>
      </w:r>
      <w:r>
        <w:rPr>
          <w:rFonts w:hint="eastAsia" w:asciiTheme="minorEastAsia" w:hAnsiTheme="minorEastAsia" w:eastAsiaTheme="minorEastAsia" w:cstheme="minorEastAsia"/>
          <w:sz w:val="24"/>
          <w:u w:val="dotted"/>
        </w:rPr>
        <w:t xml:space="preserve">              </w:t>
      </w:r>
    </w:p>
    <w:p w14:paraId="1BDCCCC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采购人名称：</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u w:val="single"/>
        </w:rPr>
        <w:t xml:space="preserve">  </w:t>
      </w:r>
    </w:p>
    <w:p w14:paraId="1BBAEE9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代理机构名称：</w:t>
      </w:r>
      <w:r>
        <w:rPr>
          <w:rFonts w:hint="eastAsia" w:asciiTheme="minorEastAsia" w:hAnsiTheme="minorEastAsia" w:eastAsiaTheme="minorEastAsia" w:cstheme="minorEastAsia"/>
          <w:sz w:val="24"/>
          <w:u w:val="dotted"/>
        </w:rPr>
        <w:t xml:space="preserve">                                         </w:t>
      </w:r>
    </w:p>
    <w:p w14:paraId="1A77E44F">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采购文件公告: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03F5EEF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采购结果公告:</w:t>
      </w:r>
      <w:r>
        <w:rPr>
          <w:rFonts w:hint="eastAsia" w:asciiTheme="minorEastAsia" w:hAnsiTheme="minorEastAsia" w:eastAsiaTheme="minorEastAsia" w:cstheme="minorEastAsia"/>
          <w:sz w:val="24"/>
          <w:u w:val="dotted"/>
        </w:rPr>
        <w:t xml:space="preserve">是/否 </w:t>
      </w:r>
      <w:r>
        <w:rPr>
          <w:rFonts w:hint="eastAsia" w:asciiTheme="minorEastAsia" w:hAnsiTheme="minorEastAsia" w:eastAsiaTheme="minorEastAsia" w:cstheme="minorEastAsia"/>
          <w:sz w:val="24"/>
        </w:rPr>
        <w:t>公告期限：</w:t>
      </w:r>
      <w:r>
        <w:rPr>
          <w:rFonts w:hint="eastAsia" w:asciiTheme="minorEastAsia" w:hAnsiTheme="minorEastAsia" w:eastAsiaTheme="minorEastAsia" w:cstheme="minorEastAsia"/>
          <w:sz w:val="24"/>
          <w:u w:val="dotted"/>
        </w:rPr>
        <w:t xml:space="preserve">                        </w:t>
      </w:r>
    </w:p>
    <w:p w14:paraId="7912F002">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三、质疑基本情况</w:t>
      </w:r>
    </w:p>
    <w:p w14:paraId="30597D9D">
      <w:pPr>
        <w:spacing w:line="360" w:lineRule="auto"/>
        <w:ind w:firstLine="480" w:firstLineChars="200"/>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投诉人于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日,向</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提出质疑，质疑事项为：</w:t>
      </w:r>
      <w:r>
        <w:rPr>
          <w:rFonts w:hint="eastAsia" w:asciiTheme="minorEastAsia" w:hAnsiTheme="minorEastAsia" w:eastAsiaTheme="minorEastAsia" w:cstheme="minorEastAsia"/>
          <w:sz w:val="24"/>
          <w:u w:val="dotted"/>
        </w:rPr>
        <w:t xml:space="preserve">                                </w:t>
      </w:r>
    </w:p>
    <w:p w14:paraId="712D35A6">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6B8514F4">
      <w:pPr>
        <w:spacing w:line="360" w:lineRule="auto"/>
        <w:ind w:firstLine="360" w:firstLineChars="1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dotted"/>
        </w:rPr>
        <w:t>采购人/代理机构</w:t>
      </w:r>
      <w:r>
        <w:rPr>
          <w:rFonts w:hint="eastAsia" w:asciiTheme="minorEastAsia" w:hAnsiTheme="minorEastAsia" w:eastAsiaTheme="minorEastAsia" w:cstheme="minorEastAsia"/>
          <w:sz w:val="24"/>
        </w:rPr>
        <w:t>于</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四、投诉事项具体内容</w:t>
      </w:r>
    </w:p>
    <w:p w14:paraId="625F412A">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投诉事项 1：</w:t>
      </w:r>
      <w:r>
        <w:rPr>
          <w:rFonts w:hint="eastAsia" w:asciiTheme="minorEastAsia" w:hAnsiTheme="minorEastAsia" w:eastAsiaTheme="minorEastAsia" w:cstheme="minorEastAsia"/>
          <w:sz w:val="24"/>
          <w:u w:val="dotted"/>
        </w:rPr>
        <w:t xml:space="preserve">                                       </w:t>
      </w:r>
    </w:p>
    <w:p w14:paraId="35E213D4">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事实依据：</w:t>
      </w:r>
      <w:r>
        <w:rPr>
          <w:rFonts w:hint="eastAsia" w:asciiTheme="minorEastAsia" w:hAnsiTheme="minorEastAsia" w:eastAsiaTheme="minorEastAsia" w:cstheme="minorEastAsia"/>
          <w:sz w:val="24"/>
          <w:u w:val="dotted"/>
        </w:rPr>
        <w:t xml:space="preserve">                                         </w:t>
      </w:r>
    </w:p>
    <w:p w14:paraId="38E02268">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163704D1">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法律依据：</w:t>
      </w:r>
      <w:r>
        <w:rPr>
          <w:rFonts w:hint="eastAsia" w:asciiTheme="minorEastAsia" w:hAnsiTheme="minorEastAsia" w:eastAsiaTheme="minorEastAsia" w:cstheme="minorEastAsia"/>
          <w:sz w:val="24"/>
          <w:u w:val="dotted"/>
        </w:rPr>
        <w:t xml:space="preserve">                                          </w:t>
      </w:r>
    </w:p>
    <w:p w14:paraId="0A05D014">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u w:val="dotted"/>
        </w:rPr>
        <w:t xml:space="preserve">                                                      </w:t>
      </w:r>
    </w:p>
    <w:p w14:paraId="47B3612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投诉事项2</w:t>
      </w:r>
    </w:p>
    <w:p w14:paraId="747C2065">
      <w:pPr>
        <w:spacing w:line="360" w:lineRule="auto"/>
        <w:rPr>
          <w:rFonts w:hint="eastAsia" w:asciiTheme="minorEastAsia" w:hAnsiTheme="minorEastAsia" w:eastAsiaTheme="minorEastAsia" w:cstheme="minorEastAsia"/>
          <w:sz w:val="24"/>
          <w:u w:val="dotted"/>
        </w:rPr>
      </w:pPr>
      <w:r>
        <w:rPr>
          <w:rFonts w:hint="eastAsia" w:asciiTheme="minorEastAsia" w:hAnsiTheme="minorEastAsia" w:eastAsiaTheme="minorEastAsia" w:cstheme="minorEastAsia"/>
          <w:sz w:val="24"/>
        </w:rPr>
        <w:t>……</w:t>
      </w:r>
    </w:p>
    <w:p w14:paraId="271483CB">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五、与投诉事项相关的投诉请求</w:t>
      </w:r>
    </w:p>
    <w:p w14:paraId="57BB806E">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请求：</w:t>
      </w:r>
      <w:r>
        <w:rPr>
          <w:rFonts w:hint="eastAsia" w:asciiTheme="minorEastAsia" w:hAnsiTheme="minorEastAsia" w:eastAsiaTheme="minorEastAsia" w:cstheme="minorEastAsia"/>
          <w:sz w:val="24"/>
          <w:u w:val="dotted"/>
        </w:rPr>
        <w:t xml:space="preserve">                                              </w:t>
      </w:r>
      <w:r>
        <w:rPr>
          <w:rFonts w:hint="eastAsia" w:asciiTheme="minorEastAsia" w:hAnsiTheme="minorEastAsia" w:eastAsiaTheme="minorEastAsia" w:cstheme="minorEastAsia"/>
          <w:sz w:val="24"/>
        </w:rPr>
        <w:t xml:space="preserve"> </w:t>
      </w:r>
    </w:p>
    <w:p w14:paraId="5317B13C">
      <w:pPr>
        <w:spacing w:line="360" w:lineRule="auto"/>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w:t>
      </w:r>
    </w:p>
    <w:p w14:paraId="6BD6DB3F">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签字(签章)：                   公章：                      </w:t>
      </w:r>
    </w:p>
    <w:p w14:paraId="3874550D">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日期：    </w:t>
      </w:r>
    </w:p>
    <w:p w14:paraId="6E4F4398">
      <w:pPr>
        <w:spacing w:line="360" w:lineRule="auto"/>
        <w:rPr>
          <w:rFonts w:hint="eastAsia" w:asciiTheme="minorEastAsia" w:hAnsiTheme="minorEastAsia" w:eastAsiaTheme="minorEastAsia" w:cstheme="minorEastAsia"/>
          <w:b/>
          <w:sz w:val="24"/>
        </w:rPr>
      </w:pPr>
    </w:p>
    <w:p w14:paraId="5EBCA84D">
      <w:pPr>
        <w:spacing w:line="360" w:lineRule="auto"/>
        <w:rPr>
          <w:rFonts w:hint="eastAsia" w:asciiTheme="minorEastAsia" w:hAnsiTheme="minorEastAsia" w:eastAsiaTheme="minorEastAsia" w:cstheme="minorEastAsia"/>
          <w:b/>
          <w:sz w:val="24"/>
        </w:rPr>
      </w:pPr>
    </w:p>
    <w:p w14:paraId="24378125">
      <w:pPr>
        <w:spacing w:line="360" w:lineRule="auto"/>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sz w:val="24"/>
        </w:rPr>
      </w:pPr>
    </w:p>
    <w:p w14:paraId="4A2FAC8A">
      <w:pPr>
        <w:autoSpaceDE w:val="0"/>
        <w:autoSpaceDN w:val="0"/>
        <w:jc w:val="center"/>
        <w:rPr>
          <w:rFonts w:hint="eastAsia" w:asciiTheme="minorEastAsia" w:hAnsiTheme="minorEastAsia" w:eastAsiaTheme="minorEastAsia" w:cstheme="minorEastAsia"/>
          <w:b/>
          <w:spacing w:val="6"/>
          <w:sz w:val="32"/>
          <w:szCs w:val="32"/>
        </w:rPr>
      </w:pPr>
    </w:p>
    <w:p w14:paraId="61D4BF44">
      <w:pPr>
        <w:autoSpaceDE w:val="0"/>
        <w:autoSpaceDN w:val="0"/>
        <w:jc w:val="center"/>
        <w:rPr>
          <w:rFonts w:hint="eastAsia" w:asciiTheme="minorEastAsia" w:hAnsiTheme="minorEastAsia" w:eastAsiaTheme="minorEastAsia" w:cstheme="minorEastAsia"/>
          <w:b/>
          <w:spacing w:val="6"/>
          <w:sz w:val="32"/>
          <w:szCs w:val="32"/>
        </w:rPr>
      </w:pPr>
    </w:p>
    <w:p w14:paraId="71EF9BC8">
      <w:pPr>
        <w:rPr>
          <w:rFonts w:hint="eastAsia" w:asciiTheme="minorEastAsia" w:hAnsiTheme="minorEastAsia" w:eastAsiaTheme="minorEastAsia" w:cstheme="minorEastAsia"/>
          <w:b/>
          <w:spacing w:val="6"/>
          <w:sz w:val="32"/>
          <w:szCs w:val="32"/>
        </w:rPr>
      </w:pPr>
    </w:p>
    <w:p w14:paraId="4417DDE1">
      <w:pPr>
        <w:autoSpaceDE w:val="0"/>
        <w:autoSpaceDN w:val="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spacing w:val="6"/>
          <w:sz w:val="32"/>
          <w:szCs w:val="32"/>
        </w:rPr>
        <w:t>附件4：</w:t>
      </w:r>
      <w:r>
        <w:rPr>
          <w:rFonts w:hint="eastAsia" w:asciiTheme="minorEastAsia" w:hAnsiTheme="minorEastAsia" w:eastAsiaTheme="minorEastAsia" w:cstheme="minorEastAsia"/>
          <w:b/>
          <w:bCs/>
          <w:sz w:val="32"/>
          <w:szCs w:val="32"/>
        </w:rPr>
        <w:t>业务专用章使用说明函</w:t>
      </w:r>
    </w:p>
    <w:p w14:paraId="15884E7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val="zh-CN"/>
        </w:rPr>
        <w:t>我方</w:t>
      </w:r>
      <w:r>
        <w:rPr>
          <w:rFonts w:hint="eastAsia" w:asciiTheme="minorEastAsia" w:hAnsiTheme="minorEastAsia" w:eastAsiaTheme="minorEastAsia" w:cstheme="minorEastAsia"/>
          <w:kern w:val="0"/>
          <w:sz w:val="24"/>
          <w:u w:val="single"/>
          <w:lang w:val="zh-CN"/>
        </w:rPr>
        <w:t xml:space="preserve">                         </w:t>
      </w:r>
      <w:r>
        <w:rPr>
          <w:rFonts w:hint="eastAsia" w:asciiTheme="minorEastAsia" w:hAnsiTheme="minorEastAsia" w:eastAsiaTheme="minorEastAsia" w:cstheme="minorEastAsia"/>
          <w:sz w:val="24"/>
        </w:rPr>
        <w:t>(供应商全称)是中华人民共和国依法登记注册的合法企业，</w:t>
      </w:r>
      <w:r>
        <w:rPr>
          <w:rFonts w:hint="eastAsia" w:asciiTheme="minorEastAsia" w:hAnsiTheme="minorEastAsia" w:eastAsiaTheme="minorEastAsia" w:cstheme="minorEastAsia"/>
          <w:bCs/>
          <w:sz w:val="24"/>
        </w:rPr>
        <w:t>在参加</w:t>
      </w:r>
      <w:r>
        <w:rPr>
          <w:rFonts w:hint="eastAsia" w:asciiTheme="minorEastAsia" w:hAnsiTheme="minorEastAsia" w:eastAsiaTheme="minorEastAsia" w:cstheme="minorEastAsia"/>
          <w:sz w:val="24"/>
        </w:rPr>
        <w:t>你方组织的</w:t>
      </w:r>
      <w:r>
        <w:rPr>
          <w:rFonts w:hint="eastAsia" w:asciiTheme="minorEastAsia" w:hAnsiTheme="minorEastAsia" w:eastAsiaTheme="minorEastAsia" w:cstheme="minorEastAsia"/>
          <w:sz w:val="24"/>
          <w:u w:val="single"/>
        </w:rPr>
        <w:t>（项目名称）项目【交易编号：      】</w:t>
      </w:r>
      <w:r>
        <w:rPr>
          <w:rFonts w:hint="eastAsia" w:asciiTheme="minorEastAsia" w:hAnsiTheme="minorEastAsia" w:eastAsiaTheme="minorEastAsia" w:cstheme="minorEastAsia"/>
          <w:bCs/>
          <w:sz w:val="24"/>
        </w:rPr>
        <w:t>交易活动中作如下说明：</w:t>
      </w:r>
      <w:r>
        <w:rPr>
          <w:rFonts w:hint="eastAsia" w:asciiTheme="minorEastAsia" w:hAnsiTheme="minorEastAsia" w:eastAsiaTheme="minorEastAsia" w:cstheme="minorEastAsia"/>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特此说明。</w:t>
      </w:r>
    </w:p>
    <w:p w14:paraId="4BE02DDD">
      <w:pPr>
        <w:spacing w:line="360" w:lineRule="auto"/>
        <w:ind w:firstLine="494"/>
        <w:rPr>
          <w:rFonts w:hint="eastAsia" w:asciiTheme="minorEastAsia" w:hAnsiTheme="minorEastAsia" w:eastAsiaTheme="minorEastAsia" w:cstheme="minorEastAsia"/>
          <w:sz w:val="24"/>
        </w:rPr>
      </w:pPr>
    </w:p>
    <w:p w14:paraId="25BEB718">
      <w:pPr>
        <w:spacing w:line="360" w:lineRule="auto"/>
        <w:ind w:firstLine="494"/>
        <w:rPr>
          <w:rFonts w:hint="eastAsia" w:asciiTheme="minorEastAsia" w:hAnsiTheme="minorEastAsia" w:eastAsiaTheme="minorEastAsia" w:cstheme="minorEastAsia"/>
          <w:sz w:val="24"/>
        </w:rPr>
      </w:pPr>
    </w:p>
    <w:p w14:paraId="1759B3C5">
      <w:pPr>
        <w:spacing w:line="360" w:lineRule="auto"/>
        <w:ind w:firstLine="494"/>
        <w:rPr>
          <w:rFonts w:hint="eastAsia" w:asciiTheme="minorEastAsia" w:hAnsiTheme="minorEastAsia" w:eastAsiaTheme="minorEastAsia" w:cstheme="minorEastAsia"/>
          <w:sz w:val="24"/>
        </w:rPr>
      </w:pPr>
    </w:p>
    <w:p w14:paraId="29DC01A2">
      <w:pPr>
        <w:spacing w:line="360" w:lineRule="auto"/>
        <w:ind w:firstLine="494"/>
        <w:rPr>
          <w:rFonts w:hint="eastAsia" w:asciiTheme="minorEastAsia" w:hAnsiTheme="minorEastAsia" w:eastAsiaTheme="minorEastAsia" w:cstheme="minorEastAsia"/>
          <w:sz w:val="24"/>
        </w:rPr>
      </w:pPr>
    </w:p>
    <w:p w14:paraId="69E65183">
      <w:pPr>
        <w:spacing w:line="360" w:lineRule="auto"/>
        <w:ind w:right="480" w:firstLine="4080" w:firstLineChars="17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响应单位（法定名称章）：</w:t>
      </w:r>
    </w:p>
    <w:p w14:paraId="14873E32">
      <w:pPr>
        <w:ind w:right="1440" w:firstLine="494"/>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       年     月     日</w:t>
      </w:r>
    </w:p>
    <w:p w14:paraId="72ADB9E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w:t>
      </w:r>
    </w:p>
    <w:p w14:paraId="39C20FFA">
      <w:pPr>
        <w:spacing w:line="360" w:lineRule="auto"/>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spacing w:val="6"/>
          <w:sz w:val="32"/>
          <w:szCs w:val="32"/>
        </w:rPr>
      </w:pPr>
    </w:p>
    <w:p w14:paraId="3894BDF5">
      <w:pPr>
        <w:autoSpaceDE w:val="0"/>
        <w:autoSpaceDN w:val="0"/>
        <w:jc w:val="center"/>
        <w:rPr>
          <w:rFonts w:hint="eastAsia" w:asciiTheme="minorEastAsia" w:hAnsiTheme="minorEastAsia" w:eastAsiaTheme="minorEastAsia" w:cstheme="minorEastAsia"/>
          <w:b/>
          <w:spacing w:val="6"/>
          <w:sz w:val="32"/>
          <w:szCs w:val="32"/>
        </w:rPr>
      </w:pPr>
    </w:p>
    <w:p w14:paraId="2F03D653">
      <w:pPr>
        <w:autoSpaceDE w:val="0"/>
        <w:autoSpaceDN w:val="0"/>
        <w:jc w:val="center"/>
        <w:rPr>
          <w:rFonts w:hint="eastAsia" w:asciiTheme="minorEastAsia" w:hAnsiTheme="minorEastAsia" w:eastAsiaTheme="minorEastAsia" w:cstheme="minorEastAsia"/>
          <w:b/>
          <w:spacing w:val="6"/>
          <w:sz w:val="32"/>
          <w:szCs w:val="32"/>
        </w:rPr>
      </w:pPr>
    </w:p>
    <w:p w14:paraId="140AF39A">
      <w:pPr>
        <w:autoSpaceDE w:val="0"/>
        <w:autoSpaceDN w:val="0"/>
        <w:jc w:val="center"/>
        <w:rPr>
          <w:rFonts w:hint="eastAsia" w:asciiTheme="minorEastAsia" w:hAnsiTheme="minorEastAsia" w:eastAsiaTheme="minorEastAsia" w:cstheme="minorEastAsia"/>
          <w:b/>
          <w:spacing w:val="6"/>
          <w:sz w:val="32"/>
          <w:szCs w:val="32"/>
        </w:rPr>
      </w:pPr>
    </w:p>
    <w:p w14:paraId="5B8B48A1">
      <w:pPr>
        <w:autoSpaceDE w:val="0"/>
        <w:autoSpaceDN w:val="0"/>
        <w:jc w:val="center"/>
        <w:rPr>
          <w:rFonts w:hint="eastAsia" w:asciiTheme="minorEastAsia" w:hAnsiTheme="minorEastAsia" w:eastAsiaTheme="minorEastAsia" w:cstheme="minorEastAsia"/>
          <w:b/>
          <w:spacing w:val="6"/>
          <w:sz w:val="32"/>
          <w:szCs w:val="32"/>
        </w:rPr>
      </w:pPr>
    </w:p>
    <w:p w14:paraId="051A7B1E">
      <w:pPr>
        <w:autoSpaceDE w:val="0"/>
        <w:autoSpaceDN w:val="0"/>
        <w:jc w:val="center"/>
        <w:rPr>
          <w:rFonts w:hint="eastAsia" w:asciiTheme="minorEastAsia" w:hAnsiTheme="minorEastAsia" w:eastAsiaTheme="minorEastAsia" w:cstheme="minorEastAsia"/>
          <w:b/>
          <w:spacing w:val="6"/>
          <w:sz w:val="32"/>
          <w:szCs w:val="32"/>
        </w:rPr>
      </w:pPr>
    </w:p>
    <w:p w14:paraId="04E18EDB">
      <w:pPr>
        <w:autoSpaceDE w:val="0"/>
        <w:autoSpaceDN w:val="0"/>
        <w:jc w:val="center"/>
        <w:rPr>
          <w:rFonts w:hint="eastAsia" w:asciiTheme="minorEastAsia" w:hAnsiTheme="minorEastAsia" w:eastAsiaTheme="minorEastAsia" w:cstheme="minorEastAsia"/>
          <w:b/>
          <w:spacing w:val="6"/>
          <w:sz w:val="32"/>
          <w:szCs w:val="32"/>
        </w:rPr>
      </w:pPr>
    </w:p>
    <w:p w14:paraId="39825F71">
      <w:pPr>
        <w:autoSpaceDE w:val="0"/>
        <w:autoSpaceDN w:val="0"/>
        <w:jc w:val="center"/>
        <w:rPr>
          <w:rFonts w:hint="eastAsia" w:asciiTheme="minorEastAsia" w:hAnsiTheme="minorEastAsia" w:eastAsiaTheme="minorEastAsia" w:cstheme="minorEastAsia"/>
          <w:b/>
          <w:spacing w:val="6"/>
          <w:sz w:val="32"/>
          <w:szCs w:val="32"/>
        </w:rPr>
      </w:pPr>
    </w:p>
    <w:p w14:paraId="75953CF4">
      <w:pPr>
        <w:autoSpaceDE w:val="0"/>
        <w:autoSpaceDN w:val="0"/>
        <w:jc w:val="center"/>
        <w:rPr>
          <w:rFonts w:hint="eastAsia" w:asciiTheme="minorEastAsia" w:hAnsiTheme="minorEastAsia" w:eastAsiaTheme="minorEastAsia" w:cstheme="minorEastAsia"/>
          <w:b/>
          <w:spacing w:val="6"/>
          <w:sz w:val="32"/>
          <w:szCs w:val="32"/>
        </w:rPr>
      </w:pPr>
    </w:p>
    <w:p w14:paraId="6D8DCBA7">
      <w:pPr>
        <w:autoSpaceDE w:val="0"/>
        <w:autoSpaceDN w:val="0"/>
        <w:jc w:val="center"/>
        <w:rPr>
          <w:rFonts w:hint="eastAsia" w:asciiTheme="minorEastAsia" w:hAnsiTheme="minorEastAsia" w:eastAsiaTheme="minorEastAsia" w:cstheme="minorEastAsia"/>
          <w:b/>
          <w:spacing w:val="6"/>
          <w:sz w:val="32"/>
          <w:szCs w:val="32"/>
        </w:rPr>
      </w:pPr>
    </w:p>
    <w:p w14:paraId="6509BFE1">
      <w:pPr>
        <w:autoSpaceDE w:val="0"/>
        <w:autoSpaceDN w:val="0"/>
        <w:jc w:val="center"/>
        <w:rPr>
          <w:rFonts w:hint="eastAsia" w:asciiTheme="minorEastAsia" w:hAnsiTheme="minorEastAsia" w:eastAsiaTheme="minorEastAsia" w:cstheme="minorEastAsia"/>
          <w:b/>
          <w:spacing w:val="6"/>
          <w:sz w:val="32"/>
          <w:szCs w:val="32"/>
        </w:rPr>
      </w:pPr>
    </w:p>
    <w:p w14:paraId="42F3DFDB">
      <w:pPr>
        <w:autoSpaceDE w:val="0"/>
        <w:autoSpaceDN w:val="0"/>
        <w:rPr>
          <w:rFonts w:hint="eastAsia" w:asciiTheme="minorEastAsia" w:hAnsiTheme="minorEastAsia" w:eastAsiaTheme="minorEastAsia" w:cstheme="minorEastAsia"/>
          <w:b/>
          <w:spacing w:val="6"/>
          <w:sz w:val="32"/>
          <w:szCs w:val="32"/>
        </w:rPr>
      </w:pPr>
    </w:p>
    <w:bookmarkEnd w:id="11"/>
    <w:bookmarkEnd w:id="12"/>
    <w:p w14:paraId="0D39803A">
      <w:pPr>
        <w:rPr>
          <w:rFonts w:hint="eastAsia" w:asciiTheme="minorEastAsia" w:hAnsiTheme="minorEastAsia" w:eastAsiaTheme="minorEastAsia" w:cstheme="minorEastAsia"/>
          <w:b/>
          <w:color w:val="auto"/>
          <w:sz w:val="32"/>
          <w:szCs w:val="20"/>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EE58">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A13E93">
                          <w:pPr>
                            <w:pStyle w:val="3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25A13E93">
                    <w:pPr>
                      <w:pStyle w:val="3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5FC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5" w:name="_Toc164085800"/>
    <w:bookmarkStart w:id="536" w:name="_Toc36110187"/>
    <w:bookmarkStart w:id="537" w:name="_Toc91899912"/>
    <w:bookmarkStart w:id="538" w:name="_Toc131845147"/>
    <w:r>
      <w:rPr>
        <w:rFonts w:hint="eastAsia" w:ascii="仿宋_GB2312" w:eastAsia="仿宋_GB2312"/>
        <w:kern w:val="0"/>
        <w:szCs w:val="21"/>
      </w:rPr>
      <w:t xml:space="preserve"> 页</w:t>
    </w:r>
    <w:bookmarkEnd w:id="535"/>
    <w:bookmarkEnd w:id="536"/>
    <w:bookmarkEnd w:id="537"/>
    <w:bookmarkEnd w:id="5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39"/>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39"/>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39"/>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39"/>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39"/>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39"/>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39"/>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39"/>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39"/>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77C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233D">
    <w:pPr>
      <w:pStyle w:val="39"/>
      <w:framePr w:wrap="around" w:vAnchor="text" w:hAnchor="margin" w:xAlign="right" w:y="1"/>
      <w:rPr>
        <w:rStyle w:val="72"/>
      </w:rPr>
    </w:pPr>
    <w:r>
      <w:fldChar w:fldCharType="begin"/>
    </w:r>
    <w:r>
      <w:rPr>
        <w:rStyle w:val="72"/>
      </w:rPr>
      <w:instrText xml:space="preserve">PAGE  </w:instrText>
    </w:r>
    <w:r>
      <w:fldChar w:fldCharType="end"/>
    </w:r>
  </w:p>
  <w:p w14:paraId="505CEFC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1C7A">
    <w:pPr>
      <w:pStyle w:val="40"/>
      <w:jc w:val="right"/>
    </w:pP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40"/>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40"/>
    </w:pPr>
    <w:r>
      <w:t></w:t>
    </w:r>
    <w:r>
      <w:rPr>
        <w:rFonts w:hint="eastAsia"/>
      </w:rPr>
      <w:t xml:space="preserve">         </w:t>
    </w:r>
  </w:p>
  <w:p w14:paraId="6A8EFE73">
    <w:pPr>
      <w:pStyle w:val="40"/>
      <w:jc w:val="right"/>
    </w:pPr>
    <w:r>
      <w:rPr>
        <w:rFonts w:hint="eastAsia"/>
      </w:rPr>
      <w:t xml:space="preserve">                                                                   </w:t>
    </w:r>
    <w:r>
      <w:t>公开</w:t>
    </w: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40"/>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40"/>
      <w:jc w:val="right"/>
    </w:pPr>
    <w:r>
      <w:rPr>
        <w:rFonts w:hint="eastAsia"/>
      </w:rPr>
      <w:t xml:space="preserve">                                                                                                         </w:t>
    </w: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40"/>
      <w:jc w:val="right"/>
      <w:rPr>
        <w:rFonts w:ascii="仿宋_GB2312"/>
        <w:b/>
        <w:i/>
        <w:iCs/>
        <w:u w:val="single"/>
      </w:rPr>
    </w:pP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40"/>
      <w:jc w:val="right"/>
    </w:pPr>
    <w:r>
      <w:t></w:t>
    </w:r>
    <w:r>
      <w:rPr>
        <w:rFonts w:hint="eastAsia"/>
      </w:rPr>
      <w:t xml:space="preserve">                                            </w:t>
    </w: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24AC">
    <w:pPr>
      <w:pStyle w:val="40"/>
      <w:jc w:val="right"/>
      <w:rPr>
        <w:rFonts w:hint="eastAsia" w:ascii="仿宋_GB2312" w:eastAsia="宋体"/>
        <w:b/>
        <w:i/>
        <w:iCs/>
        <w:u w:val="single"/>
        <w:lang w:eastAsia="zh-CN"/>
      </w:rPr>
    </w:pP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31D3">
    <w:pPr>
      <w:pStyle w:val="40"/>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772DC"/>
    <w:multiLevelType w:val="singleLevel"/>
    <w:tmpl w:val="F80772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MjEzNmMwMGY5OTZiOTFiNDZhNTc2Nzc5YWM5NjIifQ=="/>
    <w:docVar w:name="KSO_WPS_MARK_KEY" w:val="89d51755-0d92-4229-85fb-2100215aa97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CF0D68"/>
    <w:rsid w:val="04F66F48"/>
    <w:rsid w:val="05043453"/>
    <w:rsid w:val="05251E14"/>
    <w:rsid w:val="058E4AA1"/>
    <w:rsid w:val="05A16594"/>
    <w:rsid w:val="05A604F8"/>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8EF21E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804CA"/>
    <w:rsid w:val="0BF6188C"/>
    <w:rsid w:val="0BF73C91"/>
    <w:rsid w:val="0C170175"/>
    <w:rsid w:val="0C571A41"/>
    <w:rsid w:val="0C5C1171"/>
    <w:rsid w:val="0C5E1CBC"/>
    <w:rsid w:val="0C615B50"/>
    <w:rsid w:val="0C8445DA"/>
    <w:rsid w:val="0C87121B"/>
    <w:rsid w:val="0CC007F7"/>
    <w:rsid w:val="0CC617AC"/>
    <w:rsid w:val="0CE618DF"/>
    <w:rsid w:val="0CE75337"/>
    <w:rsid w:val="0CFE707A"/>
    <w:rsid w:val="0D063BDA"/>
    <w:rsid w:val="0D08375F"/>
    <w:rsid w:val="0D184CFB"/>
    <w:rsid w:val="0D1A1457"/>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D4444F"/>
    <w:rsid w:val="11E104CC"/>
    <w:rsid w:val="11E20309"/>
    <w:rsid w:val="12255233"/>
    <w:rsid w:val="12530213"/>
    <w:rsid w:val="127723A9"/>
    <w:rsid w:val="12862074"/>
    <w:rsid w:val="12883966"/>
    <w:rsid w:val="129E45B4"/>
    <w:rsid w:val="12B47BC7"/>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4D4157"/>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AF3A08"/>
    <w:rsid w:val="22BE6801"/>
    <w:rsid w:val="233500BF"/>
    <w:rsid w:val="23377FF7"/>
    <w:rsid w:val="236B425F"/>
    <w:rsid w:val="23836192"/>
    <w:rsid w:val="23901F29"/>
    <w:rsid w:val="239C0061"/>
    <w:rsid w:val="23B908A4"/>
    <w:rsid w:val="23E95BEF"/>
    <w:rsid w:val="23FD0064"/>
    <w:rsid w:val="24465B9C"/>
    <w:rsid w:val="245375B0"/>
    <w:rsid w:val="245F41A1"/>
    <w:rsid w:val="24642C0A"/>
    <w:rsid w:val="24B22173"/>
    <w:rsid w:val="24B95AD9"/>
    <w:rsid w:val="24BE24DA"/>
    <w:rsid w:val="24CF5825"/>
    <w:rsid w:val="24D663E6"/>
    <w:rsid w:val="24D77F2B"/>
    <w:rsid w:val="24F14649"/>
    <w:rsid w:val="25460D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62A79"/>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4167B"/>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4343B"/>
    <w:rsid w:val="34FA6E12"/>
    <w:rsid w:val="354D7158"/>
    <w:rsid w:val="358D5588"/>
    <w:rsid w:val="363A3B40"/>
    <w:rsid w:val="365302AE"/>
    <w:rsid w:val="36607A0A"/>
    <w:rsid w:val="366E227C"/>
    <w:rsid w:val="366F2E0D"/>
    <w:rsid w:val="367B6A5C"/>
    <w:rsid w:val="36A74ADA"/>
    <w:rsid w:val="36AD60D5"/>
    <w:rsid w:val="36B224F9"/>
    <w:rsid w:val="36C41867"/>
    <w:rsid w:val="36EC0CC9"/>
    <w:rsid w:val="373F410B"/>
    <w:rsid w:val="37EE7094"/>
    <w:rsid w:val="38296C89"/>
    <w:rsid w:val="383002EB"/>
    <w:rsid w:val="38586797"/>
    <w:rsid w:val="38B62D06"/>
    <w:rsid w:val="38BC0149"/>
    <w:rsid w:val="38D87D1C"/>
    <w:rsid w:val="391A30A2"/>
    <w:rsid w:val="39416E46"/>
    <w:rsid w:val="39636459"/>
    <w:rsid w:val="396B7F6C"/>
    <w:rsid w:val="39A959E1"/>
    <w:rsid w:val="39B417A9"/>
    <w:rsid w:val="39FC5695"/>
    <w:rsid w:val="3A006D8E"/>
    <w:rsid w:val="3A3651E5"/>
    <w:rsid w:val="3A744481"/>
    <w:rsid w:val="3A8C7BEF"/>
    <w:rsid w:val="3A906246"/>
    <w:rsid w:val="3B2349B7"/>
    <w:rsid w:val="3B4E6A46"/>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6095E"/>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96462"/>
    <w:rsid w:val="418F0D2A"/>
    <w:rsid w:val="41D01505"/>
    <w:rsid w:val="42474939"/>
    <w:rsid w:val="424C3C57"/>
    <w:rsid w:val="42613FF3"/>
    <w:rsid w:val="42660D96"/>
    <w:rsid w:val="428667D2"/>
    <w:rsid w:val="42C3111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38789B"/>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42D8D"/>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35035"/>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A7A9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54CF4"/>
    <w:rsid w:val="57B63F04"/>
    <w:rsid w:val="57CD20C2"/>
    <w:rsid w:val="57D675AB"/>
    <w:rsid w:val="57D95FDD"/>
    <w:rsid w:val="58917D2F"/>
    <w:rsid w:val="5894085C"/>
    <w:rsid w:val="58AE4F0C"/>
    <w:rsid w:val="58B85899"/>
    <w:rsid w:val="58E363A9"/>
    <w:rsid w:val="592403D4"/>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FF564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02EA"/>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B8488C"/>
    <w:rsid w:val="61F94C26"/>
    <w:rsid w:val="62000E56"/>
    <w:rsid w:val="624F3E49"/>
    <w:rsid w:val="62632286"/>
    <w:rsid w:val="62790178"/>
    <w:rsid w:val="62885958"/>
    <w:rsid w:val="62F40B65"/>
    <w:rsid w:val="62FC2CFE"/>
    <w:rsid w:val="63024505"/>
    <w:rsid w:val="63097C98"/>
    <w:rsid w:val="634D51A7"/>
    <w:rsid w:val="635600A5"/>
    <w:rsid w:val="635B1DB5"/>
    <w:rsid w:val="63711FED"/>
    <w:rsid w:val="63880DDC"/>
    <w:rsid w:val="638D750D"/>
    <w:rsid w:val="63AC6CC0"/>
    <w:rsid w:val="64055776"/>
    <w:rsid w:val="64240056"/>
    <w:rsid w:val="643A3D28"/>
    <w:rsid w:val="643E143A"/>
    <w:rsid w:val="64491666"/>
    <w:rsid w:val="648B6EEF"/>
    <w:rsid w:val="64BE47A6"/>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D31A1"/>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D7C5C"/>
    <w:rsid w:val="6E8335BD"/>
    <w:rsid w:val="6E8E12EF"/>
    <w:rsid w:val="6E972936"/>
    <w:rsid w:val="6ED446C5"/>
    <w:rsid w:val="6F2A7D94"/>
    <w:rsid w:val="6F8331F1"/>
    <w:rsid w:val="6FAE1A09"/>
    <w:rsid w:val="6FD75BF8"/>
    <w:rsid w:val="707723D0"/>
    <w:rsid w:val="70957003"/>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13091"/>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719B4"/>
    <w:rsid w:val="7B257FFD"/>
    <w:rsid w:val="7B273D20"/>
    <w:rsid w:val="7B343476"/>
    <w:rsid w:val="7B5A2978"/>
    <w:rsid w:val="7B5A7E4C"/>
    <w:rsid w:val="7B667AF9"/>
    <w:rsid w:val="7B7468F8"/>
    <w:rsid w:val="7BEE0103"/>
    <w:rsid w:val="7C0A0FE4"/>
    <w:rsid w:val="7C254906"/>
    <w:rsid w:val="7C54333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qFormat/>
    <w:uiPriority w:val="0"/>
    <w:rPr>
      <w:rFonts w:ascii="宋体" w:hAnsi="Courier New" w:cs="Arial"/>
      <w:snapToGrid w:val="0"/>
      <w:szCs w:val="21"/>
    </w:rPr>
  </w:style>
  <w:style w:type="paragraph" w:styleId="33">
    <w:name w:val="Date"/>
    <w:basedOn w:val="1"/>
    <w:next w:val="1"/>
    <w:link w:val="179"/>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3"/>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2"/>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不明显参考1"/>
    <w:basedOn w:val="69"/>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17115</Words>
  <Characters>19076</Characters>
  <Lines>281</Lines>
  <Paragraphs>79</Paragraphs>
  <TotalTime>4</TotalTime>
  <ScaleCrop>false</ScaleCrop>
  <LinksUpToDate>false</LinksUpToDate>
  <CharactersWithSpaces>19961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杨百万</cp:lastModifiedBy>
  <cp:lastPrinted>2025-06-13T02:43:00Z</cp:lastPrinted>
  <dcterms:modified xsi:type="dcterms:W3CDTF">2025-06-19T02:12:43Z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9CAB7D28180B4DE1BFE5CBC3B97087FB_13</vt:lpwstr>
  </property>
  <property fmtid="{D5CDD505-2E9C-101B-9397-08002B2CF9AE}" pid="5" name="KSOTemplateDocerSaveRecord">
    <vt:lpwstr>eyJoZGlkIjoiM2RiY2M4ZDQ5MDlhYTcxNmRkMjkyZmI1Zjk5ZjY0OGQiLCJ1c2VySWQiOiI0NDA0MDIxMzgifQ==</vt:lpwstr>
  </property>
</Properties>
</file>