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3EF0D">
      <w:pPr>
        <w:jc w:val="left"/>
        <w:rPr>
          <w:color w:val="auto"/>
          <w:sz w:val="52"/>
          <w:szCs w:val="52"/>
          <w:highlight w:val="none"/>
        </w:rPr>
      </w:pPr>
    </w:p>
    <w:p w14:paraId="0EB2C994">
      <w:pPr>
        <w:pStyle w:val="13"/>
        <w:spacing w:line="800" w:lineRule="exact"/>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武义县新宅镇大莱饰面用花岗岩矿普查暨重点区勘探项目</w:t>
      </w:r>
    </w:p>
    <w:p w14:paraId="385E8311">
      <w:pPr>
        <w:pStyle w:val="18"/>
        <w:spacing w:before="120" w:after="120"/>
        <w:rPr>
          <w:rFonts w:ascii="仿宋" w:hAnsi="仿宋" w:eastAsia="仿宋" w:cs="仿宋"/>
          <w:b/>
          <w:bCs/>
          <w:color w:val="auto"/>
          <w:sz w:val="84"/>
          <w:szCs w:val="84"/>
          <w:highlight w:val="none"/>
        </w:rPr>
      </w:pPr>
    </w:p>
    <w:p w14:paraId="3CB32FC5">
      <w:pPr>
        <w:pStyle w:val="18"/>
        <w:spacing w:before="120" w:after="120"/>
        <w:rPr>
          <w:rFonts w:ascii="仿宋" w:hAnsi="仿宋" w:eastAsia="仿宋" w:cs="仿宋"/>
          <w:b/>
          <w:bCs/>
          <w:color w:val="auto"/>
          <w:sz w:val="84"/>
          <w:szCs w:val="84"/>
          <w:highlight w:val="none"/>
        </w:rPr>
      </w:pPr>
    </w:p>
    <w:p w14:paraId="67A4FBAB">
      <w:pPr>
        <w:pStyle w:val="18"/>
        <w:spacing w:before="120" w:after="120"/>
        <w:rPr>
          <w:rFonts w:ascii="仿宋" w:hAnsi="仿宋" w:eastAsia="仿宋" w:cs="仿宋"/>
          <w:b/>
          <w:bCs/>
          <w:color w:val="auto"/>
          <w:sz w:val="84"/>
          <w:szCs w:val="84"/>
          <w:highlight w:val="none"/>
        </w:rPr>
      </w:pPr>
    </w:p>
    <w:p w14:paraId="79A0A549">
      <w:pPr>
        <w:pStyle w:val="18"/>
        <w:spacing w:before="120" w:after="120"/>
        <w:rPr>
          <w:rFonts w:ascii="仿宋" w:hAnsi="仿宋" w:eastAsia="仿宋" w:cs="仿宋"/>
          <w:b/>
          <w:bCs/>
          <w:color w:val="auto"/>
          <w:sz w:val="84"/>
          <w:szCs w:val="84"/>
          <w:highlight w:val="none"/>
        </w:rPr>
      </w:pPr>
    </w:p>
    <w:p w14:paraId="6F529799">
      <w:pPr>
        <w:pStyle w:val="18"/>
        <w:spacing w:before="120" w:after="120"/>
        <w:rPr>
          <w:rFonts w:ascii="仿宋" w:hAnsi="仿宋" w:eastAsia="仿宋" w:cs="仿宋"/>
          <w:b/>
          <w:bCs/>
          <w:color w:val="auto"/>
          <w:sz w:val="84"/>
          <w:szCs w:val="84"/>
          <w:highlight w:val="none"/>
        </w:rPr>
      </w:pPr>
    </w:p>
    <w:p w14:paraId="0A7C9F02">
      <w:pPr>
        <w:spacing w:before="120" w:beforeLines="50"/>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公开招标采购文件</w:t>
      </w:r>
    </w:p>
    <w:p w14:paraId="3C304777">
      <w:pPr>
        <w:pStyle w:val="18"/>
        <w:spacing w:before="120" w:after="120"/>
        <w:rPr>
          <w:rFonts w:ascii="仿宋" w:hAnsi="仿宋" w:eastAsia="仿宋" w:cs="仿宋"/>
          <w:b/>
          <w:bCs/>
          <w:color w:val="auto"/>
          <w:sz w:val="84"/>
          <w:szCs w:val="84"/>
          <w:highlight w:val="none"/>
        </w:rPr>
      </w:pPr>
    </w:p>
    <w:p w14:paraId="130CB2BC">
      <w:pPr>
        <w:pStyle w:val="18"/>
        <w:spacing w:before="120" w:after="120"/>
        <w:rPr>
          <w:rFonts w:ascii="仿宋" w:hAnsi="仿宋" w:eastAsia="仿宋" w:cs="仿宋"/>
          <w:b/>
          <w:bCs/>
          <w:color w:val="auto"/>
          <w:sz w:val="84"/>
          <w:szCs w:val="84"/>
          <w:highlight w:val="none"/>
        </w:rPr>
      </w:pPr>
    </w:p>
    <w:p w14:paraId="08D0D790">
      <w:pPr>
        <w:pStyle w:val="18"/>
        <w:spacing w:before="120" w:after="120"/>
        <w:rPr>
          <w:rFonts w:ascii="仿宋" w:hAnsi="仿宋" w:eastAsia="仿宋" w:cs="仿宋"/>
          <w:b/>
          <w:bCs/>
          <w:color w:val="auto"/>
          <w:sz w:val="84"/>
          <w:szCs w:val="84"/>
          <w:highlight w:val="none"/>
        </w:rPr>
      </w:pPr>
    </w:p>
    <w:p w14:paraId="39D23EAE">
      <w:pPr>
        <w:pStyle w:val="18"/>
        <w:spacing w:before="120" w:after="120"/>
        <w:rPr>
          <w:rFonts w:ascii="仿宋" w:hAnsi="仿宋" w:eastAsia="仿宋" w:cs="仿宋"/>
          <w:color w:val="auto"/>
          <w:highlight w:val="none"/>
        </w:rPr>
      </w:pPr>
    </w:p>
    <w:p w14:paraId="66399568">
      <w:pPr>
        <w:pStyle w:val="18"/>
        <w:spacing w:before="120" w:after="120"/>
        <w:rPr>
          <w:rFonts w:ascii="仿宋" w:hAnsi="仿宋" w:eastAsia="仿宋" w:cs="仿宋"/>
          <w:b/>
          <w:bCs/>
          <w:color w:val="auto"/>
          <w:sz w:val="84"/>
          <w:szCs w:val="84"/>
          <w:highlight w:val="none"/>
        </w:rPr>
      </w:pPr>
    </w:p>
    <w:p w14:paraId="47FA69D8">
      <w:pPr>
        <w:pStyle w:val="18"/>
        <w:snapToGrid w:val="0"/>
        <w:spacing w:before="120" w:beforeLines="0" w:after="120" w:afterLines="0" w:line="480" w:lineRule="auto"/>
        <w:ind w:firstLine="964" w:firstLineChars="300"/>
        <w:rPr>
          <w:rFonts w:hint="eastAsia" w:ascii="仿宋" w:hAnsi="仿宋" w:eastAsia="仿宋" w:cs="仿宋"/>
          <w:color w:val="auto"/>
          <w:highlight w:val="none"/>
          <w:lang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JHTK-ZB2025065</w:t>
      </w:r>
    </w:p>
    <w:p w14:paraId="3B1916F9">
      <w:pPr>
        <w:pStyle w:val="18"/>
        <w:snapToGrid w:val="0"/>
        <w:spacing w:before="120" w:beforeLines="0" w:after="120" w:afterLines="0" w:line="480" w:lineRule="auto"/>
        <w:ind w:firstLine="964" w:firstLineChars="3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32"/>
          <w:szCs w:val="32"/>
          <w:highlight w:val="none"/>
        </w:rPr>
        <w:t>采购单位：</w:t>
      </w:r>
      <w:r>
        <w:rPr>
          <w:rFonts w:hint="eastAsia" w:ascii="仿宋" w:hAnsi="仿宋" w:eastAsia="仿宋" w:cs="仿宋"/>
          <w:b/>
          <w:bCs/>
          <w:color w:val="auto"/>
          <w:sz w:val="32"/>
          <w:szCs w:val="32"/>
          <w:highlight w:val="none"/>
          <w:lang w:eastAsia="zh-CN"/>
        </w:rPr>
        <w:t>武义交通旅游投资建设集团有限公司</w:t>
      </w:r>
    </w:p>
    <w:p w14:paraId="27FD7347">
      <w:pPr>
        <w:pStyle w:val="18"/>
        <w:snapToGrid w:val="0"/>
        <w:spacing w:before="120" w:beforeLines="0" w:after="120" w:afterLines="0" w:line="480" w:lineRule="auto"/>
        <w:ind w:firstLine="964" w:firstLineChars="3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代理机构：</w:t>
      </w:r>
      <w:r>
        <w:rPr>
          <w:rFonts w:hint="eastAsia" w:ascii="仿宋" w:hAnsi="仿宋" w:eastAsia="仿宋" w:cs="仿宋"/>
          <w:b/>
          <w:bCs/>
          <w:color w:val="auto"/>
          <w:sz w:val="32"/>
          <w:szCs w:val="32"/>
          <w:highlight w:val="none"/>
          <w:lang w:eastAsia="zh-CN"/>
        </w:rPr>
        <w:t>金华同慷建设管理咨询有限公司</w:t>
      </w:r>
    </w:p>
    <w:p w14:paraId="1C204233">
      <w:pPr>
        <w:pStyle w:val="18"/>
        <w:spacing w:before="120" w:after="120"/>
        <w:rPr>
          <w:rFonts w:ascii="仿宋" w:hAnsi="仿宋" w:eastAsia="仿宋" w:cs="仿宋"/>
          <w:b/>
          <w:bCs/>
          <w:color w:val="auto"/>
          <w:sz w:val="84"/>
          <w:szCs w:val="84"/>
          <w:highlight w:val="none"/>
        </w:rPr>
      </w:pPr>
    </w:p>
    <w:p w14:paraId="75B546E5">
      <w:pPr>
        <w:pStyle w:val="18"/>
        <w:snapToGrid w:val="0"/>
        <w:spacing w:before="120" w:beforeLines="0" w:after="120" w:afterLines="0" w:line="240" w:lineRule="auto"/>
        <w:jc w:val="center"/>
        <w:rPr>
          <w:rFonts w:ascii="仿宋" w:hAnsi="仿宋" w:eastAsia="仿宋" w:cs="仿宋"/>
          <w:b/>
          <w:bCs/>
          <w:color w:val="auto"/>
          <w:sz w:val="32"/>
          <w:szCs w:val="32"/>
          <w:highlight w:val="none"/>
        </w:rPr>
        <w:sectPr>
          <w:headerReference r:id="rId3" w:type="default"/>
          <w:footerReference r:id="rId4" w:type="default"/>
          <w:pgSz w:w="11906" w:h="16838"/>
          <w:pgMar w:top="1474" w:right="1627" w:bottom="1247" w:left="1684" w:header="851" w:footer="851" w:gutter="0"/>
          <w:cols w:space="720" w:num="1"/>
          <w:docGrid w:linePitch="312" w:charSpace="0"/>
        </w:sectPr>
      </w:pPr>
      <w:r>
        <w:rPr>
          <w:rFonts w:hint="eastAsia" w:ascii="仿宋" w:hAnsi="仿宋" w:eastAsia="仿宋" w:cs="仿宋"/>
          <w:b/>
          <w:bCs/>
          <w:color w:val="auto"/>
          <w:sz w:val="32"/>
          <w:szCs w:val="32"/>
          <w:highlight w:val="none"/>
        </w:rPr>
        <w:t>二○二</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月</w:t>
      </w:r>
    </w:p>
    <w:p w14:paraId="1B751578">
      <w:pPr>
        <w:rPr>
          <w:rFonts w:ascii="仿宋" w:hAnsi="仿宋" w:eastAsia="仿宋" w:cs="仿宋"/>
          <w:color w:val="auto"/>
          <w:highlight w:val="none"/>
        </w:rPr>
      </w:pPr>
    </w:p>
    <w:p w14:paraId="7FAEBFCF">
      <w:pPr>
        <w:spacing w:line="300" w:lineRule="auto"/>
        <w:rPr>
          <w:rFonts w:ascii="仿宋" w:hAnsi="仿宋" w:eastAsia="仿宋" w:cs="仿宋"/>
          <w:b/>
          <w:bCs/>
          <w:color w:val="auto"/>
          <w:sz w:val="72"/>
          <w:szCs w:val="72"/>
          <w:highlight w:val="none"/>
        </w:rPr>
      </w:pPr>
    </w:p>
    <w:p w14:paraId="55ACB9B4">
      <w:pPr>
        <w:spacing w:line="300" w:lineRule="auto"/>
        <w:jc w:val="center"/>
        <w:rPr>
          <w:rFonts w:ascii="仿宋" w:hAnsi="仿宋" w:eastAsia="仿宋" w:cs="仿宋"/>
          <w:b/>
          <w:bCs/>
          <w:color w:val="auto"/>
          <w:sz w:val="72"/>
          <w:szCs w:val="72"/>
          <w:highlight w:val="none"/>
        </w:rPr>
        <w:sectPr>
          <w:footerReference r:id="rId5" w:type="default"/>
          <w:pgSz w:w="11906" w:h="16838"/>
          <w:pgMar w:top="1474" w:right="1627" w:bottom="1247" w:left="1684" w:header="851" w:footer="851" w:gutter="0"/>
          <w:pgNumType w:start="1"/>
          <w:cols w:space="720" w:num="1"/>
          <w:docGrid w:linePitch="312" w:charSpace="0"/>
        </w:sectPr>
      </w:pPr>
    </w:p>
    <w:p w14:paraId="7A672C86">
      <w:pPr>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72"/>
          <w:szCs w:val="72"/>
          <w:highlight w:val="none"/>
        </w:rPr>
        <w:t>目 录</w:t>
      </w:r>
    </w:p>
    <w:p w14:paraId="38EA3206">
      <w:pPr>
        <w:spacing w:line="300" w:lineRule="auto"/>
        <w:ind w:firstLine="3445" w:firstLineChars="957"/>
        <w:rPr>
          <w:rFonts w:hint="eastAsia" w:ascii="仿宋" w:hAnsi="仿宋" w:eastAsia="仿宋" w:cs="仿宋"/>
          <w:color w:val="auto"/>
          <w:sz w:val="36"/>
          <w:highlight w:val="none"/>
        </w:rPr>
      </w:pPr>
    </w:p>
    <w:p w14:paraId="79E96CD8">
      <w:pPr>
        <w:pStyle w:val="25"/>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"1-1"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_Toc24867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第一章  招标公告</w:t>
      </w:r>
      <w:r>
        <w:rPr>
          <w:rFonts w:hint="eastAsia" w:ascii="仿宋" w:hAnsi="仿宋" w:eastAsia="仿宋" w:cs="仿宋"/>
          <w:color w:val="auto"/>
          <w:sz w:val="32"/>
          <w:szCs w:val="32"/>
          <w:highlight w:val="none"/>
        </w:rPr>
        <w:fldChar w:fldCharType="end"/>
      </w:r>
    </w:p>
    <w:p w14:paraId="7695FBD9">
      <w:pPr>
        <w:pStyle w:val="25"/>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_Toc7017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第二章  投标人须知</w:t>
      </w:r>
      <w:r>
        <w:rPr>
          <w:rFonts w:hint="eastAsia" w:ascii="仿宋" w:hAnsi="仿宋" w:eastAsia="仿宋" w:cs="仿宋"/>
          <w:color w:val="auto"/>
          <w:sz w:val="32"/>
          <w:szCs w:val="32"/>
          <w:highlight w:val="none"/>
        </w:rPr>
        <w:fldChar w:fldCharType="end"/>
      </w:r>
    </w:p>
    <w:p w14:paraId="6542C1B5">
      <w:pPr>
        <w:pStyle w:val="25"/>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_Toc29891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第三章  招标采购需求</w:t>
      </w:r>
      <w:r>
        <w:rPr>
          <w:rFonts w:hint="eastAsia" w:ascii="仿宋" w:hAnsi="仿宋" w:eastAsia="仿宋" w:cs="仿宋"/>
          <w:color w:val="auto"/>
          <w:sz w:val="32"/>
          <w:szCs w:val="32"/>
          <w:highlight w:val="none"/>
        </w:rPr>
        <w:fldChar w:fldCharType="end"/>
      </w:r>
    </w:p>
    <w:p w14:paraId="246E5852">
      <w:pPr>
        <w:pStyle w:val="25"/>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_Toc7345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第四章  合同条款及格式</w:t>
      </w:r>
      <w:r>
        <w:rPr>
          <w:rFonts w:hint="eastAsia" w:ascii="仿宋" w:hAnsi="仿宋" w:eastAsia="仿宋" w:cs="仿宋"/>
          <w:color w:val="auto"/>
          <w:sz w:val="32"/>
          <w:szCs w:val="32"/>
          <w:highlight w:val="none"/>
        </w:rPr>
        <w:fldChar w:fldCharType="end"/>
      </w:r>
    </w:p>
    <w:p w14:paraId="1EBC1BCE">
      <w:pPr>
        <w:pStyle w:val="25"/>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第五章  评标办法</w:t>
      </w:r>
      <w:r>
        <w:rPr>
          <w:rFonts w:hint="eastAsia" w:ascii="仿宋" w:hAnsi="仿宋" w:eastAsia="仿宋" w:cs="仿宋"/>
          <w:color w:val="auto"/>
          <w:sz w:val="32"/>
          <w:szCs w:val="32"/>
          <w:highlight w:val="none"/>
        </w:rPr>
        <w:fldChar w:fldCharType="end"/>
      </w:r>
    </w:p>
    <w:p w14:paraId="6DD85AED">
      <w:pPr>
        <w:pStyle w:val="25"/>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_Toc25961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第六章  投标文件格式</w:t>
      </w:r>
      <w:r>
        <w:rPr>
          <w:rFonts w:hint="eastAsia" w:ascii="仿宋" w:hAnsi="仿宋" w:eastAsia="仿宋" w:cs="仿宋"/>
          <w:color w:val="auto"/>
          <w:sz w:val="32"/>
          <w:szCs w:val="32"/>
          <w:highlight w:val="none"/>
        </w:rPr>
        <w:fldChar w:fldCharType="end"/>
      </w:r>
    </w:p>
    <w:p w14:paraId="4FA71FC8">
      <w:pPr>
        <w:pStyle w:val="4"/>
        <w:rPr>
          <w:rFonts w:hint="eastAsia" w:ascii="仿宋" w:hAnsi="仿宋" w:eastAsia="仿宋" w:cs="仿宋"/>
          <w:color w:val="auto"/>
          <w:highlight w:val="none"/>
        </w:rPr>
        <w:sectPr>
          <w:headerReference r:id="rId6" w:type="default"/>
          <w:footerReference r:id="rId7" w:type="default"/>
          <w:pgSz w:w="11906" w:h="16838"/>
          <w:pgMar w:top="1020" w:right="1474" w:bottom="1020" w:left="1474" w:header="851" w:footer="850" w:gutter="0"/>
          <w:pgNumType w:fmt="decimal" w:start="1"/>
          <w:cols w:space="720" w:num="1"/>
          <w:docGrid w:type="lines" w:linePitch="315" w:charSpace="0"/>
        </w:sectPr>
      </w:pPr>
      <w:r>
        <w:rPr>
          <w:rFonts w:hint="eastAsia" w:ascii="仿宋" w:hAnsi="仿宋" w:eastAsia="仿宋" w:cs="仿宋"/>
          <w:color w:val="auto"/>
          <w:sz w:val="32"/>
          <w:szCs w:val="32"/>
          <w:highlight w:val="none"/>
        </w:rPr>
        <w:fldChar w:fldCharType="end"/>
      </w:r>
    </w:p>
    <w:p w14:paraId="19748F4B">
      <w:pPr>
        <w:pStyle w:val="4"/>
        <w:rPr>
          <w:rFonts w:ascii="仿宋" w:hAnsi="仿宋" w:eastAsia="仿宋" w:cs="仿宋"/>
          <w:color w:val="auto"/>
          <w:highlight w:val="none"/>
        </w:rPr>
      </w:pPr>
      <w:r>
        <w:rPr>
          <w:rFonts w:hint="eastAsia" w:ascii="仿宋" w:hAnsi="仿宋" w:eastAsia="仿宋" w:cs="仿宋"/>
          <w:color w:val="auto"/>
          <w:highlight w:val="none"/>
        </w:rPr>
        <w:t>第一章  招标公告</w:t>
      </w:r>
    </w:p>
    <w:p w14:paraId="25984230">
      <w:pPr>
        <w:pBdr>
          <w:top w:val="single" w:color="auto" w:sz="4" w:space="1"/>
          <w:left w:val="single" w:color="auto" w:sz="4" w:space="4"/>
          <w:bottom w:val="single" w:color="auto" w:sz="4" w:space="1"/>
          <w:right w:val="single" w:color="auto" w:sz="4" w:space="4"/>
        </w:pBdr>
        <w:spacing w:line="40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项目概况</w:t>
      </w:r>
    </w:p>
    <w:p w14:paraId="4695598E">
      <w:pPr>
        <w:pBdr>
          <w:top w:val="single" w:color="auto" w:sz="4" w:space="1"/>
          <w:left w:val="single" w:color="auto" w:sz="4" w:space="4"/>
          <w:bottom w:val="single" w:color="auto" w:sz="4" w:space="1"/>
          <w:right w:val="single" w:color="auto" w:sz="4" w:space="4"/>
        </w:pBdr>
        <w:spacing w:line="400" w:lineRule="exact"/>
        <w:ind w:firstLine="480" w:firstLineChars="200"/>
        <w:rPr>
          <w:rFonts w:ascii="仿宋" w:hAnsi="仿宋" w:eastAsia="仿宋" w:cs="仿宋"/>
          <w:color w:val="auto"/>
          <w:sz w:val="28"/>
          <w:szCs w:val="28"/>
          <w:highlight w:val="none"/>
        </w:rPr>
      </w:pPr>
      <w:r>
        <w:rPr>
          <w:rFonts w:hint="eastAsia" w:ascii="仿宋" w:hAnsi="仿宋" w:eastAsia="仿宋" w:cs="仿宋"/>
          <w:color w:val="auto"/>
          <w:sz w:val="24"/>
          <w:highlight w:val="none"/>
          <w:u w:val="single"/>
          <w:lang w:eastAsia="zh-CN"/>
        </w:rPr>
        <w:t>武义县新宅镇大莱饰面用花岗岩矿普查暨重点区勘探项目</w:t>
      </w:r>
      <w:r>
        <w:rPr>
          <w:rFonts w:hint="eastAsia" w:ascii="仿宋" w:hAnsi="仿宋" w:eastAsia="仿宋" w:cs="仿宋"/>
          <w:color w:val="auto"/>
          <w:sz w:val="24"/>
          <w:highlight w:val="none"/>
        </w:rPr>
        <w:t>的潜在投标人应在浙江政府采购网的该项目招标公告下方的网址链接处点击免费下载招标采购文件，并于</w:t>
      </w:r>
      <w:r>
        <w:rPr>
          <w:rFonts w:hint="eastAsia" w:ascii="仿宋" w:hAnsi="仿宋" w:eastAsia="仿宋" w:cs="仿宋"/>
          <w:color w:val="auto"/>
          <w:sz w:val="24"/>
          <w:highlight w:val="none"/>
          <w:u w:val="single"/>
          <w:lang w:eastAsia="zh-CN"/>
        </w:rPr>
        <w:t>2025年8月8日09:00时</w:t>
      </w:r>
      <w:r>
        <w:rPr>
          <w:rFonts w:hint="eastAsia" w:ascii="仿宋" w:hAnsi="仿宋" w:eastAsia="仿宋" w:cs="仿宋"/>
          <w:bCs/>
          <w:color w:val="auto"/>
          <w:sz w:val="24"/>
          <w:highlight w:val="none"/>
        </w:rPr>
        <w:t>（北京时间）前递交投标文件</w:t>
      </w:r>
      <w:r>
        <w:rPr>
          <w:rFonts w:hint="eastAsia" w:ascii="仿宋" w:hAnsi="仿宋" w:eastAsia="仿宋" w:cs="仿宋"/>
          <w:color w:val="auto"/>
          <w:sz w:val="24"/>
          <w:highlight w:val="none"/>
        </w:rPr>
        <w:t>。</w:t>
      </w:r>
    </w:p>
    <w:p w14:paraId="1D141527">
      <w:pPr>
        <w:pStyle w:val="5"/>
        <w:spacing w:line="430" w:lineRule="exact"/>
        <w:rPr>
          <w:rFonts w:ascii="仿宋" w:hAnsi="仿宋" w:eastAsia="仿宋" w:cs="仿宋"/>
          <w:color w:val="auto"/>
          <w:highlight w:val="none"/>
        </w:rPr>
      </w:pPr>
      <w:bookmarkStart w:id="0" w:name="_Toc6448"/>
      <w:bookmarkStart w:id="1" w:name="_Toc35393790"/>
      <w:bookmarkStart w:id="2" w:name="_Toc28359002"/>
      <w:bookmarkStart w:id="3" w:name="_Toc28359079"/>
      <w:bookmarkStart w:id="4" w:name="_Toc35393621"/>
      <w:bookmarkStart w:id="5" w:name="_Hlk24379207"/>
      <w:r>
        <w:rPr>
          <w:rFonts w:hint="eastAsia" w:ascii="仿宋" w:hAnsi="仿宋" w:eastAsia="仿宋" w:cs="仿宋"/>
          <w:color w:val="auto"/>
          <w:highlight w:val="none"/>
        </w:rPr>
        <w:t>一、项目基本情况</w:t>
      </w:r>
      <w:bookmarkEnd w:id="0"/>
      <w:bookmarkEnd w:id="1"/>
      <w:bookmarkEnd w:id="2"/>
      <w:bookmarkEnd w:id="3"/>
      <w:bookmarkEnd w:id="4"/>
    </w:p>
    <w:p w14:paraId="50BE9B2E">
      <w:pPr>
        <w:snapToGrid w:val="0"/>
        <w:spacing w:line="43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武义县新宅镇大莱饰面用花岗岩矿普查暨重点区勘探项目</w:t>
      </w:r>
    </w:p>
    <w:bookmarkEnd w:id="5"/>
    <w:p w14:paraId="1478F345">
      <w:pPr>
        <w:snapToGrid w:val="0"/>
        <w:spacing w:line="4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u w:val="single"/>
          <w:lang w:val="en-US" w:eastAsia="zh-CN"/>
        </w:rPr>
        <w:t>13800000</w:t>
      </w:r>
      <w:r>
        <w:rPr>
          <w:rFonts w:hint="eastAsia" w:ascii="仿宋" w:hAnsi="仿宋" w:eastAsia="仿宋" w:cs="仿宋"/>
          <w:color w:val="auto"/>
          <w:sz w:val="24"/>
          <w:highlight w:val="none"/>
        </w:rPr>
        <w:t>元</w:t>
      </w:r>
    </w:p>
    <w:p w14:paraId="45B756F6">
      <w:pPr>
        <w:snapToGrid w:val="0"/>
        <w:spacing w:line="4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u w:val="single"/>
          <w:lang w:val="en-US" w:eastAsia="zh-CN"/>
        </w:rPr>
        <w:t>13800000</w:t>
      </w:r>
      <w:r>
        <w:rPr>
          <w:rFonts w:hint="eastAsia" w:ascii="仿宋" w:hAnsi="仿宋" w:eastAsia="仿宋" w:cs="仿宋"/>
          <w:color w:val="auto"/>
          <w:sz w:val="24"/>
          <w:highlight w:val="none"/>
        </w:rPr>
        <w:t>元</w:t>
      </w:r>
    </w:p>
    <w:p w14:paraId="5C7AE5F7">
      <w:pPr>
        <w:snapToGrid w:val="0"/>
        <w:spacing w:line="4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采购需求：详见招标文件</w:t>
      </w:r>
    </w:p>
    <w:p w14:paraId="22D21BBC">
      <w:pPr>
        <w:snapToGrid w:val="0"/>
        <w:spacing w:line="43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合同履行期限：详见招标文件</w:t>
      </w:r>
    </w:p>
    <w:p w14:paraId="23B73A90">
      <w:pPr>
        <w:snapToGrid w:val="0"/>
        <w:spacing w:line="430" w:lineRule="exact"/>
        <w:ind w:firstLine="482" w:firstLineChars="200"/>
        <w:rPr>
          <w:b/>
          <w:bCs/>
          <w:color w:val="0000FF"/>
        </w:rPr>
      </w:pPr>
      <w:r>
        <w:rPr>
          <w:rFonts w:hint="eastAsia" w:ascii="仿宋" w:hAnsi="仿宋" w:eastAsia="仿宋" w:cs="仿宋"/>
          <w:b/>
          <w:bCs/>
          <w:color w:val="0000FF"/>
          <w:sz w:val="24"/>
          <w:highlight w:val="none"/>
        </w:rPr>
        <w:t>本项目接受联合体投标。</w:t>
      </w:r>
    </w:p>
    <w:p w14:paraId="1FCD5E01">
      <w:pPr>
        <w:pStyle w:val="5"/>
        <w:spacing w:line="430" w:lineRule="exact"/>
        <w:rPr>
          <w:rFonts w:ascii="仿宋" w:hAnsi="仿宋" w:eastAsia="仿宋" w:cs="仿宋"/>
          <w:color w:val="auto"/>
          <w:highlight w:val="none"/>
        </w:rPr>
      </w:pPr>
      <w:bookmarkStart w:id="6" w:name="_Toc35393791"/>
      <w:bookmarkStart w:id="7" w:name="_Toc28359003"/>
      <w:bookmarkStart w:id="8" w:name="_Toc35393622"/>
      <w:bookmarkStart w:id="9" w:name="_Toc28359080"/>
      <w:bookmarkStart w:id="10" w:name="_Toc12480"/>
      <w:r>
        <w:rPr>
          <w:rFonts w:hint="eastAsia" w:ascii="仿宋" w:hAnsi="仿宋" w:eastAsia="仿宋" w:cs="仿宋"/>
          <w:color w:val="auto"/>
          <w:highlight w:val="none"/>
        </w:rPr>
        <w:t>二、申请人的资格要求</w:t>
      </w:r>
      <w:bookmarkEnd w:id="6"/>
      <w:bookmarkEnd w:id="7"/>
      <w:bookmarkEnd w:id="8"/>
      <w:bookmarkEnd w:id="9"/>
      <w:bookmarkEnd w:id="10"/>
    </w:p>
    <w:p w14:paraId="509E41B8">
      <w:pPr>
        <w:spacing w:line="430" w:lineRule="exact"/>
        <w:ind w:firstLine="480" w:firstLineChars="200"/>
        <w:jc w:val="left"/>
        <w:rPr>
          <w:rFonts w:ascii="仿宋" w:hAnsi="仿宋" w:eastAsia="仿宋" w:cs="仿宋"/>
          <w:color w:val="auto"/>
          <w:sz w:val="24"/>
          <w:highlight w:val="none"/>
        </w:rPr>
      </w:pPr>
      <w:bookmarkStart w:id="11" w:name="_Toc35393792"/>
      <w:bookmarkStart w:id="12" w:name="_Toc28359004"/>
      <w:bookmarkStart w:id="13" w:name="_Toc28359081"/>
      <w:bookmarkStart w:id="14" w:name="_Toc35393623"/>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符合《中华人民共和国政府采购法》第二十二条规定；且未被“信用中国”（www.creditchina.gov.cn）、中国采购网（www.ccgp.gov.cn）列入失信被执行人、重大税收违法案件当事人名单、采购严重违法失信行为记录名单；</w:t>
      </w:r>
    </w:p>
    <w:p w14:paraId="19CEA8E7">
      <w:pPr>
        <w:pageBreakBefore w:val="0"/>
        <w:numPr>
          <w:ilvl w:val="0"/>
          <w:numId w:val="0"/>
        </w:numPr>
        <w:kinsoku/>
        <w:wordWrap/>
        <w:overflowPunct/>
        <w:topLinePunct w:val="0"/>
        <w:autoSpaceDE/>
        <w:autoSpaceDN/>
        <w:bidi w:val="0"/>
        <w:adjustRightInd/>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w:t>
      </w:r>
    </w:p>
    <w:p w14:paraId="208F77D0">
      <w:pPr>
        <w:pageBreakBefore w:val="0"/>
        <w:numPr>
          <w:ilvl w:val="0"/>
          <w:numId w:val="0"/>
        </w:numPr>
        <w:kinsoku/>
        <w:wordWrap/>
        <w:overflowPunct/>
        <w:topLinePunct w:val="0"/>
        <w:autoSpaceDE/>
        <w:autoSpaceDN/>
        <w:bidi w:val="0"/>
        <w:adjustRightInd/>
        <w:spacing w:line="360" w:lineRule="exact"/>
        <w:ind w:firstLine="482" w:firstLineChars="200"/>
        <w:jc w:val="left"/>
        <w:textAlignment w:val="auto"/>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lang w:val="en-US" w:eastAsia="zh-CN"/>
        </w:rPr>
        <w:t>2</w:t>
      </w:r>
      <w:r>
        <w:rPr>
          <w:rFonts w:hint="eastAsia" w:ascii="仿宋" w:hAnsi="仿宋" w:eastAsia="仿宋" w:cs="仿宋"/>
          <w:b/>
          <w:bCs/>
          <w:color w:val="0000FF"/>
          <w:sz w:val="24"/>
          <w:szCs w:val="24"/>
          <w:highlight w:val="none"/>
        </w:rPr>
        <w:t>.1投标人</w:t>
      </w:r>
      <w:r>
        <w:rPr>
          <w:rFonts w:hint="eastAsia" w:ascii="仿宋" w:hAnsi="仿宋" w:eastAsia="仿宋" w:cs="仿宋"/>
          <w:b/>
          <w:bCs/>
          <w:color w:val="0000FF"/>
          <w:sz w:val="24"/>
          <w:szCs w:val="24"/>
          <w:highlight w:val="none"/>
          <w:lang w:eastAsia="zh-CN"/>
        </w:rPr>
        <w:t>须</w:t>
      </w:r>
      <w:r>
        <w:rPr>
          <w:rFonts w:hint="eastAsia" w:ascii="仿宋" w:hAnsi="仿宋" w:eastAsia="仿宋" w:cs="仿宋"/>
          <w:b/>
          <w:bCs/>
          <w:color w:val="0000FF"/>
          <w:sz w:val="24"/>
          <w:szCs w:val="24"/>
          <w:highlight w:val="none"/>
        </w:rPr>
        <w:t>具备</w:t>
      </w:r>
      <w:r>
        <w:rPr>
          <w:rFonts w:hint="eastAsia" w:ascii="仿宋" w:hAnsi="仿宋" w:eastAsia="仿宋" w:cs="仿宋"/>
          <w:b/>
          <w:bCs/>
          <w:color w:val="0000FF"/>
          <w:sz w:val="24"/>
          <w:szCs w:val="24"/>
          <w:highlight w:val="none"/>
          <w:lang w:eastAsia="zh-CN"/>
        </w:rPr>
        <w:t>工程勘察专业类（岩土工程）乙级及以上资质</w:t>
      </w:r>
      <w:r>
        <w:rPr>
          <w:rFonts w:hint="eastAsia" w:ascii="仿宋" w:hAnsi="仿宋" w:eastAsia="仿宋" w:cs="仿宋"/>
          <w:b/>
          <w:bCs/>
          <w:color w:val="0000FF"/>
          <w:sz w:val="24"/>
          <w:szCs w:val="24"/>
          <w:highlight w:val="none"/>
        </w:rPr>
        <w:t>；</w:t>
      </w:r>
    </w:p>
    <w:p w14:paraId="72E82078">
      <w:pPr>
        <w:pageBreakBefore w:val="0"/>
        <w:kinsoku/>
        <w:wordWrap/>
        <w:overflowPunct/>
        <w:topLinePunct w:val="0"/>
        <w:autoSpaceDE/>
        <w:autoSpaceDN/>
        <w:bidi w:val="0"/>
        <w:adjustRightInd/>
        <w:spacing w:line="360" w:lineRule="exact"/>
        <w:ind w:firstLine="482" w:firstLineChars="200"/>
        <w:jc w:val="left"/>
        <w:textAlignment w:val="auto"/>
        <w:rPr>
          <w:rFonts w:ascii="仿宋" w:hAnsi="仿宋" w:eastAsia="仿宋" w:cs="仿宋"/>
          <w:color w:val="auto"/>
          <w:sz w:val="24"/>
          <w:highlight w:val="none"/>
        </w:rPr>
      </w:pPr>
      <w:r>
        <w:rPr>
          <w:rFonts w:hint="eastAsia" w:ascii="仿宋" w:hAnsi="仿宋" w:eastAsia="仿宋" w:cs="仿宋"/>
          <w:b/>
          <w:bCs/>
          <w:color w:val="0000FF"/>
          <w:sz w:val="24"/>
          <w:szCs w:val="24"/>
          <w:highlight w:val="none"/>
          <w:lang w:val="en-US" w:eastAsia="zh-CN"/>
        </w:rPr>
        <w:t>2</w:t>
      </w:r>
      <w:r>
        <w:rPr>
          <w:rFonts w:hint="eastAsia" w:ascii="仿宋" w:hAnsi="仿宋" w:eastAsia="仿宋" w:cs="仿宋"/>
          <w:b/>
          <w:bCs/>
          <w:color w:val="0000FF"/>
          <w:sz w:val="24"/>
          <w:szCs w:val="24"/>
          <w:highlight w:val="none"/>
        </w:rPr>
        <w:t>.2联合体投标的，应满足下列要求：联合体牵头人及成员总数不得超过2家，联合体各方</w:t>
      </w:r>
      <w:r>
        <w:rPr>
          <w:rFonts w:hint="eastAsia" w:ascii="仿宋" w:hAnsi="仿宋" w:eastAsia="仿宋" w:cs="仿宋"/>
          <w:b/>
          <w:bCs/>
          <w:color w:val="0000FF"/>
          <w:sz w:val="24"/>
          <w:szCs w:val="24"/>
          <w:highlight w:val="none"/>
          <w:lang w:val="en-US" w:eastAsia="zh-CN"/>
        </w:rPr>
        <w:t>须</w:t>
      </w:r>
      <w:r>
        <w:rPr>
          <w:rFonts w:hint="eastAsia" w:ascii="仿宋" w:hAnsi="仿宋" w:eastAsia="仿宋" w:cs="仿宋"/>
          <w:b/>
          <w:bCs/>
          <w:color w:val="0000FF"/>
          <w:sz w:val="24"/>
          <w:szCs w:val="24"/>
          <w:highlight w:val="none"/>
        </w:rPr>
        <w:t>符合本文件规定的特定资质条件</w:t>
      </w:r>
      <w:r>
        <w:rPr>
          <w:rFonts w:hint="eastAsia" w:ascii="仿宋" w:hAnsi="仿宋" w:eastAsia="仿宋" w:cs="仿宋"/>
          <w:b/>
          <w:bCs/>
          <w:color w:val="0000FF"/>
          <w:sz w:val="24"/>
          <w:szCs w:val="24"/>
          <w:highlight w:val="none"/>
          <w:lang w:eastAsia="zh-CN"/>
        </w:rPr>
        <w:t>须</w:t>
      </w:r>
      <w:r>
        <w:rPr>
          <w:rFonts w:hint="eastAsia" w:ascii="仿宋" w:hAnsi="仿宋" w:eastAsia="仿宋" w:cs="仿宋"/>
          <w:b/>
          <w:bCs/>
          <w:color w:val="0000FF"/>
          <w:sz w:val="24"/>
          <w:szCs w:val="24"/>
          <w:highlight w:val="none"/>
        </w:rPr>
        <w:t>具备</w:t>
      </w:r>
      <w:r>
        <w:rPr>
          <w:rFonts w:hint="eastAsia" w:ascii="仿宋" w:hAnsi="仿宋" w:eastAsia="仿宋" w:cs="仿宋"/>
          <w:b/>
          <w:bCs/>
          <w:color w:val="0000FF"/>
          <w:sz w:val="24"/>
          <w:szCs w:val="24"/>
          <w:highlight w:val="none"/>
          <w:lang w:eastAsia="zh-CN"/>
        </w:rPr>
        <w:t>工程勘察专业类（岩土工程）乙级及以上资质</w:t>
      </w:r>
      <w:r>
        <w:rPr>
          <w:rFonts w:hint="eastAsia" w:ascii="仿宋" w:hAnsi="仿宋" w:eastAsia="仿宋" w:cs="仿宋"/>
          <w:b/>
          <w:bCs/>
          <w:color w:val="0000FF"/>
          <w:sz w:val="24"/>
          <w:szCs w:val="24"/>
          <w:highlight w:val="none"/>
        </w:rPr>
        <w:t>。联合体中有同类资质的投标人按照联合体分工承担相同工作的，应当按照资质等级较低的投标人确定资质等级。</w:t>
      </w:r>
    </w:p>
    <w:p w14:paraId="776FB563">
      <w:pPr>
        <w:pStyle w:val="5"/>
        <w:spacing w:line="430" w:lineRule="exact"/>
        <w:rPr>
          <w:rFonts w:ascii="仿宋" w:hAnsi="仿宋" w:eastAsia="仿宋" w:cs="仿宋"/>
          <w:color w:val="auto"/>
          <w:highlight w:val="none"/>
        </w:rPr>
      </w:pPr>
      <w:bookmarkStart w:id="15" w:name="_Toc26419"/>
      <w:r>
        <w:rPr>
          <w:rFonts w:hint="eastAsia" w:ascii="仿宋" w:hAnsi="仿宋" w:eastAsia="仿宋" w:cs="仿宋"/>
          <w:color w:val="auto"/>
          <w:highlight w:val="none"/>
        </w:rPr>
        <w:t>三、获取招标采购文件</w:t>
      </w:r>
      <w:bookmarkEnd w:id="11"/>
      <w:bookmarkEnd w:id="12"/>
      <w:bookmarkEnd w:id="13"/>
      <w:bookmarkEnd w:id="14"/>
      <w:bookmarkEnd w:id="15"/>
    </w:p>
    <w:p w14:paraId="1F5EB063">
      <w:pPr>
        <w:pStyle w:val="31"/>
        <w:spacing w:beforeAutospacing="0" w:after="0" w:afterAutospacing="0" w:line="336" w:lineRule="auto"/>
        <w:ind w:firstLine="480" w:firstLineChars="200"/>
        <w:rPr>
          <w:rFonts w:ascii="仿宋" w:hAnsi="仿宋" w:eastAsia="仿宋" w:cs="仿宋"/>
          <w:color w:val="auto"/>
          <w:highlight w:val="none"/>
        </w:rPr>
      </w:pPr>
      <w:bookmarkStart w:id="16" w:name="_Toc28359005"/>
      <w:bookmarkStart w:id="17" w:name="_Toc28359082"/>
      <w:bookmarkStart w:id="18" w:name="_Toc35393793"/>
      <w:bookmarkStart w:id="19" w:name="_Toc35393624"/>
      <w:r>
        <w:rPr>
          <w:rFonts w:hint="eastAsia" w:ascii="仿宋" w:hAnsi="仿宋" w:eastAsia="仿宋" w:cs="仿宋"/>
          <w:color w:val="auto"/>
          <w:highlight w:val="none"/>
        </w:rPr>
        <w:t>时间：公告发布至</w:t>
      </w:r>
      <w:r>
        <w:rPr>
          <w:rFonts w:hint="eastAsia" w:ascii="仿宋" w:hAnsi="仿宋" w:eastAsia="仿宋" w:cs="仿宋"/>
          <w:color w:val="auto"/>
          <w:highlight w:val="none"/>
          <w:lang w:eastAsia="zh-CN"/>
        </w:rPr>
        <w:t>2025年8月8日09:00时</w:t>
      </w:r>
      <w:r>
        <w:rPr>
          <w:rFonts w:hint="eastAsia" w:ascii="仿宋" w:hAnsi="仿宋" w:eastAsia="仿宋" w:cs="仿宋"/>
          <w:color w:val="auto"/>
          <w:highlight w:val="none"/>
        </w:rPr>
        <w:t>（每天上午00:00至12:00，下午12:00至23:59（北京时间，线上获取法定节假日均可，线下获取文件法定节假日除外）。</w:t>
      </w:r>
    </w:p>
    <w:p w14:paraId="7AF04F1D">
      <w:pPr>
        <w:pStyle w:val="31"/>
        <w:spacing w:beforeAutospacing="0" w:after="0" w:afterAutospacing="0" w:line="336"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地点（网址）：乐采云平台线上获取</w:t>
      </w:r>
    </w:p>
    <w:p w14:paraId="2464718E">
      <w:pPr>
        <w:pStyle w:val="31"/>
        <w:spacing w:beforeAutospacing="0" w:after="0" w:afterAutospacing="0" w:line="336"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方式：供应商登录乐采云平台</w:t>
      </w:r>
      <w:r>
        <w:rPr>
          <w:rFonts w:hint="eastAsia" w:ascii="仿宋" w:hAnsi="仿宋" w:eastAsia="仿宋" w:cs="仿宋"/>
          <w:color w:val="auto"/>
          <w:highlight w:val="none"/>
          <w:lang w:eastAsia="zh-CN"/>
        </w:rPr>
        <w:t>https://www.lecaiyun.com</w:t>
      </w:r>
      <w:r>
        <w:rPr>
          <w:rFonts w:hint="eastAsia" w:ascii="仿宋" w:hAnsi="仿宋" w:eastAsia="仿宋" w:cs="仿宋"/>
          <w:color w:val="auto"/>
          <w:highlight w:val="none"/>
        </w:rPr>
        <w:t>在线申请获取采购文件（进入“项目采购”应用，在获取采购文件菜单中选择项目，申请获取采购文件）。</w:t>
      </w:r>
    </w:p>
    <w:p w14:paraId="290BB443">
      <w:pPr>
        <w:pStyle w:val="31"/>
        <w:spacing w:beforeAutospacing="0" w:after="0" w:afterAutospacing="0" w:line="336"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售价（元）：</w:t>
      </w:r>
      <w:r>
        <w:rPr>
          <w:rFonts w:hint="eastAsia" w:ascii="仿宋" w:hAnsi="仿宋" w:eastAsia="仿宋" w:cs="仿宋"/>
          <w:color w:val="auto"/>
          <w:highlight w:val="none"/>
          <w:lang w:eastAsia="zh-CN"/>
        </w:rPr>
        <w:t>免费下载</w:t>
      </w:r>
    </w:p>
    <w:p w14:paraId="65969B3F">
      <w:pPr>
        <w:pStyle w:val="5"/>
        <w:spacing w:line="430" w:lineRule="exact"/>
        <w:rPr>
          <w:rFonts w:ascii="仿宋" w:hAnsi="仿宋" w:eastAsia="仿宋" w:cs="仿宋"/>
          <w:color w:val="auto"/>
          <w:highlight w:val="none"/>
        </w:rPr>
      </w:pPr>
      <w:bookmarkStart w:id="20" w:name="_Toc31009"/>
      <w:r>
        <w:rPr>
          <w:rFonts w:hint="eastAsia" w:ascii="仿宋" w:hAnsi="仿宋" w:eastAsia="仿宋" w:cs="仿宋"/>
          <w:color w:val="auto"/>
          <w:highlight w:val="none"/>
        </w:rPr>
        <w:t>四、提交投标文件</w:t>
      </w:r>
      <w:bookmarkEnd w:id="16"/>
      <w:bookmarkEnd w:id="17"/>
      <w:r>
        <w:rPr>
          <w:rFonts w:hint="eastAsia" w:ascii="仿宋" w:hAnsi="仿宋" w:eastAsia="仿宋" w:cs="仿宋"/>
          <w:color w:val="auto"/>
          <w:highlight w:val="none"/>
        </w:rPr>
        <w:t>截止时间、开标时间和地点</w:t>
      </w:r>
      <w:bookmarkEnd w:id="18"/>
      <w:bookmarkEnd w:id="19"/>
      <w:bookmarkEnd w:id="20"/>
    </w:p>
    <w:p w14:paraId="178AB242">
      <w:pPr>
        <w:pStyle w:val="31"/>
        <w:spacing w:beforeAutospacing="0" w:after="0" w:afterAutospacing="0" w:line="440" w:lineRule="exact"/>
        <w:ind w:firstLine="480" w:firstLineChars="200"/>
        <w:rPr>
          <w:rFonts w:hint="eastAsia" w:ascii="仿宋" w:hAnsi="仿宋" w:eastAsia="仿宋" w:cs="仿宋"/>
          <w:color w:val="auto"/>
          <w:highlight w:val="none"/>
        </w:rPr>
      </w:pPr>
      <w:bookmarkStart w:id="21" w:name="_Toc35393794"/>
      <w:bookmarkStart w:id="22" w:name="_Toc35393625"/>
      <w:bookmarkStart w:id="23" w:name="_Toc28359007"/>
      <w:bookmarkStart w:id="24" w:name="_Toc28359084"/>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lang w:eastAsia="zh-CN"/>
        </w:rPr>
        <w:t>2025年8月8日09:00时</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4AB1CBC7">
      <w:pPr>
        <w:pStyle w:val="31"/>
        <w:spacing w:beforeAutospacing="0" w:after="0" w:afterAutospacing="0" w:line="440" w:lineRule="exact"/>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投标地点（网址）：</w:t>
      </w:r>
      <w:r>
        <w:rPr>
          <w:rFonts w:hint="eastAsia" w:ascii="仿宋" w:hAnsi="仿宋" w:eastAsia="仿宋" w:cs="仿宋"/>
          <w:color w:val="auto"/>
          <w:highlight w:val="none"/>
          <w:u w:val="single"/>
        </w:rPr>
        <w:t>请登录乐采云投标客户端投标</w:t>
      </w:r>
    </w:p>
    <w:p w14:paraId="7F26AF0B">
      <w:pPr>
        <w:pStyle w:val="31"/>
        <w:spacing w:beforeAutospacing="0" w:after="0" w:afterAutospacing="0"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lang w:eastAsia="zh-CN"/>
        </w:rPr>
        <w:t>2025年8月8日09:00时</w:t>
      </w:r>
    </w:p>
    <w:p w14:paraId="07F51397">
      <w:pPr>
        <w:pStyle w:val="31"/>
        <w:spacing w:beforeAutospacing="0" w:after="0" w:afterAutospacing="0" w:line="440" w:lineRule="exact"/>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开标地点：</w:t>
      </w:r>
      <w:r>
        <w:rPr>
          <w:rFonts w:hint="eastAsia" w:ascii="仿宋" w:hAnsi="仿宋" w:eastAsia="仿宋" w:cs="仿宋"/>
          <w:color w:val="auto"/>
          <w:sz w:val="24"/>
          <w:highlight w:val="none"/>
        </w:rPr>
        <w:t>金华市公共资源交易中心武义县分中心（武义县</w:t>
      </w:r>
      <w:r>
        <w:rPr>
          <w:rFonts w:hint="eastAsia" w:ascii="仿宋" w:hAnsi="仿宋" w:eastAsia="仿宋" w:cs="仿宋"/>
          <w:color w:val="auto"/>
          <w:sz w:val="24"/>
          <w:highlight w:val="none"/>
          <w:lang w:eastAsia="zh-CN"/>
        </w:rPr>
        <w:t>武阳中路2号</w:t>
      </w:r>
      <w:r>
        <w:rPr>
          <w:rFonts w:hint="eastAsia" w:ascii="仿宋" w:hAnsi="仿宋" w:eastAsia="仿宋" w:cs="仿宋"/>
          <w:color w:val="auto"/>
          <w:sz w:val="24"/>
          <w:highlight w:val="none"/>
        </w:rPr>
        <w:t>建行大楼</w:t>
      </w:r>
      <w:r>
        <w:rPr>
          <w:rFonts w:hint="eastAsia" w:ascii="仿宋" w:hAnsi="仿宋" w:eastAsia="仿宋" w:cs="仿宋"/>
          <w:color w:val="auto"/>
          <w:sz w:val="24"/>
          <w:highlight w:val="none"/>
          <w:lang w:eastAsia="zh-CN"/>
        </w:rPr>
        <w:t>14楼开标室二</w:t>
      </w:r>
      <w:r>
        <w:rPr>
          <w:rFonts w:hint="eastAsia" w:ascii="仿宋" w:hAnsi="仿宋" w:eastAsia="仿宋" w:cs="仿宋"/>
          <w:color w:val="auto"/>
          <w:sz w:val="24"/>
          <w:highlight w:val="none"/>
        </w:rPr>
        <w:t>）</w:t>
      </w:r>
    </w:p>
    <w:p w14:paraId="3C313A1B">
      <w:pPr>
        <w:pStyle w:val="5"/>
        <w:spacing w:line="430" w:lineRule="exact"/>
        <w:rPr>
          <w:rFonts w:ascii="仿宋" w:hAnsi="仿宋" w:eastAsia="仿宋" w:cs="仿宋"/>
          <w:color w:val="auto"/>
          <w:highlight w:val="none"/>
        </w:rPr>
      </w:pPr>
      <w:bookmarkStart w:id="25" w:name="_Toc23927"/>
      <w:r>
        <w:rPr>
          <w:rFonts w:hint="eastAsia" w:ascii="仿宋" w:hAnsi="仿宋" w:eastAsia="仿宋" w:cs="仿宋"/>
          <w:color w:val="auto"/>
          <w:highlight w:val="none"/>
        </w:rPr>
        <w:t>五、开标时间及地点</w:t>
      </w:r>
      <w:bookmarkEnd w:id="25"/>
    </w:p>
    <w:p w14:paraId="487145B8">
      <w:pPr>
        <w:spacing w:line="4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本次招标将于</w:t>
      </w:r>
      <w:r>
        <w:rPr>
          <w:rFonts w:hint="eastAsia" w:ascii="仿宋" w:hAnsi="仿宋" w:eastAsia="仿宋" w:cs="仿宋"/>
          <w:b/>
          <w:color w:val="auto"/>
          <w:sz w:val="24"/>
          <w:highlight w:val="none"/>
          <w:u w:val="single"/>
          <w:lang w:eastAsia="zh-CN"/>
        </w:rPr>
        <w:t>2025年8月8日09:00时</w:t>
      </w:r>
      <w:r>
        <w:rPr>
          <w:rFonts w:hint="eastAsia" w:ascii="仿宋" w:hAnsi="仿宋" w:eastAsia="仿宋" w:cs="仿宋"/>
          <w:color w:val="auto"/>
          <w:sz w:val="24"/>
          <w:highlight w:val="none"/>
          <w:u w:val="single"/>
        </w:rPr>
        <w:t>始</w:t>
      </w:r>
      <w:r>
        <w:rPr>
          <w:rFonts w:hint="eastAsia" w:ascii="仿宋" w:hAnsi="仿宋" w:eastAsia="仿宋" w:cs="仿宋"/>
          <w:color w:val="auto"/>
          <w:sz w:val="24"/>
          <w:highlight w:val="none"/>
        </w:rPr>
        <w:t>在金华市公共资源交易中心武义县分中心（武义县</w:t>
      </w:r>
      <w:r>
        <w:rPr>
          <w:rFonts w:hint="eastAsia" w:ascii="仿宋" w:hAnsi="仿宋" w:eastAsia="仿宋" w:cs="仿宋"/>
          <w:color w:val="auto"/>
          <w:sz w:val="24"/>
          <w:highlight w:val="none"/>
          <w:lang w:eastAsia="zh-CN"/>
        </w:rPr>
        <w:t>武阳中路2号</w:t>
      </w:r>
      <w:r>
        <w:rPr>
          <w:rFonts w:hint="eastAsia" w:ascii="仿宋" w:hAnsi="仿宋" w:eastAsia="仿宋" w:cs="仿宋"/>
          <w:color w:val="auto"/>
          <w:sz w:val="24"/>
          <w:highlight w:val="none"/>
        </w:rPr>
        <w:t>建行大楼</w:t>
      </w:r>
      <w:r>
        <w:rPr>
          <w:rFonts w:hint="eastAsia" w:ascii="仿宋" w:hAnsi="仿宋" w:eastAsia="仿宋" w:cs="仿宋"/>
          <w:color w:val="auto"/>
          <w:sz w:val="24"/>
          <w:highlight w:val="none"/>
          <w:lang w:eastAsia="zh-CN"/>
        </w:rPr>
        <w:t>14楼开标室二</w:t>
      </w:r>
      <w:r>
        <w:rPr>
          <w:rFonts w:hint="eastAsia" w:ascii="仿宋" w:hAnsi="仿宋" w:eastAsia="仿宋" w:cs="仿宋"/>
          <w:color w:val="auto"/>
          <w:sz w:val="24"/>
          <w:highlight w:val="none"/>
        </w:rPr>
        <w:t>）开标。</w:t>
      </w:r>
    </w:p>
    <w:p w14:paraId="000AED58">
      <w:pPr>
        <w:pStyle w:val="5"/>
        <w:spacing w:line="430" w:lineRule="exact"/>
        <w:rPr>
          <w:rFonts w:ascii="仿宋" w:hAnsi="仿宋" w:eastAsia="仿宋" w:cs="仿宋"/>
          <w:color w:val="auto"/>
          <w:highlight w:val="none"/>
        </w:rPr>
      </w:pPr>
      <w:bookmarkStart w:id="26" w:name="_Toc29768"/>
      <w:r>
        <w:rPr>
          <w:rFonts w:hint="eastAsia" w:ascii="仿宋" w:hAnsi="仿宋" w:eastAsia="仿宋" w:cs="仿宋"/>
          <w:color w:val="auto"/>
          <w:highlight w:val="none"/>
        </w:rPr>
        <w:t>六、公告期限</w:t>
      </w:r>
      <w:bookmarkEnd w:id="21"/>
      <w:bookmarkEnd w:id="22"/>
      <w:bookmarkEnd w:id="23"/>
      <w:bookmarkEnd w:id="24"/>
      <w:bookmarkEnd w:id="26"/>
      <w:bookmarkStart w:id="27" w:name="_Toc35393795"/>
      <w:bookmarkStart w:id="28" w:name="_Toc35393626"/>
    </w:p>
    <w:p w14:paraId="7C134A9A">
      <w:pPr>
        <w:spacing w:line="4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bookmarkEnd w:id="27"/>
    <w:bookmarkEnd w:id="28"/>
    <w:p w14:paraId="3256E404">
      <w:pPr>
        <w:pStyle w:val="5"/>
        <w:spacing w:line="430" w:lineRule="exact"/>
        <w:rPr>
          <w:rFonts w:ascii="仿宋" w:hAnsi="仿宋" w:eastAsia="仿宋" w:cs="仿宋"/>
          <w:color w:val="auto"/>
          <w:highlight w:val="none"/>
        </w:rPr>
      </w:pPr>
      <w:bookmarkStart w:id="29" w:name="_Toc28107"/>
      <w:bookmarkStart w:id="30" w:name="_Toc28359008"/>
      <w:bookmarkStart w:id="31" w:name="_Toc28359085"/>
      <w:bookmarkStart w:id="32" w:name="_Toc35393796"/>
      <w:bookmarkStart w:id="33" w:name="_Toc35393627"/>
      <w:r>
        <w:rPr>
          <w:rFonts w:hint="eastAsia" w:ascii="仿宋" w:hAnsi="仿宋" w:eastAsia="仿宋" w:cs="仿宋"/>
          <w:color w:val="auto"/>
          <w:highlight w:val="none"/>
        </w:rPr>
        <w:t>七、其他补充事宜</w:t>
      </w:r>
      <w:bookmarkEnd w:id="29"/>
    </w:p>
    <w:p w14:paraId="303D1328">
      <w:pPr>
        <w:pStyle w:val="2"/>
        <w:spacing w:after="0" w:line="430" w:lineRule="exact"/>
        <w:ind w:left="0" w:leftChars="0" w:firstLine="464"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本项目实行采购电子交易，应按照本项目招标采购文件和“乐采云电子投标客户端” 的要求编制及加密并提交（上传）投标文件。</w:t>
      </w:r>
    </w:p>
    <w:p w14:paraId="58BD7D2E">
      <w:pPr>
        <w:pStyle w:val="2"/>
        <w:spacing w:after="0" w:line="430" w:lineRule="exact"/>
        <w:ind w:left="0" w:leftChars="0" w:firstLine="464" w:firstLineChars="200"/>
        <w:rPr>
          <w:rFonts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认为采购文件使自己的权益受到损害的，可以自招标公告期发布之日起7日内，以书面形式向采购人和采购代理机构提出质疑。质疑投标人对采购人、采购代理机构的答复不满意或者采购人、采购代理机构未在规定的时间内作出答复的，可以在答复期满后十五个工作日内向采购活动管理部门申请调解，也可以依据民事法律的规定，直接向法院提起民事诉讼。</w:t>
      </w:r>
    </w:p>
    <w:p w14:paraId="10763E49">
      <w:pPr>
        <w:pStyle w:val="2"/>
        <w:spacing w:after="0" w:line="430" w:lineRule="exact"/>
        <w:ind w:left="0" w:leftChars="0" w:firstLine="464"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针对同一采购程序环节的质疑，供应商应在规定期限内一次性提出（即针对同一采购程序环节的质疑采购人或采购代理机构仅受理一次），逾期提出或针对同一采购程序环节多次提出的质疑将不予受理、答复。</w:t>
      </w:r>
    </w:p>
    <w:p w14:paraId="0C1637D0">
      <w:pPr>
        <w:pStyle w:val="5"/>
        <w:spacing w:line="400" w:lineRule="exact"/>
        <w:rPr>
          <w:rFonts w:ascii="仿宋" w:hAnsi="仿宋" w:eastAsia="仿宋" w:cs="仿宋"/>
          <w:color w:val="auto"/>
          <w:highlight w:val="none"/>
        </w:rPr>
      </w:pPr>
      <w:bookmarkStart w:id="34" w:name="_Toc27410"/>
      <w:r>
        <w:rPr>
          <w:rFonts w:hint="eastAsia" w:ascii="仿宋" w:hAnsi="仿宋" w:eastAsia="仿宋" w:cs="仿宋"/>
          <w:color w:val="auto"/>
          <w:highlight w:val="none"/>
        </w:rPr>
        <w:t>八、联系方式</w:t>
      </w:r>
      <w:bookmarkEnd w:id="30"/>
      <w:bookmarkEnd w:id="31"/>
      <w:bookmarkEnd w:id="32"/>
      <w:bookmarkEnd w:id="33"/>
      <w:bookmarkEnd w:id="34"/>
    </w:p>
    <w:p w14:paraId="1003810D">
      <w:pPr>
        <w:spacing w:line="440" w:lineRule="exact"/>
        <w:ind w:firstLine="464" w:firstLineChars="200"/>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1.采购人信息</w:t>
      </w:r>
    </w:p>
    <w:p w14:paraId="2615B20C">
      <w:pPr>
        <w:spacing w:line="400" w:lineRule="exact"/>
        <w:ind w:firstLine="464" w:firstLineChars="200"/>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名    称：</w:t>
      </w:r>
      <w:r>
        <w:rPr>
          <w:rFonts w:hint="eastAsia" w:ascii="仿宋" w:hAnsi="仿宋" w:eastAsia="仿宋" w:cs="仿宋"/>
          <w:color w:val="auto"/>
          <w:spacing w:val="-4"/>
          <w:sz w:val="24"/>
          <w:highlight w:val="none"/>
          <w:lang w:eastAsia="zh-CN"/>
        </w:rPr>
        <w:t>武义交通旅游投资建设集团有限公司</w:t>
      </w:r>
    </w:p>
    <w:p w14:paraId="3F425A9D">
      <w:pPr>
        <w:spacing w:line="400" w:lineRule="exact"/>
        <w:ind w:firstLine="464" w:firstLineChars="200"/>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地    址：</w:t>
      </w:r>
      <w:r>
        <w:rPr>
          <w:rFonts w:hint="eastAsia" w:ascii="仿宋" w:hAnsi="仿宋" w:eastAsia="仿宋" w:cs="仿宋"/>
          <w:color w:val="000000"/>
          <w:spacing w:val="-4"/>
          <w:sz w:val="24"/>
          <w:highlight w:val="none"/>
          <w:lang w:eastAsia="zh-CN"/>
        </w:rPr>
        <w:t>武义县武阳西路132号</w:t>
      </w:r>
      <w:r>
        <w:rPr>
          <w:rFonts w:hint="eastAsia" w:ascii="仿宋" w:hAnsi="仿宋" w:eastAsia="仿宋" w:cs="仿宋"/>
          <w:color w:val="000000"/>
          <w:spacing w:val="-4"/>
          <w:sz w:val="24"/>
          <w:highlight w:val="none"/>
          <w:lang w:val="en-US" w:eastAsia="zh-CN"/>
        </w:rPr>
        <w:t xml:space="preserve"> </w:t>
      </w:r>
    </w:p>
    <w:p w14:paraId="510D3D59">
      <w:pPr>
        <w:spacing w:line="400" w:lineRule="exact"/>
        <w:ind w:firstLine="464" w:firstLineChars="200"/>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联系人：</w:t>
      </w:r>
      <w:r>
        <w:rPr>
          <w:rFonts w:hint="eastAsia" w:ascii="仿宋" w:hAnsi="仿宋" w:eastAsia="仿宋" w:cs="仿宋"/>
          <w:color w:val="auto"/>
          <w:spacing w:val="-4"/>
          <w:sz w:val="24"/>
          <w:highlight w:val="none"/>
          <w:lang w:eastAsia="zh-CN"/>
        </w:rPr>
        <w:t>张女士</w:t>
      </w:r>
    </w:p>
    <w:p w14:paraId="591D5BA5">
      <w:pPr>
        <w:spacing w:line="400" w:lineRule="exact"/>
        <w:ind w:firstLine="464" w:firstLineChars="200"/>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rPr>
        <w:t>联系方式：</w:t>
      </w:r>
      <w:r>
        <w:rPr>
          <w:rFonts w:hint="eastAsia" w:ascii="仿宋" w:hAnsi="仿宋" w:eastAsia="仿宋" w:cs="仿宋"/>
          <w:color w:val="auto"/>
          <w:spacing w:val="-4"/>
          <w:sz w:val="24"/>
          <w:highlight w:val="none"/>
          <w:lang w:val="en-US" w:eastAsia="zh-CN"/>
        </w:rPr>
        <w:t>18868527908</w:t>
      </w:r>
    </w:p>
    <w:p w14:paraId="18818C40">
      <w:pPr>
        <w:spacing w:line="400" w:lineRule="exact"/>
        <w:ind w:firstLine="464" w:firstLineChars="200"/>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2.采购代理机构信息</w:t>
      </w:r>
    </w:p>
    <w:p w14:paraId="281246B8">
      <w:pPr>
        <w:spacing w:line="400" w:lineRule="exact"/>
        <w:ind w:firstLine="464" w:firstLineChars="200"/>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名    称：</w:t>
      </w:r>
      <w:r>
        <w:rPr>
          <w:rFonts w:hint="eastAsia" w:ascii="仿宋" w:hAnsi="仿宋" w:eastAsia="仿宋" w:cs="仿宋"/>
          <w:color w:val="auto"/>
          <w:spacing w:val="-4"/>
          <w:sz w:val="24"/>
          <w:highlight w:val="none"/>
          <w:lang w:eastAsia="zh-CN"/>
        </w:rPr>
        <w:t>金华同慷建设管理咨询有限公司</w:t>
      </w:r>
    </w:p>
    <w:p w14:paraId="1234AC32">
      <w:pPr>
        <w:spacing w:line="400" w:lineRule="exact"/>
        <w:ind w:firstLine="464" w:firstLineChars="200"/>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地    址：浙江省武义县中南名城2号楼商业</w:t>
      </w:r>
      <w:r>
        <w:rPr>
          <w:rFonts w:hint="eastAsia" w:ascii="仿宋" w:hAnsi="仿宋" w:eastAsia="仿宋" w:cs="仿宋"/>
          <w:color w:val="auto"/>
          <w:spacing w:val="-4"/>
          <w:sz w:val="24"/>
          <w:highlight w:val="none"/>
          <w:lang w:val="en-US" w:eastAsia="zh-CN"/>
        </w:rPr>
        <w:t>2-001</w:t>
      </w:r>
      <w:r>
        <w:rPr>
          <w:rFonts w:hint="eastAsia" w:ascii="仿宋" w:hAnsi="仿宋" w:eastAsia="仿宋" w:cs="仿宋"/>
          <w:color w:val="auto"/>
          <w:spacing w:val="-4"/>
          <w:sz w:val="24"/>
          <w:highlight w:val="none"/>
        </w:rPr>
        <w:t>铺</w:t>
      </w:r>
    </w:p>
    <w:p w14:paraId="5C0FBA01">
      <w:pPr>
        <w:spacing w:line="400" w:lineRule="exact"/>
        <w:ind w:firstLine="464" w:firstLineChars="200"/>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rPr>
        <w:t>联系人（询问）：</w:t>
      </w:r>
      <w:r>
        <w:rPr>
          <w:rFonts w:hint="eastAsia" w:ascii="仿宋" w:hAnsi="仿宋" w:eastAsia="仿宋" w:cs="仿宋"/>
          <w:color w:val="auto"/>
          <w:spacing w:val="-4"/>
          <w:sz w:val="24"/>
          <w:highlight w:val="none"/>
          <w:lang w:val="en-US" w:eastAsia="zh-CN"/>
        </w:rPr>
        <w:t>陈女士</w:t>
      </w:r>
    </w:p>
    <w:p w14:paraId="60D9E12D">
      <w:pPr>
        <w:spacing w:line="400" w:lineRule="exact"/>
        <w:ind w:firstLine="464"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pacing w:val="-4"/>
          <w:sz w:val="24"/>
          <w:highlight w:val="none"/>
        </w:rPr>
        <w:t>联系方式（询问）：</w:t>
      </w:r>
      <w:r>
        <w:rPr>
          <w:rFonts w:hint="eastAsia" w:ascii="仿宋" w:hAnsi="仿宋" w:eastAsia="仿宋" w:cs="仿宋"/>
          <w:color w:val="auto"/>
          <w:spacing w:val="-4"/>
          <w:sz w:val="24"/>
          <w:highlight w:val="none"/>
          <w:lang w:val="en-US" w:eastAsia="zh-CN"/>
        </w:rPr>
        <w:t>15868997454</w:t>
      </w:r>
    </w:p>
    <w:p w14:paraId="0149AC85">
      <w:pPr>
        <w:pStyle w:val="4"/>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br w:type="page"/>
      </w:r>
      <w:bookmarkStart w:id="35" w:name="_Toc9680"/>
      <w:r>
        <w:rPr>
          <w:rFonts w:hint="eastAsia" w:ascii="仿宋" w:hAnsi="仿宋" w:eastAsia="仿宋" w:cs="仿宋"/>
          <w:color w:val="auto"/>
          <w:highlight w:val="none"/>
        </w:rPr>
        <w:t>第二章  投标人须知</w:t>
      </w:r>
      <w:bookmarkEnd w:id="35"/>
    </w:p>
    <w:p w14:paraId="2164B4E9">
      <w:pPr>
        <w:pStyle w:val="26"/>
        <w:rPr>
          <w:rFonts w:ascii="仿宋" w:hAnsi="仿宋" w:eastAsia="仿宋" w:cs="仿宋"/>
          <w:color w:val="auto"/>
          <w:highlight w:val="none"/>
        </w:rPr>
      </w:pPr>
      <w:bookmarkStart w:id="36" w:name="_Toc9849"/>
      <w:r>
        <w:rPr>
          <w:rFonts w:hint="eastAsia" w:ascii="仿宋" w:hAnsi="仿宋" w:eastAsia="仿宋" w:cs="仿宋"/>
          <w:color w:val="auto"/>
          <w:highlight w:val="none"/>
        </w:rPr>
        <w:t>前附表</w:t>
      </w:r>
      <w:bookmarkEnd w:id="36"/>
    </w:p>
    <w:tbl>
      <w:tblPr>
        <w:tblStyle w:val="33"/>
        <w:tblW w:w="9618" w:type="dxa"/>
        <w:tblInd w:w="0" w:type="dxa"/>
        <w:tblLayout w:type="fixed"/>
        <w:tblCellMar>
          <w:top w:w="0" w:type="dxa"/>
          <w:left w:w="108" w:type="dxa"/>
          <w:bottom w:w="0" w:type="dxa"/>
          <w:right w:w="108" w:type="dxa"/>
        </w:tblCellMar>
      </w:tblPr>
      <w:tblGrid>
        <w:gridCol w:w="946"/>
        <w:gridCol w:w="1991"/>
        <w:gridCol w:w="6681"/>
      </w:tblGrid>
      <w:tr w14:paraId="4531B5A9">
        <w:tblPrEx>
          <w:tblCellMar>
            <w:top w:w="0" w:type="dxa"/>
            <w:left w:w="108" w:type="dxa"/>
            <w:bottom w:w="0" w:type="dxa"/>
            <w:right w:w="108" w:type="dxa"/>
          </w:tblCellMar>
        </w:tblPrEx>
        <w:trPr>
          <w:trHeight w:val="567" w:hRule="exact"/>
        </w:trPr>
        <w:tc>
          <w:tcPr>
            <w:tcW w:w="946" w:type="dxa"/>
            <w:tcBorders>
              <w:top w:val="single" w:color="auto" w:sz="4" w:space="0"/>
              <w:left w:val="single" w:color="auto" w:sz="4" w:space="0"/>
              <w:bottom w:val="single" w:color="auto" w:sz="4" w:space="0"/>
              <w:right w:val="single" w:color="auto" w:sz="4" w:space="0"/>
            </w:tcBorders>
            <w:vAlign w:val="center"/>
          </w:tcPr>
          <w:p w14:paraId="28502E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 号</w:t>
            </w:r>
          </w:p>
        </w:tc>
        <w:tc>
          <w:tcPr>
            <w:tcW w:w="1991" w:type="dxa"/>
            <w:tcBorders>
              <w:top w:val="single" w:color="auto" w:sz="4" w:space="0"/>
              <w:left w:val="single" w:color="auto" w:sz="4" w:space="0"/>
              <w:bottom w:val="single" w:color="auto" w:sz="4" w:space="0"/>
              <w:right w:val="single" w:color="auto" w:sz="4" w:space="0"/>
            </w:tcBorders>
            <w:vAlign w:val="center"/>
          </w:tcPr>
          <w:p w14:paraId="1B39BF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  款  名  称</w:t>
            </w:r>
          </w:p>
        </w:tc>
        <w:tc>
          <w:tcPr>
            <w:tcW w:w="6681" w:type="dxa"/>
            <w:tcBorders>
              <w:top w:val="single" w:color="auto" w:sz="4" w:space="0"/>
              <w:left w:val="single" w:color="auto" w:sz="4" w:space="0"/>
              <w:bottom w:val="single" w:color="auto" w:sz="4" w:space="0"/>
              <w:right w:val="single" w:color="auto" w:sz="4" w:space="0"/>
            </w:tcBorders>
            <w:vAlign w:val="center"/>
          </w:tcPr>
          <w:p w14:paraId="688BB8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编  列  内  容</w:t>
            </w:r>
          </w:p>
        </w:tc>
      </w:tr>
      <w:tr w14:paraId="465209F1">
        <w:tblPrEx>
          <w:tblCellMar>
            <w:top w:w="0" w:type="dxa"/>
            <w:left w:w="108" w:type="dxa"/>
            <w:bottom w:w="0" w:type="dxa"/>
            <w:right w:w="108" w:type="dxa"/>
          </w:tblCellMar>
        </w:tblPrEx>
        <w:trPr>
          <w:trHeight w:val="567" w:hRule="exact"/>
        </w:trPr>
        <w:tc>
          <w:tcPr>
            <w:tcW w:w="946" w:type="dxa"/>
            <w:tcBorders>
              <w:top w:val="single" w:color="auto" w:sz="4" w:space="0"/>
              <w:left w:val="single" w:color="auto" w:sz="4" w:space="0"/>
              <w:bottom w:val="single" w:color="auto" w:sz="4" w:space="0"/>
              <w:right w:val="single" w:color="auto" w:sz="4" w:space="0"/>
            </w:tcBorders>
            <w:vAlign w:val="center"/>
          </w:tcPr>
          <w:p w14:paraId="68CCBD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1" w:type="dxa"/>
            <w:tcBorders>
              <w:top w:val="single" w:color="auto" w:sz="4" w:space="0"/>
              <w:left w:val="single" w:color="auto" w:sz="4" w:space="0"/>
              <w:bottom w:val="single" w:color="auto" w:sz="4" w:space="0"/>
              <w:right w:val="single" w:color="auto" w:sz="4" w:space="0"/>
            </w:tcBorders>
            <w:vAlign w:val="center"/>
          </w:tcPr>
          <w:p w14:paraId="76D73A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681" w:type="dxa"/>
            <w:tcBorders>
              <w:top w:val="single" w:color="auto" w:sz="4" w:space="0"/>
              <w:left w:val="single" w:color="auto" w:sz="4" w:space="0"/>
              <w:bottom w:val="single" w:color="auto" w:sz="4" w:space="0"/>
              <w:right w:val="single" w:color="auto" w:sz="4" w:space="0"/>
            </w:tcBorders>
            <w:vAlign w:val="center"/>
          </w:tcPr>
          <w:p w14:paraId="4F694F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武义交通旅游投资建设集团有限公司</w:t>
            </w:r>
          </w:p>
        </w:tc>
      </w:tr>
      <w:tr w14:paraId="153B9F1A">
        <w:tblPrEx>
          <w:tblCellMar>
            <w:top w:w="0" w:type="dxa"/>
            <w:left w:w="108" w:type="dxa"/>
            <w:bottom w:w="0" w:type="dxa"/>
            <w:right w:w="108" w:type="dxa"/>
          </w:tblCellMar>
        </w:tblPrEx>
        <w:trPr>
          <w:trHeight w:val="567" w:hRule="exact"/>
        </w:trPr>
        <w:tc>
          <w:tcPr>
            <w:tcW w:w="946" w:type="dxa"/>
            <w:tcBorders>
              <w:top w:val="single" w:color="auto" w:sz="4" w:space="0"/>
              <w:left w:val="single" w:color="auto" w:sz="4" w:space="0"/>
              <w:bottom w:val="single" w:color="auto" w:sz="4" w:space="0"/>
              <w:right w:val="single" w:color="auto" w:sz="4" w:space="0"/>
            </w:tcBorders>
            <w:vAlign w:val="center"/>
          </w:tcPr>
          <w:p w14:paraId="11BFF9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1" w:type="dxa"/>
            <w:tcBorders>
              <w:top w:val="single" w:color="auto" w:sz="4" w:space="0"/>
              <w:left w:val="single" w:color="auto" w:sz="4" w:space="0"/>
              <w:bottom w:val="single" w:color="auto" w:sz="4" w:space="0"/>
              <w:right w:val="single" w:color="auto" w:sz="4" w:space="0"/>
            </w:tcBorders>
            <w:vAlign w:val="center"/>
          </w:tcPr>
          <w:p w14:paraId="1F9935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c>
          <w:tcPr>
            <w:tcW w:w="6681" w:type="dxa"/>
            <w:tcBorders>
              <w:top w:val="single" w:color="auto" w:sz="4" w:space="0"/>
              <w:left w:val="single" w:color="auto" w:sz="4" w:space="0"/>
              <w:bottom w:val="single" w:color="auto" w:sz="4" w:space="0"/>
              <w:right w:val="single" w:color="auto" w:sz="4" w:space="0"/>
            </w:tcBorders>
            <w:vAlign w:val="center"/>
          </w:tcPr>
          <w:p w14:paraId="36F5E5C0">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金华同慷建设管理咨询有限公司</w:t>
            </w:r>
            <w:r>
              <w:rPr>
                <w:rFonts w:hint="eastAsia" w:ascii="仿宋" w:hAnsi="仿宋" w:eastAsia="仿宋" w:cs="仿宋"/>
                <w:color w:val="auto"/>
                <w:sz w:val="24"/>
                <w:highlight w:val="none"/>
              </w:rPr>
              <w:t xml:space="preserve"> </w:t>
            </w:r>
          </w:p>
        </w:tc>
      </w:tr>
      <w:tr w14:paraId="37767F8D">
        <w:tblPrEx>
          <w:tblCellMar>
            <w:top w:w="0" w:type="dxa"/>
            <w:left w:w="108" w:type="dxa"/>
            <w:bottom w:w="0" w:type="dxa"/>
            <w:right w:w="108" w:type="dxa"/>
          </w:tblCellMar>
        </w:tblPrEx>
        <w:trPr>
          <w:trHeight w:val="747" w:hRule="exact"/>
        </w:trPr>
        <w:tc>
          <w:tcPr>
            <w:tcW w:w="946" w:type="dxa"/>
            <w:tcBorders>
              <w:top w:val="single" w:color="auto" w:sz="4" w:space="0"/>
              <w:left w:val="single" w:color="auto" w:sz="4" w:space="0"/>
              <w:bottom w:val="single" w:color="auto" w:sz="4" w:space="0"/>
              <w:right w:val="single" w:color="auto" w:sz="4" w:space="0"/>
            </w:tcBorders>
            <w:vAlign w:val="center"/>
          </w:tcPr>
          <w:p w14:paraId="1C2971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1" w:type="dxa"/>
            <w:tcBorders>
              <w:top w:val="single" w:color="auto" w:sz="4" w:space="0"/>
              <w:left w:val="single" w:color="auto" w:sz="4" w:space="0"/>
              <w:bottom w:val="single" w:color="auto" w:sz="4" w:space="0"/>
              <w:right w:val="single" w:color="auto" w:sz="4" w:space="0"/>
            </w:tcBorders>
            <w:vAlign w:val="center"/>
          </w:tcPr>
          <w:p w14:paraId="10BF4B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681" w:type="dxa"/>
            <w:tcBorders>
              <w:top w:val="single" w:color="auto" w:sz="4" w:space="0"/>
              <w:left w:val="single" w:color="auto" w:sz="4" w:space="0"/>
              <w:bottom w:val="single" w:color="auto" w:sz="4" w:space="0"/>
              <w:right w:val="single" w:color="auto" w:sz="4" w:space="0"/>
            </w:tcBorders>
            <w:vAlign w:val="center"/>
          </w:tcPr>
          <w:p w14:paraId="31D3C4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武义县新宅镇大莱饰面用花岗岩矿普查暨重点区勘探项目</w:t>
            </w:r>
          </w:p>
        </w:tc>
      </w:tr>
      <w:tr w14:paraId="7871E1C4">
        <w:tblPrEx>
          <w:tblCellMar>
            <w:top w:w="0" w:type="dxa"/>
            <w:left w:w="108" w:type="dxa"/>
            <w:bottom w:w="0" w:type="dxa"/>
            <w:right w:w="108" w:type="dxa"/>
          </w:tblCellMar>
        </w:tblPrEx>
        <w:trPr>
          <w:trHeight w:val="567" w:hRule="exact"/>
        </w:trPr>
        <w:tc>
          <w:tcPr>
            <w:tcW w:w="946" w:type="dxa"/>
            <w:tcBorders>
              <w:top w:val="single" w:color="auto" w:sz="4" w:space="0"/>
              <w:left w:val="single" w:color="auto" w:sz="4" w:space="0"/>
              <w:bottom w:val="single" w:color="auto" w:sz="4" w:space="0"/>
              <w:right w:val="single" w:color="auto" w:sz="4" w:space="0"/>
            </w:tcBorders>
            <w:vAlign w:val="center"/>
          </w:tcPr>
          <w:p w14:paraId="4FEF30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1" w:type="dxa"/>
            <w:tcBorders>
              <w:top w:val="single" w:color="auto" w:sz="4" w:space="0"/>
              <w:left w:val="single" w:color="auto" w:sz="4" w:space="0"/>
              <w:bottom w:val="single" w:color="auto" w:sz="4" w:space="0"/>
              <w:right w:val="single" w:color="auto" w:sz="4" w:space="0"/>
            </w:tcBorders>
            <w:vAlign w:val="center"/>
          </w:tcPr>
          <w:p w14:paraId="13DDCF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项目地点</w:t>
            </w:r>
          </w:p>
        </w:tc>
        <w:tc>
          <w:tcPr>
            <w:tcW w:w="6681" w:type="dxa"/>
            <w:tcBorders>
              <w:top w:val="single" w:color="auto" w:sz="4" w:space="0"/>
              <w:left w:val="single" w:color="auto" w:sz="4" w:space="0"/>
              <w:bottom w:val="single" w:color="auto" w:sz="4" w:space="0"/>
              <w:right w:val="single" w:color="auto" w:sz="4" w:space="0"/>
            </w:tcBorders>
            <w:vAlign w:val="center"/>
          </w:tcPr>
          <w:p w14:paraId="25ABCBB6">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采购人指定地点</w:t>
            </w:r>
          </w:p>
        </w:tc>
      </w:tr>
      <w:tr w14:paraId="784EA50F">
        <w:tblPrEx>
          <w:tblCellMar>
            <w:top w:w="0" w:type="dxa"/>
            <w:left w:w="108" w:type="dxa"/>
            <w:bottom w:w="0" w:type="dxa"/>
            <w:right w:w="108" w:type="dxa"/>
          </w:tblCellMar>
        </w:tblPrEx>
        <w:trPr>
          <w:trHeight w:val="567" w:hRule="exact"/>
        </w:trPr>
        <w:tc>
          <w:tcPr>
            <w:tcW w:w="946" w:type="dxa"/>
            <w:tcBorders>
              <w:top w:val="single" w:color="auto" w:sz="4" w:space="0"/>
              <w:left w:val="single" w:color="auto" w:sz="4" w:space="0"/>
              <w:bottom w:val="single" w:color="auto" w:sz="4" w:space="0"/>
              <w:right w:val="single" w:color="auto" w:sz="4" w:space="0"/>
            </w:tcBorders>
            <w:vAlign w:val="center"/>
          </w:tcPr>
          <w:p w14:paraId="584879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91" w:type="dxa"/>
            <w:tcBorders>
              <w:top w:val="single" w:color="auto" w:sz="4" w:space="0"/>
              <w:left w:val="single" w:color="auto" w:sz="4" w:space="0"/>
              <w:bottom w:val="single" w:color="auto" w:sz="4" w:space="0"/>
              <w:right w:val="single" w:color="auto" w:sz="4" w:space="0"/>
            </w:tcBorders>
            <w:vAlign w:val="center"/>
          </w:tcPr>
          <w:p w14:paraId="2CCA87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项目属性</w:t>
            </w:r>
          </w:p>
        </w:tc>
        <w:tc>
          <w:tcPr>
            <w:tcW w:w="6681" w:type="dxa"/>
            <w:tcBorders>
              <w:top w:val="single" w:color="auto" w:sz="4" w:space="0"/>
              <w:left w:val="single" w:color="auto" w:sz="4" w:space="0"/>
              <w:bottom w:val="single" w:color="auto" w:sz="4" w:space="0"/>
              <w:right w:val="single" w:color="auto" w:sz="4" w:space="0"/>
            </w:tcBorders>
            <w:vAlign w:val="center"/>
          </w:tcPr>
          <w:p w14:paraId="74FA624F">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服务类</w:t>
            </w:r>
          </w:p>
        </w:tc>
      </w:tr>
      <w:tr w14:paraId="77178917">
        <w:tblPrEx>
          <w:tblCellMar>
            <w:top w:w="0" w:type="dxa"/>
            <w:left w:w="108" w:type="dxa"/>
            <w:bottom w:w="0" w:type="dxa"/>
            <w:right w:w="108" w:type="dxa"/>
          </w:tblCellMar>
        </w:tblPrEx>
        <w:trPr>
          <w:trHeight w:val="567" w:hRule="exact"/>
        </w:trPr>
        <w:tc>
          <w:tcPr>
            <w:tcW w:w="946" w:type="dxa"/>
            <w:tcBorders>
              <w:top w:val="single" w:color="auto" w:sz="4" w:space="0"/>
              <w:left w:val="single" w:color="auto" w:sz="4" w:space="0"/>
              <w:bottom w:val="single" w:color="auto" w:sz="4" w:space="0"/>
              <w:right w:val="single" w:color="auto" w:sz="4" w:space="0"/>
            </w:tcBorders>
            <w:vAlign w:val="center"/>
          </w:tcPr>
          <w:p w14:paraId="1EC06E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91" w:type="dxa"/>
            <w:tcBorders>
              <w:top w:val="single" w:color="auto" w:sz="4" w:space="0"/>
              <w:left w:val="single" w:color="auto" w:sz="4" w:space="0"/>
              <w:bottom w:val="single" w:color="auto" w:sz="4" w:space="0"/>
              <w:right w:val="single" w:color="auto" w:sz="4" w:space="0"/>
            </w:tcBorders>
            <w:vAlign w:val="center"/>
          </w:tcPr>
          <w:p w14:paraId="0DE493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招标范围</w:t>
            </w:r>
          </w:p>
        </w:tc>
        <w:tc>
          <w:tcPr>
            <w:tcW w:w="6681" w:type="dxa"/>
            <w:tcBorders>
              <w:top w:val="single" w:color="auto" w:sz="4" w:space="0"/>
              <w:left w:val="single" w:color="auto" w:sz="4" w:space="0"/>
              <w:bottom w:val="single" w:color="auto" w:sz="4" w:space="0"/>
              <w:right w:val="single" w:color="auto" w:sz="4" w:space="0"/>
            </w:tcBorders>
            <w:vAlign w:val="center"/>
          </w:tcPr>
          <w:p w14:paraId="5756565D">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详见“第三章”招标采购需求。</w:t>
            </w:r>
          </w:p>
        </w:tc>
      </w:tr>
      <w:tr w14:paraId="6A035766">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488756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91" w:type="dxa"/>
            <w:tcBorders>
              <w:top w:val="single" w:color="auto" w:sz="4" w:space="0"/>
              <w:left w:val="single" w:color="auto" w:sz="4" w:space="0"/>
              <w:bottom w:val="single" w:color="auto" w:sz="4" w:space="0"/>
              <w:right w:val="single" w:color="auto" w:sz="4" w:space="0"/>
            </w:tcBorders>
            <w:vAlign w:val="center"/>
          </w:tcPr>
          <w:p w14:paraId="1A9F18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w w:val="90"/>
                <w:sz w:val="24"/>
                <w:highlight w:val="none"/>
              </w:rPr>
            </w:pPr>
            <w:r>
              <w:rPr>
                <w:rFonts w:hint="eastAsia" w:ascii="仿宋" w:hAnsi="仿宋" w:eastAsia="仿宋" w:cs="仿宋"/>
                <w:color w:val="auto"/>
                <w:sz w:val="24"/>
                <w:highlight w:val="none"/>
              </w:rPr>
              <w:t>采购资金来源和付款单位</w:t>
            </w:r>
          </w:p>
        </w:tc>
        <w:tc>
          <w:tcPr>
            <w:tcW w:w="6681" w:type="dxa"/>
            <w:tcBorders>
              <w:top w:val="single" w:color="auto" w:sz="4" w:space="0"/>
              <w:left w:val="single" w:color="auto" w:sz="4" w:space="0"/>
              <w:bottom w:val="single" w:color="auto" w:sz="4" w:space="0"/>
              <w:right w:val="single" w:color="auto" w:sz="4" w:space="0"/>
            </w:tcBorders>
            <w:vAlign w:val="center"/>
          </w:tcPr>
          <w:p w14:paraId="04231205">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业主自筹资金、采购人自行支付</w:t>
            </w:r>
          </w:p>
        </w:tc>
      </w:tr>
      <w:tr w14:paraId="5B39997F">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576D80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91" w:type="dxa"/>
            <w:tcBorders>
              <w:top w:val="single" w:color="auto" w:sz="4" w:space="0"/>
              <w:left w:val="single" w:color="auto" w:sz="4" w:space="0"/>
              <w:bottom w:val="single" w:color="auto" w:sz="4" w:space="0"/>
              <w:right w:val="single" w:color="auto" w:sz="4" w:space="0"/>
            </w:tcBorders>
            <w:vAlign w:val="center"/>
          </w:tcPr>
          <w:p w14:paraId="5A7C30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bCs/>
                <w:color w:val="0000FF"/>
                <w:sz w:val="24"/>
                <w:highlight w:val="none"/>
              </w:rPr>
            </w:pPr>
            <w:r>
              <w:rPr>
                <w:rFonts w:hint="eastAsia" w:ascii="仿宋" w:hAnsi="仿宋" w:eastAsia="仿宋" w:cs="仿宋"/>
                <w:b/>
                <w:bCs/>
                <w:color w:val="0000FF"/>
                <w:sz w:val="24"/>
                <w:highlight w:val="none"/>
              </w:rPr>
              <w:t>是否接受联合体</w:t>
            </w:r>
          </w:p>
          <w:p w14:paraId="3495C6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bCs/>
                <w:color w:val="0000FF"/>
                <w:sz w:val="24"/>
                <w:highlight w:val="none"/>
              </w:rPr>
            </w:pPr>
            <w:r>
              <w:rPr>
                <w:rFonts w:hint="eastAsia" w:ascii="仿宋" w:hAnsi="仿宋" w:eastAsia="仿宋" w:cs="仿宋"/>
                <w:b/>
                <w:bCs/>
                <w:color w:val="0000FF"/>
                <w:sz w:val="24"/>
                <w:highlight w:val="none"/>
              </w:rPr>
              <w:t>投标</w:t>
            </w:r>
          </w:p>
        </w:tc>
        <w:tc>
          <w:tcPr>
            <w:tcW w:w="6681" w:type="dxa"/>
            <w:tcBorders>
              <w:top w:val="single" w:color="auto" w:sz="4" w:space="0"/>
              <w:left w:val="single" w:color="auto" w:sz="4" w:space="0"/>
              <w:bottom w:val="single" w:color="auto" w:sz="4" w:space="0"/>
              <w:right w:val="single" w:color="auto" w:sz="4" w:space="0"/>
            </w:tcBorders>
            <w:vAlign w:val="center"/>
          </w:tcPr>
          <w:p w14:paraId="375F4577">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b/>
                <w:bCs/>
                <w:color w:val="0000FF"/>
                <w:kern w:val="0"/>
                <w:sz w:val="24"/>
                <w:highlight w:val="none"/>
              </w:rPr>
            </w:pPr>
            <w:r>
              <w:rPr>
                <w:rFonts w:hint="eastAsia" w:ascii="仿宋" w:hAnsi="仿宋" w:eastAsia="仿宋" w:cs="仿宋"/>
                <w:b/>
                <w:bCs/>
                <w:color w:val="0000FF"/>
                <w:spacing w:val="-4"/>
                <w:sz w:val="24"/>
                <w:highlight w:val="none"/>
              </w:rPr>
              <w:t>本项目接受联合体投标。</w:t>
            </w:r>
          </w:p>
        </w:tc>
      </w:tr>
      <w:tr w14:paraId="54671D61">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51DB0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91" w:type="dxa"/>
            <w:tcBorders>
              <w:top w:val="single" w:color="auto" w:sz="4" w:space="0"/>
              <w:left w:val="single" w:color="auto" w:sz="4" w:space="0"/>
              <w:bottom w:val="single" w:color="auto" w:sz="4" w:space="0"/>
              <w:right w:val="single" w:color="auto" w:sz="4" w:space="0"/>
            </w:tcBorders>
            <w:vAlign w:val="center"/>
          </w:tcPr>
          <w:p w14:paraId="58610C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踏勘现场和标前答疑会</w:t>
            </w:r>
          </w:p>
        </w:tc>
        <w:tc>
          <w:tcPr>
            <w:tcW w:w="6681" w:type="dxa"/>
            <w:tcBorders>
              <w:top w:val="single" w:color="auto" w:sz="4" w:space="0"/>
              <w:left w:val="single" w:color="auto" w:sz="4" w:space="0"/>
              <w:bottom w:val="single" w:color="auto" w:sz="4" w:space="0"/>
              <w:right w:val="single" w:color="auto" w:sz="4" w:space="0"/>
            </w:tcBorders>
            <w:vAlign w:val="center"/>
          </w:tcPr>
          <w:p w14:paraId="7DFAC8FF">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采购人不组织答疑会和现场踏勘。</w:t>
            </w:r>
          </w:p>
        </w:tc>
      </w:tr>
      <w:tr w14:paraId="0CB11A60">
        <w:tblPrEx>
          <w:tblCellMar>
            <w:top w:w="0" w:type="dxa"/>
            <w:left w:w="108" w:type="dxa"/>
            <w:bottom w:w="0" w:type="dxa"/>
            <w:right w:w="108" w:type="dxa"/>
          </w:tblCellMar>
        </w:tblPrEx>
        <w:trPr>
          <w:trHeight w:val="410" w:hRule="atLeast"/>
        </w:trPr>
        <w:tc>
          <w:tcPr>
            <w:tcW w:w="946" w:type="dxa"/>
            <w:tcBorders>
              <w:top w:val="single" w:color="auto" w:sz="4" w:space="0"/>
              <w:left w:val="single" w:color="auto" w:sz="4" w:space="0"/>
              <w:bottom w:val="single" w:color="auto" w:sz="4" w:space="0"/>
              <w:right w:val="single" w:color="auto" w:sz="4" w:space="0"/>
            </w:tcBorders>
            <w:vAlign w:val="center"/>
          </w:tcPr>
          <w:p w14:paraId="106E79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91" w:type="dxa"/>
            <w:tcBorders>
              <w:top w:val="single" w:color="auto" w:sz="4" w:space="0"/>
              <w:left w:val="single" w:color="auto" w:sz="4" w:space="0"/>
              <w:bottom w:val="single" w:color="auto" w:sz="4" w:space="0"/>
              <w:right w:val="single" w:color="auto" w:sz="4" w:space="0"/>
            </w:tcBorders>
            <w:vAlign w:val="center"/>
          </w:tcPr>
          <w:p w14:paraId="1F2F4B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转包与分包</w:t>
            </w:r>
          </w:p>
        </w:tc>
        <w:tc>
          <w:tcPr>
            <w:tcW w:w="6681" w:type="dxa"/>
            <w:tcBorders>
              <w:top w:val="single" w:color="auto" w:sz="4" w:space="0"/>
              <w:left w:val="single" w:color="auto" w:sz="4" w:space="0"/>
              <w:bottom w:val="single" w:color="auto" w:sz="4" w:space="0"/>
              <w:right w:val="single" w:color="auto" w:sz="4" w:space="0"/>
            </w:tcBorders>
            <w:vAlign w:val="center"/>
          </w:tcPr>
          <w:p w14:paraId="5D8724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本项目不允许转包。 </w:t>
            </w:r>
          </w:p>
          <w:p w14:paraId="6D2A5582">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本项目不允许分包。</w:t>
            </w:r>
          </w:p>
        </w:tc>
      </w:tr>
      <w:tr w14:paraId="21F6C1EC">
        <w:tblPrEx>
          <w:tblCellMar>
            <w:top w:w="0" w:type="dxa"/>
            <w:left w:w="108" w:type="dxa"/>
            <w:bottom w:w="0" w:type="dxa"/>
            <w:right w:w="108" w:type="dxa"/>
          </w:tblCellMar>
        </w:tblPrEx>
        <w:trPr>
          <w:trHeight w:val="814" w:hRule="atLeast"/>
        </w:trPr>
        <w:tc>
          <w:tcPr>
            <w:tcW w:w="946" w:type="dxa"/>
            <w:tcBorders>
              <w:top w:val="single" w:color="auto" w:sz="4" w:space="0"/>
              <w:left w:val="single" w:color="auto" w:sz="4" w:space="0"/>
              <w:bottom w:val="single" w:color="auto" w:sz="4" w:space="0"/>
              <w:right w:val="single" w:color="auto" w:sz="4" w:space="0"/>
            </w:tcBorders>
            <w:vAlign w:val="center"/>
          </w:tcPr>
          <w:p w14:paraId="0B7C77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91" w:type="dxa"/>
            <w:tcBorders>
              <w:top w:val="single" w:color="auto" w:sz="4" w:space="0"/>
              <w:left w:val="single" w:color="auto" w:sz="4" w:space="0"/>
              <w:bottom w:val="single" w:color="auto" w:sz="4" w:space="0"/>
              <w:right w:val="single" w:color="auto" w:sz="4" w:space="0"/>
            </w:tcBorders>
            <w:vAlign w:val="center"/>
          </w:tcPr>
          <w:p w14:paraId="515FB5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构成招标采购文件的其他资料</w:t>
            </w:r>
          </w:p>
        </w:tc>
        <w:tc>
          <w:tcPr>
            <w:tcW w:w="6681" w:type="dxa"/>
            <w:tcBorders>
              <w:top w:val="single" w:color="auto" w:sz="4" w:space="0"/>
              <w:left w:val="single" w:color="auto" w:sz="4" w:space="0"/>
              <w:bottom w:val="single" w:color="auto" w:sz="4" w:space="0"/>
              <w:right w:val="single" w:color="auto" w:sz="4" w:space="0"/>
            </w:tcBorders>
            <w:vAlign w:val="center"/>
          </w:tcPr>
          <w:p w14:paraId="7BEC5174">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编号的招标采购文件更正、澄清公告（如有）。</w:t>
            </w:r>
          </w:p>
        </w:tc>
      </w:tr>
      <w:tr w14:paraId="70CF50DA">
        <w:tblPrEx>
          <w:tblCellMar>
            <w:top w:w="0" w:type="dxa"/>
            <w:left w:w="108" w:type="dxa"/>
            <w:bottom w:w="0" w:type="dxa"/>
            <w:right w:w="108" w:type="dxa"/>
          </w:tblCellMar>
        </w:tblPrEx>
        <w:trPr>
          <w:trHeight w:val="778" w:hRule="atLeast"/>
        </w:trPr>
        <w:tc>
          <w:tcPr>
            <w:tcW w:w="946" w:type="dxa"/>
            <w:vMerge w:val="restart"/>
            <w:tcBorders>
              <w:top w:val="single" w:color="auto" w:sz="4" w:space="0"/>
              <w:left w:val="single" w:color="auto" w:sz="4" w:space="0"/>
              <w:right w:val="single" w:color="auto" w:sz="4" w:space="0"/>
            </w:tcBorders>
            <w:vAlign w:val="center"/>
          </w:tcPr>
          <w:p w14:paraId="5BD4BD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91" w:type="dxa"/>
            <w:vMerge w:val="restart"/>
            <w:tcBorders>
              <w:top w:val="single" w:color="auto" w:sz="4" w:space="0"/>
              <w:left w:val="single" w:color="auto" w:sz="4" w:space="0"/>
              <w:bottom w:val="single" w:color="auto" w:sz="4" w:space="0"/>
              <w:right w:val="single" w:color="auto" w:sz="4" w:space="0"/>
            </w:tcBorders>
            <w:vAlign w:val="center"/>
          </w:tcPr>
          <w:p w14:paraId="2F2CC3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投标人要求澄清、质疑招标采购文件</w:t>
            </w:r>
          </w:p>
        </w:tc>
        <w:tc>
          <w:tcPr>
            <w:tcW w:w="6681" w:type="dxa"/>
            <w:tcBorders>
              <w:top w:val="single" w:color="auto" w:sz="4" w:space="0"/>
              <w:left w:val="single" w:color="auto" w:sz="4" w:space="0"/>
              <w:bottom w:val="single" w:color="auto" w:sz="4" w:space="0"/>
              <w:right w:val="single" w:color="auto" w:sz="4" w:space="0"/>
            </w:tcBorders>
            <w:vAlign w:val="center"/>
          </w:tcPr>
          <w:p w14:paraId="01AB09BE">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时间：自招标公告发布之日起7日内，以书面形式向采购人和采购代理机构提出质疑。</w:t>
            </w:r>
          </w:p>
        </w:tc>
      </w:tr>
      <w:tr w14:paraId="11D5509F">
        <w:tblPrEx>
          <w:tblCellMar>
            <w:top w:w="0" w:type="dxa"/>
            <w:left w:w="108" w:type="dxa"/>
            <w:bottom w:w="0" w:type="dxa"/>
            <w:right w:w="108" w:type="dxa"/>
          </w:tblCellMar>
        </w:tblPrEx>
        <w:trPr>
          <w:trHeight w:val="2009" w:hRule="atLeast"/>
        </w:trPr>
        <w:tc>
          <w:tcPr>
            <w:tcW w:w="946" w:type="dxa"/>
            <w:vMerge w:val="continue"/>
            <w:tcBorders>
              <w:top w:val="single" w:color="auto" w:sz="4" w:space="0"/>
              <w:left w:val="single" w:color="auto" w:sz="4" w:space="0"/>
              <w:bottom w:val="single" w:color="auto" w:sz="4" w:space="0"/>
              <w:right w:val="single" w:color="auto" w:sz="4" w:space="0"/>
            </w:tcBorders>
            <w:vAlign w:val="center"/>
          </w:tcPr>
          <w:p w14:paraId="63613E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929B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p>
        </w:tc>
        <w:tc>
          <w:tcPr>
            <w:tcW w:w="6681" w:type="dxa"/>
            <w:tcBorders>
              <w:top w:val="single" w:color="auto" w:sz="4" w:space="0"/>
              <w:left w:val="single" w:color="auto" w:sz="4" w:space="0"/>
              <w:bottom w:val="single" w:color="auto" w:sz="4" w:space="0"/>
              <w:right w:val="single" w:color="auto" w:sz="4" w:space="0"/>
            </w:tcBorders>
            <w:vAlign w:val="center"/>
          </w:tcPr>
          <w:p w14:paraId="57557A5A">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应仔细阅读和检查招标采购文件的全部内容。如发现缺页或附件不全，应及时向采购人或采购代理机构提出，以便补齐。如有疑问，应在规定的时间前以书面形式提出澄清申请，要求采购人对招标采购文件予以澄清，将要求澄清的书面文件（需盖投标人公章）扫描成图片格式后发至采购代理机构电子信箱（</w:t>
            </w:r>
            <w:r>
              <w:rPr>
                <w:rFonts w:hint="eastAsia" w:ascii="仿宋" w:hAnsi="仿宋" w:eastAsia="仿宋" w:cs="仿宋"/>
                <w:color w:val="auto"/>
                <w:sz w:val="24"/>
                <w:highlight w:val="none"/>
                <w:lang w:val="en-US" w:eastAsia="zh-CN"/>
              </w:rPr>
              <w:t>453408268</w:t>
            </w:r>
            <w:r>
              <w:rPr>
                <w:rFonts w:hint="eastAsia" w:ascii="仿宋" w:hAnsi="仿宋" w:eastAsia="仿宋" w:cs="仿宋"/>
                <w:color w:val="auto"/>
                <w:sz w:val="24"/>
                <w:highlight w:val="none"/>
              </w:rPr>
              <w:t>@qq.com），并电话告知采购人或采购代理机构。</w:t>
            </w:r>
          </w:p>
        </w:tc>
      </w:tr>
      <w:tr w14:paraId="3283ED57">
        <w:tblPrEx>
          <w:tblCellMar>
            <w:top w:w="0" w:type="dxa"/>
            <w:left w:w="108" w:type="dxa"/>
            <w:bottom w:w="0" w:type="dxa"/>
            <w:right w:w="108" w:type="dxa"/>
          </w:tblCellMar>
        </w:tblPrEx>
        <w:trPr>
          <w:trHeight w:val="1642" w:hRule="atLeast"/>
        </w:trPr>
        <w:tc>
          <w:tcPr>
            <w:tcW w:w="946" w:type="dxa"/>
            <w:tcBorders>
              <w:top w:val="single" w:color="auto" w:sz="4" w:space="0"/>
              <w:left w:val="single" w:color="auto" w:sz="4" w:space="0"/>
              <w:bottom w:val="single" w:color="auto" w:sz="4" w:space="0"/>
              <w:right w:val="single" w:color="auto" w:sz="4" w:space="0"/>
            </w:tcBorders>
            <w:vAlign w:val="center"/>
          </w:tcPr>
          <w:p w14:paraId="0468F3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91" w:type="dxa"/>
            <w:tcBorders>
              <w:top w:val="single" w:color="auto" w:sz="4" w:space="0"/>
              <w:left w:val="single" w:color="auto" w:sz="4" w:space="0"/>
              <w:bottom w:val="single" w:color="auto" w:sz="4" w:space="0"/>
              <w:right w:val="single" w:color="auto" w:sz="4" w:space="0"/>
            </w:tcBorders>
            <w:vAlign w:val="center"/>
          </w:tcPr>
          <w:p w14:paraId="3156C0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招标采购文件更正、澄清或修改发出的形式</w:t>
            </w:r>
          </w:p>
        </w:tc>
        <w:tc>
          <w:tcPr>
            <w:tcW w:w="6681" w:type="dxa"/>
            <w:tcBorders>
              <w:top w:val="single" w:color="auto" w:sz="4" w:space="0"/>
              <w:left w:val="single" w:color="auto" w:sz="4" w:space="0"/>
              <w:bottom w:val="single" w:color="auto" w:sz="4" w:space="0"/>
              <w:right w:val="single" w:color="auto" w:sz="4" w:space="0"/>
            </w:tcBorders>
            <w:vAlign w:val="center"/>
          </w:tcPr>
          <w:p w14:paraId="3387F937">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招标采购文件的更正、澄清或修改公告将随时刊登在浙江政府采购网及武义县公共资源交易网上，请投标人时刻关注本项目公告，因未及时知悉更正、澄清或修改公告而引起投标文件无效或废标的，由投标人自行承担责任。</w:t>
            </w:r>
          </w:p>
        </w:tc>
      </w:tr>
      <w:tr w14:paraId="3703FD12">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vAlign w:val="center"/>
          </w:tcPr>
          <w:p w14:paraId="7F611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91" w:type="dxa"/>
            <w:tcBorders>
              <w:top w:val="single" w:color="auto" w:sz="4" w:space="0"/>
              <w:left w:val="single" w:color="auto" w:sz="4" w:space="0"/>
              <w:bottom w:val="single" w:color="auto" w:sz="4" w:space="0"/>
              <w:right w:val="single" w:color="auto" w:sz="4" w:space="0"/>
            </w:tcBorders>
            <w:vAlign w:val="center"/>
          </w:tcPr>
          <w:p w14:paraId="38361B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投标报价方式及其他要求</w:t>
            </w:r>
          </w:p>
        </w:tc>
        <w:tc>
          <w:tcPr>
            <w:tcW w:w="6681" w:type="dxa"/>
            <w:tcBorders>
              <w:top w:val="single" w:color="auto" w:sz="4" w:space="0"/>
              <w:left w:val="single" w:color="auto" w:sz="4" w:space="0"/>
              <w:bottom w:val="single" w:color="auto" w:sz="4" w:space="0"/>
              <w:right w:val="single" w:color="auto" w:sz="4" w:space="0"/>
            </w:tcBorders>
            <w:vAlign w:val="center"/>
          </w:tcPr>
          <w:p w14:paraId="445731EE">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yellow"/>
                <w:u w:val="single"/>
              </w:rPr>
              <w:t>本项目最高投标限价：</w:t>
            </w:r>
            <w:r>
              <w:rPr>
                <w:rFonts w:hint="eastAsia" w:ascii="仿宋" w:hAnsi="仿宋" w:eastAsia="仿宋" w:cs="仿宋"/>
                <w:b/>
                <w:bCs/>
                <w:color w:val="auto"/>
                <w:highlight w:val="yellow"/>
                <w:u w:val="single"/>
                <w:lang w:val="en-US" w:eastAsia="zh-CN"/>
              </w:rPr>
              <w:t>13800000</w:t>
            </w:r>
            <w:r>
              <w:rPr>
                <w:rFonts w:hint="eastAsia" w:ascii="仿宋" w:hAnsi="仿宋" w:eastAsia="仿宋" w:cs="仿宋"/>
                <w:b/>
                <w:bCs/>
                <w:color w:val="auto"/>
                <w:highlight w:val="yellow"/>
                <w:u w:val="single"/>
              </w:rPr>
              <w:t>元</w:t>
            </w:r>
            <w:r>
              <w:rPr>
                <w:rFonts w:hint="eastAsia" w:ascii="仿宋" w:hAnsi="仿宋" w:eastAsia="仿宋" w:cs="仿宋"/>
                <w:color w:val="auto"/>
                <w:highlight w:val="none"/>
              </w:rPr>
              <w:t>，投标人报价高于最高限价的报价无效。投标人须以本项目的最高限价为基础，进行合理报价（投标报价四舍五入精确到元，不保留小数点）。</w:t>
            </w:r>
          </w:p>
          <w:p w14:paraId="5C0E5567">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2. 投标总报价系指招标文件所确定招标范围内履行本项目</w:t>
            </w:r>
            <w:r>
              <w:rPr>
                <w:rFonts w:hint="eastAsia" w:ascii="仿宋" w:hAnsi="仿宋" w:eastAsia="仿宋" w:cs="仿宋"/>
                <w:color w:val="auto"/>
                <w:highlight w:val="none"/>
                <w:lang w:eastAsia="zh-CN"/>
              </w:rPr>
              <w:t>合同</w:t>
            </w:r>
            <w:r>
              <w:rPr>
                <w:rFonts w:hint="eastAsia" w:ascii="仿宋" w:hAnsi="仿宋" w:eastAsia="仿宋" w:cs="仿宋"/>
                <w:color w:val="auto"/>
                <w:highlight w:val="none"/>
              </w:rPr>
              <w:t>服务所需的等一切费用。投标人须充分考虑实际服务内容和需求，针对自身实际情况，核算所需的成本及合理的利润，自行报价。结算时须开具正式发票。</w:t>
            </w:r>
          </w:p>
          <w:p w14:paraId="0A01EAA5">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ascii="仿宋" w:hAnsi="仿宋" w:eastAsia="仿宋" w:cs="仿宋"/>
                <w:color w:val="auto"/>
                <w:highlight w:val="none"/>
              </w:rPr>
            </w:pPr>
            <w:r>
              <w:rPr>
                <w:rFonts w:hint="eastAsia" w:ascii="仿宋" w:hAnsi="仿宋" w:eastAsia="仿宋" w:cs="仿宋"/>
                <w:color w:val="auto"/>
                <w:highlight w:val="none"/>
              </w:rPr>
              <w:t>3.投标人以采购人提供的最高投标限价为基础，自行确定合理低价进行报价。投标文件只允许有一个报价，有选择的或有条件的报价将不予接受。</w:t>
            </w:r>
          </w:p>
        </w:tc>
      </w:tr>
      <w:tr w14:paraId="7C8BAAFA">
        <w:tblPrEx>
          <w:tblCellMar>
            <w:top w:w="0" w:type="dxa"/>
            <w:left w:w="108" w:type="dxa"/>
            <w:bottom w:w="0" w:type="dxa"/>
            <w:right w:w="108" w:type="dxa"/>
          </w:tblCellMar>
        </w:tblPrEx>
        <w:trPr>
          <w:trHeight w:val="521" w:hRule="atLeast"/>
        </w:trPr>
        <w:tc>
          <w:tcPr>
            <w:tcW w:w="946" w:type="dxa"/>
            <w:tcBorders>
              <w:top w:val="single" w:color="auto" w:sz="4" w:space="0"/>
              <w:left w:val="single" w:color="auto" w:sz="4" w:space="0"/>
              <w:bottom w:val="single" w:color="auto" w:sz="4" w:space="0"/>
              <w:right w:val="single" w:color="auto" w:sz="4" w:space="0"/>
            </w:tcBorders>
            <w:vAlign w:val="center"/>
          </w:tcPr>
          <w:p w14:paraId="757B66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91" w:type="dxa"/>
            <w:tcBorders>
              <w:top w:val="single" w:color="auto" w:sz="4" w:space="0"/>
              <w:left w:val="single" w:color="auto" w:sz="4" w:space="0"/>
              <w:bottom w:val="single" w:color="auto" w:sz="4" w:space="0"/>
              <w:right w:val="single" w:color="auto" w:sz="4" w:space="0"/>
            </w:tcBorders>
            <w:vAlign w:val="center"/>
          </w:tcPr>
          <w:p w14:paraId="0CCB43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投标文件有效期</w:t>
            </w:r>
          </w:p>
        </w:tc>
        <w:tc>
          <w:tcPr>
            <w:tcW w:w="6681" w:type="dxa"/>
            <w:tcBorders>
              <w:top w:val="single" w:color="auto" w:sz="4" w:space="0"/>
              <w:left w:val="single" w:color="auto" w:sz="4" w:space="0"/>
              <w:bottom w:val="single" w:color="auto" w:sz="4" w:space="0"/>
              <w:right w:val="single" w:color="auto" w:sz="4" w:space="0"/>
            </w:tcBorders>
            <w:vAlign w:val="center"/>
          </w:tcPr>
          <w:p w14:paraId="7F088A8F">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textAlignment w:val="auto"/>
              <w:rPr>
                <w:rFonts w:ascii="仿宋" w:hAnsi="仿宋" w:eastAsia="仿宋" w:cs="仿宋"/>
                <w:color w:val="auto"/>
                <w:spacing w:val="-10"/>
                <w:szCs w:val="24"/>
                <w:highlight w:val="none"/>
              </w:rPr>
            </w:pPr>
            <w:r>
              <w:rPr>
                <w:rFonts w:hint="eastAsia" w:ascii="仿宋" w:hAnsi="仿宋" w:eastAsia="仿宋" w:cs="仿宋"/>
                <w:color w:val="auto"/>
                <w:spacing w:val="-10"/>
                <w:szCs w:val="24"/>
                <w:highlight w:val="none"/>
              </w:rPr>
              <w:t>投标文件自投标截止时间起生效，有效期为90天。</w:t>
            </w:r>
          </w:p>
        </w:tc>
      </w:tr>
      <w:tr w14:paraId="1ABB9A1D">
        <w:tblPrEx>
          <w:tblCellMar>
            <w:top w:w="0" w:type="dxa"/>
            <w:left w:w="108" w:type="dxa"/>
            <w:bottom w:w="0" w:type="dxa"/>
            <w:right w:w="108" w:type="dxa"/>
          </w:tblCellMar>
        </w:tblPrEx>
        <w:trPr>
          <w:trHeight w:val="413" w:hRule="atLeast"/>
        </w:trPr>
        <w:tc>
          <w:tcPr>
            <w:tcW w:w="946" w:type="dxa"/>
            <w:tcBorders>
              <w:top w:val="single" w:color="auto" w:sz="4" w:space="0"/>
              <w:left w:val="single" w:color="auto" w:sz="4" w:space="0"/>
              <w:bottom w:val="single" w:color="auto" w:sz="4" w:space="0"/>
              <w:right w:val="single" w:color="auto" w:sz="4" w:space="0"/>
            </w:tcBorders>
            <w:vAlign w:val="center"/>
          </w:tcPr>
          <w:p w14:paraId="2B59E0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91" w:type="dxa"/>
            <w:tcBorders>
              <w:top w:val="single" w:color="auto" w:sz="4" w:space="0"/>
              <w:left w:val="single" w:color="auto" w:sz="4" w:space="0"/>
              <w:bottom w:val="single" w:color="auto" w:sz="4" w:space="0"/>
              <w:right w:val="single" w:color="auto" w:sz="4" w:space="0"/>
            </w:tcBorders>
            <w:vAlign w:val="center"/>
          </w:tcPr>
          <w:p w14:paraId="07F249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6681" w:type="dxa"/>
            <w:tcBorders>
              <w:top w:val="single" w:color="auto" w:sz="4" w:space="0"/>
              <w:left w:val="single" w:color="auto" w:sz="4" w:space="0"/>
              <w:bottom w:val="single" w:color="auto" w:sz="4" w:space="0"/>
              <w:right w:val="single" w:color="auto" w:sz="4" w:space="0"/>
            </w:tcBorders>
            <w:vAlign w:val="center"/>
          </w:tcPr>
          <w:p w14:paraId="5658FA0A">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jc w:val="left"/>
              <w:textAlignment w:val="auto"/>
              <w:rPr>
                <w:rFonts w:ascii="仿宋" w:hAnsi="仿宋" w:eastAsia="仿宋" w:cs="仿宋"/>
                <w:color w:val="auto"/>
                <w:highlight w:val="none"/>
              </w:rPr>
            </w:pPr>
            <w:r>
              <w:rPr>
                <w:rFonts w:hint="eastAsia" w:ascii="仿宋" w:hAnsi="仿宋" w:eastAsia="仿宋" w:cs="仿宋"/>
                <w:color w:val="auto"/>
                <w:highlight w:val="none"/>
              </w:rPr>
              <w:t>本项目不适用</w:t>
            </w:r>
          </w:p>
        </w:tc>
      </w:tr>
      <w:tr w14:paraId="3FEC9681">
        <w:tblPrEx>
          <w:tblCellMar>
            <w:top w:w="0" w:type="dxa"/>
            <w:left w:w="108" w:type="dxa"/>
            <w:bottom w:w="0" w:type="dxa"/>
            <w:right w:w="108" w:type="dxa"/>
          </w:tblCellMar>
        </w:tblPrEx>
        <w:trPr>
          <w:trHeight w:val="413" w:hRule="atLeast"/>
        </w:trPr>
        <w:tc>
          <w:tcPr>
            <w:tcW w:w="946" w:type="dxa"/>
            <w:tcBorders>
              <w:top w:val="single" w:color="auto" w:sz="4" w:space="0"/>
              <w:left w:val="single" w:color="auto" w:sz="4" w:space="0"/>
              <w:bottom w:val="single" w:color="auto" w:sz="4" w:space="0"/>
              <w:right w:val="single" w:color="auto" w:sz="4" w:space="0"/>
            </w:tcBorders>
            <w:vAlign w:val="center"/>
          </w:tcPr>
          <w:p w14:paraId="685A1B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991" w:type="dxa"/>
            <w:tcBorders>
              <w:top w:val="single" w:color="auto" w:sz="4" w:space="0"/>
              <w:left w:val="single" w:color="auto" w:sz="4" w:space="0"/>
              <w:bottom w:val="single" w:color="auto" w:sz="4" w:space="0"/>
              <w:right w:val="single" w:color="auto" w:sz="4" w:space="0"/>
            </w:tcBorders>
            <w:vAlign w:val="center"/>
          </w:tcPr>
          <w:p w14:paraId="351707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投标保证金的退还</w:t>
            </w:r>
          </w:p>
        </w:tc>
        <w:tc>
          <w:tcPr>
            <w:tcW w:w="6681" w:type="dxa"/>
            <w:tcBorders>
              <w:top w:val="single" w:color="auto" w:sz="4" w:space="0"/>
              <w:left w:val="single" w:color="auto" w:sz="4" w:space="0"/>
              <w:bottom w:val="single" w:color="auto" w:sz="4" w:space="0"/>
              <w:right w:val="single" w:color="auto" w:sz="4" w:space="0"/>
            </w:tcBorders>
            <w:vAlign w:val="center"/>
          </w:tcPr>
          <w:p w14:paraId="219451A5">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textAlignment w:val="auto"/>
              <w:rPr>
                <w:rFonts w:ascii="仿宋" w:hAnsi="仿宋" w:eastAsia="仿宋" w:cs="仿宋"/>
                <w:color w:val="auto"/>
                <w:spacing w:val="-10"/>
                <w:szCs w:val="24"/>
                <w:highlight w:val="none"/>
              </w:rPr>
            </w:pPr>
            <w:r>
              <w:rPr>
                <w:rFonts w:hint="eastAsia" w:ascii="仿宋" w:hAnsi="仿宋" w:eastAsia="仿宋" w:cs="仿宋"/>
                <w:color w:val="auto"/>
                <w:highlight w:val="none"/>
              </w:rPr>
              <w:t>本项目不适用</w:t>
            </w:r>
          </w:p>
        </w:tc>
      </w:tr>
      <w:tr w14:paraId="64D17E80">
        <w:tblPrEx>
          <w:tblCellMar>
            <w:top w:w="0" w:type="dxa"/>
            <w:left w:w="108" w:type="dxa"/>
            <w:bottom w:w="0" w:type="dxa"/>
            <w:right w:w="108" w:type="dxa"/>
          </w:tblCellMar>
        </w:tblPrEx>
        <w:trPr>
          <w:trHeight w:val="413" w:hRule="atLeast"/>
        </w:trPr>
        <w:tc>
          <w:tcPr>
            <w:tcW w:w="946" w:type="dxa"/>
            <w:tcBorders>
              <w:top w:val="single" w:color="auto" w:sz="4" w:space="0"/>
              <w:left w:val="single" w:color="auto" w:sz="4" w:space="0"/>
              <w:bottom w:val="single" w:color="auto" w:sz="4" w:space="0"/>
              <w:right w:val="single" w:color="auto" w:sz="4" w:space="0"/>
            </w:tcBorders>
            <w:vAlign w:val="center"/>
          </w:tcPr>
          <w:p w14:paraId="1A1927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991" w:type="dxa"/>
            <w:tcBorders>
              <w:top w:val="single" w:color="auto" w:sz="4" w:space="0"/>
              <w:left w:val="single" w:color="auto" w:sz="4" w:space="0"/>
              <w:bottom w:val="single" w:color="auto" w:sz="4" w:space="0"/>
              <w:right w:val="single" w:color="auto" w:sz="4" w:space="0"/>
            </w:tcBorders>
            <w:vAlign w:val="center"/>
          </w:tcPr>
          <w:p w14:paraId="08D7CC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投标文件的组成</w:t>
            </w:r>
          </w:p>
        </w:tc>
        <w:tc>
          <w:tcPr>
            <w:tcW w:w="6681" w:type="dxa"/>
            <w:tcBorders>
              <w:top w:val="single" w:color="auto" w:sz="4" w:space="0"/>
              <w:left w:val="single" w:color="auto" w:sz="4" w:space="0"/>
              <w:bottom w:val="single" w:color="auto" w:sz="4" w:space="0"/>
              <w:right w:val="single" w:color="auto" w:sz="4" w:space="0"/>
            </w:tcBorders>
            <w:vAlign w:val="center"/>
          </w:tcPr>
          <w:p w14:paraId="26E1A7D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投标文件由资格文件、商务技术文件、报价文件三部分组成，包括但不限于以下内容：</w:t>
            </w:r>
          </w:p>
          <w:p w14:paraId="2079D8F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一、资格文件：</w:t>
            </w:r>
          </w:p>
          <w:p w14:paraId="414230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（1）投标声明函；</w:t>
            </w:r>
          </w:p>
          <w:p w14:paraId="6B0846C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（2）提供有效的营业执照复印件；</w:t>
            </w:r>
          </w:p>
          <w:p w14:paraId="6E2F5E5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（3）具有履行合同所必需的场地、设备和专业技术能力的承诺函；</w:t>
            </w:r>
          </w:p>
          <w:p w14:paraId="2B1B7A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（4）参加投标活动前3年内在经营活动中没有重大违法记录的声明函；</w:t>
            </w:r>
          </w:p>
          <w:p w14:paraId="075848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357F0B2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（6）法定代表人资格书或法定代表人授权委托书；</w:t>
            </w:r>
          </w:p>
          <w:p w14:paraId="27F764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）联合体协议书（如有）；</w:t>
            </w:r>
          </w:p>
          <w:p w14:paraId="79151E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）资质（资格）证书；</w:t>
            </w:r>
          </w:p>
          <w:p w14:paraId="2F981E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）招标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中要求需要提供的其他资质和说明。</w:t>
            </w:r>
          </w:p>
          <w:p w14:paraId="64DDEC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二、商务技术文件：</w:t>
            </w:r>
          </w:p>
          <w:p w14:paraId="033769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（1）商务技术分评分索引；</w:t>
            </w:r>
          </w:p>
          <w:p w14:paraId="58D3F1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（2）诚信竞投承诺书；</w:t>
            </w:r>
          </w:p>
          <w:p w14:paraId="418D29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（3）投标人情况介绍；</w:t>
            </w:r>
          </w:p>
          <w:p w14:paraId="47040B6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3.1投标人的类似项目业绩；</w:t>
            </w:r>
          </w:p>
          <w:p w14:paraId="09EF9392">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拟派本项目实施人员；</w:t>
            </w:r>
          </w:p>
          <w:p w14:paraId="011AFB6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4.1项目负责人基本情况表</w:t>
            </w:r>
          </w:p>
          <w:p w14:paraId="5A7F03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服务质量保证、本地化服务及有关承诺</w:t>
            </w:r>
            <w:r>
              <w:rPr>
                <w:rFonts w:hint="eastAsia" w:ascii="仿宋" w:hAnsi="仿宋" w:eastAsia="仿宋" w:cs="仿宋"/>
                <w:color w:val="auto"/>
                <w:sz w:val="24"/>
                <w:highlight w:val="none"/>
              </w:rPr>
              <w:t>；</w:t>
            </w:r>
          </w:p>
          <w:p w14:paraId="0F9AAB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（6）实施方案；</w:t>
            </w:r>
          </w:p>
          <w:p w14:paraId="5FECB49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（7）商务响应表；</w:t>
            </w:r>
          </w:p>
          <w:p w14:paraId="4FA814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（8）投标人认为需提交的其他文件和说明。</w:t>
            </w:r>
          </w:p>
          <w:p w14:paraId="378F05D4">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ascii="仿宋" w:hAnsi="仿宋" w:eastAsia="仿宋" w:cs="仿宋"/>
                <w:color w:val="auto"/>
                <w:sz w:val="24"/>
                <w:highlight w:val="none"/>
              </w:rPr>
            </w:pPr>
            <w:r>
              <w:rPr>
                <w:rFonts w:hint="eastAsia" w:ascii="仿宋" w:hAnsi="仿宋" w:eastAsia="仿宋" w:cs="仿宋"/>
                <w:b/>
                <w:bCs/>
                <w:color w:val="auto"/>
                <w:sz w:val="22"/>
                <w:szCs w:val="22"/>
                <w:highlight w:val="none"/>
              </w:rPr>
              <w:t>注：投标单位请结合评分要点编制投标文件。</w:t>
            </w:r>
          </w:p>
          <w:p w14:paraId="75B754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三、报价文件：</w:t>
            </w:r>
          </w:p>
          <w:p w14:paraId="182A53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（1）投标函；</w:t>
            </w:r>
          </w:p>
          <w:p w14:paraId="41CA90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（2）报价一览表</w:t>
            </w:r>
            <w:r>
              <w:rPr>
                <w:rFonts w:hint="eastAsia" w:ascii="仿宋" w:hAnsi="仿宋" w:eastAsia="仿宋" w:cs="仿宋"/>
                <w:color w:val="auto"/>
                <w:sz w:val="24"/>
                <w:highlight w:val="none"/>
                <w:lang w:eastAsia="zh-CN"/>
              </w:rPr>
              <w:t>。</w:t>
            </w:r>
          </w:p>
        </w:tc>
      </w:tr>
      <w:tr w14:paraId="49711D11">
        <w:tblPrEx>
          <w:tblCellMar>
            <w:top w:w="0" w:type="dxa"/>
            <w:left w:w="108" w:type="dxa"/>
            <w:bottom w:w="0" w:type="dxa"/>
            <w:right w:w="108" w:type="dxa"/>
          </w:tblCellMar>
        </w:tblPrEx>
        <w:trPr>
          <w:trHeight w:val="808" w:hRule="atLeast"/>
        </w:trPr>
        <w:tc>
          <w:tcPr>
            <w:tcW w:w="946" w:type="dxa"/>
            <w:tcBorders>
              <w:top w:val="single" w:color="auto" w:sz="4" w:space="0"/>
              <w:left w:val="single" w:color="auto" w:sz="4" w:space="0"/>
              <w:bottom w:val="single" w:color="auto" w:sz="4" w:space="0"/>
              <w:right w:val="single" w:color="auto" w:sz="4" w:space="0"/>
            </w:tcBorders>
            <w:vAlign w:val="center"/>
          </w:tcPr>
          <w:p w14:paraId="489F48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991" w:type="dxa"/>
            <w:tcBorders>
              <w:top w:val="single" w:color="auto" w:sz="4" w:space="0"/>
              <w:left w:val="single" w:color="auto" w:sz="4" w:space="0"/>
              <w:bottom w:val="single" w:color="auto" w:sz="4" w:space="0"/>
              <w:right w:val="single" w:color="auto" w:sz="4" w:space="0"/>
            </w:tcBorders>
            <w:vAlign w:val="center"/>
          </w:tcPr>
          <w:p w14:paraId="67080B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投标文件份数及其他要求</w:t>
            </w:r>
          </w:p>
        </w:tc>
        <w:tc>
          <w:tcPr>
            <w:tcW w:w="6681" w:type="dxa"/>
            <w:tcBorders>
              <w:top w:val="single" w:color="auto" w:sz="4" w:space="0"/>
              <w:left w:val="single" w:color="auto" w:sz="4" w:space="0"/>
              <w:bottom w:val="single" w:color="auto" w:sz="4" w:space="0"/>
              <w:right w:val="single" w:color="auto" w:sz="4" w:space="0"/>
            </w:tcBorders>
            <w:vAlign w:val="center"/>
          </w:tcPr>
          <w:p w14:paraId="1295F07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1.电子版投标文件1份，本项目实行投标文件CA电子签章，投标人在编制生成“电子投标文件”时需进行CA电子签章加密。</w:t>
            </w:r>
          </w:p>
          <w:p w14:paraId="2879DC28">
            <w:pPr>
              <w:pStyle w:val="13"/>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投标人应按本招标采购文件规定的格式和顺序编制投标文件并按照“乐采云电子投标客户端”的顺序关联，并标注目录和页码，投标文件内容不完整、关联、编排混乱导致投标文件被误读、漏读或者查找不到相关内容的，是投标人的责任。</w:t>
            </w:r>
          </w:p>
          <w:p w14:paraId="78EB24DE">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ascii="仿宋" w:hAnsi="仿宋" w:eastAsia="仿宋" w:cs="仿宋"/>
                <w:color w:val="auto"/>
                <w:highlight w:val="none"/>
              </w:rPr>
            </w:pPr>
            <w:r>
              <w:rPr>
                <w:rFonts w:hint="eastAsia" w:ascii="仿宋" w:hAnsi="仿宋" w:eastAsia="仿宋" w:cs="仿宋"/>
                <w:color w:val="auto"/>
                <w:highlight w:val="none"/>
              </w:rPr>
              <w:t>3.是否要求提交纸质版投标文件：</w:t>
            </w:r>
            <w:r>
              <w:rPr>
                <w:rFonts w:hint="eastAsia" w:ascii="仿宋" w:hAnsi="仿宋" w:eastAsia="仿宋" w:cs="仿宋"/>
                <w:color w:val="auto"/>
                <w:highlight w:val="none"/>
                <w:u w:val="single"/>
              </w:rPr>
              <w:t>否；但中标后，中标人需在领取中标通知书前向采购代理机构提交与投标时一致的电子投标文件（资格文件、商务技术文件、报价文件）打印纸质版</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份（须按照招标采购文件要求签字盖章）。</w:t>
            </w:r>
          </w:p>
        </w:tc>
      </w:tr>
      <w:tr w14:paraId="12CEEB62">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vAlign w:val="center"/>
          </w:tcPr>
          <w:p w14:paraId="629A89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1991" w:type="dxa"/>
            <w:tcBorders>
              <w:top w:val="single" w:color="auto" w:sz="4" w:space="0"/>
              <w:left w:val="single" w:color="auto" w:sz="4" w:space="0"/>
              <w:bottom w:val="single" w:color="auto" w:sz="4" w:space="0"/>
              <w:right w:val="single" w:color="auto" w:sz="4" w:space="0"/>
            </w:tcBorders>
            <w:vAlign w:val="center"/>
          </w:tcPr>
          <w:p w14:paraId="095F34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投标文件的签署</w:t>
            </w:r>
          </w:p>
        </w:tc>
        <w:tc>
          <w:tcPr>
            <w:tcW w:w="6681" w:type="dxa"/>
            <w:tcBorders>
              <w:top w:val="single" w:color="auto" w:sz="4" w:space="0"/>
              <w:left w:val="single" w:color="auto" w:sz="4" w:space="0"/>
              <w:bottom w:val="single" w:color="auto" w:sz="4" w:space="0"/>
              <w:right w:val="single" w:color="auto" w:sz="4" w:space="0"/>
            </w:tcBorders>
            <w:vAlign w:val="center"/>
          </w:tcPr>
          <w:p w14:paraId="61B19169">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资格文件、商务技术文件、报价文件的内容是属于投标人自己制作，在“投标文件格式”规定处由投标人的法定代表人或其委托代理人签字或盖章并加盖公章再扫描成PDF文件格式。单位公章不得以投标专用章、分公司章、办事处等其他形式印章代替，否则作废标处理。</w:t>
            </w:r>
            <w:r>
              <w:rPr>
                <w:rFonts w:hint="eastAsia" w:ascii="仿宋" w:hAnsi="仿宋" w:eastAsia="仿宋" w:cs="仿宋"/>
                <w:color w:val="0000FF"/>
                <w:highlight w:val="none"/>
              </w:rPr>
              <w:t>联合体投标的，除联合体共同投标协议书格式之外的仅由联合体牵头人加盖单位电子印章、法定代表人个人电子印章即可</w:t>
            </w:r>
            <w:r>
              <w:rPr>
                <w:rFonts w:hint="eastAsia" w:ascii="仿宋" w:hAnsi="仿宋" w:eastAsia="仿宋" w:cs="仿宋"/>
                <w:color w:val="0000FF"/>
                <w:highlight w:val="none"/>
                <w:lang w:eastAsia="zh-CN"/>
              </w:rPr>
              <w:t>。</w:t>
            </w:r>
          </w:p>
          <w:p w14:paraId="4EAD2280">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ascii="仿宋" w:hAnsi="仿宋" w:eastAsia="仿宋" w:cs="仿宋"/>
                <w:color w:val="auto"/>
                <w:highlight w:val="none"/>
              </w:rPr>
            </w:pPr>
            <w:r>
              <w:rPr>
                <w:rFonts w:hint="eastAsia" w:ascii="仿宋" w:hAnsi="仿宋" w:eastAsia="仿宋" w:cs="仿宋"/>
                <w:color w:val="auto"/>
                <w:highlight w:val="none"/>
              </w:rPr>
              <w:t>2.投标文件应尽量避免涂改、行间插字或删除。如果出现上述情况，改动之处应由投标人的法定代表人或其授权的代理人签字或盖单位章再扫描成PDF文件格式。</w:t>
            </w:r>
          </w:p>
        </w:tc>
      </w:tr>
      <w:tr w14:paraId="14ACD125">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vAlign w:val="center"/>
          </w:tcPr>
          <w:p w14:paraId="45F1D2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1991" w:type="dxa"/>
            <w:tcBorders>
              <w:top w:val="single" w:color="auto" w:sz="4" w:space="0"/>
              <w:left w:val="single" w:color="auto" w:sz="4" w:space="0"/>
              <w:bottom w:val="single" w:color="auto" w:sz="4" w:space="0"/>
              <w:right w:val="single" w:color="auto" w:sz="4" w:space="0"/>
            </w:tcBorders>
            <w:vAlign w:val="center"/>
          </w:tcPr>
          <w:p w14:paraId="69F255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投标文件是否</w:t>
            </w:r>
          </w:p>
          <w:p w14:paraId="293DA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需分册装订</w:t>
            </w:r>
          </w:p>
        </w:tc>
        <w:tc>
          <w:tcPr>
            <w:tcW w:w="6681" w:type="dxa"/>
            <w:tcBorders>
              <w:top w:val="single" w:color="auto" w:sz="4" w:space="0"/>
              <w:left w:val="single" w:color="auto" w:sz="4" w:space="0"/>
              <w:bottom w:val="single" w:color="auto" w:sz="4" w:space="0"/>
              <w:right w:val="single" w:color="auto" w:sz="4" w:space="0"/>
            </w:tcBorders>
            <w:vAlign w:val="center"/>
          </w:tcPr>
          <w:p w14:paraId="77A0976E">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jc w:val="left"/>
              <w:textAlignment w:val="auto"/>
              <w:rPr>
                <w:rFonts w:ascii="仿宋" w:hAnsi="仿宋" w:eastAsia="仿宋" w:cs="仿宋"/>
                <w:color w:val="auto"/>
                <w:highlight w:val="none"/>
              </w:rPr>
            </w:pPr>
            <w:r>
              <w:rPr>
                <w:rFonts w:hint="eastAsia" w:ascii="仿宋" w:hAnsi="仿宋" w:eastAsia="仿宋" w:cs="仿宋"/>
                <w:color w:val="auto"/>
                <w:highlight w:val="none"/>
              </w:rPr>
              <w:t>本项目不适用</w:t>
            </w:r>
          </w:p>
        </w:tc>
      </w:tr>
      <w:tr w14:paraId="3B215888">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4234BA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991" w:type="dxa"/>
            <w:tcBorders>
              <w:top w:val="single" w:color="auto" w:sz="4" w:space="0"/>
              <w:left w:val="single" w:color="auto" w:sz="4" w:space="0"/>
              <w:bottom w:val="single" w:color="auto" w:sz="4" w:space="0"/>
              <w:right w:val="single" w:color="auto" w:sz="4" w:space="0"/>
            </w:tcBorders>
            <w:vAlign w:val="center"/>
          </w:tcPr>
          <w:p w14:paraId="4DE46F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上传电子投标文件时间</w:t>
            </w:r>
          </w:p>
        </w:tc>
        <w:tc>
          <w:tcPr>
            <w:tcW w:w="6681" w:type="dxa"/>
            <w:tcBorders>
              <w:top w:val="single" w:color="auto" w:sz="4" w:space="0"/>
              <w:left w:val="single" w:color="auto" w:sz="4" w:space="0"/>
              <w:bottom w:val="single" w:color="auto" w:sz="4" w:space="0"/>
              <w:right w:val="single" w:color="auto" w:sz="4" w:space="0"/>
            </w:tcBorders>
            <w:vAlign w:val="center"/>
          </w:tcPr>
          <w:p w14:paraId="615F93D4">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jc w:val="left"/>
              <w:textAlignment w:val="auto"/>
              <w:rPr>
                <w:rFonts w:ascii="仿宋" w:hAnsi="仿宋" w:eastAsia="仿宋" w:cs="仿宋"/>
                <w:color w:val="auto"/>
                <w:highlight w:val="none"/>
              </w:rPr>
            </w:pPr>
            <w:r>
              <w:rPr>
                <w:rFonts w:hint="eastAsia" w:ascii="仿宋" w:hAnsi="仿宋" w:eastAsia="仿宋" w:cs="仿宋"/>
                <w:bCs/>
                <w:color w:val="auto"/>
                <w:highlight w:val="none"/>
              </w:rPr>
              <w:t xml:space="preserve">供应商应于 </w:t>
            </w:r>
            <w:r>
              <w:rPr>
                <w:rFonts w:hint="eastAsia" w:ascii="仿宋" w:hAnsi="仿宋" w:eastAsia="仿宋" w:cs="仿宋"/>
                <w:bCs/>
                <w:color w:val="auto"/>
                <w:highlight w:val="none"/>
                <w:lang w:eastAsia="zh-CN"/>
              </w:rPr>
              <w:t>2025年8月8日09:00时</w:t>
            </w:r>
            <w:r>
              <w:rPr>
                <w:rFonts w:hint="eastAsia" w:ascii="仿宋" w:hAnsi="仿宋" w:eastAsia="仿宋" w:cs="仿宋"/>
                <w:bCs/>
                <w:color w:val="auto"/>
                <w:highlight w:val="none"/>
              </w:rPr>
              <w:t>前在“乐采云”上自行加密上传电子投标文件，逾期上传或未按要求上传的投标文件将予以拒收。</w:t>
            </w:r>
          </w:p>
        </w:tc>
      </w:tr>
      <w:tr w14:paraId="4FBAE1B2">
        <w:tblPrEx>
          <w:tblCellMar>
            <w:top w:w="0" w:type="dxa"/>
            <w:left w:w="108" w:type="dxa"/>
            <w:bottom w:w="0" w:type="dxa"/>
            <w:right w:w="108" w:type="dxa"/>
          </w:tblCellMar>
        </w:tblPrEx>
        <w:trPr>
          <w:trHeight w:val="625" w:hRule="atLeast"/>
        </w:trPr>
        <w:tc>
          <w:tcPr>
            <w:tcW w:w="946" w:type="dxa"/>
            <w:tcBorders>
              <w:top w:val="single" w:color="auto" w:sz="4" w:space="0"/>
              <w:left w:val="single" w:color="auto" w:sz="4" w:space="0"/>
              <w:bottom w:val="single" w:color="auto" w:sz="4" w:space="0"/>
              <w:right w:val="single" w:color="auto" w:sz="4" w:space="0"/>
            </w:tcBorders>
            <w:vAlign w:val="center"/>
          </w:tcPr>
          <w:p w14:paraId="123D08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991" w:type="dxa"/>
            <w:tcBorders>
              <w:top w:val="single" w:color="auto" w:sz="4" w:space="0"/>
              <w:left w:val="single" w:color="auto" w:sz="4" w:space="0"/>
              <w:bottom w:val="single" w:color="auto" w:sz="4" w:space="0"/>
              <w:right w:val="single" w:color="auto" w:sz="4" w:space="0"/>
            </w:tcBorders>
            <w:vAlign w:val="center"/>
          </w:tcPr>
          <w:p w14:paraId="3068C0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投标截止时间</w:t>
            </w:r>
          </w:p>
        </w:tc>
        <w:tc>
          <w:tcPr>
            <w:tcW w:w="6681" w:type="dxa"/>
            <w:tcBorders>
              <w:top w:val="single" w:color="auto" w:sz="4" w:space="0"/>
              <w:left w:val="single" w:color="auto" w:sz="4" w:space="0"/>
              <w:bottom w:val="single" w:color="auto" w:sz="4" w:space="0"/>
              <w:right w:val="single" w:color="auto" w:sz="4" w:space="0"/>
            </w:tcBorders>
            <w:vAlign w:val="center"/>
          </w:tcPr>
          <w:p w14:paraId="3B8A3BC7">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u w:val="single"/>
                <w:lang w:eastAsia="zh-CN"/>
              </w:rPr>
              <w:t>2025年8月8日09:00时</w:t>
            </w:r>
            <w:r>
              <w:rPr>
                <w:rFonts w:hint="eastAsia" w:ascii="仿宋" w:hAnsi="仿宋" w:eastAsia="仿宋" w:cs="仿宋"/>
                <w:b/>
                <w:color w:val="auto"/>
                <w:sz w:val="24"/>
                <w:highlight w:val="none"/>
                <w:u w:val="single"/>
              </w:rPr>
              <w:t>止</w:t>
            </w:r>
            <w:r>
              <w:rPr>
                <w:rFonts w:hint="eastAsia" w:ascii="仿宋" w:hAnsi="仿宋" w:eastAsia="仿宋" w:cs="仿宋"/>
                <w:color w:val="auto"/>
                <w:sz w:val="24"/>
                <w:highlight w:val="none"/>
              </w:rPr>
              <w:t>。</w:t>
            </w:r>
          </w:p>
        </w:tc>
      </w:tr>
      <w:tr w14:paraId="697A6B29">
        <w:tblPrEx>
          <w:tblCellMar>
            <w:top w:w="0" w:type="dxa"/>
            <w:left w:w="108" w:type="dxa"/>
            <w:bottom w:w="0" w:type="dxa"/>
            <w:right w:w="108" w:type="dxa"/>
          </w:tblCellMar>
        </w:tblPrEx>
        <w:trPr>
          <w:trHeight w:val="659" w:hRule="atLeast"/>
        </w:trPr>
        <w:tc>
          <w:tcPr>
            <w:tcW w:w="946" w:type="dxa"/>
            <w:tcBorders>
              <w:top w:val="single" w:color="auto" w:sz="4" w:space="0"/>
              <w:left w:val="single" w:color="auto" w:sz="4" w:space="0"/>
              <w:right w:val="single" w:color="auto" w:sz="4" w:space="0"/>
            </w:tcBorders>
            <w:vAlign w:val="center"/>
          </w:tcPr>
          <w:p w14:paraId="31C1B4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1991" w:type="dxa"/>
            <w:tcBorders>
              <w:top w:val="single" w:color="auto" w:sz="4" w:space="0"/>
              <w:left w:val="single" w:color="auto" w:sz="4" w:space="0"/>
              <w:bottom w:val="single" w:color="auto" w:sz="4" w:space="0"/>
              <w:right w:val="single" w:color="auto" w:sz="4" w:space="0"/>
            </w:tcBorders>
            <w:vAlign w:val="center"/>
          </w:tcPr>
          <w:p w14:paraId="0D56A7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递交投标文件地点</w:t>
            </w:r>
          </w:p>
        </w:tc>
        <w:tc>
          <w:tcPr>
            <w:tcW w:w="6681" w:type="dxa"/>
            <w:tcBorders>
              <w:top w:val="single" w:color="auto" w:sz="4" w:space="0"/>
              <w:left w:val="single" w:color="auto" w:sz="4" w:space="0"/>
              <w:bottom w:val="single" w:color="auto" w:sz="4" w:space="0"/>
              <w:right w:val="single" w:color="auto" w:sz="4" w:space="0"/>
            </w:tcBorders>
            <w:vAlign w:val="center"/>
          </w:tcPr>
          <w:p w14:paraId="171009E0">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b/>
                <w:color w:val="auto"/>
                <w:sz w:val="24"/>
                <w:highlight w:val="none"/>
                <w:u w:val="single"/>
              </w:rPr>
            </w:pPr>
            <w:r>
              <w:rPr>
                <w:rFonts w:hint="eastAsia" w:ascii="仿宋" w:hAnsi="仿宋" w:eastAsia="仿宋" w:cs="仿宋"/>
                <w:b/>
                <w:color w:val="auto"/>
                <w:kern w:val="0"/>
                <w:sz w:val="24"/>
                <w:highlight w:val="none"/>
              </w:rPr>
              <w:t>乐采云平台</w:t>
            </w:r>
          </w:p>
        </w:tc>
      </w:tr>
      <w:tr w14:paraId="25F20D42">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5E1E89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1991" w:type="dxa"/>
            <w:tcBorders>
              <w:top w:val="single" w:color="auto" w:sz="4" w:space="0"/>
              <w:left w:val="single" w:color="auto" w:sz="4" w:space="0"/>
              <w:bottom w:val="single" w:color="auto" w:sz="4" w:space="0"/>
              <w:right w:val="single" w:color="auto" w:sz="4" w:space="0"/>
            </w:tcBorders>
            <w:vAlign w:val="center"/>
          </w:tcPr>
          <w:p w14:paraId="5CDB06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投标文件是否退还</w:t>
            </w:r>
          </w:p>
        </w:tc>
        <w:tc>
          <w:tcPr>
            <w:tcW w:w="6681" w:type="dxa"/>
            <w:tcBorders>
              <w:top w:val="single" w:color="auto" w:sz="4" w:space="0"/>
              <w:left w:val="single" w:color="auto" w:sz="4" w:space="0"/>
              <w:bottom w:val="single" w:color="auto" w:sz="4" w:space="0"/>
              <w:right w:val="single" w:color="auto" w:sz="4" w:space="0"/>
            </w:tcBorders>
            <w:vAlign w:val="center"/>
          </w:tcPr>
          <w:p w14:paraId="574D30E1">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b/>
                <w:color w:val="auto"/>
                <w:kern w:val="0"/>
                <w:sz w:val="24"/>
                <w:highlight w:val="none"/>
              </w:rPr>
            </w:pPr>
            <w:r>
              <w:rPr>
                <w:rFonts w:hint="eastAsia" w:ascii="仿宋" w:hAnsi="仿宋" w:eastAsia="仿宋" w:cs="仿宋"/>
                <w:color w:val="auto"/>
                <w:sz w:val="24"/>
                <w:highlight w:val="none"/>
              </w:rPr>
              <w:t>否。</w:t>
            </w:r>
          </w:p>
        </w:tc>
      </w:tr>
      <w:tr w14:paraId="325B632A">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vAlign w:val="center"/>
          </w:tcPr>
          <w:p w14:paraId="0A82DD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1991" w:type="dxa"/>
            <w:tcBorders>
              <w:top w:val="single" w:color="auto" w:sz="4" w:space="0"/>
              <w:left w:val="single" w:color="auto" w:sz="4" w:space="0"/>
              <w:bottom w:val="single" w:color="auto" w:sz="4" w:space="0"/>
              <w:right w:val="single" w:color="auto" w:sz="4" w:space="0"/>
            </w:tcBorders>
            <w:vAlign w:val="center"/>
          </w:tcPr>
          <w:p w14:paraId="339840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开标时间和地点</w:t>
            </w:r>
          </w:p>
        </w:tc>
        <w:tc>
          <w:tcPr>
            <w:tcW w:w="6681" w:type="dxa"/>
            <w:tcBorders>
              <w:top w:val="single" w:color="auto" w:sz="4" w:space="0"/>
              <w:left w:val="single" w:color="auto" w:sz="4" w:space="0"/>
              <w:bottom w:val="single" w:color="auto" w:sz="4" w:space="0"/>
              <w:right w:val="single" w:color="auto" w:sz="4" w:space="0"/>
            </w:tcBorders>
            <w:vAlign w:val="center"/>
          </w:tcPr>
          <w:p w14:paraId="5CAB757A">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开标时间：同投标截止时间。</w:t>
            </w:r>
          </w:p>
          <w:p w14:paraId="4FE27470">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bCs/>
                <w:color w:val="auto"/>
                <w:sz w:val="24"/>
                <w:highlight w:val="none"/>
                <w:u w:val="single"/>
              </w:rPr>
              <w:t xml:space="preserve">金华市公共资源交易中心武义县分中心（武义县武阳中路2号建行大楼 </w:t>
            </w:r>
            <w:r>
              <w:rPr>
                <w:rFonts w:hint="eastAsia" w:ascii="仿宋" w:hAnsi="仿宋" w:eastAsia="仿宋" w:cs="仿宋"/>
                <w:bCs/>
                <w:color w:val="auto"/>
                <w:sz w:val="24"/>
                <w:highlight w:val="none"/>
                <w:u w:val="single"/>
                <w:lang w:eastAsia="zh-CN"/>
              </w:rPr>
              <w:t>14楼开标室二</w:t>
            </w:r>
            <w:r>
              <w:rPr>
                <w:rFonts w:hint="eastAsia" w:ascii="仿宋" w:hAnsi="仿宋" w:eastAsia="仿宋" w:cs="仿宋"/>
                <w:bCs/>
                <w:color w:val="auto"/>
                <w:sz w:val="24"/>
                <w:highlight w:val="none"/>
                <w:u w:val="single"/>
              </w:rPr>
              <w:t>）</w:t>
            </w:r>
          </w:p>
        </w:tc>
      </w:tr>
      <w:tr w14:paraId="24AF83C2">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7D49A5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1991" w:type="dxa"/>
            <w:tcBorders>
              <w:top w:val="single" w:color="auto" w:sz="4" w:space="0"/>
              <w:left w:val="single" w:color="auto" w:sz="4" w:space="0"/>
              <w:bottom w:val="single" w:color="auto" w:sz="4" w:space="0"/>
              <w:right w:val="single" w:color="auto" w:sz="4" w:space="0"/>
            </w:tcBorders>
            <w:vAlign w:val="center"/>
          </w:tcPr>
          <w:p w14:paraId="63F3B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货物样品</w:t>
            </w:r>
          </w:p>
        </w:tc>
        <w:tc>
          <w:tcPr>
            <w:tcW w:w="6681" w:type="dxa"/>
            <w:tcBorders>
              <w:top w:val="single" w:color="auto" w:sz="4" w:space="0"/>
              <w:left w:val="single" w:color="auto" w:sz="4" w:space="0"/>
              <w:bottom w:val="single" w:color="auto" w:sz="4" w:space="0"/>
              <w:right w:val="single" w:color="auto" w:sz="4" w:space="0"/>
            </w:tcBorders>
            <w:vAlign w:val="center"/>
          </w:tcPr>
          <w:p w14:paraId="33181E83">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本项目不适用</w:t>
            </w:r>
          </w:p>
        </w:tc>
      </w:tr>
      <w:tr w14:paraId="7FE7DA91">
        <w:tblPrEx>
          <w:tblCellMar>
            <w:top w:w="0" w:type="dxa"/>
            <w:left w:w="108" w:type="dxa"/>
            <w:bottom w:w="0" w:type="dxa"/>
            <w:right w:w="108" w:type="dxa"/>
          </w:tblCellMar>
        </w:tblPrEx>
        <w:trPr>
          <w:trHeight w:val="802" w:hRule="atLeast"/>
        </w:trPr>
        <w:tc>
          <w:tcPr>
            <w:tcW w:w="946" w:type="dxa"/>
            <w:tcBorders>
              <w:top w:val="single" w:color="auto" w:sz="4" w:space="0"/>
              <w:left w:val="single" w:color="auto" w:sz="4" w:space="0"/>
              <w:bottom w:val="single" w:color="auto" w:sz="4" w:space="0"/>
              <w:right w:val="single" w:color="auto" w:sz="4" w:space="0"/>
            </w:tcBorders>
            <w:vAlign w:val="center"/>
          </w:tcPr>
          <w:p w14:paraId="597F8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1991" w:type="dxa"/>
            <w:tcBorders>
              <w:top w:val="single" w:color="auto" w:sz="4" w:space="0"/>
              <w:left w:val="single" w:color="auto" w:sz="4" w:space="0"/>
              <w:bottom w:val="single" w:color="auto" w:sz="4" w:space="0"/>
              <w:right w:val="single" w:color="auto" w:sz="4" w:space="0"/>
            </w:tcBorders>
            <w:vAlign w:val="center"/>
          </w:tcPr>
          <w:p w14:paraId="7349C4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开标程序</w:t>
            </w:r>
          </w:p>
        </w:tc>
        <w:tc>
          <w:tcPr>
            <w:tcW w:w="6681" w:type="dxa"/>
            <w:tcBorders>
              <w:top w:val="single" w:color="auto" w:sz="4" w:space="0"/>
              <w:left w:val="single" w:color="auto" w:sz="4" w:space="0"/>
              <w:bottom w:val="single" w:color="auto" w:sz="4" w:space="0"/>
              <w:right w:val="single" w:color="auto" w:sz="4" w:space="0"/>
            </w:tcBorders>
            <w:vAlign w:val="center"/>
          </w:tcPr>
          <w:p w14:paraId="0425D1D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1.开标会由采购代理机构主持，主持人宣布开标会议开始；</w:t>
            </w:r>
          </w:p>
          <w:p w14:paraId="562E94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2.主持人介绍参加开标会的人员名单； </w:t>
            </w:r>
          </w:p>
          <w:p w14:paraId="4B0940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3.由工作人员宣布评标期间的有关事项；告知应当回避的情形,提请有关人员回避；</w:t>
            </w:r>
          </w:p>
          <w:p w14:paraId="0672EF3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投标人须在开标时间前准备好电脑（确保网络已连接）与本单位制作电子投标文件时的同一个CA数字证书，并登录“乐采云平台”点击项目采购-开标评标功能进行解密投标文件(或登入“乐采云电子投标客户端”点击项目开标-项目采购-开标评标)功能进行解密投标文件（解密的CA数字证书和制作电子投标文件时加密的CA数字证书必须相同）。</w:t>
            </w:r>
          </w:p>
          <w:p w14:paraId="10229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投标供应商须在开标时间始30分钟内对投标文件进行解密。若投标供应商在规定时间内无法解密或解密失败的,投标无效。</w:t>
            </w:r>
          </w:p>
          <w:p w14:paraId="281ABC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投标供应商应全程参加电子开标会议，若开标会议结束前中途退出的，其行为不影响评审结果。</w:t>
            </w:r>
          </w:p>
          <w:p w14:paraId="1DA06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14:paraId="7FA15A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14:paraId="141594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7.商务技术文件评审结果公布后，在线开启报价文件，并由评标委员会进行报价评审。在开启报价文件时，投标供应商认为开标一览表与报价文件不符时，投标供应商可在“采购云平台”开标大厅提出异议。</w:t>
            </w:r>
          </w:p>
          <w:p w14:paraId="333E8D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8.在线公布各投标人得分汇总，并宣布中标候选人，同时由记录人、监督人当场在开标记录上签字确认。</w:t>
            </w:r>
          </w:p>
          <w:p w14:paraId="20A3E5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9.主持人宣布开标会议结束。</w:t>
            </w:r>
          </w:p>
          <w:p w14:paraId="396DDE36">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ascii="仿宋" w:hAnsi="仿宋" w:eastAsia="仿宋" w:cs="仿宋"/>
                <w:color w:val="auto"/>
                <w:highlight w:val="none"/>
              </w:rPr>
            </w:pPr>
            <w:r>
              <w:rPr>
                <w:rFonts w:hint="eastAsia" w:ascii="仿宋" w:hAnsi="仿宋" w:eastAsia="仿宋" w:cs="仿宋"/>
                <w:color w:val="auto"/>
                <w:highlight w:val="none"/>
              </w:rPr>
              <w:t>特别说明：乐采云公司如对电子化开标及评审程序有调整的，按调整后的程序操作。</w:t>
            </w:r>
          </w:p>
        </w:tc>
      </w:tr>
      <w:tr w14:paraId="2AE881C3">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3288BD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w:t>
            </w:r>
          </w:p>
        </w:tc>
        <w:tc>
          <w:tcPr>
            <w:tcW w:w="1991" w:type="dxa"/>
            <w:tcBorders>
              <w:top w:val="single" w:color="auto" w:sz="4" w:space="0"/>
              <w:left w:val="single" w:color="auto" w:sz="4" w:space="0"/>
              <w:bottom w:val="single" w:color="auto" w:sz="4" w:space="0"/>
              <w:right w:val="single" w:color="auto" w:sz="4" w:space="0"/>
            </w:tcBorders>
            <w:vAlign w:val="center"/>
          </w:tcPr>
          <w:p w14:paraId="4A38CE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yellow"/>
              </w:rPr>
            </w:pPr>
            <w:r>
              <w:rPr>
                <w:rFonts w:hint="eastAsia" w:ascii="仿宋" w:hAnsi="仿宋" w:eastAsia="仿宋" w:cs="仿宋"/>
                <w:color w:val="auto"/>
                <w:sz w:val="24"/>
                <w:highlight w:val="yellow"/>
              </w:rPr>
              <w:t>评标委员会的组建</w:t>
            </w:r>
          </w:p>
        </w:tc>
        <w:tc>
          <w:tcPr>
            <w:tcW w:w="6681" w:type="dxa"/>
            <w:tcBorders>
              <w:top w:val="single" w:color="auto" w:sz="4" w:space="0"/>
              <w:left w:val="single" w:color="auto" w:sz="4" w:space="0"/>
              <w:bottom w:val="single" w:color="auto" w:sz="4" w:space="0"/>
              <w:right w:val="single" w:color="auto" w:sz="4" w:space="0"/>
            </w:tcBorders>
            <w:vAlign w:val="center"/>
          </w:tcPr>
          <w:p w14:paraId="16BF552D">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yellow"/>
              </w:rPr>
            </w:pPr>
            <w:r>
              <w:rPr>
                <w:rFonts w:hint="eastAsia" w:ascii="仿宋" w:hAnsi="仿宋" w:eastAsia="仿宋" w:cs="仿宋"/>
                <w:color w:val="auto"/>
                <w:sz w:val="24"/>
                <w:highlight w:val="yellow"/>
              </w:rPr>
              <w:t>评标委员会由招标人依法组建。评标委员会构成：</w:t>
            </w:r>
            <w:r>
              <w:rPr>
                <w:rFonts w:hint="eastAsia" w:ascii="仿宋" w:hAnsi="仿宋" w:eastAsia="仿宋" w:cs="仿宋"/>
                <w:color w:val="auto"/>
                <w:sz w:val="24"/>
                <w:highlight w:val="yellow"/>
                <w:u w:val="single"/>
                <w:lang w:val="en-US" w:eastAsia="zh-CN"/>
              </w:rPr>
              <w:t>7</w:t>
            </w:r>
            <w:r>
              <w:rPr>
                <w:rFonts w:hint="eastAsia" w:ascii="仿宋" w:hAnsi="仿宋" w:eastAsia="仿宋" w:cs="仿宋"/>
                <w:color w:val="auto"/>
                <w:sz w:val="24"/>
                <w:highlight w:val="yellow"/>
              </w:rPr>
              <w:t>人，其中采购人代表</w:t>
            </w:r>
            <w:r>
              <w:rPr>
                <w:rFonts w:hint="eastAsia" w:ascii="仿宋" w:hAnsi="仿宋" w:eastAsia="仿宋" w:cs="仿宋"/>
                <w:color w:val="auto"/>
                <w:sz w:val="24"/>
                <w:highlight w:val="yellow"/>
                <w:u w:val="single"/>
                <w:lang w:val="en-US" w:eastAsia="zh-CN"/>
              </w:rPr>
              <w:t>2</w:t>
            </w:r>
            <w:r>
              <w:rPr>
                <w:rFonts w:hint="eastAsia" w:ascii="仿宋" w:hAnsi="仿宋" w:eastAsia="仿宋" w:cs="仿宋"/>
                <w:color w:val="auto"/>
                <w:sz w:val="24"/>
                <w:highlight w:val="yellow"/>
              </w:rPr>
              <w:t>人，专家</w:t>
            </w:r>
            <w:r>
              <w:rPr>
                <w:rFonts w:hint="eastAsia" w:ascii="仿宋" w:hAnsi="仿宋" w:eastAsia="仿宋" w:cs="仿宋"/>
                <w:color w:val="auto"/>
                <w:sz w:val="24"/>
                <w:highlight w:val="yellow"/>
                <w:u w:val="single"/>
                <w:lang w:val="en-US" w:eastAsia="zh-CN"/>
              </w:rPr>
              <w:t>5</w:t>
            </w:r>
            <w:r>
              <w:rPr>
                <w:rFonts w:hint="eastAsia" w:ascii="仿宋" w:hAnsi="仿宋" w:eastAsia="仿宋" w:cs="仿宋"/>
                <w:color w:val="auto"/>
                <w:sz w:val="24"/>
                <w:highlight w:val="yellow"/>
              </w:rPr>
              <w:t>人。</w:t>
            </w:r>
          </w:p>
        </w:tc>
      </w:tr>
      <w:tr w14:paraId="64983E63">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4130E9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991" w:type="dxa"/>
            <w:tcBorders>
              <w:top w:val="single" w:color="auto" w:sz="4" w:space="0"/>
              <w:left w:val="single" w:color="auto" w:sz="4" w:space="0"/>
              <w:bottom w:val="single" w:color="auto" w:sz="4" w:space="0"/>
              <w:right w:val="single" w:color="auto" w:sz="4" w:space="0"/>
            </w:tcBorders>
            <w:vAlign w:val="center"/>
          </w:tcPr>
          <w:p w14:paraId="4A353A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评标委员会推荐的中标候选人数</w:t>
            </w:r>
          </w:p>
        </w:tc>
        <w:tc>
          <w:tcPr>
            <w:tcW w:w="6681" w:type="dxa"/>
            <w:tcBorders>
              <w:top w:val="single" w:color="auto" w:sz="4" w:space="0"/>
              <w:left w:val="single" w:color="auto" w:sz="4" w:space="0"/>
              <w:bottom w:val="single" w:color="auto" w:sz="4" w:space="0"/>
              <w:right w:val="single" w:color="auto" w:sz="4" w:space="0"/>
            </w:tcBorders>
            <w:vAlign w:val="center"/>
          </w:tcPr>
          <w:p w14:paraId="25E97A89">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评标委员会推荐的中标候选人数：</w:t>
            </w:r>
            <w:r>
              <w:rPr>
                <w:rFonts w:hint="eastAsia"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rPr>
              <w:t>名。</w:t>
            </w:r>
          </w:p>
        </w:tc>
      </w:tr>
      <w:tr w14:paraId="51B6BE97">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0D149E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1991" w:type="dxa"/>
            <w:tcBorders>
              <w:top w:val="single" w:color="auto" w:sz="4" w:space="0"/>
              <w:left w:val="single" w:color="auto" w:sz="4" w:space="0"/>
              <w:bottom w:val="single" w:color="auto" w:sz="4" w:space="0"/>
              <w:right w:val="single" w:color="auto" w:sz="4" w:space="0"/>
            </w:tcBorders>
            <w:vAlign w:val="center"/>
          </w:tcPr>
          <w:p w14:paraId="42BCFE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是否委托评标委员会确定中标人</w:t>
            </w:r>
          </w:p>
        </w:tc>
        <w:tc>
          <w:tcPr>
            <w:tcW w:w="6681" w:type="dxa"/>
            <w:tcBorders>
              <w:top w:val="single" w:color="auto" w:sz="4" w:space="0"/>
              <w:left w:val="single" w:color="auto" w:sz="4" w:space="0"/>
              <w:bottom w:val="single" w:color="auto" w:sz="4" w:space="0"/>
              <w:right w:val="single" w:color="auto" w:sz="4" w:space="0"/>
            </w:tcBorders>
            <w:vAlign w:val="center"/>
          </w:tcPr>
          <w:p w14:paraId="5D0349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w:t>
            </w:r>
          </w:p>
        </w:tc>
      </w:tr>
      <w:tr w14:paraId="122EFC57">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vAlign w:val="center"/>
          </w:tcPr>
          <w:p w14:paraId="758692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1991" w:type="dxa"/>
            <w:tcBorders>
              <w:top w:val="single" w:color="auto" w:sz="4" w:space="0"/>
              <w:left w:val="single" w:color="auto" w:sz="4" w:space="0"/>
              <w:bottom w:val="single" w:color="auto" w:sz="4" w:space="0"/>
              <w:right w:val="single" w:color="auto" w:sz="4" w:space="0"/>
            </w:tcBorders>
            <w:vAlign w:val="center"/>
          </w:tcPr>
          <w:p w14:paraId="70094007">
            <w:pPr>
              <w:pStyle w:val="6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中标通知书与中标结果公告</w:t>
            </w:r>
          </w:p>
        </w:tc>
        <w:tc>
          <w:tcPr>
            <w:tcW w:w="6681" w:type="dxa"/>
            <w:tcBorders>
              <w:top w:val="single" w:color="auto" w:sz="4" w:space="0"/>
              <w:left w:val="single" w:color="auto" w:sz="4" w:space="0"/>
              <w:bottom w:val="single" w:color="auto" w:sz="4" w:space="0"/>
              <w:right w:val="single" w:color="auto" w:sz="4" w:space="0"/>
            </w:tcBorders>
            <w:vAlign w:val="center"/>
          </w:tcPr>
          <w:p w14:paraId="407E4017">
            <w:pPr>
              <w:pStyle w:val="65"/>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中标人确定之日起2个工作日内，中标结果在浙江政府采购网和武义县公共资源交易网公告3个日历天（如遇国家法定节假日，顺延至法定节假日后的第1个工作日）</w:t>
            </w:r>
            <w:r>
              <w:rPr>
                <w:rFonts w:hint="eastAsia" w:ascii="仿宋" w:hAnsi="仿宋" w:eastAsia="仿宋" w:cs="仿宋"/>
                <w:color w:val="auto"/>
                <w:sz w:val="24"/>
                <w:szCs w:val="24"/>
                <w:highlight w:val="none"/>
                <w:lang w:eastAsia="zh-CN"/>
              </w:rPr>
              <w:t>。</w:t>
            </w:r>
          </w:p>
        </w:tc>
      </w:tr>
      <w:tr w14:paraId="35306D46">
        <w:tblPrEx>
          <w:tblCellMar>
            <w:top w:w="0" w:type="dxa"/>
            <w:left w:w="108" w:type="dxa"/>
            <w:bottom w:w="0" w:type="dxa"/>
            <w:right w:w="108" w:type="dxa"/>
          </w:tblCellMar>
        </w:tblPrEx>
        <w:trPr>
          <w:trHeight w:val="601" w:hRule="atLeast"/>
        </w:trPr>
        <w:tc>
          <w:tcPr>
            <w:tcW w:w="946" w:type="dxa"/>
            <w:tcBorders>
              <w:top w:val="single" w:color="auto" w:sz="4" w:space="0"/>
              <w:left w:val="single" w:color="auto" w:sz="4" w:space="0"/>
              <w:bottom w:val="single" w:color="auto" w:sz="4" w:space="0"/>
              <w:right w:val="single" w:color="auto" w:sz="4" w:space="0"/>
            </w:tcBorders>
            <w:vAlign w:val="center"/>
          </w:tcPr>
          <w:p w14:paraId="25BEDC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w:t>
            </w:r>
          </w:p>
        </w:tc>
        <w:tc>
          <w:tcPr>
            <w:tcW w:w="1991" w:type="dxa"/>
            <w:tcBorders>
              <w:top w:val="single" w:color="auto" w:sz="4" w:space="0"/>
              <w:left w:val="single" w:color="auto" w:sz="4" w:space="0"/>
              <w:bottom w:val="single" w:color="auto" w:sz="4" w:space="0"/>
              <w:right w:val="single" w:color="auto" w:sz="4" w:space="0"/>
            </w:tcBorders>
            <w:vAlign w:val="center"/>
          </w:tcPr>
          <w:p w14:paraId="619735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签订合同时间</w:t>
            </w:r>
          </w:p>
        </w:tc>
        <w:tc>
          <w:tcPr>
            <w:tcW w:w="6681" w:type="dxa"/>
            <w:tcBorders>
              <w:top w:val="single" w:color="auto" w:sz="4" w:space="0"/>
              <w:left w:val="single" w:color="auto" w:sz="4" w:space="0"/>
              <w:bottom w:val="single" w:color="auto" w:sz="4" w:space="0"/>
              <w:right w:val="single" w:color="auto" w:sz="4" w:space="0"/>
            </w:tcBorders>
            <w:vAlign w:val="center"/>
          </w:tcPr>
          <w:p w14:paraId="759980BF">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中标通知书发出后20日历天内。</w:t>
            </w:r>
          </w:p>
        </w:tc>
      </w:tr>
      <w:tr w14:paraId="64C29BF6">
        <w:tblPrEx>
          <w:tblCellMar>
            <w:top w:w="0" w:type="dxa"/>
            <w:left w:w="108" w:type="dxa"/>
            <w:bottom w:w="0" w:type="dxa"/>
            <w:right w:w="108" w:type="dxa"/>
          </w:tblCellMar>
        </w:tblPrEx>
        <w:trPr>
          <w:trHeight w:val="3602" w:hRule="atLeast"/>
        </w:trPr>
        <w:tc>
          <w:tcPr>
            <w:tcW w:w="946" w:type="dxa"/>
            <w:tcBorders>
              <w:top w:val="single" w:color="auto" w:sz="4" w:space="0"/>
              <w:left w:val="single" w:color="auto" w:sz="4" w:space="0"/>
              <w:bottom w:val="single" w:color="auto" w:sz="4" w:space="0"/>
              <w:right w:val="single" w:color="auto" w:sz="4" w:space="0"/>
            </w:tcBorders>
            <w:vAlign w:val="center"/>
          </w:tcPr>
          <w:p w14:paraId="30819C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p>
        </w:tc>
        <w:tc>
          <w:tcPr>
            <w:tcW w:w="1991" w:type="dxa"/>
            <w:tcBorders>
              <w:top w:val="single" w:color="auto" w:sz="4" w:space="0"/>
              <w:left w:val="single" w:color="auto" w:sz="4" w:space="0"/>
              <w:bottom w:val="single" w:color="auto" w:sz="4" w:space="0"/>
              <w:right w:val="single" w:color="auto" w:sz="4" w:space="0"/>
            </w:tcBorders>
            <w:vAlign w:val="center"/>
          </w:tcPr>
          <w:p w14:paraId="4DC7DB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681" w:type="dxa"/>
            <w:tcBorders>
              <w:top w:val="single" w:color="auto" w:sz="4" w:space="0"/>
              <w:left w:val="single" w:color="auto" w:sz="4" w:space="0"/>
              <w:bottom w:val="single" w:color="auto" w:sz="4" w:space="0"/>
              <w:right w:val="single" w:color="auto" w:sz="4" w:space="0"/>
            </w:tcBorders>
            <w:vAlign w:val="center"/>
          </w:tcPr>
          <w:p w14:paraId="46D9C97C">
            <w:pPr>
              <w:pStyle w:val="6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是否要求中标人提交履约保证金：</w:t>
            </w:r>
          </w:p>
          <w:p w14:paraId="122C00AB">
            <w:pPr>
              <w:pStyle w:val="6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sym w:font="Wingdings" w:char="00FE"/>
            </w:r>
            <w:r>
              <w:rPr>
                <w:rFonts w:hint="eastAsia" w:ascii="仿宋" w:hAnsi="仿宋" w:eastAsia="仿宋" w:cs="仿宋"/>
                <w:color w:val="auto"/>
                <w:spacing w:val="-4"/>
                <w:sz w:val="24"/>
                <w:szCs w:val="24"/>
                <w:highlight w:val="none"/>
              </w:rPr>
              <w:t>不要求。</w:t>
            </w:r>
          </w:p>
          <w:p w14:paraId="47276505">
            <w:pPr>
              <w:pStyle w:val="6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sym w:font="Wingdings" w:char="00A8"/>
            </w:r>
            <w:r>
              <w:rPr>
                <w:rFonts w:hint="eastAsia" w:ascii="仿宋" w:hAnsi="仿宋" w:eastAsia="仿宋" w:cs="仿宋"/>
                <w:color w:val="auto"/>
                <w:spacing w:val="-4"/>
                <w:sz w:val="24"/>
                <w:szCs w:val="24"/>
                <w:highlight w:val="none"/>
              </w:rPr>
              <w:t>要求：</w:t>
            </w:r>
          </w:p>
          <w:p w14:paraId="021DB850">
            <w:pPr>
              <w:pStyle w:val="67"/>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中标单位履约保证金的金额为：</w:t>
            </w:r>
            <w:r>
              <w:rPr>
                <w:rFonts w:hint="eastAsia" w:ascii="仿宋" w:hAnsi="仿宋" w:eastAsia="仿宋" w:cs="仿宋"/>
                <w:color w:val="auto"/>
                <w:spacing w:val="-4"/>
                <w:sz w:val="24"/>
                <w:szCs w:val="24"/>
                <w:highlight w:val="none"/>
                <w:u w:val="single"/>
                <w:lang w:val="en-US" w:eastAsia="zh-CN"/>
              </w:rPr>
              <w:t>/。</w:t>
            </w:r>
          </w:p>
          <w:p w14:paraId="5A245FB6">
            <w:pPr>
              <w:pStyle w:val="67"/>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履约保证金允许采用现金担保形式或保函形式（包括银行保函、保险机构保证保险保单和融资担保公司保函），中标单位可自主选择，其他相关单位不得以任何理由予以拒绝。</w:t>
            </w:r>
          </w:p>
          <w:p w14:paraId="5F90C573">
            <w:pPr>
              <w:pStyle w:val="67"/>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中标</w:t>
            </w:r>
            <w:r>
              <w:rPr>
                <w:rFonts w:hint="eastAsia" w:ascii="仿宋" w:hAnsi="仿宋" w:eastAsia="仿宋" w:cs="仿宋"/>
                <w:color w:val="auto"/>
                <w:spacing w:val="-4"/>
                <w:sz w:val="24"/>
                <w:szCs w:val="24"/>
                <w:highlight w:val="none"/>
              </w:rPr>
              <w:t>单位</w:t>
            </w:r>
            <w:r>
              <w:rPr>
                <w:rFonts w:hint="eastAsia" w:ascii="仿宋" w:hAnsi="仿宋" w:eastAsia="仿宋" w:cs="仿宋"/>
                <w:color w:val="auto"/>
                <w:spacing w:val="-4"/>
                <w:sz w:val="24"/>
                <w:highlight w:val="none"/>
              </w:rPr>
              <w:t>应在收到中标通知书后20日历天内缴纳至采购人，否则采购人有权取消中标人资格。</w:t>
            </w:r>
          </w:p>
          <w:p w14:paraId="22151AA7">
            <w:pPr>
              <w:pStyle w:val="67"/>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合同履行完毕（验收合格）后15日内无息退还。</w:t>
            </w:r>
          </w:p>
        </w:tc>
      </w:tr>
      <w:tr w14:paraId="602E0224">
        <w:tblPrEx>
          <w:tblCellMar>
            <w:top w:w="0" w:type="dxa"/>
            <w:left w:w="108" w:type="dxa"/>
            <w:bottom w:w="0" w:type="dxa"/>
            <w:right w:w="108" w:type="dxa"/>
          </w:tblCellMar>
        </w:tblPrEx>
        <w:trPr>
          <w:trHeight w:val="1425" w:hRule="atLeast"/>
        </w:trPr>
        <w:tc>
          <w:tcPr>
            <w:tcW w:w="946" w:type="dxa"/>
            <w:tcBorders>
              <w:top w:val="single" w:color="auto" w:sz="4" w:space="0"/>
              <w:left w:val="single" w:color="auto" w:sz="4" w:space="0"/>
              <w:bottom w:val="single" w:color="auto" w:sz="4" w:space="0"/>
              <w:right w:val="single" w:color="auto" w:sz="4" w:space="0"/>
            </w:tcBorders>
            <w:vAlign w:val="center"/>
          </w:tcPr>
          <w:p w14:paraId="671658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35</w:t>
            </w:r>
          </w:p>
        </w:tc>
        <w:tc>
          <w:tcPr>
            <w:tcW w:w="1991" w:type="dxa"/>
            <w:tcBorders>
              <w:top w:val="single" w:color="auto" w:sz="4" w:space="0"/>
              <w:left w:val="single" w:color="auto" w:sz="4" w:space="0"/>
              <w:bottom w:val="single" w:color="auto" w:sz="4" w:space="0"/>
              <w:right w:val="single" w:color="auto" w:sz="4" w:space="0"/>
            </w:tcBorders>
            <w:vAlign w:val="center"/>
          </w:tcPr>
          <w:p w14:paraId="702450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投标人的违法违规行为</w:t>
            </w:r>
          </w:p>
        </w:tc>
        <w:tc>
          <w:tcPr>
            <w:tcW w:w="6681" w:type="dxa"/>
            <w:tcBorders>
              <w:top w:val="single" w:color="auto" w:sz="4" w:space="0"/>
              <w:left w:val="single" w:color="auto" w:sz="4" w:space="0"/>
              <w:bottom w:val="single" w:color="auto" w:sz="4" w:space="0"/>
              <w:right w:val="single" w:color="auto" w:sz="4" w:space="0"/>
            </w:tcBorders>
            <w:vAlign w:val="center"/>
          </w:tcPr>
          <w:p w14:paraId="67DA2C10">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1.投标人不得相互串通投标或者与采购人串通投标，不得向采购人行贿谋取中标，不得以他人名义投标或者以其他方式弄虚作假骗取中标；投标人不得以任何方式干扰、影响评标工作。</w:t>
            </w:r>
          </w:p>
          <w:p w14:paraId="5E515E32">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2.投标人在投标过程中有挂靠投标、相互串通投标、弄虚作假等违规行为的，一经查实，采购人和代理机构上报监管部门列入黑名单、失信名单。</w:t>
            </w:r>
          </w:p>
          <w:p w14:paraId="31D0EFF4">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发现中标人为挂靠投标中标的，或者相互串通投标中标的，或者提交的投标文件弄虚作假骗取中标的，或者将中标项目转给他人承包的，除由采购人在履约保证金或合同价款中扣罚2%，并报监管部门按相关法律法规予以处罚。已经开工的，必须终止工作，所有因此造成的经济损失由中标人承担。</w:t>
            </w:r>
          </w:p>
        </w:tc>
      </w:tr>
      <w:tr w14:paraId="4C442643">
        <w:tblPrEx>
          <w:tblCellMar>
            <w:top w:w="0" w:type="dxa"/>
            <w:left w:w="108" w:type="dxa"/>
            <w:bottom w:w="0" w:type="dxa"/>
            <w:right w:w="108" w:type="dxa"/>
          </w:tblCellMar>
        </w:tblPrEx>
        <w:trPr>
          <w:trHeight w:val="437" w:hRule="atLeast"/>
        </w:trPr>
        <w:tc>
          <w:tcPr>
            <w:tcW w:w="946" w:type="dxa"/>
            <w:tcBorders>
              <w:top w:val="single" w:color="auto" w:sz="4" w:space="0"/>
              <w:left w:val="single" w:color="auto" w:sz="4" w:space="0"/>
              <w:bottom w:val="single" w:color="auto" w:sz="4" w:space="0"/>
              <w:right w:val="single" w:color="auto" w:sz="4" w:space="0"/>
            </w:tcBorders>
            <w:vAlign w:val="center"/>
          </w:tcPr>
          <w:p w14:paraId="53FE19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8672" w:type="dxa"/>
            <w:gridSpan w:val="2"/>
            <w:tcBorders>
              <w:top w:val="single" w:color="auto" w:sz="4" w:space="0"/>
              <w:left w:val="single" w:color="auto" w:sz="4" w:space="0"/>
              <w:bottom w:val="single" w:color="auto" w:sz="4" w:space="0"/>
              <w:right w:val="single" w:color="auto" w:sz="4" w:space="0"/>
            </w:tcBorders>
            <w:vAlign w:val="center"/>
          </w:tcPr>
          <w:p w14:paraId="7A75DFEC">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本前附表内容与投标人须知正文不符的，以本前附表为准。</w:t>
            </w:r>
          </w:p>
          <w:p w14:paraId="6496BAEE">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lang w:val="zh-CN"/>
              </w:rPr>
              <w:t>凡涉及本采购文件的解释权均属于采购人</w:t>
            </w:r>
            <w:r>
              <w:rPr>
                <w:rFonts w:hint="eastAsia" w:ascii="仿宋" w:hAnsi="仿宋" w:eastAsia="仿宋" w:cs="仿宋"/>
                <w:color w:val="auto"/>
                <w:sz w:val="24"/>
                <w:highlight w:val="none"/>
              </w:rPr>
              <w:t>和采购代理机构</w:t>
            </w:r>
            <w:r>
              <w:rPr>
                <w:rFonts w:hint="eastAsia" w:ascii="仿宋" w:hAnsi="仿宋" w:eastAsia="仿宋" w:cs="仿宋"/>
                <w:color w:val="auto"/>
                <w:sz w:val="24"/>
                <w:highlight w:val="none"/>
                <w:lang w:val="zh-CN"/>
              </w:rPr>
              <w:t>。</w:t>
            </w:r>
          </w:p>
        </w:tc>
      </w:tr>
    </w:tbl>
    <w:p w14:paraId="10416D97">
      <w:pPr>
        <w:pStyle w:val="5"/>
        <w:spacing w:line="420" w:lineRule="exact"/>
        <w:ind w:firstLine="562" w:firstLineChars="200"/>
        <w:rPr>
          <w:rFonts w:ascii="仿宋" w:hAnsi="仿宋" w:eastAsia="仿宋" w:cs="仿宋"/>
          <w:color w:val="auto"/>
          <w:highlight w:val="none"/>
        </w:rPr>
      </w:pPr>
      <w:bookmarkStart w:id="37" w:name="_Toc498955000"/>
      <w:bookmarkStart w:id="38" w:name="_Toc24462"/>
      <w:bookmarkStart w:id="39" w:name="_Toc152045529"/>
      <w:bookmarkStart w:id="40" w:name="_Toc246996918"/>
      <w:bookmarkStart w:id="41" w:name="_Toc144974497"/>
      <w:bookmarkStart w:id="42" w:name="_Toc246996175"/>
      <w:bookmarkStart w:id="43" w:name="_Toc247085689"/>
      <w:bookmarkStart w:id="44" w:name="_Toc179632546"/>
      <w:bookmarkStart w:id="45" w:name="_Toc152042305"/>
      <w:bookmarkStart w:id="46" w:name="_Toc444093603"/>
      <w:r>
        <w:rPr>
          <w:rFonts w:hint="eastAsia" w:ascii="仿宋" w:hAnsi="仿宋" w:eastAsia="仿宋" w:cs="仿宋"/>
          <w:color w:val="auto"/>
          <w:highlight w:val="none"/>
        </w:rPr>
        <w:t>一、总则</w:t>
      </w:r>
      <w:bookmarkEnd w:id="37"/>
      <w:bookmarkEnd w:id="38"/>
      <w:bookmarkEnd w:id="39"/>
      <w:bookmarkEnd w:id="40"/>
      <w:bookmarkEnd w:id="41"/>
      <w:bookmarkEnd w:id="42"/>
      <w:bookmarkEnd w:id="43"/>
      <w:bookmarkEnd w:id="44"/>
      <w:bookmarkEnd w:id="45"/>
      <w:bookmarkEnd w:id="46"/>
    </w:p>
    <w:p w14:paraId="30DD588C">
      <w:pPr>
        <w:pStyle w:val="6"/>
        <w:spacing w:line="420" w:lineRule="exact"/>
        <w:ind w:firstLine="562" w:firstLineChars="200"/>
        <w:rPr>
          <w:rFonts w:ascii="仿宋" w:hAnsi="仿宋" w:eastAsia="仿宋" w:cs="仿宋"/>
          <w:color w:val="auto"/>
          <w:highlight w:val="none"/>
        </w:rPr>
      </w:pPr>
      <w:bookmarkStart w:id="47" w:name="_Toc23046"/>
      <w:r>
        <w:rPr>
          <w:rFonts w:hint="eastAsia" w:ascii="仿宋" w:hAnsi="仿宋" w:eastAsia="仿宋" w:cs="仿宋"/>
          <w:color w:val="auto"/>
          <w:highlight w:val="none"/>
        </w:rPr>
        <w:t>（一）定义</w:t>
      </w:r>
      <w:bookmarkEnd w:id="47"/>
    </w:p>
    <w:p w14:paraId="7DDB758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采购人”：是指投标人须知前附表说明的单位，在招标采购阶段称为采购人，在签订和执行合同阶段或被称为建设单位或业主或甲方或买方。为便于招标文件及附件直接转化为经济合同条款，在招标文件中被称为建设单位或业主或甲方或买方的招标投标阶段均指采购人。</w:t>
      </w:r>
    </w:p>
    <w:p w14:paraId="23AACA3B">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2.“采购代理机构”：是指依法取得招标（采购）资格、从事招标（采购）代理业务并提供相关服务的专业机构，本文特指</w:t>
      </w:r>
      <w:r>
        <w:rPr>
          <w:rFonts w:hint="eastAsia" w:ascii="仿宋" w:hAnsi="仿宋" w:eastAsia="仿宋" w:cs="仿宋"/>
          <w:color w:val="auto"/>
          <w:sz w:val="24"/>
          <w:highlight w:val="none"/>
          <w:u w:val="single"/>
          <w:lang w:eastAsia="zh-CN"/>
        </w:rPr>
        <w:t>金华同慷建设管理咨询有限公司</w:t>
      </w:r>
      <w:r>
        <w:rPr>
          <w:rFonts w:hint="eastAsia" w:ascii="仿宋" w:hAnsi="仿宋" w:eastAsia="仿宋" w:cs="仿宋"/>
          <w:color w:val="auto"/>
          <w:sz w:val="24"/>
          <w:highlight w:val="none"/>
        </w:rPr>
        <w:t>。是本次整个采购活动的组织者，依法负责编制和发布招标文件，对招标文件拥有最终的解释权。</w:t>
      </w:r>
    </w:p>
    <w:p w14:paraId="575924AC">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3.“投标人”系指是指响应招标、参加投标竞争的法人、其他组织。</w:t>
      </w:r>
    </w:p>
    <w:p w14:paraId="632CEDA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4.“监督管理部门”：是指负责对采购人、采购代理机构、投标供应商（投标单位）和评审专家进行监督检查的相关部门。</w:t>
      </w:r>
    </w:p>
    <w:p w14:paraId="452637C6">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5.“项目”系指投标人按招标采购文件规定向采购人提供的产品和服务。</w:t>
      </w:r>
    </w:p>
    <w:p w14:paraId="3287420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6.“产品”系指供方按招标采购文件规定，须向采购人提供的一切设备、保险、税金、备品备件、工具、手册及其他有关技术资料和材料。</w:t>
      </w:r>
    </w:p>
    <w:p w14:paraId="2D7BB8BB">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7.“服务”系指招标采购文件规定投标人须承担的安装、调试、技术协助、校准、培训、技术指导以及其他类似的义务。</w:t>
      </w:r>
    </w:p>
    <w:p w14:paraId="74DE633B">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8.“日期、天数、时间”：除非本招标文件另有规定，均为公历日（天）及北京时间。</w:t>
      </w:r>
    </w:p>
    <w:p w14:paraId="098A49A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9.“书面形式”包括信函、传真、电报、邮件等。</w:t>
      </w:r>
    </w:p>
    <w:p w14:paraId="3FBC4F6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10.“公章”系指单位法定名称章。</w:t>
      </w:r>
    </w:p>
    <w:p w14:paraId="1A293143">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11.“▲”系指实质性要求条款，“★”系指重要技术参数。</w:t>
      </w:r>
    </w:p>
    <w:p w14:paraId="0A9F6E48">
      <w:pPr>
        <w:pStyle w:val="6"/>
        <w:spacing w:line="420" w:lineRule="exact"/>
        <w:ind w:firstLine="562" w:firstLineChars="200"/>
        <w:rPr>
          <w:rFonts w:ascii="仿宋" w:hAnsi="仿宋" w:eastAsia="仿宋" w:cs="仿宋"/>
          <w:color w:val="auto"/>
          <w:highlight w:val="none"/>
        </w:rPr>
      </w:pPr>
      <w:bookmarkStart w:id="48" w:name="_Toc498955001"/>
      <w:bookmarkStart w:id="49" w:name="_Toc444093604"/>
      <w:bookmarkStart w:id="50" w:name="_Toc22889"/>
      <w:bookmarkStart w:id="51" w:name="_Toc152045530"/>
      <w:bookmarkStart w:id="52" w:name="_Toc246996919"/>
      <w:bookmarkStart w:id="53" w:name="_Toc246996176"/>
      <w:bookmarkStart w:id="54" w:name="_Toc144974498"/>
      <w:bookmarkStart w:id="55" w:name="_Toc179632547"/>
      <w:bookmarkStart w:id="56" w:name="_Toc247085690"/>
      <w:bookmarkStart w:id="57" w:name="_Toc152042306"/>
      <w:bookmarkStart w:id="58" w:name="_Toc152045535"/>
      <w:bookmarkStart w:id="59" w:name="_Toc144974503"/>
      <w:bookmarkStart w:id="60" w:name="_Toc247085694"/>
      <w:bookmarkStart w:id="61" w:name="_Toc179632552"/>
      <w:bookmarkStart w:id="62" w:name="_Toc444093608"/>
      <w:bookmarkStart w:id="63" w:name="_Toc152042311"/>
      <w:bookmarkStart w:id="64" w:name="_Toc246996180"/>
      <w:bookmarkStart w:id="65" w:name="_Toc246996923"/>
      <w:r>
        <w:rPr>
          <w:rFonts w:hint="eastAsia" w:ascii="仿宋" w:hAnsi="仿宋" w:eastAsia="仿宋" w:cs="仿宋"/>
          <w:color w:val="auto"/>
          <w:highlight w:val="none"/>
        </w:rPr>
        <w:t>（二）采购项目概况</w:t>
      </w:r>
      <w:bookmarkEnd w:id="48"/>
      <w:bookmarkEnd w:id="49"/>
      <w:bookmarkEnd w:id="50"/>
      <w:bookmarkEnd w:id="51"/>
      <w:bookmarkEnd w:id="52"/>
      <w:bookmarkEnd w:id="53"/>
      <w:bookmarkEnd w:id="54"/>
      <w:bookmarkEnd w:id="55"/>
      <w:bookmarkEnd w:id="56"/>
      <w:bookmarkEnd w:id="57"/>
    </w:p>
    <w:p w14:paraId="3B9CDBA6">
      <w:pPr>
        <w:snapToGrid w:val="0"/>
        <w:spacing w:line="420" w:lineRule="exact"/>
        <w:ind w:firstLine="480" w:firstLineChars="200"/>
        <w:jc w:val="left"/>
        <w:rPr>
          <w:rFonts w:ascii="仿宋" w:hAnsi="仿宋" w:eastAsia="仿宋" w:cs="仿宋"/>
          <w:color w:val="auto"/>
          <w:sz w:val="24"/>
          <w:highlight w:val="none"/>
        </w:rPr>
      </w:pPr>
      <w:bookmarkStart w:id="66" w:name="_Toc444093605"/>
      <w:bookmarkStart w:id="67" w:name="_Toc246996920"/>
      <w:bookmarkStart w:id="68" w:name="_Toc152045531"/>
      <w:bookmarkStart w:id="69" w:name="_Toc179632548"/>
      <w:bookmarkStart w:id="70" w:name="_Toc247085691"/>
      <w:bookmarkStart w:id="71" w:name="_Toc152042307"/>
      <w:bookmarkStart w:id="72" w:name="_Toc144974499"/>
      <w:bookmarkStart w:id="73" w:name="_Toc246996177"/>
      <w:r>
        <w:rPr>
          <w:rFonts w:hint="eastAsia" w:ascii="仿宋" w:hAnsi="仿宋" w:eastAsia="仿宋" w:cs="仿宋"/>
          <w:color w:val="auto"/>
          <w:sz w:val="24"/>
          <w:highlight w:val="none"/>
        </w:rPr>
        <w:t>1.参照有关法律、法规和规章的规定，本采购项目已具备采购条件，现对本项目进行采购。</w:t>
      </w:r>
    </w:p>
    <w:p w14:paraId="6EE73BF6">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2.采购人：见投标人须知前附表。</w:t>
      </w:r>
    </w:p>
    <w:p w14:paraId="75BE244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3.采购代理机构：见投标人须知前附表。</w:t>
      </w:r>
    </w:p>
    <w:p w14:paraId="4B932D59">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4.采购项目名称：见投标人须知前附表。</w:t>
      </w:r>
    </w:p>
    <w:p w14:paraId="5D87FC84">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5.项目地点：见投标人须知前附表。</w:t>
      </w:r>
    </w:p>
    <w:p w14:paraId="5E615235">
      <w:pPr>
        <w:snapToGrid w:val="0"/>
        <w:spacing w:line="420" w:lineRule="exact"/>
        <w:ind w:firstLine="480" w:firstLineChars="200"/>
        <w:jc w:val="left"/>
        <w:rPr>
          <w:rFonts w:ascii="仿宋" w:hAnsi="仿宋" w:eastAsia="仿宋" w:cs="仿宋"/>
          <w:color w:val="auto"/>
          <w:sz w:val="28"/>
          <w:szCs w:val="28"/>
          <w:highlight w:val="none"/>
        </w:rPr>
      </w:pPr>
      <w:r>
        <w:rPr>
          <w:rFonts w:hint="eastAsia" w:ascii="仿宋" w:hAnsi="仿宋" w:eastAsia="仿宋" w:cs="仿宋"/>
          <w:color w:val="auto"/>
          <w:sz w:val="24"/>
          <w:highlight w:val="none"/>
        </w:rPr>
        <w:t>6.项目属性：见投标人须知前附表。</w:t>
      </w:r>
    </w:p>
    <w:bookmarkEnd w:id="66"/>
    <w:bookmarkEnd w:id="67"/>
    <w:bookmarkEnd w:id="68"/>
    <w:bookmarkEnd w:id="69"/>
    <w:bookmarkEnd w:id="70"/>
    <w:bookmarkEnd w:id="71"/>
    <w:bookmarkEnd w:id="72"/>
    <w:bookmarkEnd w:id="73"/>
    <w:p w14:paraId="432CDD25">
      <w:pPr>
        <w:pStyle w:val="6"/>
        <w:spacing w:line="420" w:lineRule="exact"/>
        <w:ind w:firstLine="562" w:firstLineChars="200"/>
        <w:rPr>
          <w:rFonts w:ascii="仿宋" w:hAnsi="仿宋" w:eastAsia="仿宋" w:cs="仿宋"/>
          <w:color w:val="auto"/>
          <w:highlight w:val="none"/>
        </w:rPr>
      </w:pPr>
      <w:bookmarkStart w:id="74" w:name="_Toc498955002"/>
      <w:bookmarkStart w:id="75" w:name="_Toc12048"/>
      <w:bookmarkStart w:id="76" w:name="_Toc498955004"/>
      <w:bookmarkStart w:id="77" w:name="_Toc144974502"/>
      <w:bookmarkStart w:id="78" w:name="_Toc444093607"/>
      <w:bookmarkStart w:id="79" w:name="_Toc152042310"/>
      <w:bookmarkStart w:id="80" w:name="_Toc247085693"/>
      <w:bookmarkStart w:id="81" w:name="_Toc246996922"/>
      <w:bookmarkStart w:id="82" w:name="_Toc179632551"/>
      <w:bookmarkStart w:id="83" w:name="_Toc152045534"/>
      <w:bookmarkStart w:id="84" w:name="_Toc246996179"/>
      <w:r>
        <w:rPr>
          <w:rFonts w:hint="eastAsia" w:ascii="仿宋" w:hAnsi="仿宋" w:eastAsia="仿宋" w:cs="仿宋"/>
          <w:color w:val="auto"/>
          <w:highlight w:val="none"/>
        </w:rPr>
        <w:t>（三）采购项目的资金来源</w:t>
      </w:r>
      <w:bookmarkEnd w:id="74"/>
      <w:r>
        <w:rPr>
          <w:rFonts w:hint="eastAsia" w:ascii="仿宋" w:hAnsi="仿宋" w:eastAsia="仿宋" w:cs="仿宋"/>
          <w:color w:val="auto"/>
          <w:highlight w:val="none"/>
        </w:rPr>
        <w:t>和付款单位</w:t>
      </w:r>
      <w:bookmarkEnd w:id="75"/>
    </w:p>
    <w:bookmarkEnd w:id="76"/>
    <w:bookmarkEnd w:id="77"/>
    <w:bookmarkEnd w:id="78"/>
    <w:bookmarkEnd w:id="79"/>
    <w:bookmarkEnd w:id="80"/>
    <w:bookmarkEnd w:id="81"/>
    <w:bookmarkEnd w:id="82"/>
    <w:bookmarkEnd w:id="83"/>
    <w:bookmarkEnd w:id="84"/>
    <w:p w14:paraId="0FB85234">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1.资金来源：见投标人须知前附表。</w:t>
      </w:r>
    </w:p>
    <w:p w14:paraId="09666734">
      <w:pPr>
        <w:keepNext/>
        <w:keepLines/>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2.付款单位：见投标人须知前附表。</w:t>
      </w:r>
    </w:p>
    <w:p w14:paraId="6CD6F26E">
      <w:pPr>
        <w:pStyle w:val="6"/>
        <w:spacing w:line="420" w:lineRule="exact"/>
        <w:ind w:firstLine="562" w:firstLineChars="200"/>
        <w:rPr>
          <w:rFonts w:ascii="仿宋" w:hAnsi="仿宋" w:eastAsia="仿宋" w:cs="仿宋"/>
          <w:color w:val="auto"/>
          <w:highlight w:val="none"/>
        </w:rPr>
      </w:pPr>
      <w:bookmarkStart w:id="85" w:name="_Toc4630"/>
      <w:r>
        <w:rPr>
          <w:rFonts w:hint="eastAsia" w:ascii="仿宋" w:hAnsi="仿宋" w:eastAsia="仿宋" w:cs="仿宋"/>
          <w:color w:val="auto"/>
          <w:highlight w:val="none"/>
        </w:rPr>
        <w:t>（四）投标人资格要求</w:t>
      </w:r>
      <w:bookmarkEnd w:id="85"/>
    </w:p>
    <w:p w14:paraId="4530F52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1.投标人应具备承担本采购项目资格（资质）条件、能力和信誉；</w:t>
      </w:r>
    </w:p>
    <w:p w14:paraId="3218D441">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如果已经依法办理了工商、税务和社保登记手续，并且获得总公司（总机构）授权（在投标文件中提供相关材料），证明其具备实际承担责任的能力和法定的缔结合同能力，可以独立参加投标活动，由单位负责人签署相关文件材料。</w:t>
      </w:r>
    </w:p>
    <w:p w14:paraId="04BBAE11">
      <w:pPr>
        <w:pStyle w:val="18"/>
        <w:spacing w:before="0" w:beforeLines="0" w:after="0" w:afterLines="0" w:line="420" w:lineRule="exact"/>
        <w:ind w:firstLine="482" w:firstLineChars="200"/>
        <w:rPr>
          <w:rFonts w:ascii="仿宋" w:hAnsi="仿宋" w:eastAsia="仿宋" w:cs="仿宋"/>
          <w:b/>
          <w:bCs/>
          <w:color w:val="0000FF"/>
          <w:highlight w:val="none"/>
        </w:rPr>
      </w:pPr>
      <w:r>
        <w:rPr>
          <w:rFonts w:hint="eastAsia" w:ascii="仿宋" w:hAnsi="仿宋" w:eastAsia="仿宋" w:cs="仿宋"/>
          <w:b/>
          <w:bCs/>
          <w:color w:val="0000FF"/>
          <w:highlight w:val="none"/>
        </w:rPr>
        <w:t>2.如以联合体形式参加投标活动的，联合体各方应当指定牵头人，授权其代表所有联合体成员负责投标和合同实施阶段的主办、协调工作，并应当向采购代理机构提交由所有联合体成员各方法定代表人签署的授权书，同时应当提交联合体协议，载明联合体各方承担的工作和义务。联合体协议中应当注明由联合体各成员方共同与采购人签订合同，并就采购合同约定的事项对采购人承担连带责任。</w:t>
      </w:r>
    </w:p>
    <w:p w14:paraId="08E9AF72">
      <w:pPr>
        <w:pStyle w:val="18"/>
        <w:spacing w:before="0" w:beforeLines="0" w:after="0" w:afterLines="0" w:line="420" w:lineRule="exact"/>
        <w:ind w:firstLine="482" w:firstLineChars="200"/>
        <w:rPr>
          <w:rFonts w:ascii="仿宋" w:hAnsi="仿宋" w:eastAsia="仿宋" w:cs="仿宋"/>
          <w:b/>
          <w:bCs/>
          <w:color w:val="0000FF"/>
          <w:highlight w:val="none"/>
        </w:rPr>
      </w:pPr>
      <w:r>
        <w:rPr>
          <w:rFonts w:hint="eastAsia" w:ascii="仿宋" w:hAnsi="仿宋" w:eastAsia="仿宋" w:cs="仿宋"/>
          <w:b/>
          <w:bCs/>
          <w:color w:val="0000FF"/>
          <w:highlight w:val="none"/>
        </w:rPr>
        <w:t>3.联合体各方不得再以自己名义单独或参加其他联合体在本采购项目中投标，否则各相关投标均无效。</w:t>
      </w:r>
    </w:p>
    <w:p w14:paraId="44D01D0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4.投标人不得存在下列情形之一：</w:t>
      </w:r>
    </w:p>
    <w:p w14:paraId="0943D257">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（1）为采购人不具有独立法人资格的附属机构（单位）；</w:t>
      </w:r>
    </w:p>
    <w:p w14:paraId="7B04EA6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（2）与采购人存在利害关系且可能影响招标公正性；</w:t>
      </w:r>
    </w:p>
    <w:p w14:paraId="5B06A6C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（3）与本采购项目的其他投标人为同一个单位负责人；</w:t>
      </w:r>
    </w:p>
    <w:p w14:paraId="44C9F904">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（4）与本采购项目的其他投标人存在控股、管理关系；</w:t>
      </w:r>
    </w:p>
    <w:p w14:paraId="0BB7B62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（5）为本采购项目的设计单位、规范编制或者项目管理、监理、检测等服务的供应商；</w:t>
      </w:r>
    </w:p>
    <w:p w14:paraId="65D15EE3">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（6）为本采购项目的采购代理机构；</w:t>
      </w:r>
    </w:p>
    <w:p w14:paraId="48279FD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（7）与本采购项目的采购代理机构同为一个法定代表人；</w:t>
      </w:r>
    </w:p>
    <w:p w14:paraId="51A873A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（8）与本采购项目的采购代理机构存在控股或参股关系；</w:t>
      </w:r>
    </w:p>
    <w:p w14:paraId="0DFF3A02">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（9）被依法暂停或者取消投标资格；</w:t>
      </w:r>
    </w:p>
    <w:p w14:paraId="428466FB">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（10）被责令停产停业、暂扣或者吊销许可证、暂扣或者吊销执照；</w:t>
      </w:r>
    </w:p>
    <w:p w14:paraId="55444443">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（11）进入清算程序，或被宣告破产，或其他丧失履约能力的情形；</w:t>
      </w:r>
    </w:p>
    <w:p w14:paraId="1151171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（12）被“信用中国”、“中国采购网”列入失信被执行人、重大税收违法案件当事人名单、投标严重违法失信行为记录名单或尚在行政处罚期内的；</w:t>
      </w:r>
    </w:p>
    <w:p w14:paraId="5A9FC47F">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（13）法律法规或投标人须知前附表规定的其他情形。</w:t>
      </w:r>
    </w:p>
    <w:p w14:paraId="3B235FFF">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5.单位负责人为同一人或者存在直接控股、管理关系的不同供应商，不得参加同一合同项下的投标活动。</w:t>
      </w:r>
    </w:p>
    <w:bookmarkEnd w:id="58"/>
    <w:bookmarkEnd w:id="59"/>
    <w:bookmarkEnd w:id="60"/>
    <w:bookmarkEnd w:id="61"/>
    <w:bookmarkEnd w:id="62"/>
    <w:bookmarkEnd w:id="63"/>
    <w:bookmarkEnd w:id="64"/>
    <w:bookmarkEnd w:id="65"/>
    <w:p w14:paraId="7DD6FC28">
      <w:pPr>
        <w:pStyle w:val="6"/>
        <w:spacing w:line="420" w:lineRule="exact"/>
        <w:ind w:firstLine="562" w:firstLineChars="200"/>
        <w:rPr>
          <w:rFonts w:ascii="仿宋" w:hAnsi="仿宋" w:eastAsia="仿宋" w:cs="仿宋"/>
          <w:color w:val="auto"/>
          <w:highlight w:val="none"/>
        </w:rPr>
      </w:pPr>
      <w:bookmarkStart w:id="86" w:name="_Toc498955005"/>
      <w:bookmarkStart w:id="87" w:name="_Toc24255"/>
      <w:bookmarkStart w:id="88" w:name="_Toc444093615"/>
      <w:bookmarkStart w:id="89" w:name="_Toc152042318"/>
      <w:bookmarkStart w:id="90" w:name="_Toc179632560"/>
      <w:bookmarkStart w:id="91" w:name="_Toc246996187"/>
      <w:bookmarkStart w:id="92" w:name="_Toc152045542"/>
      <w:bookmarkStart w:id="93" w:name="_Toc144974510"/>
      <w:bookmarkStart w:id="94" w:name="_Toc246996930"/>
      <w:bookmarkStart w:id="95" w:name="_Toc247085701"/>
      <w:r>
        <w:rPr>
          <w:rFonts w:hint="eastAsia" w:ascii="仿宋" w:hAnsi="仿宋" w:eastAsia="仿宋" w:cs="仿宋"/>
          <w:color w:val="auto"/>
          <w:highlight w:val="none"/>
        </w:rPr>
        <w:t>（五）</w:t>
      </w:r>
      <w:bookmarkEnd w:id="86"/>
      <w:bookmarkStart w:id="96" w:name="_Toc246996181"/>
      <w:bookmarkStart w:id="97" w:name="_Toc152045536"/>
      <w:bookmarkStart w:id="98" w:name="_Toc144974504"/>
      <w:bookmarkStart w:id="99" w:name="_Toc152042312"/>
      <w:bookmarkStart w:id="100" w:name="_Toc179632553"/>
      <w:bookmarkStart w:id="101" w:name="_Toc246996924"/>
      <w:bookmarkStart w:id="102" w:name="_Toc247085695"/>
      <w:bookmarkStart w:id="103" w:name="_Toc444093609"/>
      <w:r>
        <w:rPr>
          <w:rFonts w:hint="eastAsia" w:ascii="仿宋" w:hAnsi="仿宋" w:eastAsia="仿宋" w:cs="仿宋"/>
          <w:color w:val="auto"/>
          <w:highlight w:val="none"/>
        </w:rPr>
        <w:t>投标费用和安全责任</w:t>
      </w:r>
      <w:bookmarkEnd w:id="87"/>
    </w:p>
    <w:p w14:paraId="02202D7F">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1.投标人准备和参加投标活动发生的费用自理。不论投标结果如何，投标人均应自行承担所有与投标有关的全部费用。</w:t>
      </w:r>
    </w:p>
    <w:p w14:paraId="777758D4">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highlight w:val="none"/>
        </w:rPr>
        <w:t>本项目招标代理服务费</w:t>
      </w:r>
      <w:r>
        <w:rPr>
          <w:rFonts w:hint="eastAsia" w:ascii="仿宋" w:hAnsi="仿宋" w:eastAsia="仿宋" w:cs="仿宋"/>
          <w:color w:val="auto"/>
          <w:highlight w:val="none"/>
          <w:lang w:eastAsia="zh-CN"/>
        </w:rPr>
        <w:t>、武易采平台费</w:t>
      </w:r>
      <w:r>
        <w:rPr>
          <w:rFonts w:hint="eastAsia" w:ascii="仿宋" w:hAnsi="仿宋" w:eastAsia="仿宋" w:cs="仿宋"/>
          <w:color w:val="auto"/>
          <w:highlight w:val="none"/>
        </w:rPr>
        <w:t>由中标单位支付</w:t>
      </w:r>
      <w:r>
        <w:rPr>
          <w:rFonts w:hint="eastAsia" w:ascii="仿宋" w:hAnsi="仿宋" w:eastAsia="仿宋" w:cs="仿宋"/>
          <w:color w:val="auto"/>
          <w:highlight w:val="none"/>
          <w:lang w:eastAsia="zh-CN"/>
        </w:rPr>
        <w:t>，招标代理服务费</w:t>
      </w:r>
      <w:r>
        <w:rPr>
          <w:rFonts w:hint="eastAsia" w:ascii="仿宋" w:hAnsi="仿宋" w:eastAsia="仿宋" w:cs="仿宋"/>
          <w:color w:val="auto"/>
          <w:highlight w:val="none"/>
        </w:rPr>
        <w:t>按人民币</w:t>
      </w:r>
      <w:r>
        <w:rPr>
          <w:rFonts w:hint="eastAsia" w:ascii="仿宋" w:hAnsi="仿宋" w:eastAsia="仿宋" w:cs="仿宋"/>
          <w:color w:val="auto"/>
          <w:highlight w:val="none"/>
          <w:lang w:val="en-US" w:eastAsia="zh-CN"/>
        </w:rPr>
        <w:t>捌万贰仟</w:t>
      </w:r>
      <w:r>
        <w:rPr>
          <w:rFonts w:hint="eastAsia" w:ascii="仿宋" w:hAnsi="仿宋" w:eastAsia="仿宋" w:cs="仿宋"/>
          <w:color w:val="auto"/>
          <w:highlight w:val="none"/>
        </w:rPr>
        <w:t>元收取</w:t>
      </w:r>
      <w:r>
        <w:rPr>
          <w:rFonts w:hint="eastAsia" w:ascii="仿宋" w:hAnsi="仿宋" w:eastAsia="仿宋" w:cs="仿宋"/>
          <w:color w:val="auto"/>
          <w:highlight w:val="none"/>
          <w:lang w:eastAsia="zh-CN"/>
        </w:rPr>
        <w:t>，平台费按中标价的千分之一收取（封顶一万元）</w:t>
      </w:r>
      <w:r>
        <w:rPr>
          <w:rFonts w:hint="eastAsia" w:ascii="仿宋" w:hAnsi="仿宋" w:eastAsia="仿宋" w:cs="仿宋"/>
          <w:color w:val="auto"/>
          <w:highlight w:val="none"/>
        </w:rPr>
        <w:t>。</w:t>
      </w:r>
    </w:p>
    <w:p w14:paraId="4C55BFC7">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招标代理服务费缴纳形式：转账或现金；</w:t>
      </w:r>
    </w:p>
    <w:p w14:paraId="1ADA0BB5">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户 名：</w:t>
      </w:r>
      <w:r>
        <w:rPr>
          <w:rFonts w:hint="eastAsia" w:ascii="仿宋" w:hAnsi="仿宋" w:eastAsia="仿宋" w:cs="仿宋"/>
          <w:color w:val="auto"/>
          <w:highlight w:val="none"/>
          <w:lang w:eastAsia="zh-CN"/>
        </w:rPr>
        <w:t>金华同慷建设管理咨询有限公司</w:t>
      </w:r>
      <w:r>
        <w:rPr>
          <w:rFonts w:hint="eastAsia" w:ascii="仿宋" w:hAnsi="仿宋" w:eastAsia="仿宋" w:cs="仿宋"/>
          <w:color w:val="auto"/>
          <w:highlight w:val="none"/>
        </w:rPr>
        <w:t>；</w:t>
      </w:r>
    </w:p>
    <w:p w14:paraId="388B5D20">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highlight w:val="none"/>
          <w:lang w:eastAsia="zh-CN"/>
        </w:rPr>
        <w:t>开户行及账号：武义农商营业部201000196279614。</w:t>
      </w:r>
    </w:p>
    <w:p w14:paraId="0C915B89">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.在采购及合同执行过程中，供应商应承担由于其行为所造成的人身伤害、财产损失或损坏的责任，无论何种原因所造成的，采购人均不负责。</w:t>
      </w:r>
    </w:p>
    <w:bookmarkEnd w:id="96"/>
    <w:bookmarkEnd w:id="97"/>
    <w:bookmarkEnd w:id="98"/>
    <w:bookmarkEnd w:id="99"/>
    <w:bookmarkEnd w:id="100"/>
    <w:bookmarkEnd w:id="101"/>
    <w:bookmarkEnd w:id="102"/>
    <w:bookmarkEnd w:id="103"/>
    <w:p w14:paraId="51325CDC">
      <w:pPr>
        <w:pStyle w:val="6"/>
        <w:spacing w:line="420" w:lineRule="exact"/>
        <w:ind w:firstLine="562" w:firstLineChars="200"/>
        <w:rPr>
          <w:rFonts w:ascii="仿宋" w:hAnsi="仿宋" w:eastAsia="仿宋" w:cs="仿宋"/>
          <w:color w:val="auto"/>
          <w:highlight w:val="none"/>
        </w:rPr>
      </w:pPr>
      <w:bookmarkStart w:id="104" w:name="_Toc144974505"/>
      <w:bookmarkStart w:id="105" w:name="_Toc444093610"/>
      <w:bookmarkStart w:id="106" w:name="_Toc179632554"/>
      <w:bookmarkStart w:id="107" w:name="_Toc152042313"/>
      <w:bookmarkStart w:id="108" w:name="_Toc152045537"/>
      <w:bookmarkStart w:id="109" w:name="_Toc246996925"/>
      <w:bookmarkStart w:id="110" w:name="_Toc498955007"/>
      <w:bookmarkStart w:id="111" w:name="_Toc247085696"/>
      <w:bookmarkStart w:id="112" w:name="_Toc246996182"/>
      <w:bookmarkStart w:id="113" w:name="_Toc29319"/>
      <w:r>
        <w:rPr>
          <w:rFonts w:hint="eastAsia" w:ascii="仿宋" w:hAnsi="仿宋" w:eastAsia="仿宋" w:cs="仿宋"/>
          <w:color w:val="auto"/>
          <w:highlight w:val="none"/>
        </w:rPr>
        <w:t>（六）语言</w:t>
      </w:r>
      <w:bookmarkEnd w:id="104"/>
      <w:r>
        <w:rPr>
          <w:rFonts w:hint="eastAsia" w:ascii="仿宋" w:hAnsi="仿宋" w:eastAsia="仿宋" w:cs="仿宋"/>
          <w:color w:val="auto"/>
          <w:highlight w:val="none"/>
        </w:rPr>
        <w:t>文字</w:t>
      </w:r>
      <w:bookmarkEnd w:id="105"/>
      <w:bookmarkEnd w:id="106"/>
      <w:bookmarkEnd w:id="107"/>
      <w:bookmarkEnd w:id="108"/>
      <w:bookmarkEnd w:id="109"/>
      <w:bookmarkEnd w:id="110"/>
      <w:bookmarkEnd w:id="111"/>
      <w:bookmarkEnd w:id="112"/>
      <w:r>
        <w:rPr>
          <w:rFonts w:hint="eastAsia" w:ascii="仿宋" w:hAnsi="仿宋" w:eastAsia="仿宋" w:cs="仿宋"/>
          <w:color w:val="auto"/>
          <w:highlight w:val="none"/>
        </w:rPr>
        <w:t>和计量</w:t>
      </w:r>
      <w:bookmarkEnd w:id="113"/>
      <w:bookmarkStart w:id="114" w:name="_Toc246996183"/>
      <w:bookmarkStart w:id="115" w:name="_Toc152042314"/>
      <w:bookmarkStart w:id="116" w:name="_Toc247085697"/>
      <w:bookmarkStart w:id="117" w:name="_Toc179632555"/>
      <w:bookmarkStart w:id="118" w:name="_Toc246996926"/>
      <w:bookmarkStart w:id="119" w:name="_Toc152045538"/>
      <w:bookmarkStart w:id="120" w:name="_Toc444093611"/>
      <w:bookmarkStart w:id="121" w:name="_Toc498955008"/>
      <w:bookmarkStart w:id="122" w:name="_Toc144974506"/>
    </w:p>
    <w:p w14:paraId="5DE3E23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1.招标投标文件使用的语言文字为中文。专用术语使用外文的，应附有中文注释。</w:t>
      </w:r>
    </w:p>
    <w:p w14:paraId="5DB6B5FA">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2.投标计量单位，招标采购文件已有明确规定的，使用招标采购文件规定的计量单位；招标采购文件没有规定的，应采用中华人民共和国法定计量单位（货币单位：人民币元），否则视同未响应。</w:t>
      </w:r>
    </w:p>
    <w:p w14:paraId="669C3D2A">
      <w:pPr>
        <w:pStyle w:val="6"/>
        <w:spacing w:line="420" w:lineRule="exact"/>
        <w:ind w:firstLine="562" w:firstLineChars="200"/>
        <w:rPr>
          <w:rFonts w:ascii="仿宋" w:hAnsi="仿宋" w:eastAsia="仿宋" w:cs="仿宋"/>
          <w:color w:val="auto"/>
          <w:highlight w:val="none"/>
        </w:rPr>
      </w:pPr>
      <w:bookmarkStart w:id="123" w:name="_Toc31000"/>
      <w:r>
        <w:rPr>
          <w:rFonts w:hint="eastAsia" w:ascii="仿宋" w:hAnsi="仿宋" w:eastAsia="仿宋" w:cs="仿宋"/>
          <w:color w:val="auto"/>
          <w:highlight w:val="none"/>
        </w:rPr>
        <w:t>（七）计量单位</w:t>
      </w:r>
      <w:bookmarkEnd w:id="114"/>
      <w:bookmarkEnd w:id="115"/>
      <w:bookmarkEnd w:id="116"/>
      <w:bookmarkEnd w:id="117"/>
      <w:bookmarkEnd w:id="118"/>
      <w:bookmarkEnd w:id="119"/>
      <w:bookmarkEnd w:id="120"/>
      <w:bookmarkEnd w:id="121"/>
      <w:bookmarkEnd w:id="122"/>
      <w:bookmarkEnd w:id="123"/>
    </w:p>
    <w:p w14:paraId="7D1CCE2A">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所有计量均采用中华人民共和国法定计量单位。</w:t>
      </w:r>
    </w:p>
    <w:p w14:paraId="3DD9B748">
      <w:pPr>
        <w:pStyle w:val="6"/>
        <w:spacing w:line="420" w:lineRule="exact"/>
        <w:ind w:firstLine="562" w:firstLineChars="200"/>
        <w:rPr>
          <w:rFonts w:ascii="仿宋" w:hAnsi="仿宋" w:eastAsia="仿宋" w:cs="仿宋"/>
          <w:color w:val="auto"/>
          <w:highlight w:val="none"/>
        </w:rPr>
      </w:pPr>
      <w:bookmarkStart w:id="124" w:name="_Toc247592876"/>
      <w:bookmarkStart w:id="125" w:name="_Toc498955009"/>
      <w:bookmarkStart w:id="126" w:name="_Toc444093612"/>
      <w:bookmarkStart w:id="127" w:name="_Toc152042315"/>
      <w:bookmarkStart w:id="128" w:name="_Toc152045539"/>
      <w:bookmarkStart w:id="129" w:name="_Toc144974507"/>
      <w:bookmarkStart w:id="130" w:name="_Toc247513962"/>
      <w:bookmarkStart w:id="131" w:name="_Toc247527563"/>
      <w:bookmarkStart w:id="132" w:name="_Toc21016"/>
      <w:r>
        <w:rPr>
          <w:rFonts w:hint="eastAsia" w:ascii="仿宋" w:hAnsi="仿宋" w:eastAsia="仿宋" w:cs="仿宋"/>
          <w:color w:val="auto"/>
          <w:highlight w:val="none"/>
        </w:rPr>
        <w:t>（八）踏勘现场</w:t>
      </w:r>
      <w:bookmarkEnd w:id="124"/>
      <w:bookmarkEnd w:id="125"/>
      <w:bookmarkEnd w:id="126"/>
      <w:bookmarkEnd w:id="127"/>
      <w:bookmarkEnd w:id="128"/>
      <w:bookmarkEnd w:id="129"/>
      <w:bookmarkEnd w:id="130"/>
      <w:bookmarkEnd w:id="131"/>
      <w:bookmarkEnd w:id="132"/>
    </w:p>
    <w:p w14:paraId="24CEE2D9">
      <w:pPr>
        <w:snapToGrid w:val="0"/>
        <w:spacing w:line="420" w:lineRule="exact"/>
        <w:ind w:firstLine="480" w:firstLineChars="200"/>
        <w:jc w:val="left"/>
        <w:rPr>
          <w:rFonts w:ascii="仿宋" w:hAnsi="仿宋" w:eastAsia="仿宋" w:cs="仿宋"/>
          <w:color w:val="auto"/>
          <w:sz w:val="24"/>
          <w:highlight w:val="none"/>
        </w:rPr>
      </w:pPr>
      <w:bookmarkStart w:id="133" w:name="_Toc152045540"/>
      <w:bookmarkStart w:id="134" w:name="_Toc247592877"/>
      <w:bookmarkStart w:id="135" w:name="_Toc247513963"/>
      <w:bookmarkStart w:id="136" w:name="_Toc444093613"/>
      <w:bookmarkStart w:id="137" w:name="_Toc247527564"/>
      <w:bookmarkStart w:id="138" w:name="_Toc152042316"/>
      <w:bookmarkStart w:id="139" w:name="_Toc144974508"/>
      <w:r>
        <w:rPr>
          <w:rFonts w:hint="eastAsia" w:ascii="仿宋" w:hAnsi="仿宋" w:eastAsia="仿宋" w:cs="仿宋"/>
          <w:color w:val="auto"/>
          <w:sz w:val="24"/>
          <w:highlight w:val="none"/>
        </w:rPr>
        <w:t>1.投标人须知前附表规定组织踏勘现场的，采购人按投标人须知前附表规定的时间、地点组织投标人踏勘项目现场。部分投标人未按时参加踏勘现场的，不影响踏勘现场的正常进行。</w:t>
      </w:r>
    </w:p>
    <w:p w14:paraId="628EC904">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2.投标人踏勘现场发生的费用自理。</w:t>
      </w:r>
    </w:p>
    <w:p w14:paraId="14A24FAF">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3.除采购人的原因外，投标人自行负责在踏勘现场中所发生的人员伤亡和财产损失。</w:t>
      </w:r>
    </w:p>
    <w:p w14:paraId="1E9C9DE3">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4.采购人在踏勘现场中介绍的场地和相关的周边环境情况，供投标人在编制投标文件时参考，采购人不对投标人据此作出的判断和决策负责。</w:t>
      </w:r>
    </w:p>
    <w:bookmarkEnd w:id="133"/>
    <w:bookmarkEnd w:id="134"/>
    <w:bookmarkEnd w:id="135"/>
    <w:bookmarkEnd w:id="136"/>
    <w:bookmarkEnd w:id="137"/>
    <w:bookmarkEnd w:id="138"/>
    <w:bookmarkEnd w:id="139"/>
    <w:p w14:paraId="2FEDD606">
      <w:pPr>
        <w:pStyle w:val="6"/>
        <w:spacing w:line="420" w:lineRule="exact"/>
        <w:ind w:firstLine="562" w:firstLineChars="200"/>
        <w:rPr>
          <w:rFonts w:ascii="仿宋" w:hAnsi="仿宋" w:eastAsia="仿宋" w:cs="仿宋"/>
          <w:color w:val="auto"/>
          <w:highlight w:val="none"/>
        </w:rPr>
      </w:pPr>
      <w:bookmarkStart w:id="140" w:name="_Toc10673"/>
      <w:r>
        <w:rPr>
          <w:rFonts w:hint="eastAsia" w:ascii="仿宋" w:hAnsi="仿宋" w:eastAsia="仿宋" w:cs="仿宋"/>
          <w:color w:val="auto"/>
          <w:highlight w:val="none"/>
        </w:rPr>
        <w:t>（九）标前答疑会</w:t>
      </w:r>
      <w:bookmarkEnd w:id="140"/>
    </w:p>
    <w:p w14:paraId="6A1C9723">
      <w:pPr>
        <w:snapToGrid w:val="0"/>
        <w:spacing w:line="420" w:lineRule="exact"/>
        <w:ind w:firstLine="480" w:firstLineChars="200"/>
        <w:jc w:val="left"/>
        <w:rPr>
          <w:rFonts w:ascii="仿宋" w:hAnsi="仿宋" w:eastAsia="仿宋" w:cs="仿宋"/>
          <w:color w:val="auto"/>
          <w:sz w:val="24"/>
          <w:highlight w:val="none"/>
        </w:rPr>
      </w:pPr>
      <w:bookmarkStart w:id="141" w:name="_Toc444093614"/>
      <w:r>
        <w:rPr>
          <w:rFonts w:hint="eastAsia" w:ascii="仿宋" w:hAnsi="仿宋" w:eastAsia="仿宋" w:cs="仿宋"/>
          <w:color w:val="auto"/>
          <w:sz w:val="24"/>
          <w:highlight w:val="none"/>
        </w:rPr>
        <w:t>1.投标人须知前附表规定召开标前答疑会的，采购人按投标人须知前附表规定的时间和地点召开标前答疑会，澄清投标人提出的问题。</w:t>
      </w:r>
    </w:p>
    <w:p w14:paraId="0366523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2.投标人应按投标人须知前附表规定的时间和形式将提出的问题送达采购人，以便采购人在会议期间澄清。</w:t>
      </w:r>
    </w:p>
    <w:p w14:paraId="4B832049">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3.标前答疑会后，采购人将对投标人所提问题的澄清，以投标人须知前附表规定的形式通知潜在投标人。该澄清内容为招标采购文件的组成部分。</w:t>
      </w:r>
    </w:p>
    <w:bookmarkEnd w:id="141"/>
    <w:p w14:paraId="646ABC01">
      <w:pPr>
        <w:pStyle w:val="6"/>
        <w:spacing w:line="420" w:lineRule="exact"/>
        <w:ind w:firstLine="562" w:firstLineChars="200"/>
        <w:rPr>
          <w:rFonts w:ascii="仿宋" w:hAnsi="仿宋" w:eastAsia="仿宋" w:cs="仿宋"/>
          <w:color w:val="auto"/>
          <w:highlight w:val="none"/>
        </w:rPr>
      </w:pPr>
      <w:bookmarkStart w:id="142" w:name="_Toc498955011"/>
      <w:bookmarkStart w:id="143" w:name="_Toc16652"/>
      <w:r>
        <w:rPr>
          <w:rFonts w:hint="eastAsia" w:ascii="仿宋" w:hAnsi="仿宋" w:eastAsia="仿宋" w:cs="仿宋"/>
          <w:color w:val="auto"/>
          <w:highlight w:val="none"/>
        </w:rPr>
        <w:t>（十）转包与分包</w:t>
      </w:r>
      <w:bookmarkEnd w:id="142"/>
      <w:bookmarkEnd w:id="143"/>
      <w:bookmarkStart w:id="144" w:name="_Toc498955012"/>
    </w:p>
    <w:bookmarkEnd w:id="144"/>
    <w:p w14:paraId="0B3E7781">
      <w:pPr>
        <w:snapToGrid w:val="0"/>
        <w:spacing w:line="420" w:lineRule="exact"/>
        <w:ind w:firstLine="480" w:firstLineChars="200"/>
        <w:jc w:val="left"/>
        <w:rPr>
          <w:rFonts w:hint="eastAsia" w:ascii="仿宋" w:hAnsi="仿宋" w:eastAsia="仿宋" w:cs="仿宋"/>
          <w:color w:val="auto"/>
          <w:sz w:val="24"/>
          <w:highlight w:val="none"/>
        </w:rPr>
      </w:pPr>
      <w:bookmarkStart w:id="145" w:name="_Toc3769"/>
      <w:r>
        <w:rPr>
          <w:rFonts w:hint="eastAsia" w:ascii="仿宋" w:hAnsi="仿宋" w:eastAsia="仿宋" w:cs="仿宋"/>
          <w:color w:val="auto"/>
          <w:sz w:val="24"/>
          <w:highlight w:val="none"/>
        </w:rPr>
        <w:t>1.转包：见投标人须知前附表。</w:t>
      </w:r>
    </w:p>
    <w:p w14:paraId="67B6C25A">
      <w:pPr>
        <w:snapToGrid w:val="0"/>
        <w:spacing w:line="4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2.分包：见投标人须知前附表。</w:t>
      </w:r>
    </w:p>
    <w:p w14:paraId="50D29FC2">
      <w:pPr>
        <w:pStyle w:val="6"/>
        <w:spacing w:line="420" w:lineRule="exact"/>
        <w:ind w:firstLine="562" w:firstLineChars="200"/>
        <w:rPr>
          <w:rFonts w:ascii="仿宋" w:hAnsi="仿宋" w:eastAsia="仿宋" w:cs="仿宋"/>
          <w:color w:val="auto"/>
          <w:highlight w:val="none"/>
        </w:rPr>
      </w:pPr>
      <w:r>
        <w:rPr>
          <w:rFonts w:hint="eastAsia" w:ascii="仿宋" w:hAnsi="仿宋" w:eastAsia="仿宋" w:cs="仿宋"/>
          <w:color w:val="auto"/>
          <w:highlight w:val="none"/>
        </w:rPr>
        <w:t>（十一）特别说明</w:t>
      </w:r>
      <w:bookmarkEnd w:id="145"/>
    </w:p>
    <w:p w14:paraId="4FDEF4B0">
      <w:pPr>
        <w:pStyle w:val="18"/>
        <w:snapToGrid w:val="0"/>
        <w:spacing w:before="0" w:beforeLines="0" w:after="0" w:afterLines="0"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▲1.投标供应商投标所使用的资格、信誉、荣誉、业绩与企业认证必须为本法人所拥有。</w:t>
      </w:r>
    </w:p>
    <w:p w14:paraId="21C6D78F">
      <w:pPr>
        <w:pStyle w:val="18"/>
        <w:snapToGrid w:val="0"/>
        <w:spacing w:before="0" w:beforeLines="0" w:after="0" w:afterLines="0"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投标供应商应仔细阅读招标文件的所有内容，按照招标文件的要求提交投标文件。投标供应商必须对投标文件所提供的全部资料的真实性承担法律责任，并无条件接受采购代理机构、采购人及采购活动管理部门等对其中任何资料进行核实的要求。</w:t>
      </w:r>
    </w:p>
    <w:p w14:paraId="3DC37F3A">
      <w:pPr>
        <w:pStyle w:val="18"/>
        <w:snapToGrid w:val="0"/>
        <w:spacing w:before="0" w:beforeLines="0" w:after="0" w:afterLines="0"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▲3.投标供应商在投标活动中提供任何虚假材料,其投标无效，并报监管部门查处；中标后发现的, 中标人须依照《中华人民共和国消费者权益保护法》第 49 条之规定双倍赔偿采购人，且民事赔偿并不免除违法投标供应商的行政与刑事责任。</w:t>
      </w:r>
    </w:p>
    <w:p w14:paraId="1972666C">
      <w:pPr>
        <w:pStyle w:val="6"/>
        <w:spacing w:line="420" w:lineRule="exact"/>
        <w:ind w:firstLine="562" w:firstLineChars="200"/>
        <w:rPr>
          <w:rFonts w:ascii="仿宋" w:hAnsi="仿宋" w:eastAsia="仿宋" w:cs="仿宋"/>
          <w:color w:val="auto"/>
          <w:highlight w:val="none"/>
        </w:rPr>
      </w:pPr>
      <w:bookmarkStart w:id="146" w:name="_Toc24551"/>
      <w:bookmarkStart w:id="147" w:name="_Toc498955006"/>
      <w:r>
        <w:rPr>
          <w:rFonts w:hint="eastAsia" w:ascii="仿宋" w:hAnsi="仿宋" w:eastAsia="仿宋" w:cs="仿宋"/>
          <w:color w:val="auto"/>
          <w:highlight w:val="none"/>
        </w:rPr>
        <w:t>（十二）保密</w:t>
      </w:r>
      <w:bookmarkEnd w:id="146"/>
      <w:bookmarkEnd w:id="147"/>
    </w:p>
    <w:p w14:paraId="0184E80C">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1.本项目评标过程实行全程录音、录像监控，投标人在评标过程中所进行的试图影响评标结果的不公正活动，可能导致其投标被拒绝。</w:t>
      </w:r>
    </w:p>
    <w:p w14:paraId="5D2BDBE2">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2.参与招标投标活动的各方应对招标采购文件和投标文件中的商业和技术等秘密保密，否则应承担相应的法律责任。</w:t>
      </w:r>
    </w:p>
    <w:p w14:paraId="463C8AD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3.凡是与审查、澄清、评价和比较投标的有关资料以及授标建议等，采购人、评委、采购代理机构均不得向投标人或与评标无关的其他人员透露。</w:t>
      </w:r>
    </w:p>
    <w:p w14:paraId="0A88C1E4">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4.采购人和评标委员会不向未中标的投标人解释未中标原因，也不公布评标过程中的相关细节。</w:t>
      </w:r>
    </w:p>
    <w:p w14:paraId="7397461F">
      <w:pPr>
        <w:pStyle w:val="6"/>
        <w:spacing w:line="420" w:lineRule="exact"/>
        <w:ind w:firstLine="562" w:firstLineChars="200"/>
        <w:rPr>
          <w:rFonts w:ascii="仿宋" w:hAnsi="仿宋" w:eastAsia="仿宋" w:cs="仿宋"/>
          <w:color w:val="auto"/>
          <w:highlight w:val="none"/>
        </w:rPr>
      </w:pPr>
      <w:bookmarkStart w:id="148" w:name="_Toc7537"/>
      <w:r>
        <w:rPr>
          <w:rFonts w:hint="eastAsia" w:ascii="仿宋" w:hAnsi="仿宋" w:eastAsia="仿宋" w:cs="仿宋"/>
          <w:color w:val="auto"/>
          <w:highlight w:val="none"/>
        </w:rPr>
        <w:t>（十三）知识产权</w:t>
      </w:r>
      <w:bookmarkEnd w:id="148"/>
    </w:p>
    <w:p w14:paraId="741A1B83">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供应商须保证采购人在中华人民共和国境内使用投标资料、技术、服务或其任何一部分时，享有不受限制的无偿使用权，不会产生因第三方提出侵犯其专利权、商标权或其他知识产权而引起的法律或经济纠纷。如投标供应商不拥有相应的知识产权，则在投标报价中必须包括合法获取该知识产权的一切相关费用。如因此导致采购人损失的，投标供应商须承担全部赔偿责任。</w:t>
      </w:r>
    </w:p>
    <w:bookmarkEnd w:id="88"/>
    <w:bookmarkEnd w:id="89"/>
    <w:bookmarkEnd w:id="90"/>
    <w:bookmarkEnd w:id="91"/>
    <w:bookmarkEnd w:id="92"/>
    <w:bookmarkEnd w:id="93"/>
    <w:bookmarkEnd w:id="94"/>
    <w:bookmarkEnd w:id="95"/>
    <w:p w14:paraId="27EE0E47">
      <w:pPr>
        <w:pStyle w:val="5"/>
        <w:spacing w:line="420" w:lineRule="exact"/>
        <w:ind w:firstLine="562" w:firstLineChars="200"/>
        <w:rPr>
          <w:rFonts w:ascii="仿宋" w:hAnsi="仿宋" w:eastAsia="仿宋" w:cs="仿宋"/>
          <w:color w:val="auto"/>
          <w:highlight w:val="none"/>
        </w:rPr>
      </w:pPr>
      <w:bookmarkStart w:id="149" w:name="_Toc29320"/>
      <w:r>
        <w:rPr>
          <w:rFonts w:hint="eastAsia" w:ascii="仿宋" w:hAnsi="仿宋" w:eastAsia="仿宋" w:cs="仿宋"/>
          <w:color w:val="auto"/>
          <w:highlight w:val="none"/>
        </w:rPr>
        <w:t>二、招标采购文件</w:t>
      </w:r>
      <w:bookmarkEnd w:id="149"/>
    </w:p>
    <w:p w14:paraId="13937FAE">
      <w:pPr>
        <w:pStyle w:val="6"/>
        <w:spacing w:line="420" w:lineRule="exact"/>
        <w:ind w:firstLine="562" w:firstLineChars="200"/>
        <w:rPr>
          <w:rFonts w:ascii="仿宋" w:hAnsi="仿宋" w:eastAsia="仿宋" w:cs="仿宋"/>
          <w:color w:val="auto"/>
          <w:highlight w:val="none"/>
        </w:rPr>
      </w:pPr>
      <w:bookmarkStart w:id="150" w:name="_Toc444093616"/>
      <w:bookmarkStart w:id="151" w:name="_Toc144974511"/>
      <w:bookmarkStart w:id="152" w:name="_Toc247085702"/>
      <w:bookmarkStart w:id="153" w:name="_Toc152045543"/>
      <w:bookmarkStart w:id="154" w:name="_Toc498955014"/>
      <w:bookmarkStart w:id="155" w:name="_Toc246996188"/>
      <w:bookmarkStart w:id="156" w:name="_Toc246996931"/>
      <w:bookmarkStart w:id="157" w:name="_Toc179632561"/>
      <w:bookmarkStart w:id="158" w:name="_Toc10065"/>
      <w:bookmarkStart w:id="159" w:name="_Toc152042319"/>
      <w:r>
        <w:rPr>
          <w:rFonts w:hint="eastAsia" w:ascii="仿宋" w:hAnsi="仿宋" w:eastAsia="仿宋" w:cs="仿宋"/>
          <w:color w:val="auto"/>
          <w:highlight w:val="none"/>
        </w:rPr>
        <w:t>（一）招标采购文件的组成</w:t>
      </w:r>
      <w:bookmarkEnd w:id="150"/>
      <w:bookmarkEnd w:id="151"/>
      <w:bookmarkEnd w:id="152"/>
      <w:bookmarkEnd w:id="153"/>
      <w:bookmarkEnd w:id="154"/>
      <w:bookmarkEnd w:id="155"/>
      <w:bookmarkEnd w:id="156"/>
      <w:bookmarkEnd w:id="157"/>
      <w:bookmarkEnd w:id="158"/>
      <w:bookmarkEnd w:id="159"/>
    </w:p>
    <w:p w14:paraId="5D654416">
      <w:pPr>
        <w:snapToGrid w:val="0"/>
        <w:spacing w:line="420" w:lineRule="exact"/>
        <w:ind w:firstLine="480" w:firstLineChars="200"/>
        <w:jc w:val="left"/>
        <w:rPr>
          <w:rFonts w:ascii="仿宋" w:hAnsi="仿宋" w:eastAsia="仿宋" w:cs="仿宋"/>
          <w:color w:val="auto"/>
          <w:sz w:val="24"/>
          <w:highlight w:val="none"/>
        </w:rPr>
      </w:pPr>
      <w:bookmarkStart w:id="160" w:name="_Toc246996932"/>
      <w:bookmarkStart w:id="161" w:name="_Toc179632562"/>
      <w:bookmarkStart w:id="162" w:name="_Toc144974512"/>
      <w:bookmarkStart w:id="163" w:name="_Toc247085703"/>
      <w:bookmarkStart w:id="164" w:name="_Toc152045544"/>
      <w:bookmarkStart w:id="165" w:name="_Toc152042320"/>
      <w:bookmarkStart w:id="166" w:name="_Toc246996189"/>
      <w:bookmarkStart w:id="167" w:name="_Toc444093617"/>
      <w:r>
        <w:rPr>
          <w:rFonts w:hint="eastAsia" w:ascii="仿宋" w:hAnsi="仿宋" w:eastAsia="仿宋" w:cs="仿宋"/>
          <w:color w:val="auto"/>
          <w:sz w:val="24"/>
          <w:highlight w:val="none"/>
        </w:rPr>
        <w:t>本招标采购文件包括：</w:t>
      </w:r>
    </w:p>
    <w:p w14:paraId="4ACA68F3">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1.招标公告；</w:t>
      </w:r>
    </w:p>
    <w:p w14:paraId="60F855EC">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2.投标人须知；</w:t>
      </w:r>
    </w:p>
    <w:p w14:paraId="5D27F5B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3.招标采购需求；</w:t>
      </w:r>
    </w:p>
    <w:p w14:paraId="2B0B1AC4">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4.合同主要条款</w:t>
      </w:r>
      <w:r>
        <w:rPr>
          <w:rFonts w:hint="eastAsia" w:ascii="仿宋" w:hAnsi="仿宋" w:eastAsia="仿宋" w:cs="仿宋"/>
          <w:color w:val="auto"/>
          <w:sz w:val="24"/>
          <w:highlight w:val="none"/>
          <w:lang w:val="en-US" w:eastAsia="zh-CN"/>
        </w:rPr>
        <w:t>及格式</w:t>
      </w:r>
      <w:r>
        <w:rPr>
          <w:rFonts w:hint="eastAsia" w:ascii="仿宋" w:hAnsi="仿宋" w:eastAsia="仿宋" w:cs="仿宋"/>
          <w:color w:val="auto"/>
          <w:sz w:val="24"/>
          <w:highlight w:val="none"/>
        </w:rPr>
        <w:t>；</w:t>
      </w:r>
    </w:p>
    <w:p w14:paraId="527A1AE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5.评标办法；</w:t>
      </w:r>
    </w:p>
    <w:p w14:paraId="3A38518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6.投标文件格式；</w:t>
      </w:r>
    </w:p>
    <w:p w14:paraId="27B6705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7.投标人须知前附表规定的其他资料；</w:t>
      </w:r>
    </w:p>
    <w:p w14:paraId="7B3CF43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8.本项目招标采购文件的更正、澄清、修改的内容，构成招标采购文件的组成部分。</w:t>
      </w:r>
    </w:p>
    <w:p w14:paraId="00A3BC64">
      <w:pPr>
        <w:pStyle w:val="6"/>
        <w:spacing w:line="420" w:lineRule="exact"/>
        <w:ind w:firstLine="562" w:firstLineChars="200"/>
        <w:rPr>
          <w:rFonts w:ascii="仿宋" w:hAnsi="仿宋" w:eastAsia="仿宋" w:cs="仿宋"/>
          <w:color w:val="auto"/>
          <w:highlight w:val="none"/>
        </w:rPr>
      </w:pPr>
      <w:bookmarkStart w:id="168" w:name="_Toc5433"/>
      <w:r>
        <w:rPr>
          <w:rFonts w:hint="eastAsia" w:ascii="仿宋" w:hAnsi="仿宋" w:eastAsia="仿宋" w:cs="仿宋"/>
          <w:color w:val="auto"/>
          <w:highlight w:val="none"/>
        </w:rPr>
        <w:t>（二）投标人的风险</w:t>
      </w:r>
      <w:bookmarkEnd w:id="168"/>
    </w:p>
    <w:p w14:paraId="5BEF69D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投标人未按照招标采购文件要求提供全部资料，或者投标人未对招标采购文件在各方面作出实质性响应是投标人的风险，并可能导致其投标被拒绝。</w:t>
      </w:r>
      <w:bookmarkEnd w:id="160"/>
      <w:bookmarkEnd w:id="161"/>
      <w:bookmarkEnd w:id="162"/>
      <w:bookmarkEnd w:id="163"/>
      <w:bookmarkEnd w:id="164"/>
      <w:bookmarkEnd w:id="165"/>
      <w:bookmarkEnd w:id="166"/>
      <w:bookmarkEnd w:id="167"/>
    </w:p>
    <w:p w14:paraId="433765B8">
      <w:pPr>
        <w:pStyle w:val="6"/>
        <w:spacing w:line="420" w:lineRule="exact"/>
        <w:ind w:firstLine="562" w:firstLineChars="200"/>
        <w:rPr>
          <w:rFonts w:ascii="仿宋" w:hAnsi="仿宋" w:eastAsia="仿宋" w:cs="仿宋"/>
          <w:color w:val="auto"/>
          <w:highlight w:val="none"/>
        </w:rPr>
      </w:pPr>
      <w:bookmarkStart w:id="169" w:name="_Toc28010"/>
      <w:r>
        <w:rPr>
          <w:rFonts w:hint="eastAsia" w:ascii="仿宋" w:hAnsi="仿宋" w:eastAsia="仿宋" w:cs="仿宋"/>
          <w:color w:val="auto"/>
          <w:highlight w:val="none"/>
        </w:rPr>
        <w:t>（三）招标采购文件的澄清与修改</w:t>
      </w:r>
      <w:bookmarkEnd w:id="169"/>
    </w:p>
    <w:p w14:paraId="6AE6D0D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应认真阅读本招标采购文件，发现其中有误或有不合理要求的，投标人必须在投标人须知前附表规定的时间前以书面形式要求采购代理机构澄清。采购代理机构对已发出的招标采购文件进行必要更正、澄清、修改的，应当在招标采购文件要求提交投标文件截止时间15日前，浙江政府采购网或武义县公共资源交易网发布更正公告。</w:t>
      </w:r>
    </w:p>
    <w:p w14:paraId="7BFDEFB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2.采购代理机构必须以网上发布公告的形式答复投标人要求澄清的问题，并将不包含问题来源的答复书面通知潜在投标人；除网上发布公告形式的答复以外的其他澄清方式及澄清内容均无效。</w:t>
      </w:r>
    </w:p>
    <w:p w14:paraId="7504973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3.招标采购文件更正、澄清、修改的内容为招标采购文件的组成部分。当招标采购文件与招标采购文件的更正、澄清、修改内容就同一内容的表述不一致时，以最后发出的公告为准。</w:t>
      </w:r>
    </w:p>
    <w:p w14:paraId="059F90F2">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4.招标采购文件的更正、澄清、修改都应该通过采购代理机构以法定形式发布，采购人非通过采购代理机构，不得擅自更正、澄清、修改招标采购文件。</w:t>
      </w:r>
    </w:p>
    <w:p w14:paraId="27D6076A">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5.采购人可以视采购具体情况，延长投标截止时间和开标时间，并依法在招标采购文件要求提交投标文件的截止时间5日前，将变更时间在浙江政府采购网或武义县公共资源交易网上发布变更公告。</w:t>
      </w:r>
      <w:bookmarkStart w:id="170" w:name="_Toc179632564"/>
      <w:bookmarkStart w:id="171" w:name="_Toc247085705"/>
      <w:bookmarkStart w:id="172" w:name="_Toc144974514"/>
      <w:bookmarkStart w:id="173" w:name="_Toc246996934"/>
      <w:bookmarkStart w:id="174" w:name="_Toc444093619"/>
      <w:bookmarkStart w:id="175" w:name="_Toc246996191"/>
      <w:bookmarkStart w:id="176" w:name="_Toc498955018"/>
      <w:bookmarkStart w:id="177" w:name="_Toc152045546"/>
      <w:bookmarkStart w:id="178" w:name="_Toc152042322"/>
    </w:p>
    <w:bookmarkEnd w:id="170"/>
    <w:bookmarkEnd w:id="171"/>
    <w:bookmarkEnd w:id="172"/>
    <w:bookmarkEnd w:id="173"/>
    <w:bookmarkEnd w:id="174"/>
    <w:bookmarkEnd w:id="175"/>
    <w:bookmarkEnd w:id="176"/>
    <w:bookmarkEnd w:id="177"/>
    <w:bookmarkEnd w:id="178"/>
    <w:p w14:paraId="3F00DA86">
      <w:pPr>
        <w:pStyle w:val="5"/>
        <w:spacing w:line="420" w:lineRule="exact"/>
        <w:ind w:firstLine="562" w:firstLineChars="200"/>
        <w:rPr>
          <w:rFonts w:ascii="仿宋" w:hAnsi="仿宋" w:eastAsia="仿宋" w:cs="仿宋"/>
          <w:color w:val="auto"/>
          <w:highlight w:val="none"/>
        </w:rPr>
      </w:pPr>
      <w:bookmarkStart w:id="179" w:name="_Toc27402"/>
      <w:r>
        <w:rPr>
          <w:rFonts w:hint="eastAsia" w:ascii="仿宋" w:hAnsi="仿宋" w:eastAsia="仿宋" w:cs="仿宋"/>
          <w:color w:val="auto"/>
          <w:highlight w:val="none"/>
        </w:rPr>
        <w:t>三、投标文件</w:t>
      </w:r>
      <w:bookmarkEnd w:id="179"/>
    </w:p>
    <w:p w14:paraId="716303DB">
      <w:pPr>
        <w:pStyle w:val="6"/>
        <w:spacing w:line="420" w:lineRule="exact"/>
        <w:ind w:firstLine="562" w:firstLineChars="200"/>
        <w:rPr>
          <w:rFonts w:ascii="仿宋" w:hAnsi="仿宋" w:eastAsia="仿宋" w:cs="仿宋"/>
          <w:color w:val="auto"/>
          <w:highlight w:val="none"/>
        </w:rPr>
      </w:pPr>
      <w:bookmarkStart w:id="180" w:name="_Toc23494"/>
      <w:r>
        <w:rPr>
          <w:rFonts w:hint="eastAsia" w:ascii="仿宋" w:hAnsi="仿宋" w:eastAsia="仿宋" w:cs="仿宋"/>
          <w:color w:val="auto"/>
          <w:highlight w:val="none"/>
        </w:rPr>
        <w:t>（一）投标文件的组成</w:t>
      </w:r>
      <w:bookmarkEnd w:id="180"/>
      <w:bookmarkStart w:id="181" w:name="_Toc444093620"/>
      <w:bookmarkStart w:id="182" w:name="_Toc246996935"/>
      <w:bookmarkStart w:id="183" w:name="_Toc179632565"/>
      <w:bookmarkStart w:id="184" w:name="_Toc152042323"/>
      <w:bookmarkStart w:id="185" w:name="_Toc498955019"/>
      <w:bookmarkStart w:id="186" w:name="_Toc246996192"/>
      <w:bookmarkStart w:id="187" w:name="_Toc144974515"/>
      <w:bookmarkStart w:id="188" w:name="_Toc152045547"/>
      <w:bookmarkStart w:id="189" w:name="_Toc247085706"/>
      <w:bookmarkStart w:id="190" w:name="_Toc144974516"/>
      <w:bookmarkStart w:id="191" w:name="_Toc246996193"/>
      <w:bookmarkStart w:id="192" w:name="_Toc444093621"/>
      <w:bookmarkStart w:id="193" w:name="_Toc247085707"/>
      <w:bookmarkStart w:id="194" w:name="_Toc498955020"/>
      <w:bookmarkStart w:id="195" w:name="_Toc179632566"/>
      <w:bookmarkStart w:id="196" w:name="_Toc152045548"/>
      <w:bookmarkStart w:id="197" w:name="_Toc246996936"/>
      <w:bookmarkStart w:id="198" w:name="_Toc152042324"/>
    </w:p>
    <w:p w14:paraId="21E8550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投标文件的组成</w:t>
      </w:r>
      <w:bookmarkEnd w:id="181"/>
      <w:bookmarkEnd w:id="182"/>
      <w:bookmarkEnd w:id="183"/>
      <w:bookmarkEnd w:id="184"/>
      <w:bookmarkEnd w:id="185"/>
      <w:bookmarkEnd w:id="186"/>
      <w:bookmarkEnd w:id="187"/>
      <w:bookmarkEnd w:id="188"/>
      <w:bookmarkEnd w:id="189"/>
      <w:r>
        <w:rPr>
          <w:rFonts w:hint="eastAsia" w:ascii="仿宋" w:hAnsi="仿宋" w:eastAsia="仿宋" w:cs="仿宋"/>
          <w:color w:val="auto"/>
          <w:sz w:val="24"/>
          <w:highlight w:val="none"/>
        </w:rPr>
        <w:t>在投标人须知前附表中载明；投标人在评标过程中作出的符合法律法规和招标采购文件规定的澄清确认，构成投标文件的组成部分。</w:t>
      </w:r>
    </w:p>
    <w:p w14:paraId="4E3D78EF">
      <w:pPr>
        <w:pStyle w:val="6"/>
        <w:spacing w:line="420" w:lineRule="exact"/>
        <w:ind w:firstLine="562" w:firstLineChars="200"/>
        <w:rPr>
          <w:rFonts w:ascii="仿宋" w:hAnsi="仿宋" w:eastAsia="仿宋" w:cs="仿宋"/>
          <w:color w:val="auto"/>
          <w:highlight w:val="none"/>
        </w:rPr>
      </w:pPr>
      <w:bookmarkStart w:id="199" w:name="_Toc6190"/>
      <w:r>
        <w:rPr>
          <w:rFonts w:hint="eastAsia" w:ascii="仿宋" w:hAnsi="仿宋" w:eastAsia="仿宋" w:cs="仿宋"/>
          <w:color w:val="auto"/>
          <w:highlight w:val="none"/>
        </w:rPr>
        <w:t>（二）投标报价</w:t>
      </w:r>
      <w:bookmarkEnd w:id="190"/>
      <w:bookmarkEnd w:id="191"/>
      <w:bookmarkEnd w:id="192"/>
      <w:bookmarkEnd w:id="193"/>
      <w:bookmarkEnd w:id="194"/>
      <w:bookmarkEnd w:id="195"/>
      <w:bookmarkEnd w:id="196"/>
      <w:bookmarkEnd w:id="197"/>
      <w:bookmarkEnd w:id="198"/>
      <w:bookmarkEnd w:id="199"/>
      <w:bookmarkStart w:id="200" w:name="_Toc246996194"/>
      <w:bookmarkStart w:id="201" w:name="_Toc444093622"/>
      <w:bookmarkStart w:id="202" w:name="_Toc498955021"/>
      <w:bookmarkStart w:id="203" w:name="_Toc247085708"/>
      <w:bookmarkStart w:id="204" w:name="_Toc152042325"/>
      <w:bookmarkStart w:id="205" w:name="_Toc152045549"/>
      <w:bookmarkStart w:id="206" w:name="_Toc144974517"/>
      <w:bookmarkStart w:id="207" w:name="_Toc246996937"/>
      <w:bookmarkStart w:id="208" w:name="_Toc179632567"/>
      <w:r>
        <w:rPr>
          <w:rFonts w:hint="eastAsia" w:ascii="仿宋" w:hAnsi="仿宋" w:eastAsia="仿宋" w:cs="仿宋"/>
          <w:color w:val="auto"/>
          <w:highlight w:val="none"/>
        </w:rPr>
        <w:t xml:space="preserve"> </w:t>
      </w:r>
    </w:p>
    <w:p w14:paraId="3F9039E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1.投标报价应包括国家规定的增值税税金，除投标人须知前附表另有规定外。</w:t>
      </w:r>
    </w:p>
    <w:p w14:paraId="60BFAFA0">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2.投标人应充分了解该项目的总体情况以及影响投标报价的其他要素。</w:t>
      </w:r>
    </w:p>
    <w:p w14:paraId="3932EF8B">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3.本项目的报价方式见投标人须知前附表。投标人在投标截止时间前修改报价一览表中的投标报价，应同时修改投标文件“清单报价”中的相应报价。</w:t>
      </w:r>
    </w:p>
    <w:p w14:paraId="3AF5287A">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4.采购人设有最高限价的，投标人的投标报价不得超过最高限价，最高限价在投标人须知前附表中载明。</w:t>
      </w:r>
    </w:p>
    <w:p w14:paraId="40656F37">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5.投标报价的其他要求见投标人须知前附表。</w:t>
      </w:r>
    </w:p>
    <w:p w14:paraId="0C2EB8D0">
      <w:pPr>
        <w:pStyle w:val="6"/>
        <w:spacing w:line="420" w:lineRule="exact"/>
        <w:ind w:firstLine="562" w:firstLineChars="200"/>
        <w:rPr>
          <w:rFonts w:ascii="仿宋" w:hAnsi="仿宋" w:eastAsia="仿宋" w:cs="仿宋"/>
          <w:color w:val="auto"/>
          <w:highlight w:val="none"/>
        </w:rPr>
      </w:pPr>
      <w:bookmarkStart w:id="209" w:name="_Toc5330"/>
      <w:r>
        <w:rPr>
          <w:rFonts w:hint="eastAsia" w:ascii="仿宋" w:hAnsi="仿宋" w:eastAsia="仿宋" w:cs="仿宋"/>
          <w:color w:val="auto"/>
          <w:highlight w:val="none"/>
        </w:rPr>
        <w:t>（三）投标有效期</w:t>
      </w:r>
      <w:bookmarkEnd w:id="200"/>
      <w:bookmarkEnd w:id="201"/>
      <w:bookmarkEnd w:id="202"/>
      <w:bookmarkEnd w:id="203"/>
      <w:bookmarkEnd w:id="204"/>
      <w:bookmarkEnd w:id="205"/>
      <w:bookmarkEnd w:id="206"/>
      <w:bookmarkEnd w:id="207"/>
      <w:bookmarkEnd w:id="208"/>
      <w:bookmarkEnd w:id="209"/>
    </w:p>
    <w:p w14:paraId="0CFA4BBF">
      <w:pPr>
        <w:spacing w:line="420" w:lineRule="exact"/>
        <w:ind w:firstLine="480" w:firstLineChars="200"/>
        <w:rPr>
          <w:rFonts w:ascii="仿宋" w:hAnsi="仿宋" w:eastAsia="仿宋" w:cs="仿宋"/>
          <w:color w:val="auto"/>
          <w:sz w:val="24"/>
          <w:highlight w:val="none"/>
        </w:rPr>
      </w:pPr>
      <w:bookmarkStart w:id="210" w:name="_Toc246996195"/>
      <w:bookmarkStart w:id="211" w:name="_Toc246996938"/>
      <w:bookmarkStart w:id="212" w:name="_Toc498955022"/>
      <w:bookmarkStart w:id="213" w:name="_Toc152042326"/>
      <w:bookmarkStart w:id="214" w:name="_Toc179632568"/>
      <w:bookmarkStart w:id="215" w:name="_Toc444093623"/>
      <w:bookmarkStart w:id="216" w:name="_Toc247085709"/>
      <w:bookmarkStart w:id="217" w:name="_Toc152045550"/>
      <w:bookmarkStart w:id="218" w:name="_Toc144974518"/>
      <w:r>
        <w:rPr>
          <w:rFonts w:hint="eastAsia" w:ascii="仿宋" w:hAnsi="仿宋" w:eastAsia="仿宋" w:cs="仿宋"/>
          <w:color w:val="auto"/>
          <w:sz w:val="24"/>
          <w:highlight w:val="none"/>
        </w:rPr>
        <w:t>1.除投标人须知前附表另有规定外，投标有效期为 90 天。</w:t>
      </w:r>
    </w:p>
    <w:p w14:paraId="23BE020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2.在投标有效期内，投标人撤销投标文件的，应承担招标采购文件和法律规定的责任。</w:t>
      </w:r>
    </w:p>
    <w:p w14:paraId="1390088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3.出现特殊情况需要延长投标有效期的，采购人以书面形式通知所有投标人延长投标有效期。投标人应予以书面答复，同意延长但不得要求或被允许修改其投标文件；投标人拒绝延长的，其投标失效。</w:t>
      </w:r>
    </w:p>
    <w:p w14:paraId="0C7856B8">
      <w:pPr>
        <w:pStyle w:val="6"/>
        <w:spacing w:line="420" w:lineRule="exact"/>
        <w:ind w:firstLine="562" w:firstLineChars="200"/>
        <w:rPr>
          <w:rFonts w:ascii="仿宋" w:hAnsi="仿宋" w:eastAsia="仿宋" w:cs="仿宋"/>
          <w:color w:val="auto"/>
          <w:highlight w:val="none"/>
        </w:rPr>
      </w:pPr>
      <w:bookmarkStart w:id="219" w:name="_Toc12352"/>
      <w:r>
        <w:rPr>
          <w:rFonts w:hint="eastAsia" w:ascii="仿宋" w:hAnsi="仿宋" w:eastAsia="仿宋" w:cs="仿宋"/>
          <w:color w:val="auto"/>
          <w:highlight w:val="none"/>
        </w:rPr>
        <w:t>（四）投标保证金</w:t>
      </w:r>
      <w:bookmarkEnd w:id="210"/>
      <w:bookmarkEnd w:id="211"/>
      <w:bookmarkEnd w:id="212"/>
      <w:bookmarkEnd w:id="213"/>
      <w:bookmarkEnd w:id="214"/>
      <w:bookmarkEnd w:id="215"/>
      <w:bookmarkEnd w:id="216"/>
      <w:bookmarkEnd w:id="217"/>
      <w:bookmarkEnd w:id="218"/>
      <w:bookmarkEnd w:id="219"/>
      <w:r>
        <w:rPr>
          <w:rFonts w:hint="eastAsia" w:ascii="仿宋" w:hAnsi="仿宋" w:eastAsia="仿宋" w:cs="仿宋"/>
          <w:color w:val="auto"/>
          <w:highlight w:val="none"/>
        </w:rPr>
        <w:t>（本项目不适用）</w:t>
      </w:r>
    </w:p>
    <w:p w14:paraId="04D81741">
      <w:pPr>
        <w:pStyle w:val="6"/>
        <w:spacing w:line="420" w:lineRule="exact"/>
        <w:ind w:firstLine="562" w:firstLineChars="200"/>
        <w:rPr>
          <w:rFonts w:ascii="仿宋" w:hAnsi="仿宋" w:eastAsia="仿宋" w:cs="仿宋"/>
          <w:color w:val="auto"/>
          <w:highlight w:val="none"/>
        </w:rPr>
      </w:pPr>
      <w:bookmarkStart w:id="220" w:name="_Toc490652487"/>
      <w:bookmarkStart w:id="221" w:name="_Toc516904472"/>
      <w:bookmarkStart w:id="222" w:name="_Toc29978"/>
      <w:bookmarkStart w:id="223" w:name="_Toc516904560"/>
      <w:r>
        <w:rPr>
          <w:rFonts w:hint="eastAsia" w:ascii="仿宋" w:hAnsi="仿宋" w:eastAsia="仿宋" w:cs="仿宋"/>
          <w:color w:val="auto"/>
          <w:highlight w:val="none"/>
        </w:rPr>
        <w:t>（五）资格审查资料</w:t>
      </w:r>
      <w:bookmarkEnd w:id="220"/>
      <w:bookmarkEnd w:id="221"/>
      <w:bookmarkEnd w:id="222"/>
      <w:bookmarkEnd w:id="223"/>
    </w:p>
    <w:p w14:paraId="07D8DE7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投标人应按要求提交资格文件及符合招标文件规定的文件。</w:t>
      </w:r>
    </w:p>
    <w:p w14:paraId="472982FC">
      <w:pPr>
        <w:pStyle w:val="6"/>
        <w:spacing w:line="420" w:lineRule="exact"/>
        <w:ind w:firstLine="562" w:firstLineChars="200"/>
        <w:rPr>
          <w:rFonts w:ascii="仿宋" w:hAnsi="仿宋" w:eastAsia="仿宋" w:cs="仿宋"/>
          <w:color w:val="auto"/>
          <w:highlight w:val="none"/>
        </w:rPr>
      </w:pPr>
      <w:bookmarkStart w:id="224" w:name="_Toc16270"/>
      <w:bookmarkStart w:id="225" w:name="_Toc152045553"/>
      <w:bookmarkStart w:id="226" w:name="_Toc247085711"/>
      <w:bookmarkStart w:id="227" w:name="_Toc246996197"/>
      <w:bookmarkStart w:id="228" w:name="_Toc444093625"/>
      <w:bookmarkStart w:id="229" w:name="_Toc152042329"/>
      <w:bookmarkStart w:id="230" w:name="_Toc246996940"/>
      <w:bookmarkStart w:id="231" w:name="_Toc179632571"/>
      <w:bookmarkStart w:id="232" w:name="_Toc144974521"/>
      <w:bookmarkStart w:id="233" w:name="_Toc498955025"/>
      <w:r>
        <w:rPr>
          <w:rFonts w:hint="eastAsia" w:ascii="仿宋" w:hAnsi="仿宋" w:eastAsia="仿宋" w:cs="仿宋"/>
          <w:color w:val="auto"/>
          <w:highlight w:val="none"/>
        </w:rPr>
        <w:t>（六）投标文件的编制</w:t>
      </w:r>
      <w:bookmarkEnd w:id="224"/>
    </w:p>
    <w:p w14:paraId="60689729">
      <w:pPr>
        <w:spacing w:line="420" w:lineRule="exact"/>
        <w:ind w:firstLine="480" w:firstLineChars="200"/>
        <w:rPr>
          <w:rFonts w:ascii="仿宋" w:hAnsi="仿宋" w:eastAsia="仿宋" w:cs="仿宋"/>
          <w:color w:val="auto"/>
          <w:sz w:val="24"/>
          <w:highlight w:val="none"/>
        </w:rPr>
      </w:pPr>
      <w:bookmarkStart w:id="234" w:name="_Toc14577355"/>
      <w:bookmarkStart w:id="235" w:name="_Toc49090508"/>
      <w:r>
        <w:rPr>
          <w:rFonts w:hint="eastAsia" w:ascii="仿宋" w:hAnsi="仿宋" w:eastAsia="仿宋" w:cs="仿宋"/>
          <w:color w:val="auto"/>
          <w:sz w:val="24"/>
          <w:highlight w:val="none"/>
        </w:rPr>
        <w:t>1.投标文件（资格文件、商务技术文件和报价文件）应按第六章“投标文件格式”</w:t>
      </w:r>
      <w:r>
        <w:rPr>
          <w:rFonts w:hint="eastAsia" w:ascii="仿宋" w:hAnsi="仿宋" w:eastAsia="仿宋" w:cs="仿宋"/>
          <w:color w:val="auto"/>
          <w:sz w:val="24"/>
          <w:highlight w:val="none"/>
          <w:lang w:eastAsia="zh-CN"/>
        </w:rPr>
        <w:t>及 “乐采云电子投标客户端”软件</w:t>
      </w:r>
      <w:r>
        <w:rPr>
          <w:rFonts w:hint="eastAsia" w:ascii="仿宋" w:hAnsi="仿宋" w:eastAsia="仿宋" w:cs="仿宋"/>
          <w:color w:val="auto"/>
          <w:sz w:val="24"/>
          <w:highlight w:val="none"/>
        </w:rPr>
        <w:t>进行编写，如有必要，可以增加附页，作为投标文件的组成部分。在满足招标采购文件实质性要求的基础上，可以提出比招标采购文件要求更有利于采购人的承诺。</w:t>
      </w:r>
    </w:p>
    <w:p w14:paraId="222B6EC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2.投标文件应当对招标采购文件有关服务期限、投标有效期、采购人要求、招标范围等实质性内容作出响应。</w:t>
      </w:r>
    </w:p>
    <w:p w14:paraId="333F7D2E">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3.投标文件（资格文件、商务技术文件和报价文件）份数见投标人须知前附表。</w:t>
      </w:r>
    </w:p>
    <w:p w14:paraId="1874531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4.投标文件（资格文件、商务技术文件和报价文件）应分别制作，并编制目录和页码。投标文件需具体要求见投标人须知前附表规定。</w:t>
      </w:r>
    </w:p>
    <w:p w14:paraId="7A8D4D56">
      <w:pPr>
        <w:pStyle w:val="6"/>
        <w:spacing w:line="420" w:lineRule="exact"/>
        <w:ind w:firstLine="562" w:firstLineChars="200"/>
        <w:rPr>
          <w:rFonts w:ascii="仿宋" w:hAnsi="仿宋" w:eastAsia="仿宋" w:cs="仿宋"/>
          <w:color w:val="auto"/>
          <w:highlight w:val="none"/>
        </w:rPr>
      </w:pPr>
      <w:bookmarkStart w:id="236" w:name="_Toc14812"/>
      <w:r>
        <w:rPr>
          <w:rFonts w:hint="eastAsia" w:ascii="仿宋" w:hAnsi="仿宋" w:eastAsia="仿宋" w:cs="仿宋"/>
          <w:color w:val="auto"/>
          <w:highlight w:val="none"/>
        </w:rPr>
        <w:t>（七）投标产品配置与分项报价</w:t>
      </w:r>
      <w:bookmarkEnd w:id="234"/>
      <w:bookmarkStart w:id="237" w:name="_Hlt26670373"/>
      <w:bookmarkEnd w:id="237"/>
      <w:r>
        <w:rPr>
          <w:rFonts w:hint="eastAsia" w:ascii="仿宋" w:hAnsi="仿宋" w:eastAsia="仿宋" w:cs="仿宋"/>
          <w:color w:val="auto"/>
          <w:highlight w:val="none"/>
        </w:rPr>
        <w:t>表</w:t>
      </w:r>
      <w:bookmarkEnd w:id="235"/>
      <w:bookmarkEnd w:id="236"/>
    </w:p>
    <w:p w14:paraId="13BE5AB6">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w:t>
      </w:r>
      <w:bookmarkStart w:id="238" w:name="_Hlt26954840"/>
      <w:bookmarkEnd w:id="238"/>
      <w:r>
        <w:rPr>
          <w:rFonts w:hint="eastAsia" w:ascii="仿宋" w:hAnsi="仿宋" w:eastAsia="仿宋" w:cs="仿宋"/>
          <w:color w:val="auto"/>
          <w:sz w:val="24"/>
          <w:highlight w:val="none"/>
        </w:rPr>
        <w:t>标人应按照招标文件规定格式填报投标产品配置与分项报价表</w:t>
      </w:r>
      <w:bookmarkStart w:id="239" w:name="_Hlt26670399"/>
      <w:bookmarkEnd w:id="239"/>
      <w:r>
        <w:rPr>
          <w:rFonts w:hint="eastAsia" w:ascii="仿宋" w:hAnsi="仿宋" w:eastAsia="仿宋" w:cs="仿宋"/>
          <w:color w:val="auto"/>
          <w:sz w:val="24"/>
          <w:highlight w:val="none"/>
        </w:rPr>
        <w:t>，在表中标明所提供的设备品牌或服务名称、规格、型号、原产地。每项货物和服务等只允许有一个报价，任何有选择的报价将不予接受(如有备选配件，备选配件的报价不属于选择的报价)；</w:t>
      </w:r>
    </w:p>
    <w:p w14:paraId="00446324">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2.投标产品配置与分项报价表上的价格应按下列方式分开填写；</w:t>
      </w:r>
    </w:p>
    <w:p w14:paraId="114D0C0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3.技术参数及服务要求响应及偏离表、商务条款响应及偏离表及投标货物说明；</w:t>
      </w:r>
    </w:p>
    <w:p w14:paraId="0D1AD23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4.对招标文件中的技术与商务条款要求逐项做出响应或偏离，并说明原因；</w:t>
      </w:r>
    </w:p>
    <w:p w14:paraId="3ABDC25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5.详细阐述所投货物的主要组成部分、功能设计、实现思路及关键技术；</w:t>
      </w:r>
    </w:p>
    <w:p w14:paraId="48AEF035">
      <w:pPr>
        <w:spacing w:line="420" w:lineRule="exact"/>
        <w:ind w:firstLine="480" w:firstLineChars="200"/>
        <w:rPr>
          <w:rFonts w:ascii="仿宋" w:hAnsi="仿宋" w:eastAsia="仿宋" w:cs="仿宋"/>
          <w:color w:val="auto"/>
          <w:sz w:val="28"/>
          <w:szCs w:val="28"/>
          <w:highlight w:val="none"/>
        </w:rPr>
      </w:pPr>
      <w:r>
        <w:rPr>
          <w:rFonts w:hint="eastAsia" w:ascii="仿宋" w:hAnsi="仿宋" w:eastAsia="仿宋" w:cs="仿宋"/>
          <w:color w:val="auto"/>
          <w:sz w:val="24"/>
          <w:highlight w:val="none"/>
        </w:rPr>
        <w:t>6.投标人的服务承诺应按不低于招标文件中商务要求的标准。</w:t>
      </w:r>
    </w:p>
    <w:bookmarkEnd w:id="225"/>
    <w:bookmarkEnd w:id="226"/>
    <w:bookmarkEnd w:id="227"/>
    <w:bookmarkEnd w:id="228"/>
    <w:bookmarkEnd w:id="229"/>
    <w:bookmarkEnd w:id="230"/>
    <w:bookmarkEnd w:id="231"/>
    <w:bookmarkEnd w:id="232"/>
    <w:bookmarkEnd w:id="233"/>
    <w:p w14:paraId="1313B64A">
      <w:pPr>
        <w:pStyle w:val="5"/>
        <w:spacing w:line="420" w:lineRule="exact"/>
        <w:ind w:firstLine="562" w:firstLineChars="200"/>
        <w:rPr>
          <w:rFonts w:ascii="仿宋" w:hAnsi="仿宋" w:eastAsia="仿宋" w:cs="仿宋"/>
          <w:color w:val="auto"/>
          <w:highlight w:val="none"/>
        </w:rPr>
      </w:pPr>
      <w:bookmarkStart w:id="240" w:name="_Toc4063"/>
      <w:bookmarkStart w:id="241" w:name="_Toc144974534"/>
      <w:bookmarkStart w:id="242" w:name="_Toc498955039"/>
      <w:bookmarkStart w:id="243" w:name="_Toc246996953"/>
      <w:bookmarkStart w:id="244" w:name="_Toc246996210"/>
      <w:bookmarkStart w:id="245" w:name="_Toc152045566"/>
      <w:bookmarkStart w:id="246" w:name="_Toc444093639"/>
      <w:bookmarkStart w:id="247" w:name="_Toc179632584"/>
      <w:bookmarkStart w:id="248" w:name="_Toc247085724"/>
      <w:bookmarkStart w:id="249" w:name="_Toc152042342"/>
      <w:bookmarkStart w:id="250" w:name="_Toc444093636"/>
      <w:bookmarkStart w:id="251" w:name="_Toc179632582"/>
      <w:bookmarkStart w:id="252" w:name="_Toc247085722"/>
      <w:bookmarkStart w:id="253" w:name="_Toc152045564"/>
      <w:bookmarkStart w:id="254" w:name="_Toc152042340"/>
      <w:bookmarkStart w:id="255" w:name="_Toc246996951"/>
      <w:bookmarkStart w:id="256" w:name="_Toc144974532"/>
      <w:bookmarkStart w:id="257" w:name="_Toc498955037"/>
      <w:bookmarkStart w:id="258" w:name="_Toc246996208"/>
      <w:r>
        <w:rPr>
          <w:rFonts w:hint="eastAsia" w:ascii="仿宋" w:hAnsi="仿宋" w:eastAsia="仿宋" w:cs="仿宋"/>
          <w:color w:val="auto"/>
          <w:highlight w:val="none"/>
        </w:rPr>
        <w:t>四、投标</w:t>
      </w:r>
      <w:bookmarkEnd w:id="240"/>
    </w:p>
    <w:p w14:paraId="410F9186">
      <w:pPr>
        <w:pStyle w:val="6"/>
        <w:spacing w:line="420" w:lineRule="exact"/>
        <w:ind w:firstLine="562" w:firstLineChars="200"/>
        <w:rPr>
          <w:rFonts w:hint="eastAsia" w:ascii="仿宋" w:hAnsi="仿宋" w:eastAsia="仿宋" w:cs="仿宋"/>
          <w:color w:val="auto"/>
          <w:highlight w:val="none"/>
          <w:lang w:eastAsia="zh-CN"/>
        </w:rPr>
      </w:pPr>
      <w:bookmarkStart w:id="259" w:name="_Toc152045556"/>
      <w:bookmarkStart w:id="260" w:name="_Toc246996943"/>
      <w:bookmarkStart w:id="261" w:name="_Toc498955027"/>
      <w:bookmarkStart w:id="262" w:name="_Toc247085714"/>
      <w:bookmarkStart w:id="263" w:name="_Toc246996200"/>
      <w:bookmarkStart w:id="264" w:name="_Toc444093627"/>
      <w:bookmarkStart w:id="265" w:name="_Toc179632574"/>
      <w:bookmarkStart w:id="266" w:name="_Toc2367"/>
      <w:bookmarkStart w:id="267" w:name="_Toc144974524"/>
      <w:bookmarkStart w:id="268" w:name="_Toc152042332"/>
      <w:r>
        <w:rPr>
          <w:rFonts w:hint="eastAsia" w:ascii="仿宋" w:hAnsi="仿宋" w:eastAsia="仿宋" w:cs="仿宋"/>
          <w:color w:val="auto"/>
          <w:highlight w:val="none"/>
        </w:rPr>
        <w:t>（一）投标文件的</w:t>
      </w:r>
      <w:bookmarkEnd w:id="259"/>
      <w:bookmarkEnd w:id="260"/>
      <w:bookmarkEnd w:id="261"/>
      <w:bookmarkEnd w:id="262"/>
      <w:bookmarkEnd w:id="263"/>
      <w:bookmarkEnd w:id="264"/>
      <w:bookmarkEnd w:id="265"/>
      <w:bookmarkEnd w:id="266"/>
      <w:bookmarkEnd w:id="267"/>
      <w:bookmarkEnd w:id="268"/>
      <w:r>
        <w:rPr>
          <w:rFonts w:hint="eastAsia" w:ascii="仿宋" w:hAnsi="仿宋" w:eastAsia="仿宋" w:cs="仿宋"/>
          <w:color w:val="auto"/>
          <w:highlight w:val="none"/>
          <w:lang w:eastAsia="zh-CN"/>
        </w:rPr>
        <w:t>递交</w:t>
      </w:r>
    </w:p>
    <w:p w14:paraId="49F4B9F6">
      <w:pPr>
        <w:spacing w:line="420" w:lineRule="exact"/>
        <w:ind w:firstLine="480" w:firstLineChars="200"/>
        <w:rPr>
          <w:rFonts w:hint="eastAsia" w:ascii="仿宋" w:hAnsi="仿宋" w:eastAsia="仿宋" w:cs="仿宋"/>
          <w:color w:val="auto"/>
          <w:sz w:val="24"/>
          <w:highlight w:val="none"/>
        </w:rPr>
      </w:pPr>
      <w:bookmarkStart w:id="269" w:name="_Toc152045557"/>
      <w:bookmarkStart w:id="270" w:name="_Toc152042333"/>
      <w:bookmarkStart w:id="271" w:name="_Toc444093628"/>
      <w:bookmarkStart w:id="272" w:name="_Toc3154"/>
      <w:bookmarkStart w:id="273" w:name="_Toc498955028"/>
      <w:bookmarkStart w:id="274" w:name="_Toc247085715"/>
      <w:bookmarkStart w:id="275" w:name="_Toc144974525"/>
      <w:bookmarkStart w:id="276" w:name="_Toc246996201"/>
      <w:bookmarkStart w:id="277" w:name="_Toc179632575"/>
      <w:bookmarkStart w:id="278" w:name="_Toc246996944"/>
      <w:r>
        <w:rPr>
          <w:rFonts w:hint="eastAsia" w:ascii="仿宋" w:hAnsi="仿宋" w:eastAsia="仿宋" w:cs="仿宋"/>
          <w:color w:val="auto"/>
          <w:sz w:val="24"/>
          <w:highlight w:val="none"/>
        </w:rPr>
        <w:t>1.投标人应在投标人须知前附表规定的投标截止时间前将电子投标文 件传输递交。</w:t>
      </w:r>
    </w:p>
    <w:p w14:paraId="2CD5CAC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2.逾期上传或逾期解密的投标文件，电子交易平台予以拒收。</w:t>
      </w:r>
    </w:p>
    <w:p w14:paraId="699D60D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3.投标人递交投标文件的地点：见投标人须知前附表。</w:t>
      </w:r>
    </w:p>
    <w:bookmarkEnd w:id="269"/>
    <w:bookmarkEnd w:id="270"/>
    <w:bookmarkEnd w:id="271"/>
    <w:bookmarkEnd w:id="272"/>
    <w:bookmarkEnd w:id="273"/>
    <w:bookmarkEnd w:id="274"/>
    <w:bookmarkEnd w:id="275"/>
    <w:bookmarkEnd w:id="276"/>
    <w:bookmarkEnd w:id="277"/>
    <w:bookmarkEnd w:id="278"/>
    <w:p w14:paraId="6D87316C">
      <w:pPr>
        <w:pStyle w:val="6"/>
        <w:spacing w:line="420" w:lineRule="exact"/>
        <w:ind w:firstLine="562" w:firstLineChars="200"/>
        <w:rPr>
          <w:rFonts w:ascii="仿宋" w:hAnsi="仿宋" w:eastAsia="仿宋" w:cs="仿宋"/>
          <w:color w:val="auto"/>
          <w:highlight w:val="none"/>
        </w:rPr>
      </w:pPr>
      <w:bookmarkStart w:id="279" w:name="_Toc498955029"/>
      <w:bookmarkStart w:id="280" w:name="_Toc444093629"/>
      <w:bookmarkStart w:id="281" w:name="_Toc246996945"/>
      <w:bookmarkStart w:id="282" w:name="_Toc152045558"/>
      <w:bookmarkStart w:id="283" w:name="_Toc144974526"/>
      <w:bookmarkStart w:id="284" w:name="_Toc246996202"/>
      <w:bookmarkStart w:id="285" w:name="_Toc152042334"/>
      <w:bookmarkStart w:id="286" w:name="_Toc20783"/>
      <w:bookmarkStart w:id="287" w:name="_Toc247085716"/>
      <w:bookmarkStart w:id="288" w:name="_Toc179632576"/>
      <w:r>
        <w:rPr>
          <w:rFonts w:hint="eastAsia" w:ascii="仿宋" w:hAnsi="仿宋" w:eastAsia="仿宋" w:cs="仿宋"/>
          <w:color w:val="auto"/>
          <w:highlight w:val="none"/>
        </w:rPr>
        <w:t>（</w:t>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）投标文件的修改与撤回</w:t>
      </w:r>
      <w:bookmarkEnd w:id="279"/>
      <w:bookmarkEnd w:id="280"/>
      <w:bookmarkEnd w:id="281"/>
      <w:bookmarkEnd w:id="282"/>
      <w:bookmarkEnd w:id="283"/>
      <w:bookmarkEnd w:id="284"/>
      <w:bookmarkEnd w:id="285"/>
      <w:bookmarkEnd w:id="286"/>
      <w:bookmarkEnd w:id="287"/>
      <w:bookmarkEnd w:id="288"/>
    </w:p>
    <w:p w14:paraId="102E5B8A">
      <w:pPr>
        <w:spacing w:line="420" w:lineRule="exact"/>
        <w:ind w:firstLine="480" w:firstLineChars="200"/>
        <w:rPr>
          <w:rFonts w:ascii="仿宋" w:hAnsi="仿宋" w:eastAsia="仿宋" w:cs="仿宋"/>
          <w:color w:val="auto"/>
          <w:sz w:val="24"/>
          <w:highlight w:val="none"/>
        </w:rPr>
      </w:pPr>
      <w:bookmarkStart w:id="289" w:name="_Toc152042335"/>
      <w:bookmarkStart w:id="290" w:name="_Toc246996946"/>
      <w:bookmarkStart w:id="291" w:name="_Toc152045559"/>
      <w:bookmarkStart w:id="292" w:name="_Toc179632577"/>
      <w:bookmarkStart w:id="293" w:name="_Toc444093630"/>
      <w:bookmarkStart w:id="294" w:name="_Toc498955030"/>
      <w:bookmarkStart w:id="295" w:name="_Toc246996203"/>
      <w:bookmarkStart w:id="296" w:name="_Toc144974527"/>
      <w:bookmarkStart w:id="297" w:name="_Toc247085717"/>
      <w:r>
        <w:rPr>
          <w:rFonts w:hint="eastAsia" w:ascii="仿宋" w:hAnsi="仿宋" w:eastAsia="仿宋" w:cs="仿宋"/>
          <w:color w:val="auto"/>
          <w:sz w:val="24"/>
          <w:highlight w:val="none"/>
        </w:rPr>
        <w:t>1.投标人应在投标人须知前附表规定的投标截止时间前，投标人可以修改或撤回已上传的投标文件。</w:t>
      </w:r>
    </w:p>
    <w:p w14:paraId="0A57F40E">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2.修改的内容为投标文件的组成部分。修改的投标文件应按照招标采购文件规定进行编制及上传，并标明“修改”字样。</w:t>
      </w:r>
    </w:p>
    <w:p w14:paraId="629574EE">
      <w:pPr>
        <w:pStyle w:val="5"/>
        <w:spacing w:line="420" w:lineRule="exact"/>
        <w:ind w:firstLine="562" w:firstLineChars="200"/>
        <w:rPr>
          <w:rFonts w:ascii="仿宋" w:hAnsi="仿宋" w:eastAsia="仿宋" w:cs="仿宋"/>
          <w:color w:val="auto"/>
          <w:highlight w:val="none"/>
        </w:rPr>
      </w:pPr>
      <w:bookmarkStart w:id="298" w:name="_Toc1349"/>
      <w:r>
        <w:rPr>
          <w:rFonts w:hint="eastAsia" w:ascii="仿宋" w:hAnsi="仿宋" w:eastAsia="仿宋" w:cs="仿宋"/>
          <w:color w:val="auto"/>
          <w:highlight w:val="none"/>
        </w:rPr>
        <w:t>五、开标</w:t>
      </w:r>
      <w:bookmarkEnd w:id="289"/>
      <w:bookmarkEnd w:id="290"/>
      <w:bookmarkEnd w:id="291"/>
      <w:bookmarkEnd w:id="292"/>
      <w:bookmarkEnd w:id="293"/>
      <w:bookmarkEnd w:id="294"/>
      <w:bookmarkEnd w:id="295"/>
      <w:bookmarkEnd w:id="296"/>
      <w:bookmarkEnd w:id="297"/>
      <w:bookmarkEnd w:id="298"/>
    </w:p>
    <w:p w14:paraId="5A4035D7">
      <w:pPr>
        <w:pStyle w:val="6"/>
        <w:spacing w:line="420" w:lineRule="exact"/>
        <w:ind w:firstLine="562" w:firstLineChars="200"/>
        <w:rPr>
          <w:rFonts w:ascii="仿宋" w:hAnsi="仿宋" w:eastAsia="仿宋" w:cs="仿宋"/>
          <w:color w:val="auto"/>
          <w:highlight w:val="none"/>
        </w:rPr>
      </w:pPr>
      <w:bookmarkStart w:id="299" w:name="_Toc152045560"/>
      <w:bookmarkStart w:id="300" w:name="_Toc179632578"/>
      <w:bookmarkStart w:id="301" w:name="_Toc444093631"/>
      <w:bookmarkStart w:id="302" w:name="_Toc144974528"/>
      <w:bookmarkStart w:id="303" w:name="_Toc23085"/>
      <w:bookmarkStart w:id="304" w:name="_Toc152042336"/>
      <w:bookmarkStart w:id="305" w:name="_Toc247085718"/>
      <w:bookmarkStart w:id="306" w:name="_Toc246996204"/>
      <w:bookmarkStart w:id="307" w:name="_Toc498955031"/>
      <w:bookmarkStart w:id="308" w:name="_Toc246996947"/>
      <w:bookmarkStart w:id="309" w:name="_Toc498955035"/>
      <w:bookmarkStart w:id="310" w:name="_Toc152045562"/>
      <w:bookmarkStart w:id="311" w:name="_Toc144974530"/>
      <w:bookmarkStart w:id="312" w:name="_Toc247085720"/>
      <w:bookmarkStart w:id="313" w:name="_Toc152042338"/>
      <w:bookmarkStart w:id="314" w:name="_Toc444093634"/>
      <w:bookmarkStart w:id="315" w:name="_Toc179632580"/>
      <w:bookmarkStart w:id="316" w:name="_Toc246996206"/>
      <w:bookmarkStart w:id="317" w:name="_Toc246996949"/>
      <w:r>
        <w:rPr>
          <w:rFonts w:hint="eastAsia" w:ascii="仿宋" w:hAnsi="仿宋" w:eastAsia="仿宋" w:cs="仿宋"/>
          <w:color w:val="auto"/>
          <w:highlight w:val="none"/>
        </w:rPr>
        <w:t>（一）开标时间和地点</w:t>
      </w:r>
      <w:bookmarkEnd w:id="299"/>
      <w:bookmarkEnd w:id="300"/>
      <w:bookmarkEnd w:id="301"/>
      <w:bookmarkEnd w:id="302"/>
      <w:bookmarkEnd w:id="303"/>
      <w:bookmarkEnd w:id="304"/>
      <w:bookmarkEnd w:id="305"/>
      <w:bookmarkEnd w:id="306"/>
      <w:bookmarkEnd w:id="307"/>
      <w:bookmarkEnd w:id="308"/>
    </w:p>
    <w:p w14:paraId="249BE088">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采购人在投标人须知前附表规定的开标时间和投标人须知前附表规定的地点开标。</w:t>
      </w:r>
    </w:p>
    <w:p w14:paraId="3DCFD5A6">
      <w:pPr>
        <w:pStyle w:val="6"/>
        <w:spacing w:line="420" w:lineRule="exact"/>
        <w:ind w:firstLine="562" w:firstLineChars="200"/>
        <w:rPr>
          <w:rFonts w:ascii="仿宋" w:hAnsi="仿宋" w:eastAsia="仿宋" w:cs="仿宋"/>
          <w:color w:val="auto"/>
          <w:highlight w:val="none"/>
        </w:rPr>
      </w:pPr>
      <w:bookmarkStart w:id="318" w:name="_Toc23655"/>
      <w:r>
        <w:rPr>
          <w:rFonts w:hint="eastAsia" w:ascii="仿宋" w:hAnsi="仿宋" w:eastAsia="仿宋" w:cs="仿宋"/>
          <w:color w:val="auto"/>
          <w:highlight w:val="none"/>
        </w:rPr>
        <w:t>（二）开标程序</w:t>
      </w:r>
      <w:bookmarkEnd w:id="318"/>
    </w:p>
    <w:p w14:paraId="5F8E19F0">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1.具体开标程序详见投标人须知前附表。</w:t>
      </w:r>
    </w:p>
    <w:p w14:paraId="48372B60">
      <w:pPr>
        <w:spacing w:line="420" w:lineRule="exact"/>
        <w:ind w:firstLine="480" w:firstLineChars="200"/>
        <w:rPr>
          <w:rFonts w:ascii="仿宋" w:hAnsi="仿宋" w:eastAsia="仿宋" w:cs="仿宋"/>
          <w:color w:val="auto"/>
          <w:sz w:val="24"/>
          <w:highlight w:val="none"/>
        </w:rPr>
      </w:pPr>
      <w:bookmarkStart w:id="319" w:name="_Toc498955034"/>
      <w:bookmarkStart w:id="320" w:name="_Toc444093633"/>
      <w:r>
        <w:rPr>
          <w:rFonts w:hint="eastAsia" w:ascii="仿宋" w:hAnsi="仿宋" w:eastAsia="仿宋" w:cs="仿宋"/>
          <w:color w:val="auto"/>
          <w:sz w:val="24"/>
          <w:highlight w:val="none"/>
        </w:rPr>
        <w:t>2.开标过程中，因投标人自身原因造成电子版投标文件无法解密读取 的，经监标人确认后当场宣布为废标。</w:t>
      </w:r>
    </w:p>
    <w:p w14:paraId="26E2A2CA">
      <w:pPr>
        <w:pStyle w:val="6"/>
        <w:spacing w:line="420" w:lineRule="exact"/>
        <w:ind w:firstLine="562" w:firstLineChars="200"/>
        <w:rPr>
          <w:rFonts w:ascii="仿宋" w:hAnsi="仿宋" w:eastAsia="仿宋" w:cs="仿宋"/>
          <w:color w:val="auto"/>
          <w:highlight w:val="none"/>
        </w:rPr>
      </w:pPr>
      <w:bookmarkStart w:id="321" w:name="_Toc5528"/>
      <w:r>
        <w:rPr>
          <w:rFonts w:hint="eastAsia" w:ascii="仿宋" w:hAnsi="仿宋" w:eastAsia="仿宋" w:cs="仿宋"/>
          <w:color w:val="auto"/>
          <w:highlight w:val="none"/>
        </w:rPr>
        <w:t>（三）开标异议</w:t>
      </w:r>
      <w:bookmarkEnd w:id="319"/>
      <w:bookmarkEnd w:id="320"/>
      <w:bookmarkEnd w:id="321"/>
    </w:p>
    <w:p w14:paraId="6E7CC9E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人认为采购过程或中标结果使自己的合法权益受到损害的，应当在中标候选人公示期间内以书面形式向采购代理机构提出质疑，逾期提出质疑的将不予受理、答复。投标人对招标采购单位的质疑答复不满意或者招标采购单位未在规定时间内作出答复的，可以在答复期满后十五个工作日内向采购活动管理部门申请调解，也可以依据民事法律的规定，直接向法院提起民事诉讼。</w:t>
      </w:r>
    </w:p>
    <w:p w14:paraId="5531AA0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疑应当采用书面形式，质疑书均应明确阐述招标采购过程或中标结果中使自己合法权益受到损害的实质性内容，提供相关事实、依据和证据及其来源或线索，便于有关单位调查、答复和处理，否则，将不予受理。</w:t>
      </w:r>
    </w:p>
    <w:p w14:paraId="068FF833">
      <w:pPr>
        <w:pStyle w:val="5"/>
        <w:spacing w:line="420" w:lineRule="exact"/>
        <w:ind w:firstLine="562" w:firstLineChars="200"/>
        <w:rPr>
          <w:rFonts w:ascii="仿宋" w:hAnsi="仿宋" w:eastAsia="仿宋" w:cs="仿宋"/>
          <w:color w:val="auto"/>
          <w:highlight w:val="none"/>
        </w:rPr>
      </w:pPr>
      <w:bookmarkStart w:id="322" w:name="_Toc8798"/>
      <w:r>
        <w:rPr>
          <w:rFonts w:hint="eastAsia" w:ascii="仿宋" w:hAnsi="仿宋" w:eastAsia="仿宋" w:cs="仿宋"/>
          <w:color w:val="auto"/>
          <w:highlight w:val="none"/>
        </w:rPr>
        <w:t>六、评标</w:t>
      </w:r>
      <w:bookmarkEnd w:id="309"/>
      <w:bookmarkEnd w:id="310"/>
      <w:bookmarkEnd w:id="311"/>
      <w:bookmarkEnd w:id="312"/>
      <w:bookmarkEnd w:id="313"/>
      <w:bookmarkEnd w:id="314"/>
      <w:bookmarkEnd w:id="315"/>
      <w:bookmarkEnd w:id="316"/>
      <w:bookmarkEnd w:id="317"/>
      <w:bookmarkEnd w:id="322"/>
    </w:p>
    <w:p w14:paraId="02E1BAEC">
      <w:pPr>
        <w:pStyle w:val="6"/>
        <w:spacing w:line="420" w:lineRule="exact"/>
        <w:ind w:firstLine="562" w:firstLineChars="200"/>
        <w:rPr>
          <w:rFonts w:ascii="仿宋" w:hAnsi="仿宋" w:eastAsia="仿宋" w:cs="仿宋"/>
          <w:color w:val="auto"/>
          <w:highlight w:val="none"/>
        </w:rPr>
      </w:pPr>
      <w:bookmarkStart w:id="323" w:name="_Toc11059"/>
      <w:r>
        <w:rPr>
          <w:rFonts w:hint="eastAsia" w:ascii="仿宋" w:hAnsi="仿宋" w:eastAsia="仿宋" w:cs="仿宋"/>
          <w:color w:val="auto"/>
          <w:highlight w:val="none"/>
        </w:rPr>
        <w:t>（一）组建评标委员会</w:t>
      </w:r>
      <w:bookmarkEnd w:id="323"/>
    </w:p>
    <w:p w14:paraId="3108DB7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1.评标由采购人依法组建的评标委员会负责。评标委员会由采购人有关技术、经济等方面的专家组成。</w:t>
      </w:r>
    </w:p>
    <w:p w14:paraId="1A4CDFE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2.评标委员会成员有下列情形之一的，应当回避：</w:t>
      </w:r>
    </w:p>
    <w:p w14:paraId="4C2EB758">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（1）参加采购活动前三年内，与供应商存在劳动关系，或者担任过供应商的董事、监事，或者是供应商的控股股东或实际控制人；</w:t>
      </w:r>
    </w:p>
    <w:p w14:paraId="63DF93B2">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（2）与供应商的法定代表人或者负责人有夫妻、直系血亲、三代以内旁系血亲或者近姻亲关系；</w:t>
      </w:r>
    </w:p>
    <w:p w14:paraId="6381C64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（3）与供应商有其他可能影响投标活动公平、公正进行的关系。</w:t>
      </w:r>
    </w:p>
    <w:p w14:paraId="12B8B27D">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（4）评审专家发现本人与参加采购活动的供应商有利害关系的，或者已参加过该项目采购文件等论证活动的，应当主动提出回避。</w:t>
      </w:r>
    </w:p>
    <w:p w14:paraId="4A08C442">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（5）采购活动管理部门工作人员，不得作为评审专家参与招标项目的评审活动。</w:t>
      </w:r>
    </w:p>
    <w:p w14:paraId="6F72BC1B">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（6）采购代理机构工作人员不得参加由本机构代理的招标项目的评审。</w:t>
      </w:r>
    </w:p>
    <w:p w14:paraId="38FD2F32">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（7）评审专家对本单位的招标项目只能作为采购人代表参与评审活动。</w:t>
      </w:r>
    </w:p>
    <w:p w14:paraId="258ADD9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（8）曾因在招标、评标以及其他与招标投标有关活动中从事违法行为而受过行政处罚或刑事处罚的。</w:t>
      </w:r>
    </w:p>
    <w:p w14:paraId="4A995854">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3.评标过程中，评标委员会成员有回避事由、擅离职守或者因健康等原因不能继续评标的，采购人有权更换。被更换的评标委员会成员作出的评审结论无效，由更换后的评标委员会成员重新进行评审。</w:t>
      </w:r>
    </w:p>
    <w:p w14:paraId="456A6455">
      <w:pPr>
        <w:pStyle w:val="6"/>
        <w:spacing w:line="420" w:lineRule="exact"/>
        <w:ind w:firstLine="562" w:firstLineChars="200"/>
        <w:rPr>
          <w:rFonts w:ascii="仿宋" w:hAnsi="仿宋" w:eastAsia="仿宋" w:cs="仿宋"/>
          <w:color w:val="auto"/>
          <w:highlight w:val="none"/>
        </w:rPr>
      </w:pPr>
      <w:bookmarkStart w:id="324" w:name="_Toc15022"/>
      <w:r>
        <w:rPr>
          <w:rFonts w:hint="eastAsia" w:ascii="仿宋" w:hAnsi="仿宋" w:eastAsia="仿宋" w:cs="仿宋"/>
          <w:color w:val="auto"/>
          <w:highlight w:val="none"/>
        </w:rPr>
        <w:t>（二）评标原则</w:t>
      </w:r>
      <w:bookmarkEnd w:id="324"/>
    </w:p>
    <w:p w14:paraId="58ED2174">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评标活动遵循公平、公正、科学和择优的原则。本项目采用不公开方式评标，评标的依据为招标采购文件和投标文件。</w:t>
      </w:r>
      <w:bookmarkStart w:id="325" w:name="_Toc498955038"/>
      <w:bookmarkStart w:id="326" w:name="_Toc144974533"/>
      <w:bookmarkStart w:id="327" w:name="_Toc247085723"/>
      <w:bookmarkStart w:id="328" w:name="_Toc179632583"/>
      <w:bookmarkStart w:id="329" w:name="_Toc152042341"/>
      <w:bookmarkStart w:id="330" w:name="_Toc246996209"/>
      <w:bookmarkStart w:id="331" w:name="_Toc152045565"/>
      <w:bookmarkStart w:id="332" w:name="_Toc246996952"/>
      <w:bookmarkStart w:id="333" w:name="_Toc444093637"/>
    </w:p>
    <w:p w14:paraId="4049442A">
      <w:pPr>
        <w:pStyle w:val="6"/>
        <w:spacing w:line="420" w:lineRule="exact"/>
        <w:ind w:firstLine="562" w:firstLineChars="200"/>
        <w:rPr>
          <w:rFonts w:ascii="仿宋" w:hAnsi="仿宋" w:eastAsia="仿宋" w:cs="仿宋"/>
          <w:color w:val="auto"/>
          <w:highlight w:val="none"/>
        </w:rPr>
      </w:pPr>
      <w:bookmarkStart w:id="334" w:name="_Toc10235"/>
      <w:r>
        <w:rPr>
          <w:rFonts w:hint="eastAsia" w:ascii="仿宋" w:hAnsi="仿宋" w:eastAsia="仿宋" w:cs="仿宋"/>
          <w:color w:val="auto"/>
          <w:highlight w:val="none"/>
        </w:rPr>
        <w:t>（三）评标</w:t>
      </w:r>
      <w:bookmarkEnd w:id="325"/>
      <w:bookmarkEnd w:id="326"/>
      <w:bookmarkEnd w:id="327"/>
      <w:bookmarkEnd w:id="328"/>
      <w:bookmarkEnd w:id="329"/>
      <w:bookmarkEnd w:id="330"/>
      <w:bookmarkEnd w:id="331"/>
      <w:bookmarkEnd w:id="332"/>
      <w:bookmarkEnd w:id="333"/>
      <w:bookmarkEnd w:id="334"/>
    </w:p>
    <w:p w14:paraId="193D565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1.评标委员会按照第五章“评标办法”规定的方法、评审因素、标准和程序对投标文件进行评审。“评标办法”没有规定的方法、评审因素和标准，不作为评标依据。</w:t>
      </w:r>
    </w:p>
    <w:p w14:paraId="57373EDA">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2.评标完成后，评标委员会应当向采购人提交书面评标报告和中标候选人名单。评标委员会推荐中标候选人的人数见投标人须知前附表。</w:t>
      </w:r>
    </w:p>
    <w:p w14:paraId="2180F42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3.本项目评标过程实行全程录音、录像监控，投标人在评标过程中所进行的试图影响评标结果的不公正活动，可能导致其投标被拒绝。</w:t>
      </w:r>
    </w:p>
    <w:bookmarkEnd w:id="241"/>
    <w:bookmarkEnd w:id="242"/>
    <w:bookmarkEnd w:id="243"/>
    <w:bookmarkEnd w:id="244"/>
    <w:bookmarkEnd w:id="245"/>
    <w:bookmarkEnd w:id="246"/>
    <w:bookmarkEnd w:id="247"/>
    <w:bookmarkEnd w:id="248"/>
    <w:bookmarkEnd w:id="249"/>
    <w:p w14:paraId="765EFAB7">
      <w:pPr>
        <w:pStyle w:val="5"/>
        <w:spacing w:line="420" w:lineRule="exact"/>
        <w:ind w:firstLine="562" w:firstLineChars="200"/>
        <w:rPr>
          <w:rFonts w:ascii="仿宋" w:hAnsi="仿宋" w:eastAsia="仿宋" w:cs="仿宋"/>
          <w:color w:val="auto"/>
          <w:highlight w:val="none"/>
        </w:rPr>
      </w:pPr>
      <w:bookmarkStart w:id="335" w:name="_Toc32708"/>
      <w:r>
        <w:rPr>
          <w:rFonts w:hint="eastAsia" w:ascii="仿宋" w:hAnsi="仿宋" w:eastAsia="仿宋" w:cs="仿宋"/>
          <w:color w:val="auto"/>
          <w:highlight w:val="none"/>
        </w:rPr>
        <w:t>七、合同授予</w:t>
      </w:r>
      <w:bookmarkEnd w:id="335"/>
    </w:p>
    <w:p w14:paraId="5DB949ED">
      <w:pPr>
        <w:pStyle w:val="6"/>
        <w:spacing w:line="420" w:lineRule="exact"/>
        <w:ind w:firstLine="562" w:firstLineChars="200"/>
        <w:rPr>
          <w:rFonts w:ascii="仿宋" w:hAnsi="仿宋" w:eastAsia="仿宋" w:cs="仿宋"/>
          <w:color w:val="auto"/>
          <w:highlight w:val="none"/>
        </w:rPr>
      </w:pPr>
      <w:bookmarkStart w:id="336" w:name="_Toc138"/>
      <w:r>
        <w:rPr>
          <w:rFonts w:hint="eastAsia" w:ascii="仿宋" w:hAnsi="仿宋" w:eastAsia="仿宋" w:cs="仿宋"/>
          <w:color w:val="auto"/>
          <w:highlight w:val="none"/>
        </w:rPr>
        <w:t>（一）中标结果公告</w:t>
      </w:r>
      <w:bookmarkEnd w:id="336"/>
    </w:p>
    <w:p w14:paraId="13DD4B51">
      <w:pPr>
        <w:tabs>
          <w:tab w:val="left" w:pos="8931"/>
        </w:tabs>
        <w:spacing w:line="420" w:lineRule="exact"/>
        <w:ind w:firstLine="480" w:firstLineChars="200"/>
        <w:rPr>
          <w:rFonts w:hint="eastAsia" w:ascii="仿宋" w:hAnsi="仿宋" w:eastAsia="仿宋" w:cs="仿宋"/>
          <w:color w:val="auto"/>
          <w:sz w:val="24"/>
          <w:highlight w:val="none"/>
        </w:rPr>
      </w:pPr>
      <w:bookmarkStart w:id="337" w:name="_Toc144974536"/>
      <w:bookmarkStart w:id="338" w:name="_Toc444093642"/>
      <w:bookmarkStart w:id="339" w:name="_Toc179632586"/>
      <w:bookmarkStart w:id="340" w:name="_Toc152045568"/>
      <w:bookmarkStart w:id="341" w:name="_Toc152042344"/>
      <w:bookmarkStart w:id="342" w:name="_Toc246996955"/>
      <w:bookmarkStart w:id="343" w:name="_Toc246996212"/>
      <w:bookmarkStart w:id="344" w:name="_Toc247085726"/>
      <w:r>
        <w:rPr>
          <w:rFonts w:hint="eastAsia" w:ascii="仿宋" w:hAnsi="仿宋" w:eastAsia="仿宋" w:cs="仿宋"/>
          <w:color w:val="auto"/>
          <w:sz w:val="24"/>
          <w:highlight w:val="none"/>
        </w:rPr>
        <w:t>中标人确定之日起2个工作日内，按照投标人须知前附表规定的媒介和期限公告中标结果，中标结果公告期限为3个日历天（如遇国家法定节假日，顺延至法定节假日后的第 1 个工作日）。</w:t>
      </w:r>
    </w:p>
    <w:p w14:paraId="05027C59">
      <w:pPr>
        <w:pStyle w:val="6"/>
        <w:spacing w:line="420" w:lineRule="exact"/>
        <w:ind w:firstLine="562" w:firstLineChars="200"/>
        <w:rPr>
          <w:rFonts w:ascii="仿宋" w:hAnsi="仿宋" w:eastAsia="仿宋" w:cs="仿宋"/>
          <w:color w:val="auto"/>
          <w:highlight w:val="none"/>
        </w:rPr>
      </w:pPr>
      <w:bookmarkStart w:id="345" w:name="_Toc498955041"/>
      <w:bookmarkStart w:id="346" w:name="_Toc444093641"/>
      <w:bookmarkStart w:id="347" w:name="_Toc28743"/>
      <w:r>
        <w:rPr>
          <w:rFonts w:hint="eastAsia" w:ascii="仿宋" w:hAnsi="仿宋" w:eastAsia="仿宋" w:cs="仿宋"/>
          <w:color w:val="auto"/>
          <w:highlight w:val="none"/>
        </w:rPr>
        <w:t>（二）评标结果异议</w:t>
      </w:r>
      <w:bookmarkEnd w:id="345"/>
      <w:bookmarkEnd w:id="346"/>
      <w:bookmarkEnd w:id="347"/>
    </w:p>
    <w:p w14:paraId="5239AAF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1.投标人或者其他利害关系人对评标结果有异议的，应当在中标结果公告期限内提出。采购人将在收到异议之日起7个工作日内作出答复；作出答复前，将暂停招标。逾期提出质疑的将不予受理、答复。</w:t>
      </w:r>
    </w:p>
    <w:p w14:paraId="5455D8A0">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2.若投标人或其他利害关系人未在中标结果公告期限时间内提出质疑的，视为默认招标采购文件或评标结果。</w:t>
      </w:r>
    </w:p>
    <w:p w14:paraId="5848BCCC">
      <w:pPr>
        <w:pStyle w:val="6"/>
        <w:spacing w:line="420" w:lineRule="exact"/>
        <w:ind w:firstLine="562" w:firstLineChars="200"/>
        <w:rPr>
          <w:rFonts w:ascii="仿宋" w:hAnsi="仿宋" w:eastAsia="仿宋" w:cs="仿宋"/>
          <w:color w:val="auto"/>
          <w:highlight w:val="none"/>
        </w:rPr>
      </w:pPr>
      <w:bookmarkStart w:id="348" w:name="_Toc498955042"/>
      <w:bookmarkStart w:id="349" w:name="_Toc27536"/>
      <w:r>
        <w:rPr>
          <w:rFonts w:hint="eastAsia" w:ascii="仿宋" w:hAnsi="仿宋" w:eastAsia="仿宋" w:cs="仿宋"/>
          <w:color w:val="auto"/>
          <w:highlight w:val="none"/>
        </w:rPr>
        <w:t>（三）中标候选人履约能力审查</w:t>
      </w:r>
      <w:bookmarkEnd w:id="337"/>
      <w:bookmarkEnd w:id="338"/>
      <w:bookmarkEnd w:id="339"/>
      <w:bookmarkEnd w:id="340"/>
      <w:bookmarkEnd w:id="341"/>
      <w:bookmarkEnd w:id="342"/>
      <w:bookmarkEnd w:id="343"/>
      <w:bookmarkEnd w:id="344"/>
      <w:bookmarkEnd w:id="348"/>
      <w:bookmarkEnd w:id="349"/>
    </w:p>
    <w:p w14:paraId="078431CC">
      <w:pPr>
        <w:spacing w:line="420" w:lineRule="exact"/>
        <w:ind w:firstLine="480" w:firstLineChars="200"/>
        <w:rPr>
          <w:rFonts w:ascii="仿宋" w:hAnsi="仿宋" w:eastAsia="仿宋" w:cs="仿宋"/>
          <w:color w:val="auto"/>
          <w:sz w:val="24"/>
          <w:highlight w:val="none"/>
        </w:rPr>
      </w:pPr>
      <w:bookmarkStart w:id="350" w:name="_Toc179632587"/>
      <w:bookmarkStart w:id="351" w:name="_Toc246996956"/>
      <w:bookmarkStart w:id="352" w:name="_Toc144974537"/>
      <w:bookmarkStart w:id="353" w:name="_Toc444093643"/>
      <w:bookmarkStart w:id="354" w:name="_Toc246996213"/>
      <w:bookmarkStart w:id="355" w:name="_Toc152042345"/>
      <w:bookmarkStart w:id="356" w:name="_Toc152045569"/>
      <w:bookmarkStart w:id="357" w:name="_Toc247085727"/>
      <w:r>
        <w:rPr>
          <w:rFonts w:hint="eastAsia" w:ascii="仿宋" w:hAnsi="仿宋" w:eastAsia="仿宋" w:cs="仿宋"/>
          <w:color w:val="auto"/>
          <w:sz w:val="24"/>
          <w:highlight w:val="none"/>
        </w:rPr>
        <w:t>中标候选人的经营、财务状况发生较大变化或存在违法行为，采购人认为可能影响其履约能力的，将在发出中标通知书前提请原评标委员会按照招标采购文件规定的标准和方法进行审查确认。</w:t>
      </w:r>
    </w:p>
    <w:p w14:paraId="54BC7809">
      <w:pPr>
        <w:pStyle w:val="6"/>
        <w:spacing w:line="420" w:lineRule="exact"/>
        <w:ind w:firstLine="562" w:firstLineChars="200"/>
        <w:rPr>
          <w:rFonts w:ascii="仿宋" w:hAnsi="仿宋" w:eastAsia="仿宋" w:cs="仿宋"/>
          <w:color w:val="auto"/>
          <w:highlight w:val="none"/>
        </w:rPr>
      </w:pPr>
      <w:bookmarkStart w:id="358" w:name="_Toc30762"/>
      <w:bookmarkStart w:id="359" w:name="_Toc498955043"/>
      <w:r>
        <w:rPr>
          <w:rFonts w:hint="eastAsia" w:ascii="仿宋" w:hAnsi="仿宋" w:eastAsia="仿宋" w:cs="仿宋"/>
          <w:color w:val="auto"/>
          <w:highlight w:val="none"/>
        </w:rPr>
        <w:t>（四）定标</w:t>
      </w:r>
      <w:bookmarkEnd w:id="358"/>
      <w:bookmarkEnd w:id="359"/>
    </w:p>
    <w:p w14:paraId="70C7FBC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按照投标人须知前附表的规定，采购人或采购人委托的评标委员会依法确定中标人。</w:t>
      </w:r>
    </w:p>
    <w:p w14:paraId="5F9092E9">
      <w:pPr>
        <w:pStyle w:val="6"/>
        <w:spacing w:line="420" w:lineRule="exact"/>
        <w:ind w:firstLine="562" w:firstLineChars="200"/>
        <w:rPr>
          <w:rFonts w:ascii="仿宋" w:hAnsi="仿宋" w:eastAsia="仿宋" w:cs="仿宋"/>
          <w:color w:val="auto"/>
          <w:highlight w:val="none"/>
        </w:rPr>
      </w:pPr>
      <w:bookmarkStart w:id="360" w:name="_Toc498955044"/>
      <w:bookmarkStart w:id="361" w:name="_Toc32048"/>
      <w:r>
        <w:rPr>
          <w:rFonts w:hint="eastAsia" w:ascii="仿宋" w:hAnsi="仿宋" w:eastAsia="仿宋" w:cs="仿宋"/>
          <w:color w:val="auto"/>
          <w:highlight w:val="none"/>
        </w:rPr>
        <w:t>（五）中标通知</w:t>
      </w:r>
      <w:bookmarkEnd w:id="360"/>
      <w:bookmarkEnd w:id="361"/>
    </w:p>
    <w:p w14:paraId="66DFBC72">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在本章规定的投标有效期内，采购人以书面形式向中标人发出中标通知书。</w:t>
      </w:r>
    </w:p>
    <w:p w14:paraId="61EE5B5E">
      <w:pPr>
        <w:pStyle w:val="6"/>
        <w:spacing w:line="420" w:lineRule="exact"/>
        <w:ind w:firstLine="562" w:firstLineChars="200"/>
        <w:rPr>
          <w:rFonts w:ascii="仿宋" w:hAnsi="仿宋" w:eastAsia="仿宋" w:cs="仿宋"/>
          <w:color w:val="auto"/>
          <w:highlight w:val="none"/>
        </w:rPr>
      </w:pPr>
      <w:bookmarkStart w:id="362" w:name="_Toc498955046"/>
      <w:bookmarkStart w:id="363" w:name="_Toc15119"/>
      <w:r>
        <w:rPr>
          <w:rFonts w:hint="eastAsia" w:ascii="仿宋" w:hAnsi="仿宋" w:eastAsia="仿宋" w:cs="仿宋"/>
          <w:color w:val="auto"/>
          <w:highlight w:val="none"/>
        </w:rPr>
        <w:t>（六）履约保证金</w:t>
      </w:r>
      <w:bookmarkEnd w:id="350"/>
      <w:bookmarkEnd w:id="351"/>
      <w:bookmarkEnd w:id="352"/>
      <w:bookmarkEnd w:id="353"/>
      <w:bookmarkEnd w:id="354"/>
      <w:bookmarkEnd w:id="355"/>
      <w:bookmarkEnd w:id="356"/>
      <w:bookmarkEnd w:id="357"/>
      <w:bookmarkEnd w:id="362"/>
      <w:bookmarkEnd w:id="363"/>
    </w:p>
    <w:p w14:paraId="5BB1333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中标人应按投标人须知前附表规定的担保形式、金额和招标采购文件第四章“合同条款及格式”规定的或者事先经过采购人书面认可的履约保证金形式向采购人提交履约保证金。联合体中标的，其履约保证金以联合体各方或者联合体中牵头人的名义提交。</w:t>
      </w:r>
    </w:p>
    <w:p w14:paraId="066B89E5">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2.中标人不能按本章要求提交履约保证金的，视为放弃中标，中标人应当对采购人的损失予以赔偿。</w:t>
      </w:r>
      <w:bookmarkStart w:id="364" w:name="_Toc152045570"/>
      <w:bookmarkStart w:id="365" w:name="_Toc498955047"/>
      <w:bookmarkStart w:id="366" w:name="_Toc444093644"/>
      <w:bookmarkStart w:id="367" w:name="_Toc246996214"/>
      <w:bookmarkStart w:id="368" w:name="_Toc246996957"/>
      <w:bookmarkStart w:id="369" w:name="_Toc179632588"/>
      <w:bookmarkStart w:id="370" w:name="_Toc152042346"/>
      <w:bookmarkStart w:id="371" w:name="_Toc144974538"/>
      <w:bookmarkStart w:id="372" w:name="_Toc247085728"/>
    </w:p>
    <w:p w14:paraId="531C815D">
      <w:pPr>
        <w:pStyle w:val="6"/>
        <w:spacing w:line="400" w:lineRule="exact"/>
        <w:ind w:firstLine="562" w:firstLineChars="200"/>
        <w:rPr>
          <w:rFonts w:ascii="仿宋" w:hAnsi="仿宋" w:eastAsia="仿宋" w:cs="仿宋"/>
          <w:color w:val="auto"/>
          <w:highlight w:val="none"/>
        </w:rPr>
      </w:pPr>
      <w:bookmarkStart w:id="373" w:name="_Toc29259"/>
      <w:r>
        <w:rPr>
          <w:rFonts w:hint="eastAsia" w:ascii="仿宋" w:hAnsi="仿宋" w:eastAsia="仿宋" w:cs="仿宋"/>
          <w:color w:val="auto"/>
          <w:highlight w:val="none"/>
        </w:rPr>
        <w:t>（七）签订合同</w:t>
      </w:r>
      <w:bookmarkEnd w:id="364"/>
      <w:bookmarkEnd w:id="365"/>
      <w:bookmarkEnd w:id="366"/>
      <w:bookmarkEnd w:id="367"/>
      <w:bookmarkEnd w:id="368"/>
      <w:bookmarkEnd w:id="369"/>
      <w:bookmarkEnd w:id="370"/>
      <w:bookmarkEnd w:id="371"/>
      <w:bookmarkEnd w:id="372"/>
      <w:bookmarkEnd w:id="373"/>
    </w:p>
    <w:p w14:paraId="14D89B08">
      <w:pPr>
        <w:spacing w:line="400" w:lineRule="exact"/>
        <w:ind w:firstLine="480" w:firstLineChars="200"/>
        <w:rPr>
          <w:rFonts w:ascii="仿宋" w:hAnsi="仿宋" w:eastAsia="仿宋" w:cs="仿宋"/>
          <w:i/>
          <w:iCs/>
          <w:color w:val="auto"/>
          <w:sz w:val="24"/>
          <w:highlight w:val="none"/>
          <w:u w:val="single"/>
        </w:rPr>
      </w:pPr>
      <w:r>
        <w:rPr>
          <w:rFonts w:hint="eastAsia" w:ascii="仿宋" w:hAnsi="仿宋" w:eastAsia="仿宋" w:cs="仿宋"/>
          <w:color w:val="auto"/>
          <w:sz w:val="24"/>
          <w:highlight w:val="none"/>
        </w:rPr>
        <w:t>1.采购人和中标人应当在中标通知书发出之日起20日历天内，根据招标采购文件和中标人的投标文件订立书面合同，所签订的合同不得对招标文件确定的事项和中标人投标文件作实质性修改。采购人不得向中标人提出任何不合理的要求作为签订合同的条件。中标人无正当理由拒签合同，在签订合同时向采购人提出附加条件，或者不按照招标采购文件要求提交履约保证金的，采购人有权取消其中标资格，给采购人造成损失的，中标人应当对采购人的损失予以赔偿。并上报采购活动管理部门列入黑名单、失信名单。</w:t>
      </w:r>
    </w:p>
    <w:p w14:paraId="688778F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2.联合体中标的，联合体各方应当共同与采购人签订合同，就中标项目向采购人承担连带责任。</w:t>
      </w:r>
    </w:p>
    <w:p w14:paraId="60ECA15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在本招标项目的竞争中应自觉遵循诚实信用原则，不得存在腐败、欺诈或其他违背诚信原则的行为。如果采购人有证据表明投标人在本招标项目的竞争中存在腐败、欺诈、失信记录或其他严重违背诚信原则的行为，则将拒绝其投标，或中标无效。</w:t>
      </w:r>
    </w:p>
    <w:p w14:paraId="31AA87E4">
      <w:pPr>
        <w:pStyle w:val="6"/>
        <w:spacing w:line="400" w:lineRule="exact"/>
        <w:ind w:firstLine="562" w:firstLineChars="200"/>
        <w:rPr>
          <w:rFonts w:ascii="仿宋" w:hAnsi="仿宋" w:eastAsia="仿宋" w:cs="仿宋"/>
          <w:color w:val="auto"/>
          <w:highlight w:val="none"/>
        </w:rPr>
      </w:pPr>
      <w:bookmarkStart w:id="374" w:name="_Toc13050"/>
      <w:r>
        <w:rPr>
          <w:rFonts w:hint="eastAsia" w:ascii="仿宋" w:hAnsi="仿宋" w:eastAsia="仿宋" w:cs="仿宋"/>
          <w:color w:val="auto"/>
          <w:highlight w:val="none"/>
        </w:rPr>
        <w:t>（八）验收</w:t>
      </w:r>
      <w:bookmarkEnd w:id="374"/>
    </w:p>
    <w:p w14:paraId="34EBA4E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5AA06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2.采购人可以邀请参加本项目的其他投标人或者第三方机构参与验收。参与验收的投标人或者第三方机构的意见作为验收书的参考资料一并存档。</w:t>
      </w:r>
    </w:p>
    <w:p w14:paraId="131932C2">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03D506">
      <w:pPr>
        <w:pStyle w:val="18"/>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相关法律法规规定的违法违规情形的，采购人应当及时报告采购活动管理部门。</w:t>
      </w:r>
    </w:p>
    <w:p w14:paraId="27130032">
      <w:pPr>
        <w:pStyle w:val="5"/>
        <w:spacing w:line="400" w:lineRule="exact"/>
        <w:ind w:firstLine="562" w:firstLineChars="200"/>
        <w:rPr>
          <w:rFonts w:ascii="仿宋" w:hAnsi="仿宋" w:eastAsia="仿宋" w:cs="仿宋"/>
          <w:color w:val="auto"/>
          <w:highlight w:val="none"/>
        </w:rPr>
      </w:pPr>
      <w:bookmarkStart w:id="375" w:name="_Toc21235"/>
      <w:r>
        <w:rPr>
          <w:rFonts w:hint="eastAsia" w:ascii="仿宋" w:hAnsi="仿宋" w:eastAsia="仿宋" w:cs="仿宋"/>
          <w:color w:val="auto"/>
          <w:highlight w:val="none"/>
        </w:rPr>
        <w:t>八、纪律和监督</w:t>
      </w:r>
      <w:bookmarkEnd w:id="375"/>
    </w:p>
    <w:p w14:paraId="09A01540">
      <w:pPr>
        <w:pStyle w:val="6"/>
        <w:spacing w:line="400" w:lineRule="exact"/>
        <w:ind w:firstLine="562" w:firstLineChars="200"/>
        <w:rPr>
          <w:rFonts w:ascii="仿宋" w:hAnsi="仿宋" w:eastAsia="仿宋" w:cs="仿宋"/>
          <w:color w:val="auto"/>
          <w:highlight w:val="none"/>
        </w:rPr>
      </w:pPr>
      <w:bookmarkStart w:id="376" w:name="_Toc19815"/>
      <w:r>
        <w:rPr>
          <w:rFonts w:hint="eastAsia" w:ascii="仿宋" w:hAnsi="仿宋" w:eastAsia="仿宋" w:cs="仿宋"/>
          <w:color w:val="auto"/>
          <w:highlight w:val="none"/>
        </w:rPr>
        <w:t>（一）对采购人的纪律要求</w:t>
      </w:r>
      <w:bookmarkEnd w:id="376"/>
    </w:p>
    <w:p w14:paraId="48F3B3CF">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采购人不得泄露招标投标活动中应当保密的情况和资料，不得与投标人串通损害国家利益、社会公共利益或者他人合法权益。</w:t>
      </w:r>
    </w:p>
    <w:p w14:paraId="1569C0CE">
      <w:pPr>
        <w:pStyle w:val="6"/>
        <w:spacing w:line="400" w:lineRule="exact"/>
        <w:ind w:firstLine="562" w:firstLineChars="200"/>
        <w:rPr>
          <w:rFonts w:ascii="仿宋" w:hAnsi="仿宋" w:eastAsia="仿宋" w:cs="仿宋"/>
          <w:color w:val="auto"/>
          <w:highlight w:val="none"/>
        </w:rPr>
      </w:pPr>
      <w:bookmarkStart w:id="377" w:name="_Toc3484"/>
      <w:r>
        <w:rPr>
          <w:rFonts w:hint="eastAsia" w:ascii="仿宋" w:hAnsi="仿宋" w:eastAsia="仿宋" w:cs="仿宋"/>
          <w:color w:val="auto"/>
          <w:highlight w:val="none"/>
        </w:rPr>
        <w:t>（二）对投标人的纪律要求</w:t>
      </w:r>
      <w:bookmarkEnd w:id="377"/>
    </w:p>
    <w:p w14:paraId="6670311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6EEC02DC">
      <w:pPr>
        <w:pStyle w:val="6"/>
        <w:spacing w:line="400" w:lineRule="exact"/>
        <w:ind w:firstLine="562" w:firstLineChars="200"/>
        <w:rPr>
          <w:rFonts w:ascii="仿宋" w:hAnsi="仿宋" w:eastAsia="仿宋" w:cs="仿宋"/>
          <w:color w:val="auto"/>
          <w:highlight w:val="none"/>
        </w:rPr>
      </w:pPr>
      <w:bookmarkStart w:id="378" w:name="_Toc16957"/>
      <w:r>
        <w:rPr>
          <w:rFonts w:hint="eastAsia" w:ascii="仿宋" w:hAnsi="仿宋" w:eastAsia="仿宋" w:cs="仿宋"/>
          <w:color w:val="auto"/>
          <w:highlight w:val="none"/>
        </w:rPr>
        <w:t>（三）对评标委员会成员的纪律要求</w:t>
      </w:r>
      <w:bookmarkEnd w:id="378"/>
    </w:p>
    <w:p w14:paraId="7F2AE95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五章“评标办法”没有规定的评审因素和标准进行评标。</w:t>
      </w:r>
    </w:p>
    <w:p w14:paraId="0F09B857">
      <w:pPr>
        <w:pStyle w:val="6"/>
        <w:spacing w:line="400" w:lineRule="exact"/>
        <w:ind w:firstLine="562" w:firstLineChars="200"/>
        <w:rPr>
          <w:rFonts w:ascii="仿宋" w:hAnsi="仿宋" w:eastAsia="仿宋" w:cs="仿宋"/>
          <w:color w:val="auto"/>
          <w:highlight w:val="none"/>
        </w:rPr>
      </w:pPr>
      <w:bookmarkStart w:id="379" w:name="_Toc30924"/>
      <w:r>
        <w:rPr>
          <w:rFonts w:hint="eastAsia" w:ascii="仿宋" w:hAnsi="仿宋" w:eastAsia="仿宋" w:cs="仿宋"/>
          <w:color w:val="auto"/>
          <w:highlight w:val="none"/>
        </w:rPr>
        <w:t>（四）对与评标活动有关的工作人员的纪律要求</w:t>
      </w:r>
      <w:bookmarkEnd w:id="379"/>
    </w:p>
    <w:p w14:paraId="55014A68">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6D1D772">
      <w:pPr>
        <w:pStyle w:val="5"/>
        <w:spacing w:line="400" w:lineRule="exact"/>
        <w:ind w:firstLine="562" w:firstLineChars="200"/>
        <w:rPr>
          <w:rFonts w:ascii="仿宋" w:hAnsi="仿宋" w:eastAsia="仿宋" w:cs="仿宋"/>
          <w:color w:val="auto"/>
          <w:highlight w:val="none"/>
        </w:rPr>
      </w:pPr>
      <w:bookmarkStart w:id="380" w:name="_Toc31544"/>
      <w:r>
        <w:rPr>
          <w:rFonts w:hint="eastAsia" w:ascii="仿宋" w:hAnsi="仿宋" w:eastAsia="仿宋" w:cs="仿宋"/>
          <w:color w:val="auto"/>
          <w:highlight w:val="none"/>
        </w:rPr>
        <w:t>九、采购方式改变</w:t>
      </w:r>
      <w:bookmarkEnd w:id="380"/>
    </w:p>
    <w:p w14:paraId="6BC22E6D">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（一）在符合资格的投标人不足规定数量或投标人提供的货物（服务）及其报价、售后服务承诺等不能满足采购人要求，以及招标采购过程中出现其他不正常情况时，采购人将需要重新选择合适的方式进行采购。</w:t>
      </w:r>
    </w:p>
    <w:p w14:paraId="6156BCC0">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（二）出现下列情形之一的，应予废标：</w:t>
      </w:r>
    </w:p>
    <w:p w14:paraId="2855AD61">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1.投标截止时间止，投标人少于三家的；</w:t>
      </w:r>
    </w:p>
    <w:p w14:paraId="753CBF49">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2.符合专业条件的供应商或者对招标文件作实质响应的供应商不足三家的；</w:t>
      </w:r>
    </w:p>
    <w:p w14:paraId="1D1EF1DD">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3.出现影响采购公正的违法、违规行为的；</w:t>
      </w:r>
    </w:p>
    <w:p w14:paraId="1C19EC46">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4.投标人的报价均超过了采购预算，采购人不能支付的；</w:t>
      </w:r>
    </w:p>
    <w:p w14:paraId="04A811DC">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5.因重大变故，采购任务取消的；</w:t>
      </w:r>
    </w:p>
    <w:p w14:paraId="793DDFD1">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6.法律、法规规定应当重新招标的其他情形。</w:t>
      </w:r>
    </w:p>
    <w:p w14:paraId="04E01D13">
      <w:pPr>
        <w:pStyle w:val="5"/>
        <w:spacing w:line="400" w:lineRule="exact"/>
        <w:ind w:firstLine="562" w:firstLineChars="200"/>
        <w:rPr>
          <w:rFonts w:ascii="仿宋" w:hAnsi="仿宋" w:eastAsia="仿宋" w:cs="仿宋"/>
          <w:color w:val="auto"/>
          <w:highlight w:val="none"/>
        </w:rPr>
      </w:pPr>
      <w:bookmarkStart w:id="381" w:name="_Toc22361"/>
      <w:r>
        <w:rPr>
          <w:rFonts w:hint="eastAsia" w:ascii="仿宋" w:hAnsi="仿宋" w:eastAsia="仿宋" w:cs="仿宋"/>
          <w:color w:val="auto"/>
          <w:highlight w:val="none"/>
        </w:rPr>
        <w:t>十、询问、质疑、调解</w:t>
      </w:r>
      <w:bookmarkEnd w:id="381"/>
    </w:p>
    <w:p w14:paraId="3E7F1B5A">
      <w:pPr>
        <w:pStyle w:val="6"/>
        <w:spacing w:line="400" w:lineRule="exact"/>
        <w:ind w:firstLine="562" w:firstLineChars="200"/>
        <w:rPr>
          <w:rFonts w:ascii="仿宋" w:hAnsi="仿宋" w:eastAsia="仿宋" w:cs="仿宋"/>
          <w:color w:val="auto"/>
          <w:highlight w:val="none"/>
        </w:rPr>
      </w:pPr>
      <w:bookmarkStart w:id="382" w:name="_Toc22460"/>
      <w:r>
        <w:rPr>
          <w:rFonts w:hint="eastAsia" w:ascii="仿宋" w:hAnsi="仿宋" w:eastAsia="仿宋" w:cs="仿宋"/>
          <w:color w:val="auto"/>
          <w:highlight w:val="none"/>
        </w:rPr>
        <w:t>（一）供应商询问</w:t>
      </w:r>
      <w:bookmarkEnd w:id="382"/>
    </w:p>
    <w:p w14:paraId="1D7CB94B">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可以就采购文件中特定资格条件、采购需求、评分办法及采购过程中有关现场考察或开标前答疑会事项向采购人提出询问，采购人将对此作出答复；供应商可以就采购活动中的其他事项向采购代理机构提出询问，采购代理机构将对此作出答复。答复的内容不得涉及商业秘密。</w:t>
      </w:r>
    </w:p>
    <w:p w14:paraId="4123CAAC">
      <w:pPr>
        <w:pStyle w:val="6"/>
        <w:spacing w:line="400" w:lineRule="exact"/>
        <w:ind w:firstLine="562" w:firstLineChars="200"/>
        <w:rPr>
          <w:rFonts w:ascii="仿宋" w:hAnsi="仿宋" w:eastAsia="仿宋" w:cs="仿宋"/>
          <w:color w:val="auto"/>
          <w:highlight w:val="none"/>
        </w:rPr>
      </w:pPr>
      <w:bookmarkStart w:id="383" w:name="_Toc7023"/>
      <w:r>
        <w:rPr>
          <w:rFonts w:hint="eastAsia" w:ascii="仿宋" w:hAnsi="仿宋" w:eastAsia="仿宋" w:cs="仿宋"/>
          <w:color w:val="auto"/>
          <w:highlight w:val="none"/>
        </w:rPr>
        <w:t>（二）供应商质疑</w:t>
      </w:r>
      <w:bookmarkEnd w:id="383"/>
    </w:p>
    <w:p w14:paraId="49682B18">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1.提出质疑的供应商应当是参与所质疑项目采购活动的供应商。潜在供应商已依法获取其可质疑的采购文件的，可以对该文件提出质疑。</w:t>
      </w:r>
    </w:p>
    <w:p w14:paraId="072BCA56">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2.供应商认为采购文件、采购过程和成交结果使自己的权益受到损害的，可以在中标候选人公示期内，以书面形式向采购人或者采购代理机构提出质疑，否则，采购人或者采购代理机构不予受理：</w:t>
      </w:r>
    </w:p>
    <w:p w14:paraId="041BC1B0">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1）对采购文件提出质疑的，质疑期限为自公告发布之日起7日内。根据采购人与采购代理机构签订的委托协议的规定：对采购文件中特定资格条件、采购需求、评分办法提出的质疑，原则上由采购人负责答复；对采购文件中其他内容提出的质疑，原则上由采购代理机构负责答复。</w:t>
      </w:r>
    </w:p>
    <w:p w14:paraId="446A8A4F">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2）对采购过程提出质疑的，质疑期限为中标结果公告期限内。对同一采购程序环节的质疑，供应商须一次性提出。根据采购人与采购代理机构签订的委托协议的规定：对采购过程中有关现场考察或开标前答疑会事项提出的质疑，原则上由采购人负责答复；对采购过程中其他事项提出的质疑，原则上由采购代理机构负责答复。</w:t>
      </w:r>
    </w:p>
    <w:p w14:paraId="3195EB7E">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（3）对采购结果提出质疑的，质疑期限为中标结果公告期限内。对采购结果提出质疑的，采购代理机构负责答复。</w:t>
      </w:r>
    </w:p>
    <w:p w14:paraId="21EA15E8">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3.供应商提出质疑应当提交质疑函和必要的相关材料。质疑函应当包括下列内容：</w:t>
      </w:r>
    </w:p>
    <w:p w14:paraId="1F913CD6">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3F9F5767">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（2）质疑项目的名称；</w:t>
      </w:r>
    </w:p>
    <w:p w14:paraId="6F7F83D2">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3342AEDF">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（4）事实依据；</w:t>
      </w:r>
    </w:p>
    <w:p w14:paraId="1F47D4F8">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6B5954A5">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76FDCB48">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供应商提交的质疑函需一式三份。应当由法定代表人、主要负责人，或者其授权代表签字或者盖章，并加盖公章。</w:t>
      </w:r>
    </w:p>
    <w:p w14:paraId="3E36A0B4">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4.采购人或者采购代理机构应当在收到供应商的书面质疑后七个工作日内作出答复，并以书面形式通知质疑供应商和其他与质疑处理结果有利害关系的采购当事人，但答复的内容不得涉及商业秘密。</w:t>
      </w:r>
    </w:p>
    <w:p w14:paraId="589D74FC">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5.询问或者质疑事项可能影响采购结果的，采购人应当暂停签订合同，已经签订合同的，应当中止履行合同。</w:t>
      </w:r>
    </w:p>
    <w:p w14:paraId="4F71F3FD">
      <w:pPr>
        <w:pStyle w:val="6"/>
        <w:spacing w:line="400" w:lineRule="exact"/>
        <w:ind w:firstLine="562" w:firstLineChars="200"/>
        <w:rPr>
          <w:rFonts w:ascii="仿宋" w:hAnsi="仿宋" w:eastAsia="仿宋" w:cs="仿宋"/>
          <w:color w:val="auto"/>
          <w:highlight w:val="none"/>
        </w:rPr>
      </w:pPr>
      <w:bookmarkStart w:id="384" w:name="_Toc14388"/>
      <w:r>
        <w:rPr>
          <w:rFonts w:hint="eastAsia" w:ascii="仿宋" w:hAnsi="仿宋" w:eastAsia="仿宋" w:cs="仿宋"/>
          <w:color w:val="auto"/>
          <w:highlight w:val="none"/>
        </w:rPr>
        <w:t>（三）调解</w:t>
      </w:r>
      <w:bookmarkEnd w:id="384"/>
    </w:p>
    <w:p w14:paraId="6C8895DF">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采购活动管理部门申请调解，也可以依据民事法律的规定，直接向法院提起民事诉讼。</w:t>
      </w:r>
    </w:p>
    <w:p w14:paraId="50F52F8D">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2.供应商调解的事项不得超出已质疑事项的范围，基于质疑答复内容提出的调解事项除外。</w:t>
      </w:r>
    </w:p>
    <w:p w14:paraId="746229CC">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3.供应商应当有明确的调解请求和必要的佐证材料。</w:t>
      </w:r>
    </w:p>
    <w:p w14:paraId="4335236F">
      <w:pPr>
        <w:pStyle w:val="18"/>
        <w:snapToGrid w:val="0"/>
        <w:spacing w:before="0" w:beforeLines="0" w:after="0" w:afterLines="0"/>
        <w:ind w:firstLine="480" w:firstLineChars="200"/>
        <w:rPr>
          <w:rFonts w:ascii="仿宋" w:hAnsi="仿宋" w:eastAsia="仿宋" w:cs="仿宋"/>
          <w:color w:val="auto"/>
          <w:highlight w:val="none"/>
        </w:rPr>
      </w:pPr>
      <w:r>
        <w:rPr>
          <w:rFonts w:hint="eastAsia" w:ascii="仿宋" w:hAnsi="仿宋" w:eastAsia="仿宋" w:cs="仿宋"/>
          <w:color w:val="auto"/>
          <w:highlight w:val="none"/>
        </w:rPr>
        <w:t>4.以联合体形式参加投标活动的，其应当由组成联合体的所有供应商共同提出调解。</w:t>
      </w:r>
    </w:p>
    <w:p w14:paraId="09BFB6DA">
      <w:pPr>
        <w:pStyle w:val="5"/>
        <w:spacing w:line="400" w:lineRule="exact"/>
        <w:ind w:firstLine="562" w:firstLineChars="200"/>
        <w:rPr>
          <w:rFonts w:ascii="仿宋" w:hAnsi="仿宋" w:eastAsia="仿宋" w:cs="仿宋"/>
          <w:color w:val="auto"/>
          <w:highlight w:val="none"/>
        </w:rPr>
      </w:pPr>
      <w:bookmarkStart w:id="385" w:name="_Toc18169"/>
      <w:r>
        <w:rPr>
          <w:rFonts w:hint="eastAsia" w:ascii="仿宋" w:hAnsi="仿宋" w:eastAsia="仿宋" w:cs="仿宋"/>
          <w:color w:val="auto"/>
          <w:highlight w:val="none"/>
        </w:rPr>
        <w:t>十一、需要补充的其他内容</w:t>
      </w:r>
      <w:bookmarkEnd w:id="385"/>
    </w:p>
    <w:p w14:paraId="465FC324">
      <w:pPr>
        <w:pStyle w:val="18"/>
        <w:snapToGrid w:val="0"/>
        <w:spacing w:before="0" w:beforeLines="0" w:after="0" w:afterLines="0"/>
        <w:ind w:firstLine="480" w:firstLineChars="200"/>
        <w:rPr>
          <w:rFonts w:ascii="仿宋" w:hAnsi="仿宋" w:eastAsia="仿宋" w:cs="仿宋"/>
          <w:color w:val="auto"/>
          <w:sz w:val="28"/>
          <w:szCs w:val="28"/>
          <w:highlight w:val="none"/>
        </w:rPr>
      </w:pPr>
      <w:r>
        <w:rPr>
          <w:rFonts w:hint="eastAsia" w:ascii="仿宋" w:hAnsi="仿宋" w:eastAsia="仿宋" w:cs="仿宋"/>
          <w:color w:val="auto"/>
          <w:highlight w:val="none"/>
        </w:rPr>
        <w:t>需要补充的其他内容：见投标人须知前附表。</w:t>
      </w:r>
    </w:p>
    <w:bookmarkEnd w:id="250"/>
    <w:bookmarkEnd w:id="251"/>
    <w:bookmarkEnd w:id="252"/>
    <w:bookmarkEnd w:id="253"/>
    <w:bookmarkEnd w:id="254"/>
    <w:bookmarkEnd w:id="255"/>
    <w:bookmarkEnd w:id="256"/>
    <w:bookmarkEnd w:id="257"/>
    <w:bookmarkEnd w:id="258"/>
    <w:p w14:paraId="7DAA0C04">
      <w:pPr>
        <w:pStyle w:val="4"/>
        <w:spacing w:line="480" w:lineRule="exact"/>
        <w:outlineLvl w:val="0"/>
        <w:rPr>
          <w:rFonts w:hint="eastAsia" w:ascii="仿宋" w:hAnsi="仿宋" w:eastAsia="仿宋" w:cs="仿宋"/>
          <w:color w:val="auto"/>
          <w:sz w:val="30"/>
          <w:szCs w:val="30"/>
          <w:highlight w:val="none"/>
        </w:rPr>
      </w:pPr>
      <w:r>
        <w:rPr>
          <w:rFonts w:hint="eastAsia" w:ascii="仿宋" w:hAnsi="仿宋" w:eastAsia="仿宋" w:cs="仿宋"/>
          <w:bCs/>
          <w:color w:val="auto"/>
          <w:sz w:val="36"/>
          <w:szCs w:val="36"/>
          <w:highlight w:val="none"/>
        </w:rPr>
        <w:br w:type="page"/>
      </w:r>
      <w:bookmarkStart w:id="386" w:name="_Toc23251"/>
      <w:r>
        <w:rPr>
          <w:rFonts w:hint="eastAsia" w:ascii="仿宋" w:hAnsi="仿宋" w:eastAsia="仿宋" w:cs="仿宋"/>
          <w:color w:val="auto"/>
          <w:highlight w:val="none"/>
        </w:rPr>
        <w:t>第三章  招标采购需求</w:t>
      </w:r>
      <w:bookmarkEnd w:id="386"/>
    </w:p>
    <w:p w14:paraId="06E1000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sz w:val="24"/>
          <w:lang w:val="zh-CN"/>
        </w:rPr>
      </w:pPr>
      <w:bookmarkStart w:id="387" w:name="_Toc1124"/>
      <w:bookmarkStart w:id="388" w:name="_Toc36207052"/>
      <w:bookmarkStart w:id="389" w:name="_Toc109809234"/>
      <w:r>
        <w:rPr>
          <w:rFonts w:hint="eastAsia" w:ascii="仿宋" w:hAnsi="仿宋" w:eastAsia="仿宋" w:cs="仿宋"/>
          <w:b/>
          <w:sz w:val="24"/>
          <w:lang w:val="zh-CN"/>
        </w:rPr>
        <w:t>一、项目概况</w:t>
      </w:r>
      <w:bookmarkEnd w:id="387"/>
    </w:p>
    <w:p w14:paraId="00D75FC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 xml:space="preserve"> 工作区范围：工作区位于武义县新宅镇、</w:t>
      </w:r>
      <w:bookmarkStart w:id="390" w:name="OLE_LINK8"/>
      <w:r>
        <w:rPr>
          <w:rFonts w:hint="eastAsia" w:ascii="仿宋" w:hAnsi="仿宋" w:eastAsia="仿宋" w:cs="仿宋"/>
          <w:sz w:val="24"/>
          <w:szCs w:val="21"/>
        </w:rPr>
        <w:t>坦洪乡</w:t>
      </w:r>
      <w:bookmarkEnd w:id="390"/>
      <w:r>
        <w:rPr>
          <w:rFonts w:hint="eastAsia" w:ascii="仿宋" w:hAnsi="仿宋" w:eastAsia="仿宋" w:cs="仿宋"/>
          <w:sz w:val="24"/>
          <w:szCs w:val="21"/>
        </w:rPr>
        <w:t>，普查区面积约3.87km</w:t>
      </w:r>
      <w:r>
        <w:rPr>
          <w:rFonts w:hint="eastAsia" w:ascii="仿宋" w:hAnsi="仿宋" w:eastAsia="仿宋" w:cs="仿宋"/>
          <w:sz w:val="24"/>
          <w:szCs w:val="21"/>
          <w:vertAlign w:val="superscript"/>
        </w:rPr>
        <w:t>2</w:t>
      </w:r>
      <w:r>
        <w:rPr>
          <w:rFonts w:hint="eastAsia" w:ascii="仿宋" w:hAnsi="仿宋" w:eastAsia="仿宋" w:cs="仿宋"/>
          <w:sz w:val="24"/>
          <w:szCs w:val="21"/>
        </w:rPr>
        <w:t>，</w:t>
      </w:r>
      <w:bookmarkStart w:id="391" w:name="OLE_LINK9"/>
      <w:bookmarkStart w:id="392" w:name="OLE_LINK10"/>
      <w:r>
        <w:rPr>
          <w:rFonts w:hint="eastAsia" w:ascii="仿宋" w:hAnsi="仿宋" w:eastAsia="仿宋" w:cs="仿宋"/>
          <w:sz w:val="24"/>
          <w:szCs w:val="21"/>
        </w:rPr>
        <w:t>重点勘探区</w:t>
      </w:r>
      <w:bookmarkEnd w:id="391"/>
      <w:bookmarkEnd w:id="392"/>
      <w:r>
        <w:rPr>
          <w:rFonts w:hint="eastAsia" w:ascii="仿宋" w:hAnsi="仿宋" w:eastAsia="仿宋" w:cs="仿宋"/>
          <w:sz w:val="24"/>
          <w:szCs w:val="21"/>
        </w:rPr>
        <w:t>面积约</w:t>
      </w:r>
      <w:r>
        <w:rPr>
          <w:rFonts w:hint="eastAsia" w:ascii="仿宋" w:hAnsi="仿宋" w:eastAsia="仿宋" w:cs="仿宋"/>
          <w:sz w:val="24"/>
          <w:szCs w:val="21"/>
          <w:lang w:val="en-US" w:eastAsia="zh-CN"/>
        </w:rPr>
        <w:t>1</w:t>
      </w:r>
      <w:r>
        <w:rPr>
          <w:rFonts w:hint="eastAsia" w:ascii="仿宋" w:hAnsi="仿宋" w:eastAsia="仿宋" w:cs="仿宋"/>
          <w:sz w:val="24"/>
          <w:szCs w:val="21"/>
        </w:rPr>
        <w:t>km</w:t>
      </w:r>
      <w:r>
        <w:rPr>
          <w:rFonts w:hint="eastAsia" w:ascii="仿宋" w:hAnsi="仿宋" w:eastAsia="仿宋" w:cs="仿宋"/>
          <w:sz w:val="24"/>
          <w:szCs w:val="21"/>
          <w:vertAlign w:val="superscript"/>
        </w:rPr>
        <w:t>2</w:t>
      </w:r>
      <w:r>
        <w:rPr>
          <w:rFonts w:hint="eastAsia" w:ascii="仿宋" w:hAnsi="仿宋" w:eastAsia="仿宋" w:cs="仿宋"/>
          <w:sz w:val="24"/>
          <w:szCs w:val="21"/>
        </w:rPr>
        <w:t>，拐点坐标见下表。</w:t>
      </w:r>
    </w:p>
    <w:p w14:paraId="6E67BF96">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center"/>
        <w:textAlignment w:val="auto"/>
        <w:rPr>
          <w:rFonts w:hint="eastAsia" w:ascii="仿宋" w:hAnsi="仿宋" w:eastAsia="仿宋" w:cs="仿宋"/>
          <w:b/>
          <w:bCs/>
          <w:sz w:val="24"/>
          <w:szCs w:val="21"/>
        </w:rPr>
      </w:pPr>
      <w:r>
        <w:rPr>
          <w:rFonts w:hint="eastAsia" w:ascii="仿宋" w:hAnsi="仿宋" w:eastAsia="仿宋" w:cs="仿宋"/>
          <w:b/>
          <w:bCs/>
          <w:sz w:val="24"/>
          <w:szCs w:val="21"/>
        </w:rPr>
        <w:t>工作区拐点坐标表（2000国家大地坐标系）</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3854"/>
        <w:gridCol w:w="3539"/>
      </w:tblGrid>
      <w:tr w14:paraId="169A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000" w:type="pct"/>
            <w:gridSpan w:val="3"/>
            <w:noWrap/>
            <w:vAlign w:val="center"/>
          </w:tcPr>
          <w:p w14:paraId="605C7876">
            <w:pPr>
              <w:widowControl/>
              <w:jc w:val="center"/>
              <w:rPr>
                <w:rFonts w:hint="eastAsia" w:ascii="仿宋" w:hAnsi="仿宋" w:eastAsia="仿宋" w:cs="仿宋"/>
                <w:b/>
                <w:kern w:val="0"/>
                <w:szCs w:val="21"/>
              </w:rPr>
            </w:pPr>
            <w:r>
              <w:rPr>
                <w:rFonts w:hint="eastAsia" w:ascii="仿宋" w:hAnsi="仿宋" w:eastAsia="仿宋" w:cs="仿宋"/>
                <w:b/>
                <w:kern w:val="0"/>
                <w:szCs w:val="21"/>
              </w:rPr>
              <w:t>普查区</w:t>
            </w:r>
          </w:p>
        </w:tc>
      </w:tr>
      <w:tr w14:paraId="4D53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63BD6DBA">
            <w:pPr>
              <w:widowControl/>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2102" w:type="pct"/>
            <w:noWrap/>
            <w:vAlign w:val="center"/>
          </w:tcPr>
          <w:p w14:paraId="0E5429A8">
            <w:pPr>
              <w:widowControl/>
              <w:jc w:val="center"/>
              <w:rPr>
                <w:rFonts w:hint="eastAsia" w:ascii="仿宋" w:hAnsi="仿宋" w:eastAsia="仿宋" w:cs="仿宋"/>
                <w:kern w:val="0"/>
                <w:szCs w:val="21"/>
              </w:rPr>
            </w:pPr>
            <w:r>
              <w:rPr>
                <w:rFonts w:hint="eastAsia" w:ascii="仿宋" w:hAnsi="仿宋" w:eastAsia="仿宋" w:cs="仿宋"/>
                <w:kern w:val="0"/>
                <w:szCs w:val="21"/>
              </w:rPr>
              <w:t>X</w:t>
            </w:r>
          </w:p>
        </w:tc>
        <w:tc>
          <w:tcPr>
            <w:tcW w:w="1930" w:type="pct"/>
            <w:noWrap/>
            <w:vAlign w:val="center"/>
          </w:tcPr>
          <w:p w14:paraId="0EBC95A1">
            <w:pPr>
              <w:widowControl/>
              <w:jc w:val="center"/>
              <w:rPr>
                <w:rFonts w:hint="eastAsia" w:ascii="仿宋" w:hAnsi="仿宋" w:eastAsia="仿宋" w:cs="仿宋"/>
                <w:kern w:val="0"/>
                <w:szCs w:val="21"/>
              </w:rPr>
            </w:pPr>
            <w:r>
              <w:rPr>
                <w:rFonts w:hint="eastAsia" w:ascii="仿宋" w:hAnsi="仿宋" w:eastAsia="仿宋" w:cs="仿宋"/>
                <w:kern w:val="0"/>
                <w:szCs w:val="21"/>
              </w:rPr>
              <w:t>Y</w:t>
            </w:r>
          </w:p>
        </w:tc>
      </w:tr>
      <w:tr w14:paraId="29B8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388C96E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P1</w:t>
            </w:r>
          </w:p>
        </w:tc>
        <w:tc>
          <w:tcPr>
            <w:tcW w:w="3583" w:type="dxa"/>
            <w:noWrap/>
            <w:vAlign w:val="bottom"/>
          </w:tcPr>
          <w:p w14:paraId="6035B4D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3179838 </w:t>
            </w:r>
          </w:p>
        </w:tc>
        <w:tc>
          <w:tcPr>
            <w:tcW w:w="3289" w:type="dxa"/>
            <w:noWrap/>
            <w:vAlign w:val="bottom"/>
          </w:tcPr>
          <w:p w14:paraId="0A4000E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40469747 </w:t>
            </w:r>
          </w:p>
        </w:tc>
      </w:tr>
      <w:tr w14:paraId="1A99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78D553A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P2</w:t>
            </w:r>
          </w:p>
        </w:tc>
        <w:tc>
          <w:tcPr>
            <w:tcW w:w="3583" w:type="dxa"/>
            <w:noWrap/>
            <w:vAlign w:val="bottom"/>
          </w:tcPr>
          <w:p w14:paraId="529F556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3179838 </w:t>
            </w:r>
          </w:p>
        </w:tc>
        <w:tc>
          <w:tcPr>
            <w:tcW w:w="3289" w:type="dxa"/>
            <w:noWrap/>
            <w:vAlign w:val="bottom"/>
          </w:tcPr>
          <w:p w14:paraId="0CF32B5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40471256 </w:t>
            </w:r>
          </w:p>
        </w:tc>
      </w:tr>
      <w:tr w14:paraId="4014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1B6ACA8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P3</w:t>
            </w:r>
          </w:p>
        </w:tc>
        <w:tc>
          <w:tcPr>
            <w:tcW w:w="3583" w:type="dxa"/>
            <w:noWrap/>
            <w:vAlign w:val="bottom"/>
          </w:tcPr>
          <w:p w14:paraId="61682D7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3177956 </w:t>
            </w:r>
          </w:p>
        </w:tc>
        <w:tc>
          <w:tcPr>
            <w:tcW w:w="3289" w:type="dxa"/>
            <w:noWrap/>
            <w:vAlign w:val="bottom"/>
          </w:tcPr>
          <w:p w14:paraId="030A636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40471256 </w:t>
            </w:r>
          </w:p>
        </w:tc>
      </w:tr>
      <w:tr w14:paraId="023D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3D3CCE0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P4</w:t>
            </w:r>
          </w:p>
        </w:tc>
        <w:tc>
          <w:tcPr>
            <w:tcW w:w="3583" w:type="dxa"/>
            <w:noWrap/>
            <w:vAlign w:val="bottom"/>
          </w:tcPr>
          <w:p w14:paraId="1ADE42D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3177956 </w:t>
            </w:r>
          </w:p>
        </w:tc>
        <w:tc>
          <w:tcPr>
            <w:tcW w:w="3289" w:type="dxa"/>
            <w:noWrap/>
            <w:vAlign w:val="bottom"/>
          </w:tcPr>
          <w:p w14:paraId="123196B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40469085 </w:t>
            </w:r>
          </w:p>
        </w:tc>
      </w:tr>
      <w:tr w14:paraId="415F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4EE98A0E">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P5</w:t>
            </w:r>
          </w:p>
        </w:tc>
        <w:tc>
          <w:tcPr>
            <w:tcW w:w="3583" w:type="dxa"/>
            <w:noWrap/>
            <w:vAlign w:val="bottom"/>
          </w:tcPr>
          <w:p w14:paraId="66C9982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3179176 </w:t>
            </w:r>
          </w:p>
        </w:tc>
        <w:tc>
          <w:tcPr>
            <w:tcW w:w="3289" w:type="dxa"/>
            <w:noWrap/>
            <w:vAlign w:val="bottom"/>
          </w:tcPr>
          <w:p w14:paraId="0EDFB4E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40469085 </w:t>
            </w:r>
          </w:p>
        </w:tc>
      </w:tr>
      <w:tr w14:paraId="3EA0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7E14CF61">
            <w:pPr>
              <w:widowControl/>
              <w:jc w:val="center"/>
              <w:rPr>
                <w:rFonts w:hint="eastAsia" w:ascii="仿宋" w:hAnsi="仿宋" w:eastAsia="仿宋" w:cs="仿宋"/>
                <w:kern w:val="0"/>
                <w:szCs w:val="21"/>
              </w:rPr>
            </w:pPr>
            <w:r>
              <w:rPr>
                <w:rFonts w:hint="eastAsia" w:ascii="仿宋" w:hAnsi="仿宋" w:eastAsia="仿宋" w:cs="仿宋"/>
                <w:kern w:val="0"/>
                <w:szCs w:val="21"/>
              </w:rPr>
              <w:t>备注</w:t>
            </w:r>
          </w:p>
        </w:tc>
        <w:tc>
          <w:tcPr>
            <w:tcW w:w="4032" w:type="pct"/>
            <w:gridSpan w:val="2"/>
            <w:noWrap/>
            <w:vAlign w:val="center"/>
          </w:tcPr>
          <w:p w14:paraId="3002303B">
            <w:pPr>
              <w:widowControl/>
              <w:jc w:val="center"/>
              <w:rPr>
                <w:rFonts w:hint="eastAsia" w:ascii="仿宋" w:hAnsi="仿宋" w:eastAsia="仿宋" w:cs="仿宋"/>
                <w:color w:val="000000"/>
                <w:sz w:val="22"/>
                <w:szCs w:val="22"/>
              </w:rPr>
            </w:pPr>
            <w:bookmarkStart w:id="393" w:name="OLE_LINK14"/>
            <w:bookmarkStart w:id="394" w:name="OLE_LINK13"/>
            <w:bookmarkStart w:id="395" w:name="OLE_LINK12"/>
            <w:bookmarkStart w:id="396" w:name="OLE_LINK11"/>
            <w:r>
              <w:rPr>
                <w:rFonts w:hint="eastAsia" w:ascii="仿宋" w:hAnsi="仿宋" w:eastAsia="仿宋" w:cs="仿宋"/>
                <w:color w:val="000000"/>
                <w:sz w:val="22"/>
                <w:szCs w:val="22"/>
              </w:rPr>
              <w:t>勘查面积3.87km</w:t>
            </w:r>
            <w:r>
              <w:rPr>
                <w:rFonts w:hint="eastAsia" w:ascii="仿宋" w:hAnsi="仿宋" w:eastAsia="仿宋" w:cs="仿宋"/>
                <w:color w:val="000000"/>
                <w:sz w:val="22"/>
                <w:szCs w:val="22"/>
                <w:vertAlign w:val="superscript"/>
              </w:rPr>
              <w:t>2</w:t>
            </w:r>
            <w:r>
              <w:rPr>
                <w:rFonts w:hint="eastAsia" w:ascii="仿宋" w:hAnsi="仿宋" w:eastAsia="仿宋" w:cs="仿宋"/>
                <w:color w:val="000000"/>
                <w:sz w:val="22"/>
                <w:szCs w:val="22"/>
              </w:rPr>
              <w:t>，</w:t>
            </w:r>
            <w:bookmarkEnd w:id="393"/>
            <w:bookmarkEnd w:id="394"/>
            <w:r>
              <w:rPr>
                <w:rFonts w:hint="eastAsia" w:ascii="仿宋" w:hAnsi="仿宋" w:eastAsia="仿宋" w:cs="仿宋"/>
                <w:color w:val="000000"/>
                <w:sz w:val="22"/>
                <w:szCs w:val="22"/>
              </w:rPr>
              <w:t>勘查最低标高+750m</w:t>
            </w:r>
            <w:bookmarkEnd w:id="395"/>
            <w:bookmarkEnd w:id="396"/>
          </w:p>
        </w:tc>
      </w:tr>
      <w:tr w14:paraId="28C1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noWrap/>
            <w:vAlign w:val="center"/>
          </w:tcPr>
          <w:p w14:paraId="758F16C8">
            <w:pPr>
              <w:widowControl/>
              <w:jc w:val="center"/>
              <w:rPr>
                <w:rFonts w:hint="eastAsia" w:ascii="仿宋" w:hAnsi="仿宋" w:eastAsia="仿宋" w:cs="仿宋"/>
                <w:b/>
                <w:kern w:val="0"/>
                <w:szCs w:val="21"/>
              </w:rPr>
            </w:pPr>
            <w:r>
              <w:rPr>
                <w:rFonts w:hint="eastAsia" w:ascii="仿宋" w:hAnsi="仿宋" w:eastAsia="仿宋" w:cs="仿宋"/>
                <w:b/>
                <w:kern w:val="0"/>
                <w:szCs w:val="21"/>
              </w:rPr>
              <w:t>重点勘探区</w:t>
            </w:r>
          </w:p>
        </w:tc>
      </w:tr>
      <w:tr w14:paraId="547E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6C5886D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K1</w:t>
            </w:r>
          </w:p>
        </w:tc>
        <w:tc>
          <w:tcPr>
            <w:tcW w:w="3583" w:type="dxa"/>
            <w:noWrap/>
            <w:vAlign w:val="bottom"/>
          </w:tcPr>
          <w:p w14:paraId="13AEBDD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3179282 </w:t>
            </w:r>
          </w:p>
        </w:tc>
        <w:tc>
          <w:tcPr>
            <w:tcW w:w="3289" w:type="dxa"/>
            <w:noWrap/>
            <w:vAlign w:val="bottom"/>
          </w:tcPr>
          <w:p w14:paraId="254C33C3">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40469952 </w:t>
            </w:r>
          </w:p>
        </w:tc>
      </w:tr>
      <w:tr w14:paraId="31CB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138269B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K2</w:t>
            </w:r>
          </w:p>
        </w:tc>
        <w:tc>
          <w:tcPr>
            <w:tcW w:w="3583" w:type="dxa"/>
            <w:noWrap/>
            <w:vAlign w:val="bottom"/>
          </w:tcPr>
          <w:p w14:paraId="64D1800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3179282 </w:t>
            </w:r>
          </w:p>
        </w:tc>
        <w:tc>
          <w:tcPr>
            <w:tcW w:w="3289" w:type="dxa"/>
            <w:noWrap/>
            <w:vAlign w:val="bottom"/>
          </w:tcPr>
          <w:p w14:paraId="508AFD3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40470466 </w:t>
            </w:r>
          </w:p>
        </w:tc>
      </w:tr>
      <w:tr w14:paraId="1E67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1C08689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K3</w:t>
            </w:r>
          </w:p>
        </w:tc>
        <w:tc>
          <w:tcPr>
            <w:tcW w:w="3583" w:type="dxa"/>
            <w:noWrap/>
            <w:vAlign w:val="bottom"/>
          </w:tcPr>
          <w:p w14:paraId="1FEEF45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3178862 </w:t>
            </w:r>
          </w:p>
        </w:tc>
        <w:tc>
          <w:tcPr>
            <w:tcW w:w="3289" w:type="dxa"/>
            <w:noWrap/>
            <w:vAlign w:val="bottom"/>
          </w:tcPr>
          <w:p w14:paraId="545EC80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40470957 </w:t>
            </w:r>
          </w:p>
        </w:tc>
      </w:tr>
      <w:tr w14:paraId="24FC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11A64E8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K4</w:t>
            </w:r>
          </w:p>
        </w:tc>
        <w:tc>
          <w:tcPr>
            <w:tcW w:w="3583" w:type="dxa"/>
            <w:noWrap/>
            <w:vAlign w:val="bottom"/>
          </w:tcPr>
          <w:p w14:paraId="1B11529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3178183 </w:t>
            </w:r>
          </w:p>
        </w:tc>
        <w:tc>
          <w:tcPr>
            <w:tcW w:w="3289" w:type="dxa"/>
            <w:noWrap/>
            <w:vAlign w:val="bottom"/>
          </w:tcPr>
          <w:p w14:paraId="7C082E8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40470957 </w:t>
            </w:r>
          </w:p>
        </w:tc>
      </w:tr>
      <w:tr w14:paraId="5356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8" w:type="pct"/>
            <w:noWrap/>
            <w:vAlign w:val="center"/>
          </w:tcPr>
          <w:p w14:paraId="3FF34322">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K5</w:t>
            </w:r>
          </w:p>
        </w:tc>
        <w:tc>
          <w:tcPr>
            <w:tcW w:w="3583" w:type="dxa"/>
            <w:noWrap/>
            <w:vAlign w:val="bottom"/>
          </w:tcPr>
          <w:p w14:paraId="65FF0DF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3178183 </w:t>
            </w:r>
          </w:p>
        </w:tc>
        <w:tc>
          <w:tcPr>
            <w:tcW w:w="3289" w:type="dxa"/>
            <w:noWrap/>
            <w:vAlign w:val="bottom"/>
          </w:tcPr>
          <w:p w14:paraId="29F042C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 xml:space="preserve">40469952 </w:t>
            </w:r>
          </w:p>
        </w:tc>
      </w:tr>
      <w:tr w14:paraId="711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68" w:type="pct"/>
            <w:noWrap/>
            <w:vAlign w:val="center"/>
          </w:tcPr>
          <w:p w14:paraId="77751336">
            <w:pPr>
              <w:widowControl/>
              <w:jc w:val="center"/>
              <w:rPr>
                <w:rFonts w:hint="eastAsia" w:ascii="仿宋" w:hAnsi="仿宋" w:eastAsia="仿宋" w:cs="仿宋"/>
                <w:kern w:val="0"/>
                <w:szCs w:val="21"/>
              </w:rPr>
            </w:pPr>
            <w:r>
              <w:rPr>
                <w:rFonts w:hint="eastAsia" w:ascii="仿宋" w:hAnsi="仿宋" w:eastAsia="仿宋" w:cs="仿宋"/>
                <w:kern w:val="0"/>
                <w:szCs w:val="21"/>
              </w:rPr>
              <w:t>备注</w:t>
            </w:r>
          </w:p>
        </w:tc>
        <w:tc>
          <w:tcPr>
            <w:tcW w:w="4032" w:type="pct"/>
            <w:gridSpan w:val="2"/>
            <w:noWrap/>
            <w:vAlign w:val="center"/>
          </w:tcPr>
          <w:p w14:paraId="5CA8E26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勘查面积</w:t>
            </w:r>
            <w:r>
              <w:rPr>
                <w:rFonts w:hint="eastAsia" w:ascii="仿宋" w:hAnsi="仿宋" w:eastAsia="仿宋" w:cs="仿宋"/>
                <w:color w:val="000000"/>
                <w:sz w:val="22"/>
                <w:szCs w:val="22"/>
                <w:lang w:val="en-US" w:eastAsia="zh-CN"/>
              </w:rPr>
              <w:t>1</w:t>
            </w:r>
            <w:r>
              <w:rPr>
                <w:rFonts w:hint="eastAsia" w:ascii="仿宋" w:hAnsi="仿宋" w:eastAsia="仿宋" w:cs="仿宋"/>
                <w:color w:val="000000"/>
                <w:sz w:val="22"/>
                <w:szCs w:val="22"/>
              </w:rPr>
              <w:t>km</w:t>
            </w:r>
            <w:r>
              <w:rPr>
                <w:rFonts w:hint="eastAsia" w:ascii="仿宋" w:hAnsi="仿宋" w:eastAsia="仿宋" w:cs="仿宋"/>
                <w:color w:val="000000"/>
                <w:sz w:val="22"/>
                <w:szCs w:val="22"/>
                <w:vertAlign w:val="superscript"/>
              </w:rPr>
              <w:t>2</w:t>
            </w:r>
            <w:r>
              <w:rPr>
                <w:rFonts w:hint="eastAsia" w:ascii="仿宋" w:hAnsi="仿宋" w:eastAsia="仿宋" w:cs="仿宋"/>
                <w:color w:val="000000"/>
                <w:sz w:val="22"/>
                <w:szCs w:val="22"/>
                <w:highlight w:val="none"/>
              </w:rPr>
              <w:t>，勘查最低标高+800m</w:t>
            </w:r>
          </w:p>
        </w:tc>
      </w:tr>
    </w:tbl>
    <w:p w14:paraId="3922FBF9">
      <w:pPr>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b/>
          <w:bCs/>
          <w:sz w:val="24"/>
          <w:szCs w:val="21"/>
        </w:rPr>
      </w:pPr>
      <w:r>
        <w:rPr>
          <w:rFonts w:hint="eastAsia" w:ascii="仿宋" w:hAnsi="仿宋" w:eastAsia="仿宋" w:cs="仿宋"/>
          <w:b/>
          <w:bCs/>
          <w:sz w:val="24"/>
          <w:szCs w:val="21"/>
        </w:rPr>
        <w:t>二、采购项目及工作要求</w:t>
      </w:r>
    </w:p>
    <w:p w14:paraId="63D43424">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（一）工期要求</w:t>
      </w:r>
    </w:p>
    <w:p w14:paraId="617763A4">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highlight w:val="yellow"/>
        </w:rPr>
      </w:pPr>
      <w:r>
        <w:rPr>
          <w:rFonts w:hint="eastAsia" w:ascii="仿宋" w:hAnsi="仿宋" w:eastAsia="仿宋" w:cs="仿宋"/>
          <w:sz w:val="24"/>
          <w:szCs w:val="21"/>
          <w:lang w:eastAsia="zh-CN"/>
        </w:rPr>
        <w:t>项目工期：</w:t>
      </w:r>
      <w:r>
        <w:rPr>
          <w:rFonts w:hint="eastAsia" w:ascii="仿宋" w:hAnsi="仿宋" w:eastAsia="仿宋" w:cs="仿宋"/>
          <w:sz w:val="24"/>
          <w:szCs w:val="21"/>
        </w:rPr>
        <w:t>202</w:t>
      </w:r>
      <w:r>
        <w:rPr>
          <w:rFonts w:hint="eastAsia" w:ascii="仿宋" w:hAnsi="仿宋" w:eastAsia="仿宋" w:cs="仿宋"/>
          <w:sz w:val="24"/>
          <w:szCs w:val="21"/>
          <w:lang w:val="en-US" w:eastAsia="zh-CN"/>
        </w:rPr>
        <w:t>6</w:t>
      </w:r>
      <w:r>
        <w:rPr>
          <w:rFonts w:hint="eastAsia" w:ascii="仿宋" w:hAnsi="仿宋" w:eastAsia="仿宋" w:cs="仿宋"/>
          <w:sz w:val="24"/>
          <w:szCs w:val="21"/>
        </w:rPr>
        <w:t>年</w:t>
      </w:r>
      <w:r>
        <w:rPr>
          <w:rFonts w:hint="eastAsia" w:ascii="仿宋" w:hAnsi="仿宋" w:eastAsia="仿宋" w:cs="仿宋"/>
          <w:sz w:val="24"/>
          <w:szCs w:val="21"/>
          <w:lang w:val="en-US" w:eastAsia="zh-CN"/>
        </w:rPr>
        <w:t>4</w:t>
      </w:r>
      <w:r>
        <w:rPr>
          <w:rFonts w:hint="eastAsia" w:ascii="仿宋" w:hAnsi="仿宋" w:eastAsia="仿宋" w:cs="仿宋"/>
          <w:sz w:val="24"/>
          <w:szCs w:val="21"/>
        </w:rPr>
        <w:t>月</w:t>
      </w:r>
      <w:r>
        <w:rPr>
          <w:rFonts w:hint="eastAsia" w:ascii="仿宋" w:hAnsi="仿宋" w:eastAsia="仿宋" w:cs="仿宋"/>
          <w:sz w:val="24"/>
          <w:szCs w:val="21"/>
          <w:lang w:val="en-US" w:eastAsia="zh-CN"/>
        </w:rPr>
        <w:t>底</w:t>
      </w:r>
      <w:r>
        <w:rPr>
          <w:rFonts w:hint="eastAsia" w:ascii="仿宋" w:hAnsi="仿宋" w:eastAsia="仿宋" w:cs="仿宋"/>
          <w:sz w:val="24"/>
          <w:szCs w:val="21"/>
          <w:highlight w:val="none"/>
          <w:lang w:val="en-US" w:eastAsia="zh-CN"/>
        </w:rPr>
        <w:t>前</w:t>
      </w:r>
      <w:r>
        <w:rPr>
          <w:rFonts w:hint="eastAsia" w:ascii="仿宋" w:hAnsi="仿宋" w:eastAsia="仿宋" w:cs="仿宋"/>
          <w:sz w:val="24"/>
          <w:szCs w:val="21"/>
          <w:highlight w:val="none"/>
        </w:rPr>
        <w:t>提交经评审机构评审的《浙江省</w:t>
      </w:r>
      <w:bookmarkStart w:id="397" w:name="OLE_LINK16"/>
      <w:r>
        <w:rPr>
          <w:rFonts w:hint="eastAsia" w:ascii="仿宋" w:hAnsi="仿宋" w:eastAsia="仿宋" w:cs="仿宋"/>
          <w:sz w:val="24"/>
          <w:szCs w:val="21"/>
          <w:highlight w:val="none"/>
          <w:lang w:eastAsia="zh-CN"/>
        </w:rPr>
        <w:t>武义县大莱</w:t>
      </w:r>
      <w:r>
        <w:rPr>
          <w:rFonts w:hint="eastAsia" w:ascii="仿宋" w:hAnsi="仿宋" w:eastAsia="仿宋" w:cs="仿宋"/>
          <w:sz w:val="24"/>
          <w:szCs w:val="21"/>
          <w:highlight w:val="none"/>
          <w:lang w:val="en-US" w:eastAsia="zh-CN"/>
        </w:rPr>
        <w:t>矿区</w:t>
      </w:r>
      <w:r>
        <w:rPr>
          <w:rFonts w:hint="eastAsia" w:ascii="仿宋" w:hAnsi="仿宋" w:eastAsia="仿宋" w:cs="仿宋"/>
          <w:sz w:val="24"/>
          <w:szCs w:val="21"/>
          <w:highlight w:val="none"/>
          <w:lang w:eastAsia="zh-CN"/>
        </w:rPr>
        <w:t>饰面用花岗岩矿普查暨重点区勘探</w:t>
      </w:r>
      <w:r>
        <w:rPr>
          <w:rFonts w:hint="eastAsia" w:ascii="仿宋" w:hAnsi="仿宋" w:eastAsia="仿宋" w:cs="仿宋"/>
          <w:sz w:val="24"/>
          <w:szCs w:val="21"/>
          <w:highlight w:val="none"/>
        </w:rPr>
        <w:t>报</w:t>
      </w:r>
      <w:bookmarkEnd w:id="397"/>
      <w:r>
        <w:rPr>
          <w:rFonts w:hint="eastAsia" w:ascii="仿宋" w:hAnsi="仿宋" w:eastAsia="仿宋" w:cs="仿宋"/>
          <w:sz w:val="24"/>
          <w:szCs w:val="21"/>
          <w:highlight w:val="none"/>
        </w:rPr>
        <w:t>告》，评审机构需具有储量评审资质。</w:t>
      </w:r>
    </w:p>
    <w:p w14:paraId="11D01A6B">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（二）勘查要求</w:t>
      </w:r>
    </w:p>
    <w:p w14:paraId="6285C4EC">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zh-CN"/>
        </w:rPr>
      </w:pPr>
      <w:r>
        <w:rPr>
          <w:rFonts w:hint="eastAsia" w:ascii="仿宋" w:hAnsi="仿宋" w:eastAsia="仿宋" w:cs="仿宋"/>
          <w:sz w:val="24"/>
          <w:szCs w:val="21"/>
          <w:lang w:val="zh-CN"/>
        </w:rPr>
        <w:t>1</w:t>
      </w:r>
      <w:r>
        <w:rPr>
          <w:rFonts w:hint="eastAsia" w:ascii="仿宋" w:hAnsi="仿宋" w:eastAsia="仿宋" w:cs="仿宋"/>
          <w:sz w:val="24"/>
          <w:szCs w:val="21"/>
          <w:lang w:val="en-US" w:eastAsia="zh-CN"/>
        </w:rPr>
        <w:t>.</w:t>
      </w:r>
      <w:r>
        <w:rPr>
          <w:rFonts w:hint="eastAsia" w:ascii="仿宋" w:hAnsi="仿宋" w:eastAsia="仿宋" w:cs="仿宋"/>
          <w:sz w:val="24"/>
          <w:szCs w:val="21"/>
          <w:lang w:val="zh-CN"/>
        </w:rPr>
        <w:t>普查区要求</w:t>
      </w:r>
    </w:p>
    <w:p w14:paraId="5AE60378">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zh-CN"/>
        </w:rPr>
      </w:pPr>
      <w:r>
        <w:rPr>
          <w:rFonts w:hint="eastAsia" w:ascii="仿宋" w:hAnsi="仿宋" w:eastAsia="仿宋" w:cs="仿宋"/>
          <w:sz w:val="24"/>
          <w:szCs w:val="21"/>
          <w:lang w:val="zh-CN"/>
        </w:rPr>
        <w:t>在以往普查及区域地质调查、研究的基础上，通过地形测量、地质测量和有效的勘查手段，寻找、检查、验证、追索矿体线索，发现矿体，并通过少量的钻探等探矿工程手段对矿体进行地表和深部稀疏控制，稀疏采集样品并进行分析测试，大致查明矿体的分布范围、数量、规模、产状、厚度、夹石分布；</w:t>
      </w:r>
      <w:r>
        <w:rPr>
          <w:rFonts w:hint="eastAsia" w:ascii="仿宋" w:hAnsi="仿宋" w:eastAsia="仿宋" w:cs="仿宋"/>
          <w:sz w:val="24"/>
          <w:szCs w:val="21"/>
          <w:lang w:val="en-US" w:eastAsia="zh-CN"/>
        </w:rPr>
        <w:t>初步</w:t>
      </w:r>
      <w:r>
        <w:rPr>
          <w:rFonts w:hint="eastAsia" w:ascii="仿宋" w:hAnsi="仿宋" w:eastAsia="仿宋" w:cs="仿宋"/>
          <w:sz w:val="24"/>
          <w:szCs w:val="21"/>
          <w:lang w:val="zh-CN"/>
        </w:rPr>
        <w:t>查明矿体的岩性、矿物组成、矿石类型及赋存规律，达到普查的勘查工作要求，为下一步勘查及矿权出让提供地质依据。</w:t>
      </w:r>
    </w:p>
    <w:p w14:paraId="2F3BC484">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zh-CN"/>
        </w:rPr>
      </w:pPr>
      <w:r>
        <w:rPr>
          <w:rFonts w:hint="eastAsia" w:ascii="仿宋" w:hAnsi="仿宋" w:eastAsia="仿宋" w:cs="仿宋"/>
          <w:sz w:val="24"/>
          <w:szCs w:val="21"/>
          <w:lang w:val="zh-CN"/>
        </w:rPr>
        <w:t>2</w:t>
      </w:r>
      <w:r>
        <w:rPr>
          <w:rFonts w:hint="eastAsia" w:ascii="仿宋" w:hAnsi="仿宋" w:eastAsia="仿宋" w:cs="仿宋"/>
          <w:sz w:val="24"/>
          <w:szCs w:val="21"/>
          <w:lang w:val="en-US" w:eastAsia="zh-CN"/>
        </w:rPr>
        <w:t>.</w:t>
      </w:r>
      <w:r>
        <w:rPr>
          <w:rFonts w:hint="eastAsia" w:ascii="仿宋" w:hAnsi="仿宋" w:eastAsia="仿宋" w:cs="仿宋"/>
          <w:sz w:val="24"/>
          <w:szCs w:val="21"/>
          <w:lang w:val="zh-CN"/>
        </w:rPr>
        <w:t>重点勘探区要求</w:t>
      </w:r>
    </w:p>
    <w:p w14:paraId="00FA67DB">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zh-CN"/>
        </w:rPr>
      </w:pPr>
      <w:r>
        <w:rPr>
          <w:rFonts w:hint="eastAsia" w:ascii="仿宋" w:hAnsi="仿宋" w:eastAsia="仿宋" w:cs="仿宋"/>
          <w:sz w:val="24"/>
          <w:szCs w:val="21"/>
          <w:lang w:val="zh-CN"/>
        </w:rPr>
        <w:t>①对</w:t>
      </w:r>
      <w:bookmarkStart w:id="398" w:name="OLE_LINK15"/>
      <w:r>
        <w:rPr>
          <w:rFonts w:hint="eastAsia" w:ascii="仿宋" w:hAnsi="仿宋" w:eastAsia="仿宋" w:cs="仿宋"/>
          <w:sz w:val="24"/>
          <w:szCs w:val="21"/>
          <w:lang w:val="zh-CN"/>
        </w:rPr>
        <w:t>重点勘探区</w:t>
      </w:r>
      <w:bookmarkEnd w:id="398"/>
      <w:r>
        <w:rPr>
          <w:rFonts w:hint="eastAsia" w:ascii="仿宋" w:hAnsi="仿宋" w:eastAsia="仿宋" w:cs="仿宋"/>
          <w:sz w:val="24"/>
          <w:szCs w:val="21"/>
          <w:lang w:val="zh-CN"/>
        </w:rPr>
        <w:t>开展</w:t>
      </w:r>
      <w:r>
        <w:rPr>
          <w:rFonts w:hint="eastAsia" w:ascii="仿宋" w:hAnsi="仿宋" w:eastAsia="仿宋" w:cs="仿宋"/>
          <w:sz w:val="24"/>
          <w:szCs w:val="21"/>
          <w:lang w:val="en-US" w:eastAsia="zh-CN"/>
        </w:rPr>
        <w:t>1：2000</w:t>
      </w:r>
      <w:r>
        <w:rPr>
          <w:rFonts w:hint="eastAsia" w:ascii="仿宋" w:hAnsi="仿宋" w:eastAsia="仿宋" w:cs="仿宋"/>
          <w:sz w:val="24"/>
          <w:szCs w:val="21"/>
          <w:lang w:val="zh-CN"/>
        </w:rPr>
        <w:t>大比例尺地形地质测量、钻探揭露、试采、取样测试等手段，详细查明地层岩性特征、厚度变化、产状变化和分布特征，详细划分地层层序、岩性组合，接触关系；详细查明对矿体影响较大的褶皱、断层和破碎带的性质、规模、产状、性质、发育先后次序、分布规律以及对矿体的破坏程度和对矿石质量的影响，详细查明节理裂隙的性质、产状、分布规律和发育层位、地段及程度。</w:t>
      </w:r>
    </w:p>
    <w:p w14:paraId="467433E9">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zh-CN"/>
        </w:rPr>
      </w:pPr>
      <w:r>
        <w:rPr>
          <w:rFonts w:hint="eastAsia" w:ascii="仿宋" w:hAnsi="仿宋" w:eastAsia="仿宋" w:cs="仿宋"/>
          <w:sz w:val="24"/>
          <w:szCs w:val="21"/>
          <w:lang w:val="zh-CN"/>
        </w:rPr>
        <w:t>②详细查明矿体（层）数量、空间位置、分布规律、形态、规模、产状、厚度及其变化规律；详细查明矿物成分、结构构造、矿石类型、品级、所占比例和空间分布规律；详细查明矿石化学成分、有用和有害成分在矿床和矿体中的空间变化规律。</w:t>
      </w:r>
    </w:p>
    <w:p w14:paraId="0E5AD8AD">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zh-CN"/>
        </w:rPr>
      </w:pPr>
      <w:r>
        <w:rPr>
          <w:rFonts w:hint="eastAsia" w:ascii="仿宋" w:hAnsi="仿宋" w:eastAsia="仿宋" w:cs="仿宋"/>
          <w:sz w:val="24"/>
          <w:szCs w:val="21"/>
          <w:lang w:val="zh-CN"/>
        </w:rPr>
        <w:t>③详细查明夹石的数量、种类、形态、规模、厚度、空间分布、产状、化学成分、矿物成分、结构构造；基本查明岩溶的形态、规模、分布范围和变化规律，充填程度、充填物种类、矿物成分和化学成分以及对矿石质量和开采的影响；详细查明覆盖层</w:t>
      </w:r>
      <w:r>
        <w:rPr>
          <w:rFonts w:hint="eastAsia" w:ascii="仿宋" w:hAnsi="仿宋" w:eastAsia="仿宋" w:cs="仿宋"/>
          <w:sz w:val="24"/>
          <w:szCs w:val="21"/>
          <w:lang w:val="en-US" w:eastAsia="zh-CN"/>
        </w:rPr>
        <w:t>及风化层</w:t>
      </w:r>
      <w:r>
        <w:rPr>
          <w:rFonts w:hint="eastAsia" w:ascii="仿宋" w:hAnsi="仿宋" w:eastAsia="仿宋" w:cs="仿宋"/>
          <w:sz w:val="24"/>
          <w:szCs w:val="21"/>
          <w:lang w:val="zh-CN"/>
        </w:rPr>
        <w:t>的厚度变化。并对覆盖层、</w:t>
      </w:r>
      <w:r>
        <w:rPr>
          <w:rFonts w:hint="eastAsia" w:ascii="仿宋" w:hAnsi="仿宋" w:eastAsia="仿宋" w:cs="仿宋"/>
          <w:sz w:val="24"/>
          <w:szCs w:val="21"/>
          <w:lang w:val="en-US" w:eastAsia="zh-CN"/>
        </w:rPr>
        <w:t>风化层</w:t>
      </w:r>
      <w:r>
        <w:rPr>
          <w:rFonts w:hint="eastAsia" w:ascii="仿宋" w:hAnsi="仿宋" w:eastAsia="仿宋" w:cs="仿宋"/>
          <w:sz w:val="24"/>
          <w:szCs w:val="21"/>
          <w:lang w:val="zh-CN"/>
        </w:rPr>
        <w:t>、夹石及顶板的综合利用进行评价。</w:t>
      </w:r>
    </w:p>
    <w:p w14:paraId="33666AE6">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zh-CN"/>
        </w:rPr>
      </w:pPr>
      <w:r>
        <w:rPr>
          <w:rFonts w:hint="eastAsia" w:ascii="仿宋" w:hAnsi="仿宋" w:eastAsia="仿宋" w:cs="仿宋"/>
          <w:sz w:val="24"/>
          <w:szCs w:val="21"/>
          <w:lang w:val="zh-CN"/>
        </w:rPr>
        <w:t>④详细查明重点勘探区水文地质、工程地质、环境地质条件。</w:t>
      </w:r>
    </w:p>
    <w:p w14:paraId="0898CEE2">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⑤</w:t>
      </w:r>
      <w:r>
        <w:rPr>
          <w:rFonts w:hint="eastAsia" w:ascii="仿宋" w:hAnsi="仿宋" w:eastAsia="仿宋" w:cs="仿宋"/>
          <w:sz w:val="24"/>
          <w:szCs w:val="21"/>
          <w:lang w:val="zh-CN"/>
        </w:rPr>
        <w:t>详</w:t>
      </w:r>
      <w:r>
        <w:rPr>
          <w:rFonts w:hint="eastAsia" w:ascii="仿宋" w:hAnsi="仿宋" w:eastAsia="仿宋" w:cs="仿宋"/>
          <w:sz w:val="24"/>
          <w:szCs w:val="21"/>
          <w:lang w:val="en-US" w:eastAsia="zh-CN"/>
        </w:rPr>
        <w:t>细查明矿石的加工技术性能。</w:t>
      </w:r>
    </w:p>
    <w:p w14:paraId="61375178">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default" w:eastAsia="仿宋"/>
          <w:lang w:val="en-US" w:eastAsia="zh-CN"/>
        </w:rPr>
      </w:pPr>
      <w:r>
        <w:rPr>
          <w:rFonts w:hint="eastAsia" w:ascii="仿宋" w:hAnsi="仿宋" w:eastAsia="仿宋" w:cs="仿宋"/>
          <w:sz w:val="24"/>
          <w:szCs w:val="21"/>
          <w:lang w:val="en-US" w:eastAsia="zh-CN"/>
        </w:rPr>
        <w:t>⑥加强综合勘查，对伴生的建筑用石料矿产开展综合评价。</w:t>
      </w:r>
    </w:p>
    <w:p w14:paraId="41E5DD14">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（三）主要实物工作量</w:t>
      </w:r>
    </w:p>
    <w:p w14:paraId="43B2F642">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val="zh-CN"/>
        </w:rPr>
      </w:pPr>
      <w:r>
        <w:rPr>
          <w:rFonts w:hint="eastAsia" w:ascii="仿宋" w:hAnsi="仿宋" w:eastAsia="仿宋" w:cs="仿宋"/>
          <w:sz w:val="24"/>
          <w:szCs w:val="21"/>
          <w:lang w:val="zh-CN"/>
        </w:rPr>
        <w:t>1:2000地形测量3.87km2、1:10000地质测量（草测）3.87km2、1:2000地质测量</w:t>
      </w:r>
      <w:r>
        <w:rPr>
          <w:rFonts w:hint="eastAsia" w:ascii="仿宋" w:hAnsi="仿宋" w:eastAsia="仿宋" w:cs="仿宋"/>
          <w:sz w:val="24"/>
          <w:szCs w:val="21"/>
          <w:lang w:val="en-US" w:eastAsia="zh-CN"/>
        </w:rPr>
        <w:t>1</w:t>
      </w:r>
      <w:r>
        <w:rPr>
          <w:rFonts w:hint="eastAsia" w:ascii="仿宋" w:hAnsi="仿宋" w:eastAsia="仿宋" w:cs="仿宋"/>
          <w:sz w:val="24"/>
          <w:szCs w:val="21"/>
          <w:lang w:val="zh-CN"/>
        </w:rPr>
        <w:t>km2、1：5000水工环地质测量</w:t>
      </w:r>
      <w:r>
        <w:rPr>
          <w:rFonts w:hint="eastAsia" w:ascii="仿宋" w:hAnsi="仿宋" w:eastAsia="仿宋" w:cs="仿宋"/>
          <w:sz w:val="24"/>
          <w:szCs w:val="21"/>
          <w:lang w:val="en-US" w:eastAsia="zh-CN"/>
        </w:rPr>
        <w:t>5</w:t>
      </w:r>
      <w:r>
        <w:rPr>
          <w:rFonts w:hint="eastAsia" w:ascii="仿宋" w:hAnsi="仿宋" w:eastAsia="仿宋" w:cs="仿宋"/>
          <w:sz w:val="24"/>
          <w:szCs w:val="21"/>
          <w:lang w:val="zh-CN"/>
        </w:rPr>
        <w:t>km2、钻探</w:t>
      </w:r>
      <w:r>
        <w:rPr>
          <w:rFonts w:hint="eastAsia" w:ascii="仿宋" w:hAnsi="仿宋" w:eastAsia="仿宋" w:cs="仿宋"/>
          <w:sz w:val="24"/>
          <w:szCs w:val="21"/>
          <w:lang w:val="en-US" w:eastAsia="zh-CN"/>
        </w:rPr>
        <w:t>9290</w:t>
      </w:r>
      <w:r>
        <w:rPr>
          <w:rFonts w:hint="eastAsia" w:ascii="仿宋" w:hAnsi="仿宋" w:eastAsia="仿宋" w:cs="仿宋"/>
          <w:sz w:val="24"/>
          <w:szCs w:val="21"/>
          <w:lang w:val="zh-CN"/>
        </w:rPr>
        <w:t>m、现场取样、岩矿分析试验、试采及编制普查暨重点区勘探报告。具体工作量表如下：</w:t>
      </w:r>
    </w:p>
    <w:p w14:paraId="77324772">
      <w:pPr>
        <w:keepNext w:val="0"/>
        <w:keepLines w:val="0"/>
        <w:pageBreakBefore w:val="0"/>
        <w:widowControl w:val="0"/>
        <w:kinsoku/>
        <w:wordWrap/>
        <w:overflowPunct/>
        <w:topLinePunct w:val="0"/>
        <w:autoSpaceDE/>
        <w:autoSpaceDN/>
        <w:bidi w:val="0"/>
        <w:adjustRightInd/>
        <w:snapToGrid/>
        <w:ind w:left="1219"/>
        <w:jc w:val="center"/>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武义县新宅镇大莱饰面用花岗岩矿区普查设计工作量表</w:t>
      </w:r>
    </w:p>
    <w:tbl>
      <w:tblPr>
        <w:tblStyle w:val="33"/>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5"/>
        <w:gridCol w:w="1959"/>
        <w:gridCol w:w="960"/>
        <w:gridCol w:w="1229"/>
        <w:gridCol w:w="2267"/>
      </w:tblGrid>
      <w:tr w14:paraId="359B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351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2F2A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工作项目</w:t>
            </w:r>
          </w:p>
        </w:tc>
        <w:tc>
          <w:tcPr>
            <w:tcW w:w="195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2B00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技术条件</w:t>
            </w:r>
          </w:p>
        </w:tc>
        <w:tc>
          <w:tcPr>
            <w:tcW w:w="9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639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122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2DD79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设计总工作量</w:t>
            </w:r>
          </w:p>
        </w:tc>
        <w:tc>
          <w:tcPr>
            <w:tcW w:w="226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EDAD9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5594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55BE658A">
            <w:pPr>
              <w:keepNext w:val="0"/>
              <w:keepLines w:val="0"/>
              <w:widowControl/>
              <w:suppressLineNumbers w:val="0"/>
              <w:jc w:val="left"/>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一、地形测绘</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08CC">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AFE4">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E81F">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A323A5">
            <w:pPr>
              <w:jc w:val="left"/>
              <w:rPr>
                <w:rFonts w:hint="eastAsia" w:ascii="仿宋" w:hAnsi="仿宋" w:eastAsia="仿宋" w:cs="仿宋"/>
                <w:i w:val="0"/>
                <w:iCs w:val="0"/>
                <w:color w:val="000000"/>
                <w:sz w:val="21"/>
                <w:szCs w:val="21"/>
                <w:u w:val="none"/>
              </w:rPr>
            </w:pPr>
          </w:p>
        </w:tc>
      </w:tr>
      <w:tr w14:paraId="5B50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1978475C">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(一)地形测量</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D1B2A5">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6F21B">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62F25">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9B6733">
            <w:pPr>
              <w:jc w:val="left"/>
              <w:rPr>
                <w:rFonts w:hint="eastAsia" w:ascii="仿宋" w:hAnsi="仿宋" w:eastAsia="仿宋" w:cs="仿宋"/>
                <w:i w:val="0"/>
                <w:iCs w:val="0"/>
                <w:color w:val="000000"/>
                <w:sz w:val="21"/>
                <w:szCs w:val="21"/>
                <w:u w:val="none"/>
              </w:rPr>
            </w:pPr>
          </w:p>
        </w:tc>
      </w:tr>
      <w:tr w14:paraId="20F2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4AA7EC55">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1.控制测量，GPS-E级网</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A8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2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1F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F15827">
            <w:pPr>
              <w:jc w:val="left"/>
              <w:rPr>
                <w:rFonts w:hint="eastAsia" w:ascii="仿宋" w:hAnsi="仿宋" w:eastAsia="仿宋" w:cs="仿宋"/>
                <w:i w:val="0"/>
                <w:iCs w:val="0"/>
                <w:color w:val="000000"/>
                <w:sz w:val="21"/>
                <w:szCs w:val="21"/>
                <w:u w:val="none"/>
              </w:rPr>
            </w:pPr>
          </w:p>
        </w:tc>
      </w:tr>
      <w:tr w14:paraId="5390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65B89084">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2.1∶2000地形测量</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64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E7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km</w:t>
            </w:r>
            <w:r>
              <w:rPr>
                <w:rFonts w:hint="eastAsia" w:ascii="仿宋" w:hAnsi="仿宋" w:eastAsia="仿宋" w:cs="仿宋"/>
                <w:i w:val="0"/>
                <w:iCs w:val="0"/>
                <w:color w:val="000000"/>
                <w:kern w:val="0"/>
                <w:sz w:val="21"/>
                <w:szCs w:val="21"/>
                <w:u w:val="none"/>
                <w:vertAlign w:val="superscript"/>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5A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3.87</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33D560">
            <w:pPr>
              <w:jc w:val="left"/>
              <w:rPr>
                <w:rFonts w:hint="eastAsia" w:ascii="仿宋" w:hAnsi="仿宋" w:eastAsia="仿宋" w:cs="仿宋"/>
                <w:i w:val="0"/>
                <w:iCs w:val="0"/>
                <w:color w:val="000000"/>
                <w:sz w:val="21"/>
                <w:szCs w:val="21"/>
                <w:u w:val="none"/>
              </w:rPr>
            </w:pPr>
          </w:p>
        </w:tc>
      </w:tr>
      <w:tr w14:paraId="26E8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4F966975">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（二）计算机成图</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8982">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EFA">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002">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93A20C">
            <w:pPr>
              <w:jc w:val="left"/>
              <w:rPr>
                <w:rFonts w:hint="eastAsia" w:ascii="仿宋" w:hAnsi="仿宋" w:eastAsia="仿宋" w:cs="仿宋"/>
                <w:i w:val="0"/>
                <w:iCs w:val="0"/>
                <w:color w:val="000000"/>
                <w:sz w:val="21"/>
                <w:szCs w:val="21"/>
                <w:u w:val="none"/>
              </w:rPr>
            </w:pPr>
          </w:p>
        </w:tc>
      </w:tr>
      <w:tr w14:paraId="187C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23CCD74F">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1.平面地质图(全开)</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9A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AF997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2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77D2B7">
            <w:pPr>
              <w:jc w:val="left"/>
              <w:rPr>
                <w:rFonts w:hint="eastAsia" w:ascii="仿宋" w:hAnsi="仿宋" w:eastAsia="仿宋" w:cs="仿宋"/>
                <w:i w:val="0"/>
                <w:iCs w:val="0"/>
                <w:color w:val="000000"/>
                <w:sz w:val="21"/>
                <w:szCs w:val="21"/>
                <w:u w:val="none"/>
              </w:rPr>
            </w:pPr>
          </w:p>
        </w:tc>
      </w:tr>
      <w:tr w14:paraId="0404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717B023E">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2.柱状图、剖面图</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54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ABA5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E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1820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0E32C8">
            <w:pPr>
              <w:jc w:val="left"/>
              <w:rPr>
                <w:rFonts w:hint="eastAsia" w:ascii="仿宋" w:hAnsi="仿宋" w:eastAsia="仿宋" w:cs="仿宋"/>
                <w:i w:val="0"/>
                <w:iCs w:val="0"/>
                <w:color w:val="000000"/>
                <w:sz w:val="21"/>
                <w:szCs w:val="21"/>
                <w:u w:val="none"/>
              </w:rPr>
            </w:pPr>
          </w:p>
        </w:tc>
      </w:tr>
      <w:tr w14:paraId="3BBA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C2A44F">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二、地质测量</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5419">
            <w:pPr>
              <w:jc w:val="center"/>
              <w:rPr>
                <w:rFonts w:hint="eastAsia" w:ascii="仿宋" w:hAnsi="仿宋" w:eastAsia="仿宋" w:cs="仿宋"/>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5D58">
            <w:pPr>
              <w:jc w:val="center"/>
              <w:rPr>
                <w:rFonts w:hint="eastAsia" w:ascii="仿宋" w:hAnsi="仿宋" w:eastAsia="仿宋" w:cs="仿宋"/>
                <w:b/>
                <w:bCs/>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3AAF">
            <w:pPr>
              <w:jc w:val="center"/>
              <w:rPr>
                <w:rFonts w:hint="eastAsia" w:ascii="仿宋" w:hAnsi="仿宋" w:eastAsia="仿宋" w:cs="仿宋"/>
                <w:b/>
                <w:bCs/>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CECB8B">
            <w:pPr>
              <w:jc w:val="left"/>
              <w:rPr>
                <w:rFonts w:hint="eastAsia" w:ascii="仿宋" w:hAnsi="仿宋" w:eastAsia="仿宋" w:cs="仿宋"/>
                <w:b/>
                <w:bCs/>
                <w:i w:val="0"/>
                <w:iCs w:val="0"/>
                <w:color w:val="000000"/>
                <w:sz w:val="21"/>
                <w:szCs w:val="21"/>
                <w:u w:val="none"/>
              </w:rPr>
            </w:pPr>
          </w:p>
        </w:tc>
      </w:tr>
      <w:tr w14:paraId="4723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7B8F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1.1:10000地质测量</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8F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Ⅱ（中常区）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01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km</w:t>
            </w:r>
            <w:r>
              <w:rPr>
                <w:rFonts w:hint="eastAsia" w:ascii="仿宋" w:hAnsi="仿宋" w:eastAsia="仿宋" w:cs="仿宋"/>
                <w:i w:val="0"/>
                <w:iCs w:val="0"/>
                <w:color w:val="000000"/>
                <w:kern w:val="0"/>
                <w:sz w:val="21"/>
                <w:szCs w:val="21"/>
                <w:u w:val="none"/>
                <w:vertAlign w:val="superscript"/>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E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3.87</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3411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草测</w:t>
            </w:r>
          </w:p>
        </w:tc>
      </w:tr>
      <w:tr w14:paraId="592F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DC6186">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三、钻探</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00C">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FA00">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B27E">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3C487B">
            <w:pPr>
              <w:jc w:val="left"/>
              <w:rPr>
                <w:rFonts w:hint="eastAsia" w:ascii="仿宋" w:hAnsi="仿宋" w:eastAsia="仿宋" w:cs="仿宋"/>
                <w:b/>
                <w:bCs/>
                <w:i w:val="0"/>
                <w:iCs w:val="0"/>
                <w:color w:val="000000"/>
                <w:sz w:val="21"/>
                <w:szCs w:val="21"/>
                <w:u w:val="none"/>
              </w:rPr>
            </w:pPr>
          </w:p>
        </w:tc>
      </w:tr>
      <w:tr w14:paraId="7BAB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19F6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1.机械岩心钻探(小口径)</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E9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Ⅷ级（硬）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0～200m，90°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A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A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AE0576">
            <w:pPr>
              <w:jc w:val="left"/>
              <w:rPr>
                <w:rFonts w:hint="eastAsia" w:ascii="仿宋" w:hAnsi="仿宋" w:eastAsia="仿宋" w:cs="仿宋"/>
                <w:i w:val="0"/>
                <w:iCs w:val="0"/>
                <w:color w:val="000000"/>
                <w:sz w:val="21"/>
                <w:szCs w:val="21"/>
                <w:u w:val="none"/>
              </w:rPr>
            </w:pPr>
          </w:p>
        </w:tc>
      </w:tr>
      <w:tr w14:paraId="41CC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09C6A">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四、实验测试</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C1C1">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68A9">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1B8F">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E35ACD">
            <w:pPr>
              <w:jc w:val="left"/>
              <w:rPr>
                <w:rFonts w:hint="eastAsia" w:ascii="仿宋" w:hAnsi="仿宋" w:eastAsia="仿宋" w:cs="仿宋"/>
                <w:b/>
                <w:bCs/>
                <w:i w:val="0"/>
                <w:iCs w:val="0"/>
                <w:color w:val="000000"/>
                <w:sz w:val="21"/>
                <w:szCs w:val="21"/>
                <w:u w:val="none"/>
              </w:rPr>
            </w:pPr>
          </w:p>
        </w:tc>
      </w:tr>
      <w:tr w14:paraId="0C4B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30717847">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(一)石材品种鉴定样</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77BFF">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8655C">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FF9B4">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4202AF">
            <w:pPr>
              <w:jc w:val="left"/>
              <w:rPr>
                <w:rFonts w:hint="eastAsia" w:ascii="仿宋" w:hAnsi="仿宋" w:eastAsia="仿宋" w:cs="仿宋"/>
                <w:i w:val="0"/>
                <w:iCs w:val="0"/>
                <w:color w:val="000000"/>
                <w:sz w:val="21"/>
                <w:szCs w:val="21"/>
                <w:u w:val="none"/>
              </w:rPr>
            </w:pPr>
          </w:p>
        </w:tc>
      </w:tr>
      <w:tr w14:paraId="3A02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386D4DF6">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1.标准样</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97FCD">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3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2214B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714079">
            <w:pPr>
              <w:jc w:val="left"/>
              <w:rPr>
                <w:rFonts w:hint="eastAsia" w:ascii="仿宋" w:hAnsi="仿宋" w:eastAsia="仿宋" w:cs="仿宋"/>
                <w:i w:val="0"/>
                <w:iCs w:val="0"/>
                <w:color w:val="000000"/>
                <w:sz w:val="21"/>
                <w:szCs w:val="21"/>
                <w:u w:val="none"/>
              </w:rPr>
            </w:pPr>
          </w:p>
        </w:tc>
      </w:tr>
      <w:tr w14:paraId="270D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17D9F0E6">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2.基本样</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78686">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91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A0973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528</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3B95F3">
            <w:pPr>
              <w:jc w:val="left"/>
              <w:rPr>
                <w:rFonts w:hint="eastAsia" w:ascii="仿宋" w:hAnsi="仿宋" w:eastAsia="仿宋" w:cs="仿宋"/>
                <w:i w:val="0"/>
                <w:iCs w:val="0"/>
                <w:color w:val="000000"/>
                <w:sz w:val="21"/>
                <w:szCs w:val="21"/>
                <w:u w:val="none"/>
              </w:rPr>
            </w:pPr>
          </w:p>
        </w:tc>
      </w:tr>
      <w:tr w14:paraId="0CC0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7570C5BB">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(二)硅酸盐全分析</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D1619">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0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AB3F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ED4428">
            <w:pPr>
              <w:jc w:val="left"/>
              <w:rPr>
                <w:rFonts w:hint="eastAsia" w:ascii="仿宋" w:hAnsi="仿宋" w:eastAsia="仿宋" w:cs="仿宋"/>
                <w:i w:val="0"/>
                <w:iCs w:val="0"/>
                <w:color w:val="000000"/>
                <w:sz w:val="21"/>
                <w:szCs w:val="21"/>
                <w:u w:val="none"/>
              </w:rPr>
            </w:pPr>
          </w:p>
        </w:tc>
      </w:tr>
      <w:tr w14:paraId="3036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03A0A1DF">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(三)放射性</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29385">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16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E5A1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5D3216">
            <w:pPr>
              <w:jc w:val="left"/>
              <w:rPr>
                <w:rFonts w:hint="eastAsia" w:ascii="仿宋" w:hAnsi="仿宋" w:eastAsia="仿宋" w:cs="仿宋"/>
                <w:i w:val="0"/>
                <w:iCs w:val="0"/>
                <w:color w:val="000000"/>
                <w:sz w:val="21"/>
                <w:szCs w:val="21"/>
                <w:u w:val="none"/>
              </w:rPr>
            </w:pPr>
          </w:p>
        </w:tc>
      </w:tr>
      <w:tr w14:paraId="5A35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1930B344">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(四)物理性能样</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7206EE">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8B5A8">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EAFDF">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D5568A">
            <w:pPr>
              <w:jc w:val="left"/>
              <w:rPr>
                <w:rFonts w:hint="eastAsia" w:ascii="仿宋" w:hAnsi="仿宋" w:eastAsia="仿宋" w:cs="仿宋"/>
                <w:i w:val="0"/>
                <w:iCs w:val="0"/>
                <w:color w:val="000000"/>
                <w:sz w:val="21"/>
                <w:szCs w:val="21"/>
                <w:u w:val="none"/>
              </w:rPr>
            </w:pPr>
          </w:p>
        </w:tc>
      </w:tr>
      <w:tr w14:paraId="6D60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76FA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1.干燥压缩强度</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5D8">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FE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1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23F84F">
            <w:pPr>
              <w:jc w:val="left"/>
              <w:rPr>
                <w:rFonts w:hint="eastAsia" w:ascii="仿宋" w:hAnsi="仿宋" w:eastAsia="仿宋" w:cs="仿宋"/>
                <w:b/>
                <w:bCs/>
                <w:i w:val="0"/>
                <w:iCs w:val="0"/>
                <w:color w:val="000000"/>
                <w:sz w:val="21"/>
                <w:szCs w:val="21"/>
                <w:u w:val="none"/>
              </w:rPr>
            </w:pPr>
          </w:p>
        </w:tc>
      </w:tr>
      <w:tr w14:paraId="4394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20C8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2.水饱和压缩强度</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2A90">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C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7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9C2061">
            <w:pPr>
              <w:jc w:val="left"/>
              <w:rPr>
                <w:rFonts w:hint="eastAsia" w:ascii="仿宋" w:hAnsi="仿宋" w:eastAsia="仿宋" w:cs="仿宋"/>
                <w:b/>
                <w:bCs/>
                <w:i w:val="0"/>
                <w:iCs w:val="0"/>
                <w:color w:val="000000"/>
                <w:sz w:val="21"/>
                <w:szCs w:val="21"/>
                <w:u w:val="none"/>
              </w:rPr>
            </w:pPr>
          </w:p>
        </w:tc>
      </w:tr>
      <w:tr w14:paraId="67CC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6310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3.干燥弯曲强度</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5A9B">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8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B3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533FF7">
            <w:pPr>
              <w:jc w:val="left"/>
              <w:rPr>
                <w:rFonts w:hint="eastAsia" w:ascii="仿宋" w:hAnsi="仿宋" w:eastAsia="仿宋" w:cs="仿宋"/>
                <w:b/>
                <w:bCs/>
                <w:i w:val="0"/>
                <w:iCs w:val="0"/>
                <w:color w:val="000000"/>
                <w:sz w:val="21"/>
                <w:szCs w:val="21"/>
                <w:u w:val="none"/>
              </w:rPr>
            </w:pPr>
          </w:p>
        </w:tc>
      </w:tr>
      <w:tr w14:paraId="10B6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9BF6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4.水饱和弯曲强度</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BC4B">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EF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1C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5DA598">
            <w:pPr>
              <w:jc w:val="left"/>
              <w:rPr>
                <w:rFonts w:hint="eastAsia" w:ascii="仿宋" w:hAnsi="仿宋" w:eastAsia="仿宋" w:cs="仿宋"/>
                <w:b/>
                <w:bCs/>
                <w:i w:val="0"/>
                <w:iCs w:val="0"/>
                <w:color w:val="000000"/>
                <w:sz w:val="21"/>
                <w:szCs w:val="21"/>
                <w:u w:val="none"/>
              </w:rPr>
            </w:pPr>
          </w:p>
        </w:tc>
      </w:tr>
      <w:tr w14:paraId="18E6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6895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5.耐磨性</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AD8">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E4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0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F94EFD">
            <w:pPr>
              <w:jc w:val="left"/>
              <w:rPr>
                <w:rFonts w:hint="eastAsia" w:ascii="仿宋" w:hAnsi="仿宋" w:eastAsia="仿宋" w:cs="仿宋"/>
                <w:b/>
                <w:bCs/>
                <w:i w:val="0"/>
                <w:iCs w:val="0"/>
                <w:color w:val="000000"/>
                <w:sz w:val="21"/>
                <w:szCs w:val="21"/>
                <w:u w:val="none"/>
              </w:rPr>
            </w:pPr>
          </w:p>
        </w:tc>
      </w:tr>
      <w:tr w14:paraId="7BAC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66EB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6.饱和抗压强度</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E5D7">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69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1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E8122E">
            <w:pPr>
              <w:jc w:val="left"/>
              <w:rPr>
                <w:rFonts w:hint="eastAsia" w:ascii="仿宋" w:hAnsi="仿宋" w:eastAsia="仿宋" w:cs="仿宋"/>
                <w:b/>
                <w:bCs/>
                <w:i w:val="0"/>
                <w:iCs w:val="0"/>
                <w:color w:val="000000"/>
                <w:sz w:val="21"/>
                <w:szCs w:val="21"/>
                <w:u w:val="none"/>
              </w:rPr>
            </w:pPr>
          </w:p>
        </w:tc>
      </w:tr>
      <w:tr w14:paraId="705D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C746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7.抗剪强度</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4205">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9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98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8D4731">
            <w:pPr>
              <w:jc w:val="left"/>
              <w:rPr>
                <w:rFonts w:hint="eastAsia" w:ascii="仿宋" w:hAnsi="仿宋" w:eastAsia="仿宋" w:cs="仿宋"/>
                <w:b/>
                <w:bCs/>
                <w:i w:val="0"/>
                <w:iCs w:val="0"/>
                <w:color w:val="000000"/>
                <w:sz w:val="21"/>
                <w:szCs w:val="21"/>
                <w:u w:val="none"/>
              </w:rPr>
            </w:pPr>
          </w:p>
        </w:tc>
      </w:tr>
      <w:tr w14:paraId="5AE9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bottom"/>
          </w:tcPr>
          <w:p w14:paraId="02B33713">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(五)岩矿鉴定和试验样</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EDA5B">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732D9">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DF868">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E6119E">
            <w:pPr>
              <w:jc w:val="left"/>
              <w:rPr>
                <w:rFonts w:hint="eastAsia" w:ascii="仿宋" w:hAnsi="仿宋" w:eastAsia="仿宋" w:cs="仿宋"/>
                <w:i w:val="0"/>
                <w:iCs w:val="0"/>
                <w:color w:val="000000"/>
                <w:sz w:val="21"/>
                <w:szCs w:val="21"/>
                <w:u w:val="none"/>
              </w:rPr>
            </w:pPr>
          </w:p>
        </w:tc>
      </w:tr>
      <w:tr w14:paraId="0227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4BD96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1.薄片鉴定（复杂）</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7D4E">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1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2B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1CD648">
            <w:pPr>
              <w:jc w:val="left"/>
              <w:rPr>
                <w:rFonts w:hint="eastAsia" w:ascii="仿宋" w:hAnsi="仿宋" w:eastAsia="仿宋" w:cs="仿宋"/>
                <w:b/>
                <w:bCs/>
                <w:i w:val="0"/>
                <w:iCs w:val="0"/>
                <w:color w:val="000000"/>
                <w:sz w:val="21"/>
                <w:szCs w:val="21"/>
                <w:u w:val="none"/>
              </w:rPr>
            </w:pPr>
          </w:p>
        </w:tc>
      </w:tr>
      <w:tr w14:paraId="4816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D08D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2.体积密度</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ECF4">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A2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C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1B8ADC">
            <w:pPr>
              <w:jc w:val="left"/>
              <w:rPr>
                <w:rFonts w:hint="eastAsia" w:ascii="仿宋" w:hAnsi="仿宋" w:eastAsia="仿宋" w:cs="仿宋"/>
                <w:b/>
                <w:bCs/>
                <w:i w:val="0"/>
                <w:iCs w:val="0"/>
                <w:color w:val="000000"/>
                <w:sz w:val="21"/>
                <w:szCs w:val="21"/>
                <w:u w:val="none"/>
              </w:rPr>
            </w:pPr>
          </w:p>
        </w:tc>
      </w:tr>
      <w:tr w14:paraId="5B98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0EBE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3.吸水率</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B88">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A1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41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A57DA4">
            <w:pPr>
              <w:jc w:val="left"/>
              <w:rPr>
                <w:rFonts w:hint="eastAsia" w:ascii="仿宋" w:hAnsi="仿宋" w:eastAsia="仿宋" w:cs="仿宋"/>
                <w:b/>
                <w:bCs/>
                <w:i w:val="0"/>
                <w:iCs w:val="0"/>
                <w:color w:val="000000"/>
                <w:sz w:val="21"/>
                <w:szCs w:val="21"/>
                <w:u w:val="none"/>
              </w:rPr>
            </w:pPr>
          </w:p>
        </w:tc>
      </w:tr>
      <w:tr w14:paraId="24C1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FC1486">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五、其他地质工作</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D31E">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6D2">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11D5">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2F300D">
            <w:pPr>
              <w:jc w:val="left"/>
              <w:rPr>
                <w:rFonts w:hint="eastAsia" w:ascii="仿宋" w:hAnsi="仿宋" w:eastAsia="仿宋" w:cs="仿宋"/>
                <w:b/>
                <w:bCs/>
                <w:i w:val="0"/>
                <w:iCs w:val="0"/>
                <w:color w:val="000000"/>
                <w:sz w:val="21"/>
                <w:szCs w:val="21"/>
                <w:u w:val="none"/>
              </w:rPr>
            </w:pPr>
          </w:p>
        </w:tc>
      </w:tr>
      <w:tr w14:paraId="018F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A64F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（一）地质勘查工作测量</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04A">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E6E9">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93A6">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95A817">
            <w:pPr>
              <w:jc w:val="left"/>
              <w:rPr>
                <w:rFonts w:hint="eastAsia" w:ascii="仿宋" w:hAnsi="仿宋" w:eastAsia="仿宋" w:cs="仿宋"/>
                <w:i w:val="0"/>
                <w:iCs w:val="0"/>
                <w:color w:val="000000"/>
                <w:sz w:val="21"/>
                <w:szCs w:val="21"/>
                <w:u w:val="none"/>
              </w:rPr>
            </w:pPr>
          </w:p>
        </w:tc>
      </w:tr>
      <w:tr w14:paraId="7FA5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10094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1.工程点测量</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F516">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D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DF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BB2EB3">
            <w:pPr>
              <w:jc w:val="left"/>
              <w:rPr>
                <w:rFonts w:hint="eastAsia" w:ascii="仿宋" w:hAnsi="仿宋" w:eastAsia="仿宋" w:cs="仿宋"/>
                <w:i w:val="0"/>
                <w:iCs w:val="0"/>
                <w:color w:val="000000"/>
                <w:sz w:val="21"/>
                <w:szCs w:val="21"/>
                <w:u w:val="none"/>
              </w:rPr>
            </w:pPr>
          </w:p>
        </w:tc>
      </w:tr>
      <w:tr w14:paraId="47D1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437E0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（二）地质编录</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8473">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D8DF">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DEB4">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25F867">
            <w:pPr>
              <w:jc w:val="left"/>
              <w:rPr>
                <w:rFonts w:hint="eastAsia" w:ascii="仿宋" w:hAnsi="仿宋" w:eastAsia="仿宋" w:cs="仿宋"/>
                <w:i w:val="0"/>
                <w:iCs w:val="0"/>
                <w:color w:val="000000"/>
                <w:sz w:val="21"/>
                <w:szCs w:val="21"/>
                <w:u w:val="none"/>
              </w:rPr>
            </w:pPr>
          </w:p>
        </w:tc>
      </w:tr>
      <w:tr w14:paraId="31A6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6B68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1.钻探矿产编录</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7138">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1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E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DFBB3E">
            <w:pPr>
              <w:jc w:val="left"/>
              <w:rPr>
                <w:rFonts w:hint="eastAsia" w:ascii="仿宋" w:hAnsi="仿宋" w:eastAsia="仿宋" w:cs="仿宋"/>
                <w:i w:val="0"/>
                <w:iCs w:val="0"/>
                <w:color w:val="000000"/>
                <w:sz w:val="21"/>
                <w:szCs w:val="21"/>
                <w:u w:val="none"/>
              </w:rPr>
            </w:pPr>
          </w:p>
        </w:tc>
      </w:tr>
      <w:tr w14:paraId="7B2F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07F3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2.钻探水文编录</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F6ED">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E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F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C99D9F">
            <w:pPr>
              <w:jc w:val="left"/>
              <w:rPr>
                <w:rFonts w:hint="eastAsia" w:ascii="仿宋" w:hAnsi="仿宋" w:eastAsia="仿宋" w:cs="仿宋"/>
                <w:i w:val="0"/>
                <w:iCs w:val="0"/>
                <w:color w:val="000000"/>
                <w:sz w:val="21"/>
                <w:szCs w:val="21"/>
                <w:u w:val="none"/>
              </w:rPr>
            </w:pPr>
          </w:p>
        </w:tc>
      </w:tr>
      <w:tr w14:paraId="54F5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62AE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（三）采样</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5BDF">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6A0C">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D78D">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CE9A7E">
            <w:pPr>
              <w:jc w:val="left"/>
              <w:rPr>
                <w:rFonts w:hint="eastAsia" w:ascii="仿宋" w:hAnsi="仿宋" w:eastAsia="仿宋" w:cs="仿宋"/>
                <w:i w:val="0"/>
                <w:iCs w:val="0"/>
                <w:color w:val="000000"/>
                <w:sz w:val="21"/>
                <w:szCs w:val="21"/>
                <w:u w:val="none"/>
              </w:rPr>
            </w:pPr>
          </w:p>
        </w:tc>
      </w:tr>
      <w:tr w14:paraId="6332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FEA3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1.岩心样</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B3C7">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0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5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528</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8A08A8">
            <w:pPr>
              <w:jc w:val="left"/>
              <w:rPr>
                <w:rFonts w:hint="eastAsia" w:ascii="仿宋" w:hAnsi="仿宋" w:eastAsia="仿宋" w:cs="仿宋"/>
                <w:i w:val="0"/>
                <w:iCs w:val="0"/>
                <w:color w:val="000000"/>
                <w:sz w:val="21"/>
                <w:szCs w:val="21"/>
                <w:u w:val="none"/>
              </w:rPr>
            </w:pPr>
          </w:p>
        </w:tc>
      </w:tr>
      <w:tr w14:paraId="6783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C3F6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（四）岩矿心保管</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D519">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9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E5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2640</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C16DE8">
            <w:pPr>
              <w:jc w:val="left"/>
              <w:rPr>
                <w:rFonts w:hint="eastAsia" w:ascii="仿宋" w:hAnsi="仿宋" w:eastAsia="仿宋" w:cs="仿宋"/>
                <w:i w:val="0"/>
                <w:iCs w:val="0"/>
                <w:color w:val="000000"/>
                <w:sz w:val="21"/>
                <w:szCs w:val="21"/>
                <w:u w:val="none"/>
              </w:rPr>
            </w:pPr>
          </w:p>
        </w:tc>
      </w:tr>
      <w:tr w14:paraId="2185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0968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（六）综合研究及报告编写</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D0C2">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6085">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162">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7349D0">
            <w:pPr>
              <w:jc w:val="left"/>
              <w:rPr>
                <w:rFonts w:hint="eastAsia" w:ascii="仿宋" w:hAnsi="仿宋" w:eastAsia="仿宋" w:cs="仿宋"/>
                <w:i w:val="0"/>
                <w:iCs w:val="0"/>
                <w:color w:val="000000"/>
                <w:sz w:val="21"/>
                <w:szCs w:val="21"/>
                <w:u w:val="none"/>
              </w:rPr>
            </w:pPr>
          </w:p>
        </w:tc>
      </w:tr>
      <w:tr w14:paraId="3895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16FF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1.普查地质报告</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8750">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2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份</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A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DCCB52">
            <w:pPr>
              <w:jc w:val="left"/>
              <w:rPr>
                <w:rFonts w:hint="eastAsia" w:ascii="仿宋" w:hAnsi="仿宋" w:eastAsia="仿宋" w:cs="仿宋"/>
                <w:i w:val="0"/>
                <w:iCs w:val="0"/>
                <w:color w:val="000000"/>
                <w:sz w:val="21"/>
                <w:szCs w:val="21"/>
                <w:u w:val="none"/>
              </w:rPr>
            </w:pPr>
          </w:p>
        </w:tc>
      </w:tr>
      <w:tr w14:paraId="207F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4FAF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（七）报告印刷</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9413">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06E4">
            <w:pPr>
              <w:jc w:val="center"/>
              <w:rPr>
                <w:rFonts w:hint="eastAsia" w:ascii="仿宋" w:hAnsi="仿宋" w:eastAsia="仿宋" w:cs="仿宋"/>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829C94">
            <w:pPr>
              <w:jc w:val="center"/>
              <w:rPr>
                <w:rFonts w:hint="eastAsia" w:ascii="仿宋" w:hAnsi="仿宋" w:eastAsia="仿宋" w:cs="仿宋"/>
                <w:i w:val="0"/>
                <w:iCs w:val="0"/>
                <w:color w:val="000000"/>
                <w:sz w:val="21"/>
                <w:szCs w:val="21"/>
                <w:u w:val="none"/>
              </w:rPr>
            </w:pP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7F68E3">
            <w:pPr>
              <w:jc w:val="left"/>
              <w:rPr>
                <w:rFonts w:hint="eastAsia" w:ascii="仿宋" w:hAnsi="仿宋" w:eastAsia="仿宋" w:cs="仿宋"/>
                <w:i w:val="0"/>
                <w:iCs w:val="0"/>
                <w:color w:val="000000"/>
                <w:sz w:val="21"/>
                <w:szCs w:val="21"/>
                <w:u w:val="none"/>
              </w:rPr>
            </w:pPr>
          </w:p>
        </w:tc>
      </w:tr>
      <w:tr w14:paraId="577F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FCB5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1.普查地质报告</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57CD">
            <w:pPr>
              <w:jc w:val="center"/>
              <w:rPr>
                <w:rFonts w:hint="eastAsia" w:ascii="仿宋" w:hAnsi="仿宋" w:eastAsia="仿宋" w:cs="仿宋"/>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0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份</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3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1AC3CC">
            <w:pPr>
              <w:jc w:val="left"/>
              <w:rPr>
                <w:rFonts w:hint="eastAsia" w:ascii="仿宋" w:hAnsi="仿宋" w:eastAsia="仿宋" w:cs="仿宋"/>
                <w:i w:val="0"/>
                <w:iCs w:val="0"/>
                <w:color w:val="000000"/>
                <w:sz w:val="21"/>
                <w:szCs w:val="21"/>
                <w:u w:val="none"/>
              </w:rPr>
            </w:pPr>
          </w:p>
        </w:tc>
      </w:tr>
    </w:tbl>
    <w:p w14:paraId="27F7E28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武义县新宅镇大莱饰面用花岗岩矿区重点区勘探设计工作量表</w:t>
      </w:r>
    </w:p>
    <w:tbl>
      <w:tblPr>
        <w:tblStyle w:val="33"/>
        <w:tblW w:w="10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7"/>
        <w:gridCol w:w="1983"/>
        <w:gridCol w:w="972"/>
        <w:gridCol w:w="1244"/>
        <w:gridCol w:w="2294"/>
      </w:tblGrid>
      <w:tr w14:paraId="6F41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3557"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C882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工作项目</w:t>
            </w:r>
          </w:p>
        </w:tc>
        <w:tc>
          <w:tcPr>
            <w:tcW w:w="198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8533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技术条件</w:t>
            </w:r>
          </w:p>
        </w:tc>
        <w:tc>
          <w:tcPr>
            <w:tcW w:w="97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46860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124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AAF82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设计总工作量</w:t>
            </w:r>
          </w:p>
        </w:tc>
        <w:tc>
          <w:tcPr>
            <w:tcW w:w="2294"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08EE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48E9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29CE1D7F">
            <w:pPr>
              <w:keepNext w:val="0"/>
              <w:keepLines w:val="0"/>
              <w:widowControl/>
              <w:suppressLineNumbers w:val="0"/>
              <w:jc w:val="left"/>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一、地形测绘</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3A0B">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C4D">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FEB">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A4918D">
            <w:pPr>
              <w:jc w:val="center"/>
              <w:rPr>
                <w:rFonts w:hint="eastAsia" w:ascii="仿宋" w:hAnsi="仿宋" w:eastAsia="仿宋" w:cs="仿宋"/>
                <w:i w:val="0"/>
                <w:iCs w:val="0"/>
                <w:color w:val="000000"/>
                <w:sz w:val="21"/>
                <w:szCs w:val="21"/>
                <w:u w:val="none"/>
              </w:rPr>
            </w:pPr>
          </w:p>
        </w:tc>
      </w:tr>
      <w:tr w14:paraId="2E66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00ED37F4">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（一）计算机成图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7D40">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9E10">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53B7">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E37B1D">
            <w:pPr>
              <w:jc w:val="center"/>
              <w:rPr>
                <w:rFonts w:hint="eastAsia" w:ascii="仿宋" w:hAnsi="仿宋" w:eastAsia="仿宋" w:cs="仿宋"/>
                <w:i w:val="0"/>
                <w:iCs w:val="0"/>
                <w:color w:val="000000"/>
                <w:sz w:val="21"/>
                <w:szCs w:val="21"/>
                <w:u w:val="none"/>
              </w:rPr>
            </w:pPr>
          </w:p>
        </w:tc>
      </w:tr>
      <w:tr w14:paraId="5E1B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6B7548A5">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1.平面地质图(全开)</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ADE5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D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19937C">
            <w:pPr>
              <w:jc w:val="center"/>
              <w:rPr>
                <w:rFonts w:hint="eastAsia" w:ascii="仿宋" w:hAnsi="仿宋" w:eastAsia="仿宋" w:cs="仿宋"/>
                <w:i w:val="0"/>
                <w:iCs w:val="0"/>
                <w:color w:val="000000"/>
                <w:sz w:val="21"/>
                <w:szCs w:val="21"/>
                <w:u w:val="none"/>
              </w:rPr>
            </w:pPr>
          </w:p>
        </w:tc>
      </w:tr>
      <w:tr w14:paraId="2BDD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78F5A667">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2.槽探图、柱状图、剖面图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29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C450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B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3825</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7C1A49">
            <w:pPr>
              <w:jc w:val="center"/>
              <w:rPr>
                <w:rFonts w:hint="eastAsia" w:ascii="仿宋" w:hAnsi="仿宋" w:eastAsia="仿宋" w:cs="仿宋"/>
                <w:i w:val="0"/>
                <w:iCs w:val="0"/>
                <w:color w:val="000000"/>
                <w:sz w:val="21"/>
                <w:szCs w:val="21"/>
                <w:u w:val="none"/>
              </w:rPr>
            </w:pPr>
          </w:p>
        </w:tc>
      </w:tr>
      <w:tr w14:paraId="22EE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C8B0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二、地质测量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8EB0">
            <w:pPr>
              <w:jc w:val="center"/>
              <w:rPr>
                <w:rFonts w:hint="eastAsia" w:ascii="仿宋" w:hAnsi="仿宋" w:eastAsia="仿宋" w:cs="仿宋"/>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C874">
            <w:pPr>
              <w:jc w:val="center"/>
              <w:rPr>
                <w:rFonts w:hint="eastAsia" w:ascii="仿宋" w:hAnsi="仿宋" w:eastAsia="仿宋" w:cs="仿宋"/>
                <w:b/>
                <w:bCs/>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8980">
            <w:pPr>
              <w:jc w:val="center"/>
              <w:rPr>
                <w:rFonts w:hint="eastAsia" w:ascii="仿宋" w:hAnsi="仿宋" w:eastAsia="仿宋" w:cs="仿宋"/>
                <w:b/>
                <w:bCs/>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F85678">
            <w:pPr>
              <w:jc w:val="right"/>
              <w:rPr>
                <w:rFonts w:hint="eastAsia" w:ascii="仿宋" w:hAnsi="仿宋" w:eastAsia="仿宋" w:cs="仿宋"/>
                <w:b/>
                <w:bCs/>
                <w:i w:val="0"/>
                <w:iCs w:val="0"/>
                <w:color w:val="000000"/>
                <w:sz w:val="21"/>
                <w:szCs w:val="21"/>
                <w:u w:val="none"/>
              </w:rPr>
            </w:pPr>
          </w:p>
        </w:tc>
      </w:tr>
      <w:tr w14:paraId="76BE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D844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1.1:2000地质测量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86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Ⅱ（中常区）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4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km</w:t>
            </w:r>
            <w:r>
              <w:rPr>
                <w:rFonts w:hint="eastAsia" w:ascii="仿宋" w:hAnsi="仿宋" w:eastAsia="仿宋" w:cs="仿宋"/>
                <w:i w:val="0"/>
                <w:iCs w:val="0"/>
                <w:color w:val="000000"/>
                <w:kern w:val="0"/>
                <w:sz w:val="21"/>
                <w:szCs w:val="21"/>
                <w:u w:val="none"/>
                <w:vertAlign w:val="superscript"/>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DF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C1C322">
            <w:pPr>
              <w:jc w:val="center"/>
              <w:rPr>
                <w:rFonts w:hint="eastAsia" w:ascii="仿宋" w:hAnsi="仿宋" w:eastAsia="仿宋" w:cs="仿宋"/>
                <w:i w:val="0"/>
                <w:iCs w:val="0"/>
                <w:color w:val="000000"/>
                <w:sz w:val="21"/>
                <w:szCs w:val="21"/>
                <w:u w:val="none"/>
              </w:rPr>
            </w:pPr>
          </w:p>
        </w:tc>
      </w:tr>
      <w:tr w14:paraId="1EA2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0FB4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2.1:5000水工环地质测量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0B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Ⅱ（中常区）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E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km</w:t>
            </w:r>
            <w:r>
              <w:rPr>
                <w:rFonts w:hint="eastAsia" w:ascii="仿宋" w:hAnsi="仿宋" w:eastAsia="仿宋" w:cs="仿宋"/>
                <w:i w:val="0"/>
                <w:iCs w:val="0"/>
                <w:color w:val="000000"/>
                <w:kern w:val="0"/>
                <w:sz w:val="21"/>
                <w:szCs w:val="21"/>
                <w:u w:val="none"/>
                <w:vertAlign w:val="superscript"/>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26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76A13C">
            <w:pPr>
              <w:jc w:val="center"/>
              <w:rPr>
                <w:rFonts w:hint="eastAsia" w:ascii="仿宋" w:hAnsi="仿宋" w:eastAsia="仿宋" w:cs="仿宋"/>
                <w:i w:val="0"/>
                <w:iCs w:val="0"/>
                <w:color w:val="000000"/>
                <w:sz w:val="21"/>
                <w:szCs w:val="21"/>
                <w:u w:val="none"/>
              </w:rPr>
            </w:pPr>
          </w:p>
        </w:tc>
      </w:tr>
      <w:tr w14:paraId="63C1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DD4CD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三、钻探</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B655">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C47C">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6735">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2A404F">
            <w:pPr>
              <w:jc w:val="right"/>
              <w:rPr>
                <w:rFonts w:hint="eastAsia" w:ascii="仿宋" w:hAnsi="仿宋" w:eastAsia="仿宋" w:cs="仿宋"/>
                <w:b/>
                <w:bCs/>
                <w:i w:val="0"/>
                <w:iCs w:val="0"/>
                <w:color w:val="000000"/>
                <w:sz w:val="21"/>
                <w:szCs w:val="21"/>
                <w:u w:val="none"/>
              </w:rPr>
            </w:pPr>
          </w:p>
        </w:tc>
      </w:tr>
      <w:tr w14:paraId="407D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0D3A6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1.机械岩心钻探(小口径)</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D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Ⅷ级（硬）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0～200m，90°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67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DD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6650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B5771C">
            <w:pPr>
              <w:jc w:val="center"/>
              <w:rPr>
                <w:rFonts w:hint="eastAsia" w:ascii="仿宋" w:hAnsi="仿宋" w:eastAsia="仿宋" w:cs="仿宋"/>
                <w:i w:val="0"/>
                <w:iCs w:val="0"/>
                <w:color w:val="000000"/>
                <w:sz w:val="21"/>
                <w:szCs w:val="21"/>
                <w:u w:val="none"/>
              </w:rPr>
            </w:pPr>
          </w:p>
        </w:tc>
      </w:tr>
      <w:tr w14:paraId="584F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BEBD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四、实验测试</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BBA1">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6110">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61D1">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0CD111">
            <w:pPr>
              <w:jc w:val="right"/>
              <w:rPr>
                <w:rFonts w:hint="eastAsia" w:ascii="仿宋" w:hAnsi="仿宋" w:eastAsia="仿宋" w:cs="仿宋"/>
                <w:b/>
                <w:bCs/>
                <w:i w:val="0"/>
                <w:iCs w:val="0"/>
                <w:color w:val="000000"/>
                <w:sz w:val="21"/>
                <w:szCs w:val="21"/>
                <w:u w:val="none"/>
              </w:rPr>
            </w:pPr>
          </w:p>
        </w:tc>
      </w:tr>
      <w:tr w14:paraId="75E4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422DFF4E">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(一)石材品种鉴定样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B8375">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BF0B7">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F0586">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D5197A">
            <w:pPr>
              <w:jc w:val="center"/>
              <w:rPr>
                <w:rFonts w:hint="eastAsia" w:ascii="仿宋" w:hAnsi="仿宋" w:eastAsia="仿宋" w:cs="仿宋"/>
                <w:i w:val="0"/>
                <w:iCs w:val="0"/>
                <w:color w:val="000000"/>
                <w:sz w:val="21"/>
                <w:szCs w:val="21"/>
                <w:u w:val="none"/>
              </w:rPr>
            </w:pPr>
          </w:p>
        </w:tc>
      </w:tr>
      <w:tr w14:paraId="55DE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0A7BC975">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1.标准样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8482C">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5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56853">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732185">
            <w:pPr>
              <w:jc w:val="center"/>
              <w:rPr>
                <w:rFonts w:hint="eastAsia" w:ascii="仿宋" w:hAnsi="仿宋" w:eastAsia="仿宋" w:cs="仿宋"/>
                <w:i w:val="0"/>
                <w:iCs w:val="0"/>
                <w:color w:val="000000"/>
                <w:sz w:val="21"/>
                <w:szCs w:val="21"/>
                <w:u w:val="none"/>
              </w:rPr>
            </w:pPr>
          </w:p>
        </w:tc>
      </w:tr>
      <w:tr w14:paraId="1D28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7941FB30">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2.基本样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CA3C0">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3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84AF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CC3DA">
            <w:pPr>
              <w:jc w:val="center"/>
              <w:rPr>
                <w:rFonts w:hint="eastAsia" w:ascii="仿宋" w:hAnsi="仿宋" w:eastAsia="仿宋" w:cs="仿宋"/>
                <w:i w:val="0"/>
                <w:iCs w:val="0"/>
                <w:color w:val="000000"/>
                <w:sz w:val="21"/>
                <w:szCs w:val="21"/>
                <w:u w:val="none"/>
              </w:rPr>
            </w:pPr>
          </w:p>
        </w:tc>
      </w:tr>
      <w:tr w14:paraId="40CC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3152DD1B">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(二)硅酸盐全分析</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5C239">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C5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E195F">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F485CB">
            <w:pPr>
              <w:jc w:val="center"/>
              <w:rPr>
                <w:rFonts w:hint="eastAsia" w:ascii="仿宋" w:hAnsi="仿宋" w:eastAsia="仿宋" w:cs="仿宋"/>
                <w:i w:val="0"/>
                <w:iCs w:val="0"/>
                <w:color w:val="000000"/>
                <w:sz w:val="21"/>
                <w:szCs w:val="21"/>
                <w:u w:val="none"/>
              </w:rPr>
            </w:pPr>
          </w:p>
        </w:tc>
      </w:tr>
      <w:tr w14:paraId="6704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68DA0C1D">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(三)放射性</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0FE87">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C336">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02E64">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31C23D">
            <w:pPr>
              <w:jc w:val="center"/>
              <w:rPr>
                <w:rFonts w:hint="eastAsia" w:ascii="仿宋" w:hAnsi="仿宋" w:eastAsia="仿宋" w:cs="仿宋"/>
                <w:i w:val="0"/>
                <w:iCs w:val="0"/>
                <w:color w:val="000000"/>
                <w:sz w:val="21"/>
                <w:szCs w:val="21"/>
                <w:u w:val="none"/>
              </w:rPr>
            </w:pPr>
          </w:p>
        </w:tc>
      </w:tr>
      <w:tr w14:paraId="0FC3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34208EE2">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1.放射性检测样品</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FA9F4">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E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C6CB9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084E78">
            <w:pPr>
              <w:jc w:val="center"/>
              <w:rPr>
                <w:rFonts w:hint="eastAsia" w:ascii="仿宋" w:hAnsi="仿宋" w:eastAsia="仿宋" w:cs="仿宋"/>
                <w:i w:val="0"/>
                <w:iCs w:val="0"/>
                <w:color w:val="000000"/>
                <w:sz w:val="21"/>
                <w:szCs w:val="21"/>
                <w:u w:val="none"/>
              </w:rPr>
            </w:pPr>
          </w:p>
        </w:tc>
      </w:tr>
      <w:tr w14:paraId="6AEE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3C0CFAD2">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2.放射性现场监测</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1FF22">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B5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0A62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6576D1">
            <w:pPr>
              <w:jc w:val="center"/>
              <w:rPr>
                <w:rFonts w:hint="eastAsia" w:ascii="仿宋" w:hAnsi="仿宋" w:eastAsia="仿宋" w:cs="仿宋"/>
                <w:i w:val="0"/>
                <w:iCs w:val="0"/>
                <w:color w:val="000000"/>
                <w:sz w:val="21"/>
                <w:szCs w:val="21"/>
                <w:u w:val="none"/>
              </w:rPr>
            </w:pPr>
          </w:p>
        </w:tc>
      </w:tr>
      <w:tr w14:paraId="062E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4E95A328">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(四)物理性能样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EA35F0">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03796">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8EAF01">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D33C0A">
            <w:pPr>
              <w:jc w:val="center"/>
              <w:rPr>
                <w:rFonts w:hint="eastAsia" w:ascii="仿宋" w:hAnsi="仿宋" w:eastAsia="仿宋" w:cs="仿宋"/>
                <w:i w:val="0"/>
                <w:iCs w:val="0"/>
                <w:color w:val="000000"/>
                <w:sz w:val="21"/>
                <w:szCs w:val="21"/>
                <w:u w:val="none"/>
              </w:rPr>
            </w:pPr>
          </w:p>
        </w:tc>
      </w:tr>
      <w:tr w14:paraId="21BA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C1EF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1.干燥压缩强度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1BE">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98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D5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66DFE1">
            <w:pPr>
              <w:jc w:val="right"/>
              <w:rPr>
                <w:rFonts w:hint="eastAsia" w:ascii="仿宋" w:hAnsi="仿宋" w:eastAsia="仿宋" w:cs="仿宋"/>
                <w:b/>
                <w:bCs/>
                <w:i w:val="0"/>
                <w:iCs w:val="0"/>
                <w:color w:val="000000"/>
                <w:sz w:val="21"/>
                <w:szCs w:val="21"/>
                <w:u w:val="none"/>
              </w:rPr>
            </w:pPr>
          </w:p>
        </w:tc>
      </w:tr>
      <w:tr w14:paraId="0F48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3C0F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2.水饱和压缩强度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9E61">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C536E1">
            <w:pPr>
              <w:jc w:val="right"/>
              <w:rPr>
                <w:rFonts w:hint="eastAsia" w:ascii="仿宋" w:hAnsi="仿宋" w:eastAsia="仿宋" w:cs="仿宋"/>
                <w:b/>
                <w:bCs/>
                <w:i w:val="0"/>
                <w:iCs w:val="0"/>
                <w:color w:val="000000"/>
                <w:sz w:val="21"/>
                <w:szCs w:val="21"/>
                <w:u w:val="none"/>
              </w:rPr>
            </w:pPr>
          </w:p>
        </w:tc>
      </w:tr>
      <w:tr w14:paraId="142F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D0E7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3.干燥弯曲强度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B53A">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DB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28E73D">
            <w:pPr>
              <w:jc w:val="right"/>
              <w:rPr>
                <w:rFonts w:hint="eastAsia" w:ascii="仿宋" w:hAnsi="仿宋" w:eastAsia="仿宋" w:cs="仿宋"/>
                <w:b/>
                <w:bCs/>
                <w:i w:val="0"/>
                <w:iCs w:val="0"/>
                <w:color w:val="000000"/>
                <w:sz w:val="21"/>
                <w:szCs w:val="21"/>
                <w:u w:val="none"/>
              </w:rPr>
            </w:pPr>
          </w:p>
        </w:tc>
      </w:tr>
      <w:tr w14:paraId="3E6E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21E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4.水饱和弯曲强度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E0B7">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13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CE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F31C8E">
            <w:pPr>
              <w:jc w:val="right"/>
              <w:rPr>
                <w:rFonts w:hint="eastAsia" w:ascii="仿宋" w:hAnsi="仿宋" w:eastAsia="仿宋" w:cs="仿宋"/>
                <w:b/>
                <w:bCs/>
                <w:i w:val="0"/>
                <w:iCs w:val="0"/>
                <w:color w:val="000000"/>
                <w:sz w:val="21"/>
                <w:szCs w:val="21"/>
                <w:u w:val="none"/>
              </w:rPr>
            </w:pPr>
          </w:p>
        </w:tc>
      </w:tr>
      <w:tr w14:paraId="7468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712A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5.耐磨性</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1BB1">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2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AA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B35B50">
            <w:pPr>
              <w:jc w:val="right"/>
              <w:rPr>
                <w:rFonts w:hint="eastAsia" w:ascii="仿宋" w:hAnsi="仿宋" w:eastAsia="仿宋" w:cs="仿宋"/>
                <w:b/>
                <w:bCs/>
                <w:i w:val="0"/>
                <w:iCs w:val="0"/>
                <w:color w:val="000000"/>
                <w:sz w:val="21"/>
                <w:szCs w:val="21"/>
                <w:u w:val="none"/>
              </w:rPr>
            </w:pPr>
          </w:p>
        </w:tc>
      </w:tr>
      <w:tr w14:paraId="734D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8C7B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6.饱和抗压强度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6D1">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1E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43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507110">
            <w:pPr>
              <w:jc w:val="right"/>
              <w:rPr>
                <w:rFonts w:hint="eastAsia" w:ascii="仿宋" w:hAnsi="仿宋" w:eastAsia="仿宋" w:cs="仿宋"/>
                <w:b/>
                <w:bCs/>
                <w:i w:val="0"/>
                <w:iCs w:val="0"/>
                <w:color w:val="000000"/>
                <w:sz w:val="21"/>
                <w:szCs w:val="21"/>
                <w:u w:val="none"/>
              </w:rPr>
            </w:pPr>
          </w:p>
        </w:tc>
      </w:tr>
      <w:tr w14:paraId="4AB4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2C2C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7.抗剪强度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D6A6">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7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1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E99EEA">
            <w:pPr>
              <w:jc w:val="right"/>
              <w:rPr>
                <w:rFonts w:hint="eastAsia" w:ascii="仿宋" w:hAnsi="仿宋" w:eastAsia="仿宋" w:cs="仿宋"/>
                <w:b/>
                <w:bCs/>
                <w:i w:val="0"/>
                <w:iCs w:val="0"/>
                <w:color w:val="000000"/>
                <w:sz w:val="21"/>
                <w:szCs w:val="21"/>
                <w:u w:val="none"/>
              </w:rPr>
            </w:pPr>
          </w:p>
        </w:tc>
      </w:tr>
      <w:tr w14:paraId="2386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63A6FFA1">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(五)岩矿鉴定和试验样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6A779">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0665F">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9AD1C">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933EFA">
            <w:pPr>
              <w:jc w:val="center"/>
              <w:rPr>
                <w:rFonts w:hint="eastAsia" w:ascii="仿宋" w:hAnsi="仿宋" w:eastAsia="仿宋" w:cs="仿宋"/>
                <w:i w:val="0"/>
                <w:iCs w:val="0"/>
                <w:color w:val="000000"/>
                <w:sz w:val="21"/>
                <w:szCs w:val="21"/>
                <w:u w:val="none"/>
              </w:rPr>
            </w:pPr>
          </w:p>
        </w:tc>
      </w:tr>
      <w:tr w14:paraId="0228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8D35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1.薄片鉴定（复杂）</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B6C7">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CC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D9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8E428C">
            <w:pPr>
              <w:jc w:val="right"/>
              <w:rPr>
                <w:rFonts w:hint="eastAsia" w:ascii="仿宋" w:hAnsi="仿宋" w:eastAsia="仿宋" w:cs="仿宋"/>
                <w:b/>
                <w:bCs/>
                <w:i w:val="0"/>
                <w:iCs w:val="0"/>
                <w:color w:val="000000"/>
                <w:sz w:val="21"/>
                <w:szCs w:val="21"/>
                <w:u w:val="none"/>
              </w:rPr>
            </w:pPr>
          </w:p>
        </w:tc>
      </w:tr>
      <w:tr w14:paraId="5874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3C7B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2.体积密度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2B9">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A0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F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056BCE">
            <w:pPr>
              <w:jc w:val="right"/>
              <w:rPr>
                <w:rFonts w:hint="eastAsia" w:ascii="仿宋" w:hAnsi="仿宋" w:eastAsia="仿宋" w:cs="仿宋"/>
                <w:b/>
                <w:bCs/>
                <w:i w:val="0"/>
                <w:iCs w:val="0"/>
                <w:color w:val="000000"/>
                <w:sz w:val="21"/>
                <w:szCs w:val="21"/>
                <w:u w:val="none"/>
              </w:rPr>
            </w:pPr>
          </w:p>
        </w:tc>
      </w:tr>
      <w:tr w14:paraId="002A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4F28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3.吸水率</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316F">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5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0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EF72F0">
            <w:pPr>
              <w:jc w:val="right"/>
              <w:rPr>
                <w:rFonts w:hint="eastAsia" w:ascii="仿宋" w:hAnsi="仿宋" w:eastAsia="仿宋" w:cs="仿宋"/>
                <w:b/>
                <w:bCs/>
                <w:i w:val="0"/>
                <w:iCs w:val="0"/>
                <w:color w:val="000000"/>
                <w:sz w:val="21"/>
                <w:szCs w:val="21"/>
                <w:u w:val="none"/>
              </w:rPr>
            </w:pPr>
          </w:p>
        </w:tc>
      </w:tr>
      <w:tr w14:paraId="151E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010CB1AA">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(六)水质分析</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91C14">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E155F">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80981">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6760B6">
            <w:pPr>
              <w:jc w:val="center"/>
              <w:rPr>
                <w:rFonts w:hint="eastAsia" w:ascii="仿宋" w:hAnsi="仿宋" w:eastAsia="仿宋" w:cs="仿宋"/>
                <w:i w:val="0"/>
                <w:iCs w:val="0"/>
                <w:color w:val="000000"/>
                <w:sz w:val="21"/>
                <w:szCs w:val="21"/>
                <w:u w:val="none"/>
              </w:rPr>
            </w:pPr>
          </w:p>
        </w:tc>
      </w:tr>
      <w:tr w14:paraId="2587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643D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1.一般水样全分析</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4F79">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B0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7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78A70C">
            <w:pPr>
              <w:jc w:val="right"/>
              <w:rPr>
                <w:rFonts w:hint="eastAsia" w:ascii="仿宋" w:hAnsi="仿宋" w:eastAsia="仿宋" w:cs="仿宋"/>
                <w:b/>
                <w:bCs/>
                <w:i w:val="0"/>
                <w:iCs w:val="0"/>
                <w:color w:val="000000"/>
                <w:sz w:val="21"/>
                <w:szCs w:val="21"/>
                <w:u w:val="none"/>
              </w:rPr>
            </w:pPr>
          </w:p>
        </w:tc>
      </w:tr>
      <w:tr w14:paraId="6F87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6D4E1867">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(七)加工技术性能测试样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F279F">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ACA63">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3941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642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试采</w:t>
            </w:r>
          </w:p>
        </w:tc>
      </w:tr>
      <w:tr w14:paraId="372E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bottom"/>
          </w:tcPr>
          <w:p w14:paraId="442EBD83">
            <w:pPr>
              <w:keepNext w:val="0"/>
              <w:keepLines w:val="0"/>
              <w:widowControl/>
              <w:suppressLineNumbers w:val="0"/>
              <w:jc w:val="lef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(八）石料综合评价测试</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3D3D7">
            <w:pPr>
              <w:jc w:val="left"/>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7A83F">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0D49A">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5B1312">
            <w:pPr>
              <w:jc w:val="center"/>
              <w:rPr>
                <w:rFonts w:hint="eastAsia" w:ascii="仿宋" w:hAnsi="仿宋" w:eastAsia="仿宋" w:cs="仿宋"/>
                <w:i w:val="0"/>
                <w:iCs w:val="0"/>
                <w:color w:val="000000"/>
                <w:sz w:val="21"/>
                <w:szCs w:val="21"/>
                <w:u w:val="none"/>
              </w:rPr>
            </w:pPr>
          </w:p>
        </w:tc>
      </w:tr>
      <w:tr w14:paraId="6DC0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5571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1.碱集料反应</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68E9">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0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A9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FEFFA4">
            <w:pPr>
              <w:jc w:val="center"/>
              <w:rPr>
                <w:rFonts w:hint="eastAsia" w:ascii="仿宋" w:hAnsi="仿宋" w:eastAsia="仿宋" w:cs="仿宋"/>
                <w:i w:val="0"/>
                <w:iCs w:val="0"/>
                <w:color w:val="000000"/>
                <w:sz w:val="21"/>
                <w:szCs w:val="21"/>
                <w:u w:val="none"/>
              </w:rPr>
            </w:pPr>
          </w:p>
        </w:tc>
      </w:tr>
      <w:tr w14:paraId="3DC4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75D1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2.压碎指标</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EA2A">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71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E4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89E74B">
            <w:pPr>
              <w:jc w:val="center"/>
              <w:rPr>
                <w:rFonts w:hint="eastAsia" w:ascii="仿宋" w:hAnsi="仿宋" w:eastAsia="仿宋" w:cs="仿宋"/>
                <w:i w:val="0"/>
                <w:iCs w:val="0"/>
                <w:color w:val="000000"/>
                <w:sz w:val="21"/>
                <w:szCs w:val="21"/>
                <w:u w:val="none"/>
              </w:rPr>
            </w:pPr>
          </w:p>
        </w:tc>
      </w:tr>
      <w:tr w14:paraId="6B5E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F7DC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3.坚固性</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DEB4">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9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CD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CF925A">
            <w:pPr>
              <w:jc w:val="center"/>
              <w:rPr>
                <w:rFonts w:hint="eastAsia" w:ascii="仿宋" w:hAnsi="仿宋" w:eastAsia="仿宋" w:cs="仿宋"/>
                <w:i w:val="0"/>
                <w:iCs w:val="0"/>
                <w:color w:val="000000"/>
                <w:sz w:val="21"/>
                <w:szCs w:val="21"/>
                <w:u w:val="none"/>
              </w:rPr>
            </w:pPr>
          </w:p>
        </w:tc>
      </w:tr>
      <w:tr w14:paraId="21E2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D5432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五、其他地质工作</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209D">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8C30">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E4A">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7A7780">
            <w:pPr>
              <w:jc w:val="right"/>
              <w:rPr>
                <w:rFonts w:hint="eastAsia" w:ascii="仿宋" w:hAnsi="仿宋" w:eastAsia="仿宋" w:cs="仿宋"/>
                <w:b/>
                <w:bCs/>
                <w:i w:val="0"/>
                <w:iCs w:val="0"/>
                <w:color w:val="000000"/>
                <w:sz w:val="21"/>
                <w:szCs w:val="21"/>
                <w:u w:val="none"/>
              </w:rPr>
            </w:pPr>
          </w:p>
        </w:tc>
      </w:tr>
      <w:tr w14:paraId="4588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2316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（一）地质勘查工作测量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B3BD">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E120">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5A72">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05731F">
            <w:pPr>
              <w:jc w:val="center"/>
              <w:rPr>
                <w:rFonts w:hint="eastAsia" w:ascii="仿宋" w:hAnsi="仿宋" w:eastAsia="仿宋" w:cs="仿宋"/>
                <w:i w:val="0"/>
                <w:iCs w:val="0"/>
                <w:color w:val="000000"/>
                <w:sz w:val="21"/>
                <w:szCs w:val="21"/>
                <w:u w:val="none"/>
              </w:rPr>
            </w:pPr>
          </w:p>
        </w:tc>
      </w:tr>
      <w:tr w14:paraId="3384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5872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1.勘查基线测量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1466">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E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F6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4EE908">
            <w:pPr>
              <w:jc w:val="center"/>
              <w:rPr>
                <w:rFonts w:hint="eastAsia" w:ascii="仿宋" w:hAnsi="仿宋" w:eastAsia="仿宋" w:cs="仿宋"/>
                <w:i w:val="0"/>
                <w:iCs w:val="0"/>
                <w:color w:val="000000"/>
                <w:sz w:val="21"/>
                <w:szCs w:val="21"/>
                <w:u w:val="none"/>
              </w:rPr>
            </w:pPr>
          </w:p>
        </w:tc>
      </w:tr>
      <w:tr w14:paraId="6D06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01CA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2.工程点测量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1C8">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6F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4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9AF5CB">
            <w:pPr>
              <w:jc w:val="center"/>
              <w:rPr>
                <w:rFonts w:hint="eastAsia" w:ascii="仿宋" w:hAnsi="仿宋" w:eastAsia="仿宋" w:cs="仿宋"/>
                <w:i w:val="0"/>
                <w:iCs w:val="0"/>
                <w:color w:val="000000"/>
                <w:sz w:val="21"/>
                <w:szCs w:val="21"/>
                <w:u w:val="none"/>
              </w:rPr>
            </w:pPr>
          </w:p>
        </w:tc>
      </w:tr>
      <w:tr w14:paraId="601D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6D39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（二）地质编录</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3B7">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BAE">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4344">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6CB16">
            <w:pPr>
              <w:jc w:val="center"/>
              <w:rPr>
                <w:rFonts w:hint="eastAsia" w:ascii="仿宋" w:hAnsi="仿宋" w:eastAsia="仿宋" w:cs="仿宋"/>
                <w:i w:val="0"/>
                <w:iCs w:val="0"/>
                <w:color w:val="000000"/>
                <w:sz w:val="21"/>
                <w:szCs w:val="21"/>
                <w:u w:val="none"/>
              </w:rPr>
            </w:pPr>
          </w:p>
        </w:tc>
      </w:tr>
      <w:tr w14:paraId="096D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7350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1.钻探矿产编录</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856A">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96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4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6650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B47D01">
            <w:pPr>
              <w:jc w:val="center"/>
              <w:rPr>
                <w:rFonts w:hint="eastAsia" w:ascii="仿宋" w:hAnsi="仿宋" w:eastAsia="仿宋" w:cs="仿宋"/>
                <w:i w:val="0"/>
                <w:iCs w:val="0"/>
                <w:color w:val="000000"/>
                <w:sz w:val="21"/>
                <w:szCs w:val="21"/>
                <w:u w:val="none"/>
              </w:rPr>
            </w:pPr>
          </w:p>
        </w:tc>
      </w:tr>
      <w:tr w14:paraId="61D0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1759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2.钻探水文编录</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CA7">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6D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C2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6650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5A601A">
            <w:pPr>
              <w:jc w:val="center"/>
              <w:rPr>
                <w:rFonts w:hint="eastAsia" w:ascii="仿宋" w:hAnsi="仿宋" w:eastAsia="仿宋" w:cs="仿宋"/>
                <w:i w:val="0"/>
                <w:iCs w:val="0"/>
                <w:color w:val="000000"/>
                <w:sz w:val="21"/>
                <w:szCs w:val="21"/>
                <w:u w:val="none"/>
              </w:rPr>
            </w:pPr>
          </w:p>
        </w:tc>
      </w:tr>
      <w:tr w14:paraId="1865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1665C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（三）采样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624F">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4F22">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39F1">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095E20">
            <w:pPr>
              <w:jc w:val="center"/>
              <w:rPr>
                <w:rFonts w:hint="eastAsia" w:ascii="仿宋" w:hAnsi="仿宋" w:eastAsia="仿宋" w:cs="仿宋"/>
                <w:i w:val="0"/>
                <w:iCs w:val="0"/>
                <w:color w:val="000000"/>
                <w:sz w:val="21"/>
                <w:szCs w:val="21"/>
                <w:u w:val="none"/>
              </w:rPr>
            </w:pPr>
          </w:p>
        </w:tc>
      </w:tr>
      <w:tr w14:paraId="44A8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9BE3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1.岩心样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2D7E">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AE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31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7544A0">
            <w:pPr>
              <w:jc w:val="center"/>
              <w:rPr>
                <w:rFonts w:hint="eastAsia" w:ascii="仿宋" w:hAnsi="仿宋" w:eastAsia="仿宋" w:cs="仿宋"/>
                <w:i w:val="0"/>
                <w:iCs w:val="0"/>
                <w:color w:val="000000"/>
                <w:sz w:val="21"/>
                <w:szCs w:val="21"/>
                <w:u w:val="none"/>
              </w:rPr>
            </w:pPr>
          </w:p>
        </w:tc>
      </w:tr>
      <w:tr w14:paraId="6836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5A26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（四）岩矿心保管</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C043">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9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2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6650</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F2CECA">
            <w:pPr>
              <w:jc w:val="center"/>
              <w:rPr>
                <w:rFonts w:hint="eastAsia" w:ascii="仿宋" w:hAnsi="仿宋" w:eastAsia="仿宋" w:cs="仿宋"/>
                <w:i w:val="0"/>
                <w:iCs w:val="0"/>
                <w:color w:val="000000"/>
                <w:sz w:val="21"/>
                <w:szCs w:val="21"/>
                <w:u w:val="none"/>
              </w:rPr>
            </w:pPr>
          </w:p>
        </w:tc>
      </w:tr>
      <w:tr w14:paraId="30EC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A08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（五）设计论证编写</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798F">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EE3D">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5693">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1FA062">
            <w:pPr>
              <w:jc w:val="center"/>
              <w:rPr>
                <w:rFonts w:hint="eastAsia" w:ascii="仿宋" w:hAnsi="仿宋" w:eastAsia="仿宋" w:cs="仿宋"/>
                <w:i w:val="0"/>
                <w:iCs w:val="0"/>
                <w:color w:val="000000"/>
                <w:sz w:val="21"/>
                <w:szCs w:val="21"/>
                <w:u w:val="none"/>
              </w:rPr>
            </w:pPr>
          </w:p>
        </w:tc>
      </w:tr>
      <w:tr w14:paraId="3C00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A938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1.勘探设计</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3678">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6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份</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06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FCB852">
            <w:pPr>
              <w:jc w:val="center"/>
              <w:rPr>
                <w:rFonts w:hint="eastAsia" w:ascii="仿宋" w:hAnsi="仿宋" w:eastAsia="仿宋" w:cs="仿宋"/>
                <w:i w:val="0"/>
                <w:iCs w:val="0"/>
                <w:color w:val="000000"/>
                <w:sz w:val="21"/>
                <w:szCs w:val="21"/>
                <w:u w:val="none"/>
              </w:rPr>
            </w:pPr>
          </w:p>
        </w:tc>
      </w:tr>
      <w:tr w14:paraId="3859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C25B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（六）综合研究及报告编写</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24DE">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DC7">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D59">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6220DC">
            <w:pPr>
              <w:jc w:val="center"/>
              <w:rPr>
                <w:rFonts w:hint="eastAsia" w:ascii="仿宋" w:hAnsi="仿宋" w:eastAsia="仿宋" w:cs="仿宋"/>
                <w:i w:val="0"/>
                <w:iCs w:val="0"/>
                <w:color w:val="000000"/>
                <w:sz w:val="21"/>
                <w:szCs w:val="21"/>
                <w:u w:val="none"/>
              </w:rPr>
            </w:pPr>
          </w:p>
        </w:tc>
      </w:tr>
      <w:tr w14:paraId="7028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EF53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1.勘探地质报告</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D1FE">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8C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份</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B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118D29">
            <w:pPr>
              <w:jc w:val="center"/>
              <w:rPr>
                <w:rFonts w:hint="eastAsia" w:ascii="仿宋" w:hAnsi="仿宋" w:eastAsia="仿宋" w:cs="仿宋"/>
                <w:i w:val="0"/>
                <w:iCs w:val="0"/>
                <w:color w:val="000000"/>
                <w:sz w:val="21"/>
                <w:szCs w:val="21"/>
                <w:u w:val="none"/>
              </w:rPr>
            </w:pPr>
          </w:p>
        </w:tc>
      </w:tr>
      <w:tr w14:paraId="490C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BB23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（七）报告印刷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D7C3">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B38A">
            <w:pPr>
              <w:jc w:val="center"/>
              <w:rPr>
                <w:rFonts w:hint="eastAsia" w:ascii="仿宋" w:hAnsi="仿宋" w:eastAsia="仿宋" w:cs="仿宋"/>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38D0A">
            <w:pPr>
              <w:jc w:val="center"/>
              <w:rPr>
                <w:rFonts w:hint="eastAsia" w:ascii="仿宋" w:hAnsi="仿宋" w:eastAsia="仿宋" w:cs="仿宋"/>
                <w:i w:val="0"/>
                <w:iCs w:val="0"/>
                <w:color w:val="000000"/>
                <w:sz w:val="21"/>
                <w:szCs w:val="21"/>
                <w:u w:val="none"/>
              </w:rPr>
            </w:pP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91D78E">
            <w:pPr>
              <w:jc w:val="center"/>
              <w:rPr>
                <w:rFonts w:hint="eastAsia" w:ascii="仿宋" w:hAnsi="仿宋" w:eastAsia="仿宋" w:cs="仿宋"/>
                <w:i w:val="0"/>
                <w:iCs w:val="0"/>
                <w:color w:val="000000"/>
                <w:sz w:val="21"/>
                <w:szCs w:val="21"/>
                <w:u w:val="none"/>
              </w:rPr>
            </w:pPr>
          </w:p>
        </w:tc>
      </w:tr>
      <w:tr w14:paraId="05EE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5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500AD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1.勘探地质报告</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915C">
            <w:pPr>
              <w:jc w:val="center"/>
              <w:rPr>
                <w:rFonts w:hint="eastAsia" w:ascii="仿宋" w:hAnsi="仿宋" w:eastAsia="仿宋" w:cs="仿宋"/>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份</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EC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703B74">
            <w:pPr>
              <w:jc w:val="center"/>
              <w:rPr>
                <w:rFonts w:hint="eastAsia" w:ascii="仿宋" w:hAnsi="仿宋" w:eastAsia="仿宋" w:cs="仿宋"/>
                <w:i w:val="0"/>
                <w:iCs w:val="0"/>
                <w:color w:val="000000"/>
                <w:sz w:val="21"/>
                <w:szCs w:val="21"/>
                <w:u w:val="none"/>
              </w:rPr>
            </w:pPr>
          </w:p>
        </w:tc>
      </w:tr>
    </w:tbl>
    <w:p w14:paraId="72425A95">
      <w:pPr>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b/>
          <w:bCs/>
          <w:sz w:val="24"/>
          <w:szCs w:val="21"/>
        </w:rPr>
      </w:pPr>
      <w:r>
        <w:rPr>
          <w:rFonts w:hint="eastAsia" w:ascii="仿宋" w:hAnsi="仿宋" w:eastAsia="仿宋" w:cs="仿宋"/>
          <w:b/>
          <w:bCs/>
          <w:sz w:val="24"/>
          <w:szCs w:val="21"/>
        </w:rPr>
        <w:t>三、工作依据</w:t>
      </w:r>
    </w:p>
    <w:p w14:paraId="05F40EFF">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lang w:val="zh-CN"/>
        </w:rPr>
        <w:t>为加强勘查工作的管理，提高各项地质工作的质量，全面收集各类技术参数，确保资料的准确与完整，实现预期目地任务，在勘查实施过程中，各项地质工作应严</w:t>
      </w:r>
      <w:r>
        <w:rPr>
          <w:rFonts w:hint="eastAsia" w:ascii="仿宋" w:hAnsi="仿宋" w:eastAsia="仿宋" w:cs="仿宋"/>
          <w:sz w:val="24"/>
          <w:szCs w:val="21"/>
        </w:rPr>
        <w:t>格执行有关规范和标准。本项目拟执行的有关技术规范标准如下：</w:t>
      </w:r>
    </w:p>
    <w:p w14:paraId="6C8B2E93">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（1）《固体矿产资源储量分类》（GB/T17766-2020）；</w:t>
      </w:r>
    </w:p>
    <w:p w14:paraId="39C206C7">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（2）《固体矿产地质勘查规范总则》（GB/T13908-2020）；</w:t>
      </w:r>
    </w:p>
    <w:p w14:paraId="15F52D30">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（3）《固体矿产勘查工作规范》（GB/T33444-2016）；</w:t>
      </w:r>
    </w:p>
    <w:p w14:paraId="59BDAD91">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（4）《固体矿产勘查原始地质编录规程》（DZ/T0078-2015）；</w:t>
      </w:r>
    </w:p>
    <w:p w14:paraId="066E68C2">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（5）《固体矿产勘查地质资料综合整理、综合研究技术要求》（DZ/T0079-2015）；</w:t>
      </w:r>
    </w:p>
    <w:p w14:paraId="05C53B78">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（6）《固体矿产地质勘查报告编写规范》（DZ/T0033-2020）</w:t>
      </w:r>
    </w:p>
    <w:p w14:paraId="62E50F88">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（7）《饰面石材矿产地质勘查规范》（DZ/T 0291-2015）</w:t>
      </w:r>
    </w:p>
    <w:p w14:paraId="31BF1D3A">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（8）《地质矿产勘查测量规范》（GB/T18341－20</w:t>
      </w:r>
      <w:r>
        <w:rPr>
          <w:rFonts w:hint="eastAsia" w:ascii="仿宋" w:hAnsi="仿宋" w:eastAsia="仿宋" w:cs="仿宋"/>
          <w:sz w:val="24"/>
          <w:szCs w:val="21"/>
          <w:lang w:val="en-US" w:eastAsia="zh-CN"/>
        </w:rPr>
        <w:t>2</w:t>
      </w:r>
      <w:r>
        <w:rPr>
          <w:rFonts w:hint="eastAsia" w:ascii="仿宋" w:hAnsi="仿宋" w:eastAsia="仿宋" w:cs="仿宋"/>
          <w:sz w:val="24"/>
          <w:szCs w:val="21"/>
        </w:rPr>
        <w:t>1）；</w:t>
      </w:r>
    </w:p>
    <w:p w14:paraId="6356A9FC">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（9）《矿区水文地质工程地质勘探规范》（GB12719-2021）；</w:t>
      </w:r>
    </w:p>
    <w:p w14:paraId="55FAFAB1">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（10）《地质岩心钻探规程》（DZT0227-2018）；</w:t>
      </w:r>
    </w:p>
    <w:p w14:paraId="56EABAEB">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（11）《地质矿产实验室测试质量管理规范》（DZ/T0130-</w:t>
      </w:r>
      <w:r>
        <w:rPr>
          <w:rFonts w:hint="eastAsia" w:ascii="仿宋" w:hAnsi="仿宋" w:eastAsia="仿宋" w:cs="仿宋"/>
          <w:sz w:val="24"/>
          <w:szCs w:val="21"/>
          <w:lang w:val="en-US" w:eastAsia="zh-CN"/>
        </w:rPr>
        <w:t>2024</w:t>
      </w:r>
      <w:r>
        <w:rPr>
          <w:rFonts w:hint="eastAsia" w:ascii="仿宋" w:hAnsi="仿宋" w:eastAsia="仿宋" w:cs="仿宋"/>
          <w:sz w:val="24"/>
          <w:szCs w:val="21"/>
        </w:rPr>
        <w:t>）；</w:t>
      </w:r>
    </w:p>
    <w:p w14:paraId="5B702601">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lang w:eastAsia="zh-CN"/>
        </w:rPr>
      </w:pPr>
      <w:r>
        <w:rPr>
          <w:rFonts w:hint="eastAsia" w:ascii="仿宋" w:hAnsi="仿宋" w:eastAsia="仿宋" w:cs="仿宋"/>
          <w:sz w:val="24"/>
          <w:szCs w:val="21"/>
        </w:rPr>
        <w:t>（12）《建筑材料放射性核素限量》（GB/T6566-2010）</w:t>
      </w:r>
      <w:r>
        <w:rPr>
          <w:rFonts w:hint="eastAsia" w:ascii="仿宋" w:hAnsi="仿宋" w:eastAsia="仿宋" w:cs="仿宋"/>
          <w:sz w:val="24"/>
          <w:szCs w:val="21"/>
          <w:lang w:eastAsia="zh-CN"/>
        </w:rPr>
        <w:t>；</w:t>
      </w:r>
    </w:p>
    <w:p w14:paraId="21DC78CA">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lang w:eastAsia="zh-CN"/>
        </w:rPr>
        <w:t>（</w:t>
      </w:r>
      <w:r>
        <w:rPr>
          <w:rFonts w:hint="eastAsia" w:ascii="仿宋" w:hAnsi="仿宋" w:eastAsia="仿宋" w:cs="仿宋"/>
          <w:sz w:val="24"/>
          <w:szCs w:val="21"/>
          <w:lang w:val="en-US" w:eastAsia="zh-CN"/>
        </w:rPr>
        <w:t>13）</w:t>
      </w:r>
      <w:r>
        <w:rPr>
          <w:rFonts w:hint="eastAsia" w:ascii="仿宋" w:hAnsi="仿宋" w:eastAsia="仿宋" w:cs="仿宋"/>
          <w:sz w:val="24"/>
          <w:szCs w:val="21"/>
        </w:rPr>
        <w:t>《浙江省普通建筑石料矿产地质勘查技术要求》</w:t>
      </w:r>
      <w:r>
        <w:rPr>
          <w:rFonts w:hint="eastAsia" w:ascii="仿宋" w:hAnsi="仿宋" w:eastAsia="仿宋" w:cs="仿宋"/>
          <w:sz w:val="24"/>
          <w:szCs w:val="21"/>
          <w:lang w:eastAsia="zh-CN"/>
        </w:rPr>
        <w:t>（</w:t>
      </w:r>
      <w:r>
        <w:rPr>
          <w:rFonts w:hint="eastAsia" w:ascii="仿宋" w:hAnsi="仿宋" w:eastAsia="仿宋" w:cs="仿宋"/>
          <w:sz w:val="24"/>
          <w:szCs w:val="21"/>
        </w:rPr>
        <w:t>浙自然资函〔2023〕45号</w:t>
      </w:r>
      <w:r>
        <w:rPr>
          <w:rFonts w:hint="eastAsia" w:ascii="仿宋" w:hAnsi="仿宋" w:eastAsia="仿宋" w:cs="仿宋"/>
          <w:sz w:val="24"/>
          <w:szCs w:val="21"/>
          <w:lang w:eastAsia="zh-CN"/>
        </w:rPr>
        <w:t>）。</w:t>
      </w:r>
    </w:p>
    <w:p w14:paraId="11F2D685">
      <w:pPr>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b/>
          <w:bCs/>
          <w:sz w:val="24"/>
          <w:szCs w:val="21"/>
        </w:rPr>
      </w:pPr>
      <w:r>
        <w:rPr>
          <w:rFonts w:hint="eastAsia" w:ascii="仿宋" w:hAnsi="仿宋" w:eastAsia="仿宋" w:cs="仿宋"/>
          <w:b/>
          <w:bCs/>
          <w:sz w:val="24"/>
          <w:szCs w:val="21"/>
        </w:rPr>
        <w:t>四、验收标准和方法</w:t>
      </w:r>
    </w:p>
    <w:p w14:paraId="4182BD16">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highlight w:val="none"/>
        </w:rPr>
      </w:pPr>
      <w:r>
        <w:rPr>
          <w:rFonts w:hint="eastAsia" w:ascii="仿宋" w:hAnsi="仿宋" w:eastAsia="仿宋" w:cs="仿宋"/>
          <w:sz w:val="24"/>
          <w:szCs w:val="21"/>
        </w:rPr>
        <w:t>勘查活动应遵守国家相关法律、法规，</w:t>
      </w:r>
      <w:r>
        <w:rPr>
          <w:rFonts w:hint="eastAsia" w:ascii="仿宋" w:hAnsi="仿宋" w:eastAsia="仿宋" w:cs="仿宋"/>
          <w:sz w:val="24"/>
          <w:szCs w:val="21"/>
          <w:lang w:val="en-US" w:eastAsia="zh-CN"/>
        </w:rPr>
        <w:t>供应商</w:t>
      </w:r>
      <w:r>
        <w:rPr>
          <w:rFonts w:hint="eastAsia" w:ascii="仿宋" w:hAnsi="仿宋" w:eastAsia="仿宋" w:cs="仿宋"/>
          <w:sz w:val="24"/>
          <w:szCs w:val="21"/>
        </w:rPr>
        <w:t>提交的《浙江省</w:t>
      </w:r>
      <w:bookmarkStart w:id="399" w:name="OLE_LINK17"/>
      <w:r>
        <w:rPr>
          <w:rFonts w:hint="eastAsia" w:ascii="仿宋" w:hAnsi="仿宋" w:eastAsia="仿宋" w:cs="仿宋"/>
          <w:sz w:val="24"/>
          <w:szCs w:val="21"/>
          <w:lang w:eastAsia="zh-CN"/>
        </w:rPr>
        <w:t>武义县大莱饰面用花岗岩矿普查暨重点区勘探</w:t>
      </w:r>
      <w:r>
        <w:rPr>
          <w:rFonts w:hint="eastAsia" w:ascii="仿宋" w:hAnsi="仿宋" w:eastAsia="仿宋" w:cs="仿宋"/>
          <w:sz w:val="24"/>
          <w:szCs w:val="21"/>
        </w:rPr>
        <w:t>报</w:t>
      </w:r>
      <w:bookmarkEnd w:id="399"/>
      <w:r>
        <w:rPr>
          <w:rFonts w:hint="eastAsia" w:ascii="仿宋" w:hAnsi="仿宋" w:eastAsia="仿宋" w:cs="仿宋"/>
          <w:sz w:val="24"/>
          <w:szCs w:val="21"/>
        </w:rPr>
        <w:t>告》及相关附图、附件需</w:t>
      </w:r>
      <w:r>
        <w:rPr>
          <w:rFonts w:hint="eastAsia" w:ascii="仿宋" w:hAnsi="仿宋" w:eastAsia="仿宋" w:cs="仿宋"/>
          <w:sz w:val="24"/>
          <w:szCs w:val="21"/>
          <w:highlight w:val="none"/>
        </w:rPr>
        <w:t>经</w:t>
      </w:r>
      <w:r>
        <w:rPr>
          <w:rFonts w:hint="eastAsia" w:ascii="仿宋" w:hAnsi="仿宋" w:eastAsia="仿宋" w:cs="仿宋"/>
          <w:sz w:val="24"/>
          <w:szCs w:val="21"/>
          <w:highlight w:val="none"/>
          <w:lang w:eastAsia="zh-CN"/>
        </w:rPr>
        <w:t>具有</w:t>
      </w:r>
      <w:r>
        <w:rPr>
          <w:rFonts w:hint="eastAsia" w:ascii="仿宋" w:hAnsi="仿宋" w:eastAsia="仿宋" w:cs="仿宋"/>
          <w:sz w:val="24"/>
          <w:szCs w:val="21"/>
          <w:highlight w:val="none"/>
        </w:rPr>
        <w:t>储量评审资质的评审机构评审通过。</w:t>
      </w:r>
    </w:p>
    <w:p w14:paraId="4967BB8F">
      <w:pPr>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五、成果提交</w:t>
      </w:r>
    </w:p>
    <w:p w14:paraId="5A898F27">
      <w:pPr>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highlight w:val="none"/>
        </w:rPr>
        <w:t>《普查暨重点</w:t>
      </w:r>
      <w:r>
        <w:rPr>
          <w:rFonts w:hint="eastAsia" w:ascii="仿宋" w:hAnsi="仿宋" w:eastAsia="仿宋" w:cs="仿宋"/>
          <w:sz w:val="24"/>
          <w:szCs w:val="21"/>
          <w:highlight w:val="none"/>
          <w:lang w:eastAsia="zh-CN"/>
        </w:rPr>
        <w:t>区</w:t>
      </w:r>
      <w:r>
        <w:rPr>
          <w:rFonts w:hint="eastAsia" w:ascii="仿宋" w:hAnsi="仿宋" w:eastAsia="仿宋" w:cs="仿宋"/>
          <w:sz w:val="24"/>
          <w:szCs w:val="21"/>
          <w:highlight w:val="none"/>
        </w:rPr>
        <w:t>勘探报告》在经</w:t>
      </w:r>
      <w:r>
        <w:rPr>
          <w:rFonts w:hint="eastAsia" w:ascii="仿宋" w:hAnsi="仿宋" w:eastAsia="仿宋" w:cs="仿宋"/>
          <w:sz w:val="24"/>
          <w:szCs w:val="21"/>
          <w:highlight w:val="none"/>
          <w:lang w:val="en-US" w:eastAsia="zh-CN"/>
        </w:rPr>
        <w:t>具有</w:t>
      </w:r>
      <w:r>
        <w:rPr>
          <w:rFonts w:hint="eastAsia" w:ascii="仿宋" w:hAnsi="仿宋" w:eastAsia="仿宋" w:cs="仿宋"/>
          <w:sz w:val="24"/>
          <w:szCs w:val="21"/>
          <w:highlight w:val="none"/>
        </w:rPr>
        <w:t>储量评审资质的评审</w:t>
      </w:r>
      <w:r>
        <w:rPr>
          <w:rFonts w:hint="eastAsia" w:ascii="仿宋" w:hAnsi="仿宋" w:eastAsia="仿宋" w:cs="仿宋"/>
          <w:sz w:val="24"/>
          <w:szCs w:val="21"/>
        </w:rPr>
        <w:t>机构评审通过后，提交给采购单位“文本</w:t>
      </w:r>
      <w:r>
        <w:rPr>
          <w:rFonts w:hint="eastAsia" w:ascii="仿宋" w:hAnsi="仿宋" w:eastAsia="仿宋" w:cs="仿宋"/>
          <w:sz w:val="24"/>
          <w:szCs w:val="21"/>
          <w:lang w:val="en-US" w:eastAsia="zh-CN"/>
        </w:rPr>
        <w:t>4份</w:t>
      </w:r>
      <w:r>
        <w:rPr>
          <w:rFonts w:hint="eastAsia" w:ascii="仿宋" w:hAnsi="仿宋" w:eastAsia="仿宋" w:cs="仿宋"/>
          <w:sz w:val="24"/>
          <w:szCs w:val="21"/>
        </w:rPr>
        <w:t>、图纸4份</w:t>
      </w:r>
      <w:r>
        <w:rPr>
          <w:rFonts w:hint="eastAsia" w:ascii="仿宋" w:hAnsi="仿宋" w:eastAsia="仿宋" w:cs="仿宋"/>
          <w:sz w:val="24"/>
          <w:szCs w:val="21"/>
          <w:lang w:eastAsia="zh-CN"/>
        </w:rPr>
        <w:t>、</w:t>
      </w:r>
      <w:r>
        <w:rPr>
          <w:rFonts w:hint="eastAsia" w:ascii="仿宋" w:hAnsi="仿宋" w:eastAsia="仿宋" w:cs="仿宋"/>
          <w:sz w:val="24"/>
          <w:szCs w:val="21"/>
        </w:rPr>
        <w:t>电子文档1份</w:t>
      </w:r>
      <w:r>
        <w:rPr>
          <w:rFonts w:hint="eastAsia" w:ascii="仿宋" w:hAnsi="仿宋" w:eastAsia="仿宋" w:cs="仿宋"/>
          <w:sz w:val="24"/>
          <w:szCs w:val="21"/>
          <w:lang w:eastAsia="zh-CN"/>
        </w:rPr>
        <w:t>”</w:t>
      </w:r>
      <w:r>
        <w:rPr>
          <w:rFonts w:hint="eastAsia" w:ascii="仿宋" w:hAnsi="仿宋" w:eastAsia="仿宋" w:cs="仿宋"/>
          <w:sz w:val="24"/>
          <w:szCs w:val="21"/>
        </w:rPr>
        <w:t>。另外，</w:t>
      </w:r>
      <w:r>
        <w:rPr>
          <w:rFonts w:hint="eastAsia" w:ascii="仿宋" w:hAnsi="仿宋" w:eastAsia="仿宋" w:cs="仿宋"/>
          <w:sz w:val="24"/>
          <w:szCs w:val="21"/>
          <w:lang w:val="en-US" w:eastAsia="zh-CN"/>
        </w:rPr>
        <w:t>供应商</w:t>
      </w:r>
      <w:r>
        <w:rPr>
          <w:rFonts w:hint="eastAsia" w:ascii="仿宋" w:hAnsi="仿宋" w:eastAsia="仿宋" w:cs="仿宋"/>
          <w:sz w:val="24"/>
          <w:szCs w:val="21"/>
        </w:rPr>
        <w:t>须完成报告评审和报告汇交等工作。</w:t>
      </w:r>
    </w:p>
    <w:bookmarkEnd w:id="388"/>
    <w:bookmarkEnd w:id="389"/>
    <w:p w14:paraId="212D5967">
      <w:pPr>
        <w:keepLines w:val="0"/>
        <w:pageBreakBefore w:val="0"/>
        <w:widowControl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sz w:val="24"/>
        </w:rPr>
      </w:pPr>
      <w:r>
        <w:rPr>
          <w:rFonts w:hint="eastAsia" w:ascii="仿宋" w:hAnsi="仿宋" w:eastAsia="仿宋" w:cs="仿宋"/>
          <w:b/>
          <w:bCs/>
          <w:sz w:val="24"/>
          <w:szCs w:val="21"/>
          <w:lang w:eastAsia="zh-CN"/>
        </w:rPr>
        <w:t>六</w:t>
      </w:r>
      <w:r>
        <w:rPr>
          <w:rFonts w:hint="eastAsia" w:ascii="仿宋" w:hAnsi="仿宋" w:eastAsia="仿宋" w:cs="仿宋"/>
          <w:b/>
          <w:bCs/>
          <w:sz w:val="24"/>
          <w:szCs w:val="21"/>
        </w:rPr>
        <w:t>、付款方式：</w:t>
      </w:r>
      <w:r>
        <w:rPr>
          <w:rFonts w:hint="eastAsia" w:ascii="仿宋" w:hAnsi="仿宋" w:eastAsia="仿宋" w:cs="仿宋"/>
          <w:sz w:val="24"/>
          <w:szCs w:val="21"/>
        </w:rPr>
        <w:t>合同生效以及具备实施条件后7个工作日内支付合同金额的</w:t>
      </w:r>
      <w:r>
        <w:rPr>
          <w:rFonts w:hint="eastAsia" w:ascii="仿宋" w:hAnsi="仿宋" w:eastAsia="仿宋" w:cs="仿宋"/>
          <w:sz w:val="24"/>
          <w:szCs w:val="21"/>
          <w:lang w:val="en-US" w:eastAsia="zh-CN"/>
        </w:rPr>
        <w:t>4</w:t>
      </w:r>
      <w:r>
        <w:rPr>
          <w:rFonts w:hint="eastAsia" w:ascii="仿宋" w:hAnsi="仿宋" w:eastAsia="仿宋" w:cs="仿宋"/>
          <w:sz w:val="24"/>
          <w:szCs w:val="21"/>
        </w:rPr>
        <w:t>0%作为预付款</w:t>
      </w:r>
      <w:r>
        <w:rPr>
          <w:rFonts w:hint="eastAsia" w:ascii="仿宋" w:hAnsi="仿宋" w:eastAsia="仿宋" w:cs="仿宋"/>
          <w:sz w:val="24"/>
          <w:szCs w:val="21"/>
          <w:lang w:eastAsia="zh-CN"/>
        </w:rPr>
        <w:t>（</w:t>
      </w:r>
      <w:r>
        <w:rPr>
          <w:rFonts w:hint="eastAsia" w:ascii="仿宋" w:hAnsi="仿宋" w:eastAsia="仿宋" w:cs="仿宋"/>
          <w:sz w:val="24"/>
          <w:szCs w:val="21"/>
        </w:rPr>
        <w:t>如中标</w:t>
      </w:r>
      <w:r>
        <w:rPr>
          <w:rFonts w:hint="eastAsia" w:ascii="仿宋" w:hAnsi="仿宋" w:eastAsia="仿宋" w:cs="仿宋"/>
          <w:sz w:val="24"/>
          <w:szCs w:val="21"/>
          <w:lang w:val="en-US" w:eastAsia="zh-CN"/>
        </w:rPr>
        <w:t>人</w:t>
      </w:r>
      <w:r>
        <w:rPr>
          <w:rFonts w:hint="eastAsia" w:ascii="仿宋" w:hAnsi="仿宋" w:eastAsia="仿宋" w:cs="仿宋"/>
          <w:sz w:val="24"/>
          <w:szCs w:val="21"/>
        </w:rPr>
        <w:t>明确表示无需预付款或者主动要求降低预付款比例的，该付款方式可适当调整</w:t>
      </w:r>
      <w:r>
        <w:rPr>
          <w:rFonts w:hint="eastAsia" w:ascii="仿宋" w:hAnsi="仿宋" w:eastAsia="仿宋" w:cs="仿宋"/>
          <w:sz w:val="24"/>
          <w:szCs w:val="21"/>
          <w:lang w:eastAsia="zh-CN"/>
        </w:rPr>
        <w:t>）</w:t>
      </w:r>
      <w:r>
        <w:rPr>
          <w:rFonts w:hint="eastAsia" w:ascii="仿宋" w:hAnsi="仿宋" w:eastAsia="仿宋" w:cs="仿宋"/>
          <w:sz w:val="24"/>
          <w:szCs w:val="21"/>
        </w:rPr>
        <w:t>，中标</w:t>
      </w:r>
      <w:r>
        <w:rPr>
          <w:rFonts w:hint="eastAsia" w:ascii="仿宋" w:hAnsi="仿宋" w:eastAsia="仿宋" w:cs="仿宋"/>
          <w:sz w:val="24"/>
          <w:szCs w:val="21"/>
          <w:lang w:val="en-US" w:eastAsia="zh-CN"/>
        </w:rPr>
        <w:t>人</w:t>
      </w:r>
      <w:r>
        <w:rPr>
          <w:rFonts w:hint="eastAsia" w:ascii="仿宋" w:hAnsi="仿宋" w:eastAsia="仿宋" w:cs="仿宋"/>
          <w:sz w:val="24"/>
          <w:szCs w:val="21"/>
        </w:rPr>
        <w:t>完成勘查工作并提交经评审机构评审通过的最终成果报告后，</w:t>
      </w:r>
      <w:r>
        <w:rPr>
          <w:rFonts w:hint="eastAsia" w:ascii="仿宋" w:hAnsi="仿宋" w:eastAsia="仿宋" w:cs="仿宋"/>
          <w:sz w:val="24"/>
          <w:szCs w:val="21"/>
          <w:lang w:val="en-US" w:eastAsia="zh-CN"/>
        </w:rPr>
        <w:t>1个月内</w:t>
      </w:r>
      <w:r>
        <w:rPr>
          <w:rFonts w:hint="eastAsia" w:ascii="仿宋" w:hAnsi="仿宋" w:eastAsia="仿宋" w:cs="仿宋"/>
          <w:sz w:val="24"/>
          <w:szCs w:val="21"/>
        </w:rPr>
        <w:t>支付剩余的60%合同款。</w:t>
      </w:r>
    </w:p>
    <w:p w14:paraId="453B0A63">
      <w:pPr>
        <w:pStyle w:val="84"/>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2" w:firstLineChars="200"/>
        <w:jc w:val="left"/>
        <w:textAlignment w:val="auto"/>
        <w:rPr>
          <w:rFonts w:hint="eastAsia" w:ascii="仿宋" w:hAnsi="仿宋" w:eastAsia="仿宋" w:cs="仿宋"/>
          <w:b/>
          <w:bCs/>
          <w:sz w:val="24"/>
          <w:szCs w:val="21"/>
          <w:lang w:eastAsia="zh-CN"/>
        </w:rPr>
      </w:pPr>
      <w:r>
        <w:rPr>
          <w:rFonts w:hint="eastAsia" w:ascii="仿宋" w:hAnsi="仿宋" w:eastAsia="仿宋" w:cs="仿宋"/>
          <w:b/>
          <w:bCs/>
          <w:sz w:val="24"/>
          <w:lang w:eastAsia="zh-CN"/>
        </w:rPr>
        <w:t>注：</w:t>
      </w:r>
      <w:r>
        <w:rPr>
          <w:rFonts w:hint="eastAsia" w:ascii="仿宋" w:hAnsi="仿宋" w:eastAsia="仿宋" w:cs="仿宋"/>
          <w:b/>
          <w:bCs/>
          <w:sz w:val="24"/>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r>
        <w:rPr>
          <w:rFonts w:hint="eastAsia" w:ascii="仿宋" w:hAnsi="仿宋" w:eastAsia="仿宋" w:cs="仿宋"/>
          <w:b/>
          <w:bCs/>
          <w:color w:val="auto"/>
          <w:sz w:val="24"/>
          <w:szCs w:val="24"/>
        </w:rPr>
        <w:t>。</w:t>
      </w:r>
    </w:p>
    <w:p w14:paraId="1D684F45">
      <w:pPr>
        <w:pStyle w:val="84"/>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Chars="200"/>
        <w:jc w:val="left"/>
        <w:textAlignment w:val="auto"/>
        <w:rPr>
          <w:rFonts w:hint="eastAsia" w:ascii="仿宋" w:hAnsi="仿宋" w:eastAsia="仿宋" w:cs="仿宋"/>
          <w:b/>
          <w:bCs/>
          <w:sz w:val="24"/>
          <w:szCs w:val="21"/>
          <w:lang w:eastAsia="zh-CN"/>
        </w:rPr>
      </w:pPr>
      <w:r>
        <w:rPr>
          <w:rFonts w:hint="eastAsia" w:ascii="仿宋" w:hAnsi="仿宋" w:cs="仿宋"/>
          <w:b/>
          <w:bCs/>
          <w:sz w:val="24"/>
          <w:szCs w:val="21"/>
          <w:lang w:eastAsia="zh-CN"/>
        </w:rPr>
        <w:t>七、</w:t>
      </w:r>
      <w:r>
        <w:rPr>
          <w:rFonts w:hint="eastAsia" w:ascii="仿宋" w:hAnsi="仿宋" w:eastAsia="仿宋" w:cs="仿宋"/>
          <w:b/>
          <w:bCs/>
          <w:sz w:val="24"/>
          <w:szCs w:val="21"/>
          <w:lang w:eastAsia="zh-CN"/>
        </w:rPr>
        <w:t>售后服务要求</w:t>
      </w:r>
    </w:p>
    <w:p w14:paraId="22BCE688">
      <w:pPr>
        <w:pStyle w:val="84"/>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中标人承诺在项目成果提交并通过验收后提供</w:t>
      </w:r>
      <w:r>
        <w:rPr>
          <w:rFonts w:hint="eastAsia" w:ascii="仿宋" w:hAnsi="仿宋" w:eastAsia="仿宋" w:cs="仿宋"/>
          <w:b w:val="0"/>
          <w:bCs w:val="0"/>
          <w:color w:val="0000FF"/>
          <w:sz w:val="24"/>
          <w:szCs w:val="24"/>
          <w:lang w:val="en-US" w:eastAsia="zh-CN"/>
        </w:rPr>
        <w:t>1年的免费</w:t>
      </w:r>
      <w:r>
        <w:rPr>
          <w:rFonts w:hint="eastAsia" w:ascii="仿宋" w:hAnsi="仿宋" w:cs="仿宋"/>
          <w:b w:val="0"/>
          <w:bCs w:val="0"/>
          <w:color w:val="0000FF"/>
          <w:sz w:val="24"/>
          <w:szCs w:val="24"/>
          <w:lang w:val="en-US" w:eastAsia="zh-CN"/>
        </w:rPr>
        <w:t>服务期</w:t>
      </w:r>
      <w:r>
        <w:rPr>
          <w:rFonts w:hint="eastAsia" w:ascii="仿宋" w:hAnsi="仿宋" w:eastAsia="仿宋" w:cs="仿宋"/>
          <w:b w:val="0"/>
          <w:bCs w:val="0"/>
          <w:color w:val="auto"/>
          <w:sz w:val="24"/>
          <w:szCs w:val="24"/>
          <w:lang w:val="en-US" w:eastAsia="zh-CN"/>
        </w:rPr>
        <w:t>。</w:t>
      </w:r>
    </w:p>
    <w:p w14:paraId="5279F06B">
      <w:pPr>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200"/>
        <w:jc w:val="left"/>
        <w:textAlignment w:val="auto"/>
        <w:rPr>
          <w:rFonts w:hint="eastAsia" w:ascii="仿宋" w:hAnsi="仿宋" w:eastAsia="仿宋" w:cs="仿宋"/>
          <w:b/>
          <w:bCs/>
          <w:sz w:val="24"/>
          <w:szCs w:val="21"/>
          <w:lang w:eastAsia="zh-CN"/>
        </w:rPr>
      </w:pPr>
      <w:r>
        <w:rPr>
          <w:rFonts w:hint="eastAsia" w:ascii="仿宋" w:hAnsi="仿宋" w:eastAsia="仿宋" w:cs="仿宋"/>
          <w:b/>
          <w:bCs/>
          <w:sz w:val="24"/>
          <w:szCs w:val="21"/>
          <w:lang w:eastAsia="zh-CN"/>
        </w:rPr>
        <w:t>八、保密要求</w:t>
      </w:r>
    </w:p>
    <w:p w14:paraId="15D30117">
      <w:pPr>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200"/>
        <w:jc w:val="left"/>
        <w:textAlignment w:val="auto"/>
        <w:rPr>
          <w:rFonts w:hint="eastAsia" w:ascii="仿宋" w:hAnsi="仿宋" w:eastAsia="仿宋" w:cs="仿宋"/>
          <w:sz w:val="24"/>
          <w:szCs w:val="21"/>
          <w:lang w:eastAsia="zh-CN"/>
        </w:rPr>
      </w:pPr>
      <w:r>
        <w:rPr>
          <w:rFonts w:hint="eastAsia" w:ascii="仿宋" w:hAnsi="仿宋" w:eastAsia="仿宋" w:cs="仿宋"/>
          <w:sz w:val="24"/>
          <w:szCs w:val="21"/>
          <w:lang w:eastAsia="zh-CN"/>
        </w:rPr>
        <w:t>1.建立严格的保密制度，中标人应当加强对工作人员的保密管理及保密知识教育。</w:t>
      </w:r>
    </w:p>
    <w:p w14:paraId="1B0CA7C4">
      <w:pPr>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sz w:val="24"/>
          <w:szCs w:val="21"/>
          <w:lang w:eastAsia="zh-CN"/>
        </w:rPr>
      </w:pPr>
      <w:r>
        <w:rPr>
          <w:rFonts w:hint="eastAsia" w:ascii="仿宋" w:hAnsi="仿宋" w:eastAsia="仿宋" w:cs="仿宋"/>
          <w:sz w:val="24"/>
          <w:szCs w:val="21"/>
          <w:lang w:eastAsia="zh-CN"/>
        </w:rPr>
        <w:t>2.中标人须承担与此有关的技术情报和数据资料的保密责任。与本项目有关的资料及数据成果中涉及国家秘密的内容，均要求按照《中华人民共和国保守国家秘密法》及相关法律法规执行。</w:t>
      </w:r>
    </w:p>
    <w:p w14:paraId="516B7BF4">
      <w:pPr>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sz w:val="24"/>
          <w:szCs w:val="21"/>
          <w:lang w:eastAsia="zh-CN"/>
        </w:rPr>
      </w:pPr>
      <w:r>
        <w:rPr>
          <w:rFonts w:hint="eastAsia" w:ascii="仿宋" w:hAnsi="仿宋" w:eastAsia="仿宋" w:cs="仿宋"/>
          <w:sz w:val="24"/>
          <w:szCs w:val="21"/>
          <w:lang w:eastAsia="zh-CN"/>
        </w:rPr>
        <w:t>3.未经采购人同意，中标人不得向第三方扩散、转让所有中间成果和最终成果。</w:t>
      </w:r>
    </w:p>
    <w:p w14:paraId="5CC0B704">
      <w:pPr>
        <w:spacing w:line="390" w:lineRule="exact"/>
        <w:ind w:firstLine="480" w:firstLineChars="200"/>
        <w:rPr>
          <w:rFonts w:ascii="仿宋" w:hAnsi="仿宋" w:eastAsia="仿宋" w:cs="仿宋"/>
          <w:sz w:val="24"/>
        </w:rPr>
      </w:pPr>
      <w:r>
        <w:rPr>
          <w:rFonts w:hint="eastAsia" w:ascii="仿宋" w:hAnsi="仿宋" w:eastAsia="仿宋" w:cs="仿宋"/>
          <w:sz w:val="24"/>
          <w:szCs w:val="21"/>
          <w:lang w:eastAsia="zh-CN"/>
        </w:rPr>
        <w:t>4.双方应妥善保管对方提供的资料，保守对方的各项秘密。未经对方许可，不得利用知悉的对方资料和成果为自己或第三方谋取利益。</w:t>
      </w:r>
    </w:p>
    <w:p w14:paraId="3D314C23">
      <w:pPr>
        <w:rPr>
          <w:rFonts w:hint="eastAsia" w:ascii="仿宋" w:hAnsi="仿宋" w:eastAsia="仿宋" w:cs="仿宋"/>
          <w:b/>
          <w:color w:val="auto"/>
          <w:kern w:val="44"/>
          <w:sz w:val="44"/>
          <w:szCs w:val="20"/>
          <w:highlight w:val="none"/>
        </w:rPr>
      </w:pPr>
      <w:r>
        <w:rPr>
          <w:rFonts w:hint="eastAsia" w:ascii="仿宋" w:hAnsi="仿宋" w:eastAsia="仿宋" w:cs="仿宋"/>
          <w:b/>
          <w:color w:val="auto"/>
          <w:kern w:val="44"/>
          <w:sz w:val="44"/>
          <w:szCs w:val="20"/>
          <w:highlight w:val="none"/>
        </w:rPr>
        <w:br w:type="page"/>
      </w:r>
    </w:p>
    <w:p w14:paraId="557FC584">
      <w:pPr>
        <w:adjustRightInd w:val="0"/>
        <w:snapToGrid w:val="0"/>
        <w:spacing w:line="440" w:lineRule="exact"/>
        <w:jc w:val="center"/>
        <w:outlineLvl w:val="0"/>
        <w:rPr>
          <w:rFonts w:ascii="仿宋" w:hAnsi="仿宋" w:eastAsia="仿宋" w:cs="仿宋"/>
          <w:b/>
          <w:color w:val="auto"/>
          <w:kern w:val="44"/>
          <w:sz w:val="44"/>
          <w:szCs w:val="20"/>
          <w:highlight w:val="none"/>
        </w:rPr>
      </w:pPr>
      <w:bookmarkStart w:id="400" w:name="_Toc26695"/>
      <w:r>
        <w:rPr>
          <w:rFonts w:hint="eastAsia" w:ascii="仿宋" w:hAnsi="仿宋" w:eastAsia="仿宋" w:cs="仿宋"/>
          <w:b/>
          <w:color w:val="auto"/>
          <w:kern w:val="44"/>
          <w:sz w:val="44"/>
          <w:szCs w:val="20"/>
          <w:highlight w:val="none"/>
        </w:rPr>
        <w:t>第四章  合同条款及格式</w:t>
      </w:r>
      <w:bookmarkEnd w:id="400"/>
    </w:p>
    <w:p w14:paraId="0C2F41A1">
      <w:pPr>
        <w:spacing w:line="300" w:lineRule="auto"/>
        <w:jc w:val="center"/>
        <w:rPr>
          <w:rFonts w:ascii="仿宋" w:hAnsi="仿宋" w:eastAsia="仿宋" w:cs="仿宋"/>
          <w:b/>
          <w:bCs/>
          <w:color w:val="auto"/>
          <w:sz w:val="22"/>
          <w:highlight w:val="none"/>
        </w:rPr>
      </w:pPr>
      <w:r>
        <w:rPr>
          <w:rFonts w:hint="eastAsia" w:ascii="仿宋" w:hAnsi="仿宋" w:eastAsia="仿宋" w:cs="仿宋"/>
          <w:b/>
          <w:bCs/>
          <w:color w:val="auto"/>
          <w:sz w:val="22"/>
          <w:highlight w:val="none"/>
        </w:rPr>
        <w:t>（本合同仅供参考，当事方可根据项目实际在协商一致的基础上对相关条款进行补充或修改）</w:t>
      </w:r>
    </w:p>
    <w:p w14:paraId="18E70AEA">
      <w:pPr>
        <w:spacing w:line="420" w:lineRule="exact"/>
        <w:rPr>
          <w:rFonts w:ascii="仿宋" w:hAnsi="仿宋" w:eastAsia="仿宋" w:cs="仿宋"/>
          <w:color w:val="auto"/>
          <w:sz w:val="24"/>
          <w:highlight w:val="none"/>
          <w:u w:val="single"/>
        </w:rPr>
      </w:pPr>
      <w:bookmarkStart w:id="401" w:name="_Toc21755"/>
      <w:r>
        <w:rPr>
          <w:rFonts w:hint="eastAsia" w:ascii="仿宋" w:hAnsi="仿宋" w:eastAsia="仿宋" w:cs="仿宋"/>
          <w:color w:val="auto"/>
          <w:sz w:val="24"/>
          <w:highlight w:val="none"/>
        </w:rPr>
        <w:t>甲方（采购人）：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FBF7634">
      <w:pPr>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乙方（供货单位）：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A55E266">
      <w:pPr>
        <w:numPr>
          <w:ilvl w:val="0"/>
          <w:numId w:val="5"/>
        </w:numPr>
        <w:spacing w:line="42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乙双方根据《中华人民共和国</w:t>
      </w:r>
      <w:r>
        <w:rPr>
          <w:rFonts w:hint="eastAsia" w:ascii="仿宋" w:hAnsi="仿宋" w:eastAsia="仿宋" w:cs="仿宋"/>
          <w:color w:val="auto"/>
          <w:sz w:val="24"/>
          <w:highlight w:val="none"/>
          <w:lang w:eastAsia="zh-CN"/>
        </w:rPr>
        <w:t>民法典</w:t>
      </w:r>
      <w:r>
        <w:rPr>
          <w:rFonts w:hint="eastAsia" w:ascii="仿宋" w:hAnsi="仿宋" w:eastAsia="仿宋" w:cs="仿宋"/>
          <w:color w:val="auto"/>
          <w:sz w:val="24"/>
          <w:highlight w:val="none"/>
        </w:rPr>
        <w:t>》及有关规定</w:t>
      </w:r>
      <w:r>
        <w:rPr>
          <w:rFonts w:hint="eastAsia" w:ascii="仿宋" w:hAnsi="仿宋" w:eastAsia="仿宋" w:cs="仿宋"/>
          <w:color w:val="auto"/>
          <w:sz w:val="24"/>
          <w:highlight w:val="none"/>
          <w:lang w:eastAsia="zh-CN"/>
        </w:rPr>
        <w:t>并结合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）公开招标的结果，签署本合同。</w:t>
      </w:r>
    </w:p>
    <w:p w14:paraId="5A6E044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一、基本内容</w:t>
      </w:r>
    </w:p>
    <w:p w14:paraId="586B2D82">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为保障乙方活动用车，经双方友好协商，由甲方在合同有效期内为乙方的活动提供用车服务。合同履行期限：</w:t>
      </w:r>
      <w:r>
        <w:rPr>
          <w:rFonts w:hint="eastAsia" w:ascii="仿宋" w:hAnsi="仿宋" w:eastAsia="仿宋" w:cs="仿宋"/>
          <w:color w:val="auto"/>
          <w:sz w:val="24"/>
          <w:highlight w:val="none"/>
          <w:u w:val="single"/>
        </w:rPr>
        <w:t xml:space="preserve">                    </w:t>
      </w:r>
    </w:p>
    <w:p w14:paraId="4CCAB0E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采购项目及合同价格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0513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vAlign w:val="center"/>
          </w:tcPr>
          <w:p w14:paraId="72D85091">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3332" w:type="dxa"/>
            <w:vAlign w:val="center"/>
          </w:tcPr>
          <w:p w14:paraId="04879C4A">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服务内容</w:t>
            </w:r>
          </w:p>
        </w:tc>
        <w:tc>
          <w:tcPr>
            <w:tcW w:w="1388" w:type="dxa"/>
            <w:vAlign w:val="center"/>
          </w:tcPr>
          <w:p w14:paraId="4C785E58">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服务期限</w:t>
            </w:r>
          </w:p>
        </w:tc>
        <w:tc>
          <w:tcPr>
            <w:tcW w:w="1260" w:type="dxa"/>
            <w:vAlign w:val="center"/>
          </w:tcPr>
          <w:p w14:paraId="7F930DA3">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440" w:type="dxa"/>
            <w:vAlign w:val="center"/>
          </w:tcPr>
          <w:p w14:paraId="14184D58">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合价（元）</w:t>
            </w:r>
          </w:p>
        </w:tc>
      </w:tr>
      <w:tr w14:paraId="3CBF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419661F7">
            <w:pPr>
              <w:spacing w:line="420" w:lineRule="exact"/>
              <w:rPr>
                <w:rFonts w:ascii="仿宋" w:hAnsi="仿宋" w:eastAsia="仿宋" w:cs="仿宋"/>
                <w:color w:val="auto"/>
                <w:sz w:val="24"/>
                <w:highlight w:val="none"/>
              </w:rPr>
            </w:pPr>
          </w:p>
        </w:tc>
        <w:tc>
          <w:tcPr>
            <w:tcW w:w="3332" w:type="dxa"/>
          </w:tcPr>
          <w:p w14:paraId="7A42658D">
            <w:pPr>
              <w:spacing w:line="420" w:lineRule="exact"/>
              <w:rPr>
                <w:rFonts w:ascii="仿宋" w:hAnsi="仿宋" w:eastAsia="仿宋" w:cs="仿宋"/>
                <w:color w:val="auto"/>
                <w:sz w:val="24"/>
                <w:highlight w:val="none"/>
              </w:rPr>
            </w:pPr>
          </w:p>
        </w:tc>
        <w:tc>
          <w:tcPr>
            <w:tcW w:w="1388" w:type="dxa"/>
          </w:tcPr>
          <w:p w14:paraId="3B368C19">
            <w:pPr>
              <w:spacing w:line="420" w:lineRule="exact"/>
              <w:rPr>
                <w:rFonts w:ascii="仿宋" w:hAnsi="仿宋" w:eastAsia="仿宋" w:cs="仿宋"/>
                <w:color w:val="auto"/>
                <w:sz w:val="24"/>
                <w:highlight w:val="none"/>
              </w:rPr>
            </w:pPr>
          </w:p>
        </w:tc>
        <w:tc>
          <w:tcPr>
            <w:tcW w:w="1260" w:type="dxa"/>
          </w:tcPr>
          <w:p w14:paraId="227A0CA6">
            <w:pPr>
              <w:spacing w:line="420" w:lineRule="exact"/>
              <w:rPr>
                <w:rFonts w:ascii="仿宋" w:hAnsi="仿宋" w:eastAsia="仿宋" w:cs="仿宋"/>
                <w:color w:val="auto"/>
                <w:sz w:val="24"/>
                <w:highlight w:val="none"/>
              </w:rPr>
            </w:pPr>
          </w:p>
        </w:tc>
        <w:tc>
          <w:tcPr>
            <w:tcW w:w="1440" w:type="dxa"/>
          </w:tcPr>
          <w:p w14:paraId="7A8555A6">
            <w:pPr>
              <w:spacing w:line="420" w:lineRule="exact"/>
              <w:rPr>
                <w:rFonts w:ascii="仿宋" w:hAnsi="仿宋" w:eastAsia="仿宋" w:cs="仿宋"/>
                <w:color w:val="auto"/>
                <w:sz w:val="24"/>
                <w:highlight w:val="none"/>
              </w:rPr>
            </w:pPr>
          </w:p>
        </w:tc>
      </w:tr>
      <w:tr w14:paraId="588A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0BD13117">
            <w:pPr>
              <w:spacing w:line="420" w:lineRule="exact"/>
              <w:rPr>
                <w:rFonts w:ascii="仿宋" w:hAnsi="仿宋" w:eastAsia="仿宋" w:cs="仿宋"/>
                <w:color w:val="auto"/>
                <w:sz w:val="24"/>
                <w:highlight w:val="none"/>
              </w:rPr>
            </w:pPr>
          </w:p>
        </w:tc>
        <w:tc>
          <w:tcPr>
            <w:tcW w:w="3332" w:type="dxa"/>
          </w:tcPr>
          <w:p w14:paraId="28068756">
            <w:pPr>
              <w:spacing w:line="420" w:lineRule="exact"/>
              <w:rPr>
                <w:rFonts w:ascii="仿宋" w:hAnsi="仿宋" w:eastAsia="仿宋" w:cs="仿宋"/>
                <w:color w:val="auto"/>
                <w:sz w:val="24"/>
                <w:highlight w:val="none"/>
              </w:rPr>
            </w:pPr>
          </w:p>
        </w:tc>
        <w:tc>
          <w:tcPr>
            <w:tcW w:w="1388" w:type="dxa"/>
          </w:tcPr>
          <w:p w14:paraId="4E06EE97">
            <w:pPr>
              <w:spacing w:line="420" w:lineRule="exact"/>
              <w:rPr>
                <w:rFonts w:ascii="仿宋" w:hAnsi="仿宋" w:eastAsia="仿宋" w:cs="仿宋"/>
                <w:color w:val="auto"/>
                <w:sz w:val="24"/>
                <w:highlight w:val="none"/>
              </w:rPr>
            </w:pPr>
          </w:p>
        </w:tc>
        <w:tc>
          <w:tcPr>
            <w:tcW w:w="1260" w:type="dxa"/>
          </w:tcPr>
          <w:p w14:paraId="259FDDF4">
            <w:pPr>
              <w:spacing w:line="420" w:lineRule="exact"/>
              <w:rPr>
                <w:rFonts w:ascii="仿宋" w:hAnsi="仿宋" w:eastAsia="仿宋" w:cs="仿宋"/>
                <w:color w:val="auto"/>
                <w:sz w:val="24"/>
                <w:highlight w:val="none"/>
              </w:rPr>
            </w:pPr>
          </w:p>
        </w:tc>
        <w:tc>
          <w:tcPr>
            <w:tcW w:w="1440" w:type="dxa"/>
          </w:tcPr>
          <w:p w14:paraId="3555F59E">
            <w:pPr>
              <w:spacing w:line="420" w:lineRule="exact"/>
              <w:rPr>
                <w:rFonts w:ascii="仿宋" w:hAnsi="仿宋" w:eastAsia="仿宋" w:cs="仿宋"/>
                <w:color w:val="auto"/>
                <w:sz w:val="24"/>
                <w:highlight w:val="none"/>
              </w:rPr>
            </w:pPr>
          </w:p>
        </w:tc>
      </w:tr>
      <w:tr w14:paraId="767A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7268AFE0">
            <w:pPr>
              <w:spacing w:line="420" w:lineRule="exact"/>
              <w:rPr>
                <w:rFonts w:ascii="仿宋" w:hAnsi="仿宋" w:eastAsia="仿宋" w:cs="仿宋"/>
                <w:color w:val="auto"/>
                <w:sz w:val="24"/>
                <w:highlight w:val="none"/>
              </w:rPr>
            </w:pPr>
          </w:p>
        </w:tc>
        <w:tc>
          <w:tcPr>
            <w:tcW w:w="3332" w:type="dxa"/>
          </w:tcPr>
          <w:p w14:paraId="65B5B748">
            <w:pPr>
              <w:spacing w:line="420" w:lineRule="exact"/>
              <w:rPr>
                <w:rFonts w:ascii="仿宋" w:hAnsi="仿宋" w:eastAsia="仿宋" w:cs="仿宋"/>
                <w:color w:val="auto"/>
                <w:sz w:val="24"/>
                <w:highlight w:val="none"/>
              </w:rPr>
            </w:pPr>
          </w:p>
        </w:tc>
        <w:tc>
          <w:tcPr>
            <w:tcW w:w="1388" w:type="dxa"/>
          </w:tcPr>
          <w:p w14:paraId="11375156">
            <w:pPr>
              <w:spacing w:line="420" w:lineRule="exact"/>
              <w:rPr>
                <w:rFonts w:ascii="仿宋" w:hAnsi="仿宋" w:eastAsia="仿宋" w:cs="仿宋"/>
                <w:color w:val="auto"/>
                <w:sz w:val="24"/>
                <w:highlight w:val="none"/>
              </w:rPr>
            </w:pPr>
          </w:p>
        </w:tc>
        <w:tc>
          <w:tcPr>
            <w:tcW w:w="1260" w:type="dxa"/>
          </w:tcPr>
          <w:p w14:paraId="70FFFAAC">
            <w:pPr>
              <w:spacing w:line="420" w:lineRule="exact"/>
              <w:rPr>
                <w:rFonts w:ascii="仿宋" w:hAnsi="仿宋" w:eastAsia="仿宋" w:cs="仿宋"/>
                <w:color w:val="auto"/>
                <w:sz w:val="24"/>
                <w:highlight w:val="none"/>
              </w:rPr>
            </w:pPr>
          </w:p>
        </w:tc>
        <w:tc>
          <w:tcPr>
            <w:tcW w:w="1440" w:type="dxa"/>
          </w:tcPr>
          <w:p w14:paraId="6F35A71F">
            <w:pPr>
              <w:spacing w:line="420" w:lineRule="exact"/>
              <w:rPr>
                <w:rFonts w:ascii="仿宋" w:hAnsi="仿宋" w:eastAsia="仿宋" w:cs="仿宋"/>
                <w:color w:val="auto"/>
                <w:sz w:val="24"/>
                <w:highlight w:val="none"/>
              </w:rPr>
            </w:pPr>
          </w:p>
        </w:tc>
      </w:tr>
      <w:tr w14:paraId="6665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vAlign w:val="center"/>
          </w:tcPr>
          <w:p w14:paraId="1B0F35EF">
            <w:pPr>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合计人民币（大写）：  佰   拾   万   仟   佰   拾   元    角    分  ￥：</w:t>
            </w:r>
          </w:p>
        </w:tc>
      </w:tr>
    </w:tbl>
    <w:p w14:paraId="64A6B1CC">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、服务要求</w:t>
      </w:r>
    </w:p>
    <w:p w14:paraId="01A96829">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55181779">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14:paraId="34D8F74E">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14:paraId="50ED4884">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BA6A7AB">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（以上按采购文件采购需求中对应的服务要求内容填写）</w:t>
      </w:r>
    </w:p>
    <w:p w14:paraId="410CEEF4">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、服务质量要求</w:t>
      </w:r>
    </w:p>
    <w:p w14:paraId="30F41D1E">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4FA70EB3">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14:paraId="2EA7D38E">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14:paraId="2139B729">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602408A">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（以上按采购文件采购需求中对应的服务质量内容填写）</w:t>
      </w:r>
    </w:p>
    <w:p w14:paraId="456426C5">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、项目验收</w:t>
      </w:r>
    </w:p>
    <w:p w14:paraId="2EC96AA3">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项目由甲方单位组织验收。</w:t>
      </w:r>
    </w:p>
    <w:p w14:paraId="2303759A">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、付款方式</w:t>
      </w:r>
    </w:p>
    <w:p w14:paraId="006B566C">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（按采购文件规定付款方式填写）</w:t>
      </w:r>
    </w:p>
    <w:p w14:paraId="073B13D8">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、履约保证金</w:t>
      </w:r>
    </w:p>
    <w:p w14:paraId="624B9DA6">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1、中标方在签订合同前需向采购单位缴纳金额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的履约保证金。</w:t>
      </w:r>
    </w:p>
    <w:p w14:paraId="41BC1AF3">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2、履约保证金在甲方将项目验收合格后，无息退还给乙方。</w:t>
      </w:r>
    </w:p>
    <w:p w14:paraId="3E57AD9F">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3、如乙方未能履行合同规定的义务，甲方有权在履约保证金中取得补偿。</w:t>
      </w:r>
    </w:p>
    <w:p w14:paraId="62863DDC">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、产品数量变更</w:t>
      </w:r>
    </w:p>
    <w:p w14:paraId="6C602B5F">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p>
    <w:p w14:paraId="3D2CE133">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、售后服务</w:t>
      </w:r>
    </w:p>
    <w:p w14:paraId="72F63225">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具体售后服务条款参照</w:t>
      </w:r>
      <w:r>
        <w:rPr>
          <w:rFonts w:hint="eastAsia" w:ascii="仿宋" w:hAnsi="仿宋" w:eastAsia="仿宋" w:cs="仿宋"/>
          <w:color w:val="auto"/>
          <w:sz w:val="24"/>
          <w:szCs w:val="24"/>
          <w:highlight w:val="none"/>
          <w:lang w:eastAsia="zh-CN"/>
        </w:rPr>
        <w:t>招标甲方招标</w:t>
      </w:r>
      <w:r>
        <w:rPr>
          <w:rFonts w:hint="eastAsia" w:ascii="仿宋" w:hAnsi="仿宋" w:eastAsia="仿宋" w:cs="仿宋"/>
          <w:color w:val="auto"/>
          <w:sz w:val="24"/>
          <w:szCs w:val="24"/>
          <w:highlight w:val="none"/>
        </w:rPr>
        <w:t>文件及乙方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文件中的售后服务承诺。</w:t>
      </w:r>
    </w:p>
    <w:p w14:paraId="060134AF">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十</w:t>
      </w:r>
      <w:r>
        <w:rPr>
          <w:rFonts w:hint="eastAsia" w:ascii="仿宋" w:hAnsi="仿宋" w:eastAsia="仿宋" w:cs="仿宋"/>
          <w:b/>
          <w:color w:val="auto"/>
          <w:sz w:val="24"/>
          <w:szCs w:val="24"/>
          <w:highlight w:val="none"/>
        </w:rPr>
        <w:t>、违约责任</w:t>
      </w:r>
    </w:p>
    <w:p w14:paraId="11A11A44">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5C983ECB">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、其他约定事项</w:t>
      </w:r>
    </w:p>
    <w:p w14:paraId="29131C11">
      <w:pPr>
        <w:spacing w:line="42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6D368809">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、解决合同纠纷方式</w:t>
      </w:r>
    </w:p>
    <w:p w14:paraId="659A2F6F">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其它未尽事宜或履行时发生争议，由双方本着诚实信用的原则协商解决，协商不成功可选择</w:t>
      </w:r>
      <w:r>
        <w:rPr>
          <w:rFonts w:hint="eastAsia" w:ascii="仿宋" w:hAnsi="仿宋" w:eastAsia="仿宋" w:cs="仿宋"/>
          <w:color w:val="auto"/>
          <w:sz w:val="24"/>
          <w:szCs w:val="24"/>
          <w:highlight w:val="none"/>
          <w:u w:val="single"/>
        </w:rPr>
        <w:t>武义县</w:t>
      </w:r>
      <w:r>
        <w:rPr>
          <w:rFonts w:hint="eastAsia" w:ascii="仿宋" w:hAnsi="仿宋" w:eastAsia="仿宋" w:cs="仿宋"/>
          <w:color w:val="auto"/>
          <w:sz w:val="24"/>
          <w:szCs w:val="24"/>
          <w:highlight w:val="none"/>
        </w:rPr>
        <w:t>人民法院起诉。</w:t>
      </w:r>
    </w:p>
    <w:p w14:paraId="5E6A92EB">
      <w:pPr>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、其它</w:t>
      </w:r>
    </w:p>
    <w:p w14:paraId="4B2D9284">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1、本项目的招标文件、投标文件、中标通知书作为合同的附件，具有同等法律效力。</w:t>
      </w:r>
    </w:p>
    <w:p w14:paraId="63F8AD91">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2、本合同自签订之日起生效。</w:t>
      </w:r>
    </w:p>
    <w:p w14:paraId="67E3D696">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w:t>
      </w:r>
      <w:r>
        <w:rPr>
          <w:rFonts w:hint="eastAsia" w:ascii="仿宋" w:hAnsi="仿宋" w:eastAsia="仿宋" w:cs="仿宋"/>
          <w:color w:val="auto"/>
          <w:sz w:val="24"/>
          <w:szCs w:val="24"/>
          <w:highlight w:val="none"/>
          <w:lang w:eastAsia="zh-CN"/>
        </w:rPr>
        <w:t>伍</w:t>
      </w:r>
      <w:r>
        <w:rPr>
          <w:rFonts w:hint="eastAsia" w:ascii="仿宋" w:hAnsi="仿宋" w:eastAsia="仿宋" w:cs="仿宋"/>
          <w:color w:val="auto"/>
          <w:sz w:val="24"/>
          <w:szCs w:val="24"/>
          <w:highlight w:val="none"/>
        </w:rPr>
        <w:t>份，甲乙双方各执两份，代理机构存档一份。</w:t>
      </w:r>
    </w:p>
    <w:p w14:paraId="29AD7DD2">
      <w:pPr>
        <w:pStyle w:val="2"/>
        <w:rPr>
          <w:rFonts w:ascii="仿宋" w:hAnsi="仿宋" w:eastAsia="仿宋" w:cs="仿宋"/>
          <w:color w:val="auto"/>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5528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exact"/>
          <w:jc w:val="center"/>
        </w:trPr>
        <w:tc>
          <w:tcPr>
            <w:tcW w:w="4809" w:type="dxa"/>
          </w:tcPr>
          <w:p w14:paraId="439F1C36">
            <w:pPr>
              <w:spacing w:line="360" w:lineRule="exact"/>
              <w:ind w:left="-78" w:leftChars="-37" w:right="-57" w:rightChars="-27"/>
              <w:jc w:val="center"/>
              <w:rPr>
                <w:rFonts w:ascii="仿宋" w:hAnsi="仿宋" w:eastAsia="仿宋" w:cs="仿宋"/>
                <w:color w:val="auto"/>
                <w:sz w:val="24"/>
                <w:highlight w:val="none"/>
              </w:rPr>
            </w:pPr>
            <w:r>
              <w:rPr>
                <w:rFonts w:hint="eastAsia" w:ascii="仿宋" w:hAnsi="仿宋" w:eastAsia="仿宋" w:cs="仿宋"/>
                <w:color w:val="auto"/>
                <w:sz w:val="24"/>
                <w:highlight w:val="none"/>
              </w:rPr>
              <w:t>甲  方</w:t>
            </w:r>
          </w:p>
          <w:p w14:paraId="090A6E2B">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711F80F6">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单位地址：</w:t>
            </w:r>
          </w:p>
          <w:p w14:paraId="23FD9D74">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14:paraId="1A35E3B0">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或项目经办人（签字）：</w:t>
            </w:r>
          </w:p>
          <w:p w14:paraId="5139C8F6">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电话：</w:t>
            </w:r>
          </w:p>
          <w:p w14:paraId="78FCAED2">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p w14:paraId="1297C8B9">
            <w:pPr>
              <w:spacing w:line="360" w:lineRule="exact"/>
              <w:ind w:left="-78" w:leftChars="-37" w:right="-57" w:rightChars="-27"/>
              <w:rPr>
                <w:rFonts w:ascii="仿宋" w:hAnsi="仿宋" w:eastAsia="仿宋" w:cs="仿宋"/>
                <w:color w:val="auto"/>
                <w:sz w:val="24"/>
                <w:highlight w:val="none"/>
              </w:rPr>
            </w:pPr>
          </w:p>
          <w:p w14:paraId="258A1902">
            <w:pPr>
              <w:spacing w:line="360" w:lineRule="exact"/>
              <w:ind w:left="-78" w:leftChars="-37" w:right="-57" w:rightChars="-27"/>
              <w:rPr>
                <w:rFonts w:ascii="仿宋" w:hAnsi="仿宋" w:eastAsia="仿宋" w:cs="仿宋"/>
                <w:color w:val="auto"/>
                <w:sz w:val="24"/>
                <w:highlight w:val="none"/>
              </w:rPr>
            </w:pPr>
          </w:p>
          <w:p w14:paraId="2806556F">
            <w:pPr>
              <w:spacing w:line="360" w:lineRule="exact"/>
              <w:ind w:left="-78" w:leftChars="-37" w:right="-57" w:rightChars="-27"/>
              <w:rPr>
                <w:rFonts w:ascii="仿宋" w:hAnsi="仿宋" w:eastAsia="仿宋" w:cs="仿宋"/>
                <w:color w:val="auto"/>
                <w:sz w:val="24"/>
                <w:highlight w:val="none"/>
              </w:rPr>
            </w:pPr>
          </w:p>
        </w:tc>
        <w:tc>
          <w:tcPr>
            <w:tcW w:w="4727" w:type="dxa"/>
          </w:tcPr>
          <w:p w14:paraId="45B8E40C">
            <w:pPr>
              <w:spacing w:line="360" w:lineRule="exact"/>
              <w:ind w:left="-78" w:leftChars="-37" w:right="-57" w:rightChars="-27"/>
              <w:jc w:val="center"/>
              <w:rPr>
                <w:rFonts w:ascii="仿宋" w:hAnsi="仿宋" w:eastAsia="仿宋" w:cs="仿宋"/>
                <w:color w:val="auto"/>
                <w:sz w:val="24"/>
                <w:highlight w:val="none"/>
              </w:rPr>
            </w:pPr>
            <w:r>
              <w:rPr>
                <w:rFonts w:hint="eastAsia" w:ascii="仿宋" w:hAnsi="仿宋" w:eastAsia="仿宋" w:cs="仿宋"/>
                <w:color w:val="auto"/>
                <w:sz w:val="24"/>
                <w:highlight w:val="none"/>
              </w:rPr>
              <w:t>乙  方</w:t>
            </w:r>
          </w:p>
          <w:p w14:paraId="69B3A1C3">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78DA74D7">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单位地址：</w:t>
            </w:r>
          </w:p>
          <w:p w14:paraId="0CBDA8F4">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14:paraId="0BC6635A">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或委托代理人（签字）：</w:t>
            </w:r>
          </w:p>
          <w:p w14:paraId="0294BA64">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电话：</w:t>
            </w:r>
          </w:p>
          <w:p w14:paraId="62AB9619">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开户银行（必填）：</w:t>
            </w:r>
          </w:p>
          <w:p w14:paraId="1F3BD464">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账号（必填）：</w:t>
            </w:r>
          </w:p>
          <w:p w14:paraId="281B8F52">
            <w:pPr>
              <w:spacing w:line="360" w:lineRule="exact"/>
              <w:ind w:left="-78" w:leftChars="-37"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 xml:space="preserve">邮政编码： </w:t>
            </w:r>
          </w:p>
        </w:tc>
      </w:tr>
      <w:tr w14:paraId="16DA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exact"/>
          <w:jc w:val="center"/>
        </w:trPr>
        <w:tc>
          <w:tcPr>
            <w:tcW w:w="9536" w:type="dxa"/>
            <w:gridSpan w:val="2"/>
            <w:vAlign w:val="center"/>
          </w:tcPr>
          <w:p w14:paraId="04079285">
            <w:pPr>
              <w:tabs>
                <w:tab w:val="left" w:pos="760"/>
              </w:tabs>
              <w:spacing w:line="360" w:lineRule="exact"/>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见证方（盖章）：</w:t>
            </w:r>
            <w:r>
              <w:rPr>
                <w:rFonts w:hint="eastAsia" w:ascii="仿宋" w:hAnsi="仿宋" w:eastAsia="仿宋" w:cs="仿宋"/>
                <w:color w:val="auto"/>
                <w:sz w:val="24"/>
                <w:highlight w:val="none"/>
                <w:lang w:eastAsia="zh-CN"/>
              </w:rPr>
              <w:t>金华同慷建设管理咨询有限公司</w:t>
            </w:r>
          </w:p>
        </w:tc>
      </w:tr>
    </w:tbl>
    <w:p w14:paraId="6047FB86">
      <w:pPr>
        <w:pStyle w:val="4"/>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401"/>
      <w:bookmarkStart w:id="402" w:name="_Toc10913"/>
      <w:r>
        <w:rPr>
          <w:rFonts w:hint="eastAsia" w:ascii="仿宋" w:hAnsi="仿宋" w:eastAsia="仿宋" w:cs="仿宋"/>
          <w:color w:val="auto"/>
          <w:highlight w:val="none"/>
        </w:rPr>
        <w:t>第五章  评标办法</w:t>
      </w:r>
      <w:bookmarkEnd w:id="402"/>
    </w:p>
    <w:p w14:paraId="42A1B1B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为保证评标的公平和公正，维护招标投标活动当事人的合法权益，根据有关法律法规的规定，并结合本项目的实际，制定本办法。</w:t>
      </w:r>
    </w:p>
    <w:p w14:paraId="04C78BBB">
      <w:pPr>
        <w:pStyle w:val="5"/>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color w:val="auto"/>
          <w:highlight w:val="none"/>
        </w:rPr>
      </w:pPr>
      <w:bookmarkStart w:id="403" w:name="_Toc32452"/>
      <w:r>
        <w:rPr>
          <w:rFonts w:hint="eastAsia" w:ascii="仿宋" w:hAnsi="仿宋" w:eastAsia="仿宋" w:cs="仿宋"/>
          <w:color w:val="auto"/>
          <w:highlight w:val="none"/>
        </w:rPr>
        <w:t>一、评标原则</w:t>
      </w:r>
      <w:bookmarkEnd w:id="403"/>
    </w:p>
    <w:p w14:paraId="2F3910A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评标应遵循公平、公正、科学、择优的原则。</w:t>
      </w:r>
    </w:p>
    <w:p w14:paraId="12789D46">
      <w:pPr>
        <w:pStyle w:val="5"/>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color w:val="auto"/>
          <w:highlight w:val="none"/>
        </w:rPr>
      </w:pPr>
      <w:bookmarkStart w:id="404" w:name="_Toc17089"/>
      <w:r>
        <w:rPr>
          <w:rFonts w:hint="eastAsia" w:ascii="仿宋" w:hAnsi="仿宋" w:eastAsia="仿宋" w:cs="仿宋"/>
          <w:color w:val="auto"/>
          <w:highlight w:val="none"/>
        </w:rPr>
        <w:t>二、评标组织</w:t>
      </w:r>
      <w:bookmarkEnd w:id="404"/>
    </w:p>
    <w:p w14:paraId="0BEDBE66">
      <w:pPr>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本次招标采用电子招投标，使用“采购云平台”软件评标系统评审。</w:t>
      </w:r>
    </w:p>
    <w:p w14:paraId="69EB50C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一）评标工作由采购人依法组建的评标委员会负责。评标委员会的组建见投标人须知前附表。</w:t>
      </w:r>
    </w:p>
    <w:p w14:paraId="739D76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评标委员会应推举产生评标委员会负责人。评标委员会负责人负责组织评标、掌握评标进程、主持询标、编写评标报告等工作。评标委员会负责人与其他成员具有同等的权利。评标委员会成员对所提出的评审意见承担个人责任。</w:t>
      </w:r>
    </w:p>
    <w:p w14:paraId="03C50F77">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（三）评标委员会应当按照招标采购文件确定的评标标准和方法，客观、公正地对投标文件进行评审和比较。招标采购文件没有规定的评标标准和方法不得作为评标的依据。</w:t>
      </w:r>
    </w:p>
    <w:p w14:paraId="329F6F4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（四）评标委员会对投标文件作出的评审结论，应当符合有关法律、法规、规章和招标采购文件的规定。</w:t>
      </w:r>
    </w:p>
    <w:p w14:paraId="2BF10A1F">
      <w:pPr>
        <w:pStyle w:val="5"/>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color w:val="auto"/>
          <w:highlight w:val="none"/>
        </w:rPr>
      </w:pPr>
      <w:bookmarkStart w:id="405" w:name="_Toc72"/>
      <w:r>
        <w:rPr>
          <w:rFonts w:hint="eastAsia" w:ascii="仿宋" w:hAnsi="仿宋" w:eastAsia="仿宋" w:cs="仿宋"/>
          <w:color w:val="auto"/>
          <w:highlight w:val="none"/>
        </w:rPr>
        <w:t>三、评标办法前附表</w:t>
      </w:r>
      <w:bookmarkEnd w:id="405"/>
    </w:p>
    <w:tbl>
      <w:tblPr>
        <w:tblStyle w:val="33"/>
        <w:tblW w:w="9368"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1281"/>
        <w:gridCol w:w="882"/>
        <w:gridCol w:w="5412"/>
        <w:gridCol w:w="936"/>
      </w:tblGrid>
      <w:tr w14:paraId="5978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3403DAB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511" w:type="dxa"/>
            <w:gridSpan w:val="4"/>
            <w:tcBorders>
              <w:top w:val="single" w:color="auto" w:sz="4" w:space="0"/>
              <w:left w:val="single" w:color="auto" w:sz="4" w:space="0"/>
              <w:bottom w:val="single" w:color="auto" w:sz="4" w:space="0"/>
              <w:right w:val="single" w:color="auto" w:sz="4" w:space="0"/>
            </w:tcBorders>
            <w:vAlign w:val="center"/>
          </w:tcPr>
          <w:p w14:paraId="0E3EF3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编列内容</w:t>
            </w:r>
          </w:p>
        </w:tc>
      </w:tr>
      <w:tr w14:paraId="55C7D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00D2F0F0">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1</w:t>
            </w:r>
          </w:p>
        </w:tc>
        <w:tc>
          <w:tcPr>
            <w:tcW w:w="8511" w:type="dxa"/>
            <w:gridSpan w:val="4"/>
            <w:tcBorders>
              <w:top w:val="single" w:color="auto" w:sz="4" w:space="0"/>
              <w:left w:val="single" w:color="auto" w:sz="4" w:space="0"/>
              <w:bottom w:val="single" w:color="auto" w:sz="4" w:space="0"/>
              <w:right w:val="single" w:color="auto" w:sz="4" w:space="0"/>
            </w:tcBorders>
            <w:vAlign w:val="center"/>
          </w:tcPr>
          <w:p w14:paraId="0379C144">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1.本次评标采用综合评分法。</w:t>
            </w:r>
          </w:p>
          <w:p w14:paraId="2696B62D">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2.评标委员会先对投标文件进行资格审查、符合性审查，对满足招标采购文件实质性要求的投标文件再进行商务技术评审，最后进行报价评审。</w:t>
            </w:r>
          </w:p>
          <w:p w14:paraId="7C0DA270">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3.投标人的</w:t>
            </w:r>
            <w:r>
              <w:rPr>
                <w:rFonts w:hint="eastAsia" w:ascii="仿宋" w:hAnsi="仿宋" w:eastAsia="仿宋" w:cs="仿宋"/>
                <w:b/>
                <w:bCs/>
                <w:color w:val="auto"/>
                <w:sz w:val="24"/>
                <w:highlight w:val="none"/>
              </w:rPr>
              <w:t>评标总得分=商务技术得分+报价得分</w:t>
            </w:r>
            <w:r>
              <w:rPr>
                <w:rFonts w:hint="eastAsia" w:ascii="仿宋" w:hAnsi="仿宋" w:eastAsia="仿宋" w:cs="仿宋"/>
                <w:color w:val="auto"/>
                <w:sz w:val="24"/>
                <w:highlight w:val="none"/>
              </w:rPr>
              <w:t>；评标委员会按照投标人最终总得分从高到低的顺序对投标人排名并编号，确定第一名为中标候选人。如出现总得分相同的，以商务技术文件得分高者优先；若商务技术得分和报价得分均相同的，由评标委员会进行投票表决得票多者为中标候选人（或现场抽签方式确定）。</w:t>
            </w:r>
          </w:p>
        </w:tc>
      </w:tr>
      <w:tr w14:paraId="1E67A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8" w:type="dxa"/>
            <w:gridSpan w:val="5"/>
            <w:tcBorders>
              <w:top w:val="single" w:color="auto" w:sz="4" w:space="0"/>
              <w:bottom w:val="single" w:color="auto" w:sz="4" w:space="0"/>
              <w:right w:val="single" w:color="auto" w:sz="4" w:space="0"/>
            </w:tcBorders>
            <w:vAlign w:val="center"/>
          </w:tcPr>
          <w:p w14:paraId="75E5090B">
            <w:pPr>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32"/>
                <w:highlight w:val="none"/>
              </w:rPr>
              <w:t>（一）资格评审</w:t>
            </w:r>
          </w:p>
        </w:tc>
      </w:tr>
      <w:tr w14:paraId="4BA47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0DA59587">
            <w:pPr>
              <w:spacing w:line="360" w:lineRule="auto"/>
              <w:ind w:firstLine="211" w:firstLineChars="100"/>
              <w:rPr>
                <w:rFonts w:hint="eastAsia" w:ascii="仿宋" w:hAnsi="仿宋" w:eastAsia="仿宋" w:cs="仿宋"/>
                <w:b/>
                <w:color w:val="auto"/>
                <w:highlight w:val="none"/>
              </w:rPr>
            </w:pPr>
            <w:r>
              <w:rPr>
                <w:rFonts w:hint="eastAsia" w:ascii="仿宋" w:hAnsi="仿宋" w:eastAsia="仿宋" w:cs="仿宋"/>
                <w:b/>
                <w:bCs/>
                <w:color w:val="auto"/>
                <w:szCs w:val="21"/>
                <w:highlight w:val="none"/>
              </w:rPr>
              <w:t>序号</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7E1E29CB">
            <w:pPr>
              <w:spacing w:line="360" w:lineRule="auto"/>
              <w:jc w:val="center"/>
              <w:rPr>
                <w:rFonts w:hint="eastAsia" w:ascii="仿宋" w:hAnsi="仿宋" w:eastAsia="仿宋" w:cs="仿宋"/>
                <w:color w:val="auto"/>
                <w:highlight w:val="none"/>
              </w:rPr>
            </w:pPr>
            <w:r>
              <w:rPr>
                <w:rFonts w:hint="eastAsia" w:ascii="仿宋" w:hAnsi="仿宋" w:eastAsia="仿宋" w:cs="仿宋"/>
                <w:b/>
                <w:bCs/>
                <w:color w:val="auto"/>
                <w:sz w:val="24"/>
                <w:szCs w:val="32"/>
                <w:highlight w:val="none"/>
              </w:rPr>
              <w:t>评审因素</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4A223186">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24"/>
                <w:szCs w:val="32"/>
                <w:highlight w:val="none"/>
              </w:rPr>
              <w:t>评审标准</w:t>
            </w:r>
          </w:p>
        </w:tc>
      </w:tr>
      <w:tr w14:paraId="70B61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57" w:type="dxa"/>
            <w:tcBorders>
              <w:top w:val="single" w:color="auto" w:sz="4" w:space="0"/>
              <w:bottom w:val="single" w:color="auto" w:sz="4" w:space="0"/>
              <w:right w:val="single" w:color="auto" w:sz="4" w:space="0"/>
            </w:tcBorders>
            <w:vAlign w:val="center"/>
          </w:tcPr>
          <w:p w14:paraId="0D71BF1D">
            <w:pPr>
              <w:spacing w:line="360" w:lineRule="exact"/>
              <w:jc w:val="center"/>
              <w:rPr>
                <w:rFonts w:hint="eastAsia" w:ascii="仿宋" w:hAnsi="仿宋" w:eastAsia="仿宋" w:cs="仿宋"/>
                <w:b/>
                <w:color w:val="auto"/>
                <w:sz w:val="20"/>
                <w:szCs w:val="22"/>
                <w:highlight w:val="none"/>
              </w:rPr>
            </w:pPr>
            <w:r>
              <w:rPr>
                <w:rFonts w:hint="eastAsia" w:ascii="仿宋" w:hAnsi="仿宋" w:eastAsia="仿宋" w:cs="仿宋"/>
                <w:color w:val="auto"/>
                <w:sz w:val="20"/>
                <w:szCs w:val="20"/>
                <w:highlight w:val="none"/>
              </w:rPr>
              <w:t>1</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785C3A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营业执照</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49FE2D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有效的营业执照(或事业法人登记证书)</w:t>
            </w:r>
            <w:r>
              <w:rPr>
                <w:rFonts w:hint="eastAsia" w:ascii="仿宋" w:hAnsi="仿宋" w:eastAsia="仿宋"/>
                <w:b/>
                <w:bCs/>
                <w:color w:val="auto"/>
                <w:sz w:val="24"/>
                <w:szCs w:val="24"/>
                <w:lang w:eastAsia="zh-CN"/>
              </w:rPr>
              <w:t>（</w:t>
            </w:r>
            <w:r>
              <w:rPr>
                <w:rFonts w:hint="eastAsia" w:ascii="仿宋" w:hAnsi="仿宋" w:eastAsia="仿宋" w:cs="仿宋"/>
                <w:b/>
                <w:bCs/>
                <w:sz w:val="24"/>
                <w:szCs w:val="24"/>
                <w:highlight w:val="yellow"/>
                <w:u w:val="none"/>
              </w:rPr>
              <w:t>联合体各成员均需提供</w:t>
            </w:r>
            <w:r>
              <w:rPr>
                <w:rFonts w:hint="eastAsia" w:ascii="仿宋" w:hAnsi="仿宋" w:eastAsia="仿宋"/>
                <w:b/>
                <w:bCs/>
                <w:color w:val="auto"/>
                <w:sz w:val="24"/>
                <w:szCs w:val="24"/>
                <w:lang w:eastAsia="zh-CN"/>
              </w:rPr>
              <w:t>）</w:t>
            </w:r>
            <w:r>
              <w:rPr>
                <w:rFonts w:hint="eastAsia" w:ascii="仿宋" w:hAnsi="仿宋" w:eastAsia="仿宋" w:cs="仿宋"/>
                <w:bCs/>
                <w:color w:val="auto"/>
                <w:sz w:val="24"/>
                <w:highlight w:val="none"/>
                <w:lang w:eastAsia="zh-CN"/>
              </w:rPr>
              <w:t>。</w:t>
            </w:r>
          </w:p>
        </w:tc>
      </w:tr>
      <w:tr w14:paraId="5D5D5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2C97469A">
            <w:pPr>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723630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信用记录</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079D52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未被“信用中国”、“中国采购网”列入失信被执行人、重大税收违法案件当事人名单、投标严重违法失信行为记录名单或尚在行政处罚期内的。</w:t>
            </w:r>
            <w:r>
              <w:rPr>
                <w:rFonts w:hint="eastAsia" w:ascii="仿宋" w:hAnsi="仿宋" w:eastAsia="仿宋"/>
                <w:b/>
                <w:bCs/>
                <w:color w:val="auto"/>
                <w:sz w:val="24"/>
                <w:szCs w:val="24"/>
                <w:lang w:eastAsia="zh-CN"/>
              </w:rPr>
              <w:t>（</w:t>
            </w:r>
            <w:r>
              <w:rPr>
                <w:rFonts w:hint="eastAsia" w:ascii="仿宋" w:hAnsi="仿宋" w:eastAsia="仿宋" w:cs="仿宋"/>
                <w:b/>
                <w:bCs/>
                <w:sz w:val="24"/>
                <w:szCs w:val="24"/>
                <w:highlight w:val="yellow"/>
                <w:u w:val="none"/>
              </w:rPr>
              <w:t>联合体各成员均需提供</w:t>
            </w:r>
            <w:r>
              <w:rPr>
                <w:rFonts w:hint="eastAsia" w:ascii="仿宋" w:hAnsi="仿宋" w:eastAsia="仿宋"/>
                <w:b/>
                <w:bCs/>
                <w:color w:val="auto"/>
                <w:sz w:val="24"/>
                <w:szCs w:val="24"/>
                <w:lang w:eastAsia="zh-CN"/>
              </w:rPr>
              <w:t>）</w:t>
            </w:r>
          </w:p>
        </w:tc>
      </w:tr>
      <w:tr w14:paraId="6F2FF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57" w:type="dxa"/>
            <w:tcBorders>
              <w:top w:val="single" w:color="auto" w:sz="4" w:space="0"/>
              <w:bottom w:val="single" w:color="auto" w:sz="4" w:space="0"/>
              <w:right w:val="single" w:color="auto" w:sz="4" w:space="0"/>
            </w:tcBorders>
            <w:vAlign w:val="center"/>
          </w:tcPr>
          <w:p w14:paraId="2151D689">
            <w:pPr>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5F3EA3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投标声明函</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4D5245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有效的投标声明函</w:t>
            </w:r>
            <w:r>
              <w:rPr>
                <w:rFonts w:hint="eastAsia" w:ascii="仿宋" w:hAnsi="仿宋" w:eastAsia="仿宋" w:cs="仿宋"/>
                <w:bCs/>
                <w:color w:val="auto"/>
                <w:sz w:val="24"/>
                <w:highlight w:val="none"/>
                <w:lang w:eastAsia="zh-CN"/>
              </w:rPr>
              <w:t>。</w:t>
            </w:r>
          </w:p>
        </w:tc>
      </w:tr>
      <w:tr w14:paraId="381E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2FD72555">
            <w:pPr>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193558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基本资质</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18CA143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具有履行合同所需的场地、设备和专业技术能力的承诺函</w:t>
            </w:r>
            <w:r>
              <w:rPr>
                <w:rFonts w:hint="eastAsia" w:ascii="仿宋" w:hAnsi="仿宋" w:eastAsia="仿宋" w:cs="仿宋"/>
                <w:bCs/>
                <w:color w:val="auto"/>
                <w:sz w:val="24"/>
                <w:highlight w:val="none"/>
                <w:lang w:eastAsia="zh-CN"/>
              </w:rPr>
              <w:t>。</w:t>
            </w:r>
          </w:p>
        </w:tc>
      </w:tr>
      <w:tr w14:paraId="2024B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5BF2A2E8">
            <w:pPr>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32A257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基本资质</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0DD6F92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参加投标活动前3年内在营业活动中没有重大违法记录的声明函</w:t>
            </w:r>
            <w:r>
              <w:rPr>
                <w:rFonts w:hint="eastAsia" w:ascii="仿宋" w:hAnsi="仿宋" w:eastAsia="仿宋" w:cs="仿宋"/>
                <w:bCs/>
                <w:color w:val="auto"/>
                <w:sz w:val="24"/>
                <w:highlight w:val="none"/>
                <w:lang w:eastAsia="zh-CN"/>
              </w:rPr>
              <w:t>。</w:t>
            </w:r>
          </w:p>
        </w:tc>
      </w:tr>
      <w:tr w14:paraId="16954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54C4D73B">
            <w:pPr>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79FAFF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基本资质</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0AF3ECE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法定代表人资格书或法定代表人授权委托书</w:t>
            </w:r>
            <w:r>
              <w:rPr>
                <w:rFonts w:hint="eastAsia" w:ascii="仿宋" w:hAnsi="仿宋" w:eastAsia="仿宋" w:cs="仿宋"/>
                <w:bCs/>
                <w:color w:val="auto"/>
                <w:sz w:val="24"/>
                <w:highlight w:val="none"/>
                <w:lang w:eastAsia="zh-CN"/>
              </w:rPr>
              <w:t>。</w:t>
            </w:r>
          </w:p>
        </w:tc>
      </w:tr>
      <w:tr w14:paraId="7D74F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7075A892">
            <w:pPr>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w:t>
            </w: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B9E41D">
            <w:pPr>
              <w:pStyle w:val="65"/>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联合体协议书</w:t>
            </w:r>
          </w:p>
          <w:p w14:paraId="7993422E">
            <w:pPr>
              <w:pStyle w:val="65"/>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宋体"/>
                <w:color w:val="auto"/>
                <w:kern w:val="2"/>
                <w:sz w:val="24"/>
                <w:szCs w:val="24"/>
                <w:lang w:val="zh-TW" w:eastAsia="zh-CN" w:bidi="zh-TW"/>
              </w:rPr>
            </w:pPr>
            <w:r>
              <w:rPr>
                <w:rFonts w:hint="eastAsia" w:ascii="仿宋" w:hAnsi="仿宋" w:eastAsia="仿宋"/>
                <w:color w:val="auto"/>
                <w:sz w:val="24"/>
                <w:szCs w:val="24"/>
                <w:lang w:eastAsia="zh-CN"/>
              </w:rPr>
              <w:t>（如有）</w:t>
            </w:r>
          </w:p>
        </w:tc>
        <w:tc>
          <w:tcPr>
            <w:tcW w:w="6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CD3D61">
            <w:pPr>
              <w:spacing w:line="360" w:lineRule="exact"/>
              <w:rPr>
                <w:rFonts w:hint="eastAsia" w:ascii="仿宋" w:hAnsi="仿宋" w:eastAsia="仿宋" w:cs="仿宋"/>
                <w:b/>
                <w:bCs/>
                <w:color w:val="0000FF"/>
                <w:kern w:val="2"/>
                <w:sz w:val="24"/>
                <w:szCs w:val="24"/>
                <w:highlight w:val="none"/>
                <w:lang w:val="zh-TW" w:eastAsia="zh-CN" w:bidi="zh-TW"/>
              </w:rPr>
            </w:pPr>
            <w:r>
              <w:rPr>
                <w:rFonts w:hint="eastAsia" w:ascii="仿宋" w:hAnsi="仿宋" w:eastAsia="仿宋" w:cs="仿宋"/>
                <w:bCs/>
                <w:color w:val="auto"/>
                <w:sz w:val="24"/>
                <w:highlight w:val="none"/>
              </w:rPr>
              <w:t>提供有效的联合体协议书。</w:t>
            </w:r>
          </w:p>
        </w:tc>
      </w:tr>
      <w:tr w14:paraId="798CF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4F3C2251">
            <w:pPr>
              <w:spacing w:line="3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7292DB">
            <w:pPr>
              <w:pStyle w:val="65"/>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olor w:val="0000FF"/>
                <w:sz w:val="24"/>
                <w:szCs w:val="24"/>
                <w:lang w:eastAsia="zh-CN"/>
              </w:rPr>
            </w:pPr>
            <w:r>
              <w:rPr>
                <w:rFonts w:hint="eastAsia" w:ascii="仿宋" w:hAnsi="仿宋" w:eastAsia="仿宋" w:cs="仿宋"/>
                <w:color w:val="0000FF"/>
                <w:sz w:val="24"/>
                <w:highlight w:val="none"/>
                <w:lang w:eastAsia="zh-CN"/>
              </w:rPr>
              <w:t>资质（资格）证书</w:t>
            </w:r>
          </w:p>
        </w:tc>
        <w:tc>
          <w:tcPr>
            <w:tcW w:w="6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E552B4">
            <w:pPr>
              <w:spacing w:line="360" w:lineRule="exact"/>
              <w:rPr>
                <w:rFonts w:hint="eastAsia" w:ascii="仿宋" w:hAnsi="仿宋" w:eastAsia="仿宋" w:cs="仿宋"/>
                <w:bCs/>
                <w:color w:val="0000FF"/>
                <w:sz w:val="22"/>
                <w:szCs w:val="22"/>
                <w:highlight w:val="none"/>
              </w:rPr>
            </w:pPr>
            <w:r>
              <w:rPr>
                <w:rFonts w:hint="eastAsia" w:ascii="仿宋" w:hAnsi="仿宋" w:eastAsia="仿宋" w:cs="仿宋"/>
                <w:bCs/>
                <w:color w:val="0000FF"/>
                <w:sz w:val="22"/>
                <w:szCs w:val="22"/>
                <w:highlight w:val="none"/>
                <w:lang w:val="en-US" w:eastAsia="zh-CN"/>
              </w:rPr>
              <w:t>1.</w:t>
            </w:r>
            <w:r>
              <w:rPr>
                <w:rFonts w:hint="eastAsia" w:ascii="仿宋" w:hAnsi="仿宋" w:eastAsia="仿宋" w:cs="仿宋"/>
                <w:bCs/>
                <w:color w:val="0000FF"/>
                <w:sz w:val="22"/>
                <w:szCs w:val="22"/>
                <w:highlight w:val="none"/>
              </w:rPr>
              <w:t>投标人须具备工程勘察专业类（岩土工程）乙级及以上资质；</w:t>
            </w:r>
          </w:p>
          <w:p w14:paraId="60769580">
            <w:pPr>
              <w:spacing w:line="360" w:lineRule="exact"/>
              <w:rPr>
                <w:rFonts w:hint="eastAsia" w:ascii="仿宋" w:hAnsi="仿宋" w:eastAsia="仿宋" w:cs="仿宋"/>
                <w:bCs/>
                <w:color w:val="0000FF"/>
                <w:sz w:val="24"/>
                <w:highlight w:val="none"/>
                <w:lang w:eastAsia="zh-CN"/>
              </w:rPr>
            </w:pPr>
            <w:r>
              <w:rPr>
                <w:rFonts w:hint="eastAsia" w:ascii="仿宋" w:hAnsi="仿宋" w:eastAsia="仿宋" w:cs="仿宋"/>
                <w:bCs/>
                <w:color w:val="0000FF"/>
                <w:sz w:val="22"/>
                <w:szCs w:val="22"/>
                <w:highlight w:val="none"/>
              </w:rPr>
              <w:t>2</w:t>
            </w:r>
            <w:r>
              <w:rPr>
                <w:rFonts w:hint="eastAsia" w:ascii="仿宋" w:hAnsi="仿宋" w:eastAsia="仿宋" w:cs="仿宋"/>
                <w:bCs/>
                <w:color w:val="0000FF"/>
                <w:sz w:val="22"/>
                <w:szCs w:val="22"/>
                <w:highlight w:val="none"/>
                <w:lang w:val="en-US" w:eastAsia="zh-CN"/>
              </w:rPr>
              <w:t>.</w:t>
            </w:r>
            <w:r>
              <w:rPr>
                <w:rFonts w:hint="eastAsia" w:ascii="仿宋" w:hAnsi="仿宋" w:eastAsia="仿宋" w:cs="仿宋"/>
                <w:bCs/>
                <w:color w:val="0000FF"/>
                <w:sz w:val="22"/>
                <w:szCs w:val="22"/>
                <w:highlight w:val="none"/>
              </w:rPr>
              <w:t>联合体投标的，应满足下列要求：联合体牵头人及成员总数不得超过2家，联合体各方须符合本文件规定的特定资质条件须具备工程勘察专业类（岩土工程）乙级及以上资质。联合体中有同类资质的投标人按照联合体分工承担相同工作的，应当按照资质等级较低的投标人确定资质等级。</w:t>
            </w:r>
          </w:p>
        </w:tc>
      </w:tr>
      <w:tr w14:paraId="11C8C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0E0EE96D">
            <w:pPr>
              <w:spacing w:line="360" w:lineRule="exact"/>
              <w:jc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049FDA5A">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2EF7A215">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符合招标文件中规定的资格要求。</w:t>
            </w:r>
          </w:p>
        </w:tc>
      </w:tr>
      <w:tr w14:paraId="2F1FD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8" w:type="dxa"/>
            <w:gridSpan w:val="5"/>
            <w:tcBorders>
              <w:top w:val="single" w:color="auto" w:sz="4" w:space="0"/>
              <w:bottom w:val="single" w:color="auto" w:sz="4" w:space="0"/>
              <w:right w:val="single" w:color="auto" w:sz="4" w:space="0"/>
            </w:tcBorders>
            <w:vAlign w:val="center"/>
          </w:tcPr>
          <w:p w14:paraId="74CA4830">
            <w:pPr>
              <w:spacing w:line="360" w:lineRule="auto"/>
              <w:jc w:val="left"/>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（二）符合性评审</w:t>
            </w:r>
          </w:p>
        </w:tc>
      </w:tr>
      <w:tr w14:paraId="01120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7" w:type="dxa"/>
            <w:tcBorders>
              <w:top w:val="single" w:color="auto" w:sz="4" w:space="0"/>
              <w:bottom w:val="single" w:color="auto" w:sz="4" w:space="0"/>
              <w:right w:val="single" w:color="auto" w:sz="4" w:space="0"/>
            </w:tcBorders>
            <w:vAlign w:val="center"/>
          </w:tcPr>
          <w:p w14:paraId="4830C5DD">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序号</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1B4557BC">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评审因素</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5CF7B49A">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评审标准</w:t>
            </w:r>
          </w:p>
        </w:tc>
      </w:tr>
      <w:tr w14:paraId="70206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857" w:type="dxa"/>
            <w:tcBorders>
              <w:top w:val="single" w:color="auto" w:sz="4" w:space="0"/>
              <w:bottom w:val="single" w:color="auto" w:sz="4" w:space="0"/>
              <w:right w:val="single" w:color="auto" w:sz="4" w:space="0"/>
            </w:tcBorders>
            <w:vAlign w:val="center"/>
          </w:tcPr>
          <w:p w14:paraId="5030DB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4C3DD0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189DF9DC">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与有效的营业执照一致</w:t>
            </w:r>
          </w:p>
        </w:tc>
      </w:tr>
      <w:tr w14:paraId="55A4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857" w:type="dxa"/>
            <w:tcBorders>
              <w:top w:val="single" w:color="auto" w:sz="4" w:space="0"/>
              <w:bottom w:val="single" w:color="auto" w:sz="4" w:space="0"/>
              <w:right w:val="single" w:color="auto" w:sz="4" w:space="0"/>
            </w:tcBorders>
            <w:vAlign w:val="center"/>
          </w:tcPr>
          <w:p w14:paraId="601080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644361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投标文件签字盖章</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5757FE47">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符合招标采购文件要求</w:t>
            </w:r>
          </w:p>
        </w:tc>
      </w:tr>
      <w:tr w14:paraId="7F9A2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857" w:type="dxa"/>
            <w:tcBorders>
              <w:top w:val="single" w:color="auto" w:sz="4" w:space="0"/>
              <w:bottom w:val="single" w:color="auto" w:sz="4" w:space="0"/>
              <w:right w:val="single" w:color="auto" w:sz="4" w:space="0"/>
            </w:tcBorders>
            <w:vAlign w:val="center"/>
          </w:tcPr>
          <w:p w14:paraId="5B713E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5AB328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投标文件格式</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46A845D0">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符合招标采购文件要求</w:t>
            </w:r>
          </w:p>
        </w:tc>
      </w:tr>
      <w:tr w14:paraId="4F41B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857" w:type="dxa"/>
            <w:tcBorders>
              <w:top w:val="single" w:color="auto" w:sz="4" w:space="0"/>
              <w:bottom w:val="single" w:color="auto" w:sz="4" w:space="0"/>
              <w:right w:val="single" w:color="auto" w:sz="4" w:space="0"/>
            </w:tcBorders>
            <w:vAlign w:val="center"/>
          </w:tcPr>
          <w:p w14:paraId="59036B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4197B2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投标内容</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6C910D89">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符合招标采购文件要求</w:t>
            </w:r>
          </w:p>
        </w:tc>
      </w:tr>
      <w:tr w14:paraId="0A71D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857" w:type="dxa"/>
            <w:tcBorders>
              <w:top w:val="single" w:color="auto" w:sz="4" w:space="0"/>
              <w:bottom w:val="single" w:color="auto" w:sz="4" w:space="0"/>
              <w:right w:val="single" w:color="auto" w:sz="4" w:space="0"/>
            </w:tcBorders>
            <w:vAlign w:val="center"/>
          </w:tcPr>
          <w:p w14:paraId="46751E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124D59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211E4EC0">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符合招标采购文件要求</w:t>
            </w:r>
          </w:p>
        </w:tc>
      </w:tr>
      <w:tr w14:paraId="3E415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857" w:type="dxa"/>
            <w:tcBorders>
              <w:top w:val="single" w:color="auto" w:sz="4" w:space="0"/>
              <w:bottom w:val="single" w:color="auto" w:sz="4" w:space="0"/>
              <w:right w:val="single" w:color="auto" w:sz="4" w:space="0"/>
            </w:tcBorders>
            <w:vAlign w:val="center"/>
          </w:tcPr>
          <w:p w14:paraId="6ACE95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11641F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455AAF61">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符合招标采购文件要求</w:t>
            </w:r>
          </w:p>
        </w:tc>
      </w:tr>
      <w:tr w14:paraId="04C46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857" w:type="dxa"/>
            <w:tcBorders>
              <w:top w:val="single" w:color="auto" w:sz="4" w:space="0"/>
              <w:bottom w:val="single" w:color="auto" w:sz="4" w:space="0"/>
              <w:right w:val="single" w:color="auto" w:sz="4" w:space="0"/>
            </w:tcBorders>
            <w:shd w:val="clear" w:color="auto" w:fill="auto"/>
            <w:vAlign w:val="center"/>
          </w:tcPr>
          <w:p w14:paraId="3E9D52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7</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0DCEDD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项目工期</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6803A9A5">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符合招标采购文件要求</w:t>
            </w:r>
          </w:p>
        </w:tc>
      </w:tr>
      <w:tr w14:paraId="2522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trPr>
        <w:tc>
          <w:tcPr>
            <w:tcW w:w="857" w:type="dxa"/>
            <w:tcBorders>
              <w:top w:val="single" w:color="auto" w:sz="4" w:space="0"/>
              <w:bottom w:val="single" w:color="auto" w:sz="4" w:space="0"/>
              <w:right w:val="single" w:color="auto" w:sz="4" w:space="0"/>
            </w:tcBorders>
            <w:shd w:val="clear" w:color="auto" w:fill="auto"/>
            <w:vAlign w:val="center"/>
          </w:tcPr>
          <w:p w14:paraId="15D710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7169CA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免费服务期</w:t>
            </w:r>
          </w:p>
        </w:tc>
        <w:tc>
          <w:tcPr>
            <w:tcW w:w="6348" w:type="dxa"/>
            <w:gridSpan w:val="2"/>
            <w:tcBorders>
              <w:top w:val="single" w:color="auto" w:sz="4" w:space="0"/>
              <w:left w:val="single" w:color="auto" w:sz="4" w:space="0"/>
              <w:bottom w:val="single" w:color="auto" w:sz="4" w:space="0"/>
              <w:right w:val="single" w:color="auto" w:sz="4" w:space="0"/>
            </w:tcBorders>
            <w:vAlign w:val="center"/>
          </w:tcPr>
          <w:p w14:paraId="444C1B02">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符合招标采购文件要求</w:t>
            </w:r>
          </w:p>
        </w:tc>
      </w:tr>
      <w:tr w14:paraId="2A48D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368" w:type="dxa"/>
            <w:gridSpan w:val="5"/>
            <w:tcBorders>
              <w:top w:val="single" w:color="auto" w:sz="4" w:space="0"/>
              <w:right w:val="single" w:color="auto" w:sz="4" w:space="0"/>
            </w:tcBorders>
            <w:vAlign w:val="center"/>
          </w:tcPr>
          <w:p w14:paraId="22ECCC1F">
            <w:pPr>
              <w:pStyle w:val="65"/>
              <w:spacing w:line="360" w:lineRule="exact"/>
              <w:ind w:firstLine="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（三）商务技术分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90分</w:t>
            </w:r>
            <w:r>
              <w:rPr>
                <w:rFonts w:hint="eastAsia" w:ascii="仿宋" w:hAnsi="仿宋" w:eastAsia="仿宋" w:cs="仿宋"/>
                <w:b/>
                <w:bCs/>
                <w:color w:val="auto"/>
                <w:sz w:val="24"/>
                <w:szCs w:val="24"/>
                <w:highlight w:val="none"/>
              </w:rPr>
              <w:t>）</w:t>
            </w:r>
          </w:p>
          <w:p w14:paraId="35D39997">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评标委员会成员应独立对投标供应商的投标文件打分，打分时保留小数1位，投标人最终得分为评标</w:t>
            </w:r>
            <w:r>
              <w:rPr>
                <w:rFonts w:hint="eastAsia" w:ascii="仿宋" w:hAnsi="仿宋" w:eastAsia="仿宋" w:cs="仿宋"/>
                <w:color w:val="auto"/>
                <w:sz w:val="22"/>
                <w:szCs w:val="22"/>
                <w:highlight w:val="none"/>
                <w:lang w:val="zh-CN"/>
              </w:rPr>
              <w:t>委员会</w:t>
            </w:r>
            <w:r>
              <w:rPr>
                <w:rFonts w:hint="eastAsia" w:ascii="仿宋" w:hAnsi="仿宋" w:eastAsia="仿宋" w:cs="仿宋"/>
                <w:color w:val="auto"/>
                <w:sz w:val="24"/>
                <w:szCs w:val="24"/>
                <w:highlight w:val="none"/>
              </w:rPr>
              <w:t>所有成员的算术平均值，评分分值计算保留小数点后两位，小数点后第三位</w:t>
            </w:r>
            <w:r>
              <w:rPr>
                <w:rFonts w:hint="eastAsia" w:ascii="仿宋" w:hAnsi="仿宋" w:eastAsia="仿宋" w:cs="仿宋"/>
                <w:color w:val="auto"/>
                <w:sz w:val="24"/>
                <w:szCs w:val="24"/>
                <w:highlight w:val="none"/>
                <w:lang w:val="zh-CN" w:eastAsia="zh-CN" w:bidi="zh-CN"/>
              </w:rPr>
              <w:t>“四舍</w:t>
            </w:r>
            <w:r>
              <w:rPr>
                <w:rFonts w:hint="eastAsia" w:ascii="仿宋" w:hAnsi="仿宋" w:eastAsia="仿宋" w:cs="仿宋"/>
                <w:color w:val="auto"/>
                <w:sz w:val="24"/>
                <w:szCs w:val="24"/>
                <w:highlight w:val="none"/>
              </w:rPr>
              <w:t>五入”。</w:t>
            </w:r>
          </w:p>
        </w:tc>
      </w:tr>
      <w:tr w14:paraId="30415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57" w:type="dxa"/>
            <w:tcBorders>
              <w:top w:val="single" w:color="auto" w:sz="4" w:space="0"/>
              <w:bottom w:val="single" w:color="auto" w:sz="4" w:space="0"/>
              <w:right w:val="single" w:color="auto" w:sz="4" w:space="0"/>
            </w:tcBorders>
            <w:vAlign w:val="center"/>
          </w:tcPr>
          <w:p w14:paraId="22D3867E">
            <w:pPr>
              <w:pStyle w:val="65"/>
              <w:spacing w:line="300" w:lineRule="exact"/>
              <w:ind w:firstLine="0" w:firstLineChars="0"/>
              <w:jc w:val="center"/>
              <w:rPr>
                <w:rFonts w:hint="eastAsia" w:ascii="仿宋" w:hAnsi="仿宋" w:eastAsia="仿宋" w:cs="仿宋"/>
                <w:color w:val="auto"/>
                <w:sz w:val="24"/>
                <w:szCs w:val="24"/>
                <w:highlight w:val="none"/>
                <w:lang w:eastAsia="zh-CN"/>
              </w:rPr>
            </w:pPr>
            <w:bookmarkStart w:id="406" w:name="_Toc498955058"/>
            <w:bookmarkStart w:id="407" w:name="_Toc455680136"/>
            <w:bookmarkStart w:id="408" w:name="_Toc152045601"/>
            <w:bookmarkStart w:id="409" w:name="_Toc498955059"/>
            <w:bookmarkStart w:id="410" w:name="_Toc179632619"/>
            <w:bookmarkStart w:id="411" w:name="_Toc247085759"/>
            <w:bookmarkStart w:id="412" w:name="_Toc152042378"/>
            <w:bookmarkStart w:id="413" w:name="_Toc246996244"/>
            <w:bookmarkStart w:id="414" w:name="_Toc455680137"/>
            <w:bookmarkStart w:id="415" w:name="_Toc246996987"/>
            <w:bookmarkStart w:id="416" w:name="_Toc144974568"/>
            <w:r>
              <w:rPr>
                <w:rFonts w:hint="eastAsia" w:ascii="仿宋" w:hAnsi="仿宋" w:eastAsia="仿宋" w:cs="仿宋"/>
                <w:b/>
                <w:color w:val="auto"/>
                <w:sz w:val="24"/>
                <w:szCs w:val="32"/>
                <w:highlight w:val="none"/>
              </w:rPr>
              <w:t>序号</w:t>
            </w:r>
          </w:p>
        </w:tc>
        <w:tc>
          <w:tcPr>
            <w:tcW w:w="1281" w:type="dxa"/>
            <w:tcBorders>
              <w:top w:val="single" w:color="auto" w:sz="4" w:space="0"/>
              <w:bottom w:val="single" w:color="auto" w:sz="4" w:space="0"/>
              <w:right w:val="single" w:color="auto" w:sz="4" w:space="0"/>
            </w:tcBorders>
            <w:vAlign w:val="center"/>
          </w:tcPr>
          <w:p w14:paraId="1436AB8B">
            <w:pPr>
              <w:pStyle w:val="65"/>
              <w:spacing w:line="300" w:lineRule="exact"/>
              <w:ind w:firstLine="0" w:firstLineChars="0"/>
              <w:jc w:val="center"/>
              <w:rPr>
                <w:rFonts w:hint="eastAsia" w:ascii="仿宋" w:hAnsi="仿宋" w:eastAsia="仿宋" w:cs="仿宋"/>
                <w:b/>
                <w:color w:val="auto"/>
                <w:sz w:val="24"/>
                <w:szCs w:val="32"/>
                <w:highlight w:val="none"/>
                <w:lang w:eastAsia="zh-CN"/>
              </w:rPr>
            </w:pPr>
            <w:r>
              <w:rPr>
                <w:rFonts w:hint="eastAsia" w:ascii="仿宋" w:hAnsi="仿宋" w:eastAsia="仿宋" w:cs="仿宋"/>
                <w:b/>
                <w:color w:val="auto"/>
                <w:sz w:val="24"/>
                <w:szCs w:val="32"/>
                <w:highlight w:val="none"/>
                <w:lang w:eastAsia="zh-CN"/>
              </w:rPr>
              <w:t>评分内容</w:t>
            </w:r>
          </w:p>
        </w:tc>
        <w:tc>
          <w:tcPr>
            <w:tcW w:w="6294" w:type="dxa"/>
            <w:gridSpan w:val="2"/>
            <w:tcBorders>
              <w:top w:val="single" w:color="auto" w:sz="4" w:space="0"/>
              <w:bottom w:val="single" w:color="auto" w:sz="4" w:space="0"/>
              <w:right w:val="single" w:color="auto" w:sz="4" w:space="0"/>
            </w:tcBorders>
            <w:vAlign w:val="center"/>
          </w:tcPr>
          <w:p w14:paraId="3F5BABF6">
            <w:pPr>
              <w:pStyle w:val="65"/>
              <w:spacing w:line="300" w:lineRule="exact"/>
              <w:ind w:firstLine="0" w:firstLineChars="0"/>
              <w:jc w:val="center"/>
              <w:rPr>
                <w:rFonts w:hint="eastAsia" w:ascii="仿宋" w:hAnsi="仿宋" w:eastAsia="仿宋" w:cs="仿宋"/>
                <w:b/>
                <w:color w:val="auto"/>
                <w:sz w:val="24"/>
                <w:szCs w:val="32"/>
                <w:highlight w:val="none"/>
                <w:lang w:eastAsia="zh-CN"/>
              </w:rPr>
            </w:pPr>
            <w:r>
              <w:rPr>
                <w:rFonts w:hint="eastAsia" w:ascii="仿宋" w:hAnsi="仿宋" w:eastAsia="仿宋" w:cs="仿宋"/>
                <w:b/>
                <w:color w:val="auto"/>
                <w:sz w:val="24"/>
                <w:szCs w:val="32"/>
                <w:highlight w:val="none"/>
                <w:lang w:eastAsia="zh-CN"/>
              </w:rPr>
              <w:t>评分标准</w:t>
            </w:r>
          </w:p>
        </w:tc>
        <w:tc>
          <w:tcPr>
            <w:tcW w:w="936" w:type="dxa"/>
            <w:tcBorders>
              <w:top w:val="single" w:color="auto" w:sz="4" w:space="0"/>
              <w:bottom w:val="single" w:color="auto" w:sz="4" w:space="0"/>
              <w:right w:val="single" w:color="auto" w:sz="4" w:space="0"/>
            </w:tcBorders>
            <w:vAlign w:val="center"/>
          </w:tcPr>
          <w:p w14:paraId="2A8427A7">
            <w:pPr>
              <w:pStyle w:val="65"/>
              <w:spacing w:line="300" w:lineRule="exact"/>
              <w:ind w:firstLine="0" w:firstLineChars="0"/>
              <w:jc w:val="center"/>
              <w:rPr>
                <w:rFonts w:hint="eastAsia" w:ascii="仿宋" w:hAnsi="仿宋" w:eastAsia="仿宋" w:cs="仿宋"/>
                <w:b/>
                <w:color w:val="auto"/>
                <w:sz w:val="24"/>
                <w:szCs w:val="32"/>
                <w:highlight w:val="none"/>
                <w:lang w:eastAsia="zh-CN"/>
              </w:rPr>
            </w:pPr>
            <w:r>
              <w:rPr>
                <w:rFonts w:hint="eastAsia" w:ascii="仿宋" w:hAnsi="仿宋" w:eastAsia="仿宋" w:cs="仿宋"/>
                <w:b/>
                <w:color w:val="auto"/>
                <w:sz w:val="24"/>
                <w:szCs w:val="32"/>
                <w:highlight w:val="none"/>
                <w:lang w:eastAsia="zh-CN"/>
              </w:rPr>
              <w:t>分值</w:t>
            </w:r>
          </w:p>
        </w:tc>
      </w:tr>
      <w:tr w14:paraId="05E1A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57" w:type="dxa"/>
            <w:tcBorders>
              <w:top w:val="single" w:color="auto" w:sz="4" w:space="0"/>
              <w:bottom w:val="single" w:color="auto" w:sz="4" w:space="0"/>
              <w:right w:val="single" w:color="auto" w:sz="4" w:space="0"/>
            </w:tcBorders>
            <w:vAlign w:val="center"/>
          </w:tcPr>
          <w:p w14:paraId="55FD5840">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lang w:val="en-US" w:eastAsia="zh-CN"/>
              </w:rPr>
              <w:t>1</w:t>
            </w:r>
          </w:p>
        </w:tc>
        <w:tc>
          <w:tcPr>
            <w:tcW w:w="1281" w:type="dxa"/>
            <w:tcBorders>
              <w:top w:val="single" w:color="auto" w:sz="4" w:space="0"/>
              <w:bottom w:val="single" w:color="auto" w:sz="4" w:space="0"/>
              <w:right w:val="single" w:color="auto" w:sz="4" w:space="0"/>
            </w:tcBorders>
            <w:shd w:val="clear" w:color="auto" w:fill="auto"/>
            <w:vAlign w:val="center"/>
          </w:tcPr>
          <w:p w14:paraId="75954D48">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lang w:val="en-US" w:eastAsia="zh-CN"/>
              </w:rPr>
              <w:t>体系认证</w:t>
            </w:r>
          </w:p>
        </w:tc>
        <w:tc>
          <w:tcPr>
            <w:tcW w:w="6294" w:type="dxa"/>
            <w:gridSpan w:val="2"/>
            <w:tcBorders>
              <w:top w:val="single" w:color="auto" w:sz="4" w:space="0"/>
              <w:bottom w:val="single" w:color="auto" w:sz="4" w:space="0"/>
              <w:right w:val="single" w:color="auto" w:sz="4" w:space="0"/>
            </w:tcBorders>
            <w:shd w:val="clear" w:color="auto" w:fill="auto"/>
            <w:vAlign w:val="center"/>
          </w:tcPr>
          <w:p w14:paraId="522433BE">
            <w:pPr>
              <w:keepNext w:val="0"/>
              <w:keepLines w:val="0"/>
              <w:pageBreakBefore w:val="0"/>
              <w:widowControl w:val="0"/>
              <w:kinsoku/>
              <w:wordWrap w:val="0"/>
              <w:overflowPunct/>
              <w:topLinePunct w:val="0"/>
              <w:bidi w:val="0"/>
              <w:snapToGrid w:val="0"/>
              <w:spacing w:line="240" w:lineRule="exact"/>
              <w:jc w:val="left"/>
              <w:textAlignment w:val="auto"/>
              <w:rPr>
                <w:rFonts w:hint="eastAsia" w:ascii="仿宋" w:hAnsi="仿宋" w:eastAsia="仿宋"/>
                <w:bCs/>
                <w:iCs/>
                <w:lang w:val="en-US" w:eastAsia="zh-CN"/>
              </w:rPr>
            </w:pPr>
            <w:r>
              <w:rPr>
                <w:rFonts w:hint="eastAsia" w:ascii="仿宋" w:hAnsi="仿宋" w:eastAsia="仿宋"/>
                <w:bCs/>
                <w:iCs/>
                <w:lang w:val="en-US" w:eastAsia="zh-CN"/>
              </w:rPr>
              <w:t>投标人具有质量管理体系认证、环境管理体系认证、职业健康安全管理体系认证、信息安全管理体系认证证书、信息技术服务技术管理体系认证证书且在有效期内的，每个证书得1分，最高得5分。</w:t>
            </w:r>
          </w:p>
          <w:p w14:paraId="628CE559">
            <w:pPr>
              <w:keepNext w:val="0"/>
              <w:keepLines w:val="0"/>
              <w:pageBreakBefore w:val="0"/>
              <w:widowControl/>
              <w:suppressLineNumbers w:val="0"/>
              <w:kinsoku/>
              <w:wordWrap/>
              <w:overflowPunct/>
              <w:topLinePunct w:val="0"/>
              <w:bidi w:val="0"/>
              <w:spacing w:line="240" w:lineRule="exact"/>
              <w:jc w:val="both"/>
              <w:textAlignment w:val="center"/>
              <w:rPr>
                <w:rFonts w:hint="eastAsia" w:ascii="仿宋" w:hAnsi="仿宋" w:eastAsia="仿宋" w:cs="仿宋"/>
                <w:b/>
                <w:bCs/>
              </w:rPr>
            </w:pPr>
            <w:r>
              <w:rPr>
                <w:rFonts w:hint="eastAsia" w:ascii="仿宋" w:hAnsi="仿宋" w:eastAsia="仿宋" w:cs="仿宋"/>
                <w:b/>
                <w:bCs/>
              </w:rPr>
              <w:t>注：</w:t>
            </w:r>
            <w:r>
              <w:rPr>
                <w:rFonts w:hint="eastAsia" w:ascii="仿宋" w:hAnsi="仿宋" w:eastAsia="仿宋" w:cs="仿宋"/>
                <w:b/>
                <w:bCs/>
                <w:lang w:val="en-US" w:eastAsia="zh-CN"/>
              </w:rPr>
              <w:t>1.</w:t>
            </w:r>
            <w:r>
              <w:rPr>
                <w:rFonts w:hint="eastAsia" w:ascii="仿宋" w:hAnsi="仿宋" w:eastAsia="仿宋" w:cs="仿宋"/>
                <w:b/>
                <w:bCs/>
              </w:rPr>
              <w:t>以上证书均能在全国认证认可信息公共服务平台(http://cx.cnca.cn/CertECloud/index/index/page)上查询到，并提供网站截图及相应证书</w:t>
            </w:r>
            <w:r>
              <w:rPr>
                <w:rFonts w:hint="eastAsia" w:ascii="仿宋" w:hAnsi="仿宋" w:eastAsia="仿宋" w:cs="仿宋"/>
                <w:b/>
                <w:bCs/>
                <w:lang w:eastAsia="zh-CN"/>
              </w:rPr>
              <w:t>原件</w:t>
            </w:r>
            <w:r>
              <w:rPr>
                <w:rFonts w:hint="eastAsia" w:ascii="仿宋" w:hAnsi="仿宋" w:eastAsia="仿宋" w:cs="仿宋"/>
                <w:b/>
                <w:bCs/>
              </w:rPr>
              <w:t>扫描件，否则不得分。</w:t>
            </w:r>
          </w:p>
          <w:p w14:paraId="3255F2DA">
            <w:pPr>
              <w:keepNext w:val="0"/>
              <w:keepLines w:val="0"/>
              <w:pageBreakBefore w:val="0"/>
              <w:widowControl/>
              <w:suppressLineNumbers w:val="0"/>
              <w:kinsoku/>
              <w:wordWrap/>
              <w:overflowPunct/>
              <w:topLinePunct w:val="0"/>
              <w:bidi w:val="0"/>
              <w:spacing w:line="240" w:lineRule="exact"/>
              <w:jc w:val="both"/>
              <w:textAlignment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b/>
                <w:bCs/>
                <w:lang w:val="en-US" w:eastAsia="zh-CN"/>
              </w:rPr>
              <w:t>2.联合体投标人任意一方提供即可。</w:t>
            </w:r>
          </w:p>
        </w:tc>
        <w:tc>
          <w:tcPr>
            <w:tcW w:w="936" w:type="dxa"/>
            <w:tcBorders>
              <w:top w:val="single" w:color="auto" w:sz="4" w:space="0"/>
              <w:bottom w:val="single" w:color="auto" w:sz="4" w:space="0"/>
              <w:right w:val="single" w:color="auto" w:sz="4" w:space="0"/>
            </w:tcBorders>
            <w:shd w:val="clear" w:color="auto" w:fill="auto"/>
            <w:vAlign w:val="center"/>
          </w:tcPr>
          <w:p w14:paraId="426F7762">
            <w:pPr>
              <w:snapToGrid w:val="0"/>
              <w:spacing w:line="280" w:lineRule="exact"/>
              <w:jc w:val="center"/>
              <w:rPr>
                <w:rFonts w:hint="eastAsia" w:ascii="仿宋" w:hAnsi="仿宋" w:eastAsia="仿宋" w:cs="仿宋"/>
                <w:lang w:val="en-US" w:eastAsia="zh-CN"/>
              </w:rPr>
            </w:pPr>
            <w:r>
              <w:rPr>
                <w:rFonts w:hint="eastAsia" w:ascii="仿宋" w:hAnsi="仿宋" w:eastAsia="仿宋" w:cs="仿宋"/>
              </w:rPr>
              <w:t>0-</w:t>
            </w:r>
            <w:r>
              <w:rPr>
                <w:rFonts w:hint="eastAsia" w:ascii="仿宋" w:hAnsi="仿宋" w:eastAsia="仿宋" w:cs="仿宋"/>
                <w:lang w:val="en-US" w:eastAsia="zh-CN"/>
              </w:rPr>
              <w:t>5</w:t>
            </w:r>
          </w:p>
          <w:p w14:paraId="41D8E2F8">
            <w:pPr>
              <w:keepNext w:val="0"/>
              <w:keepLines w:val="0"/>
              <w:pageBreakBefore w:val="0"/>
              <w:kinsoku/>
              <w:wordWrap/>
              <w:overflowPunct/>
              <w:topLinePunct w:val="0"/>
              <w:bidi w:val="0"/>
              <w:spacing w:line="240" w:lineRule="exact"/>
              <w:jc w:val="center"/>
              <w:rPr>
                <w:rFonts w:hint="eastAsia" w:ascii="宋体" w:hAnsi="Courier New" w:eastAsia="宋体" w:cs="Times New Roman"/>
                <w:color w:val="auto"/>
                <w:spacing w:val="-4"/>
                <w:kern w:val="2"/>
                <w:sz w:val="18"/>
                <w:szCs w:val="20"/>
                <w:highlight w:val="none"/>
                <w:lang w:val="en-US" w:eastAsia="zh-CN" w:bidi="ar-SA"/>
              </w:rPr>
            </w:pPr>
            <w:r>
              <w:rPr>
                <w:rFonts w:hint="eastAsia" w:ascii="仿宋" w:hAnsi="仿宋" w:eastAsia="仿宋" w:cs="仿宋"/>
                <w:b/>
                <w:bCs/>
                <w:sz w:val="15"/>
                <w:szCs w:val="15"/>
              </w:rPr>
              <w:t>（客观分）</w:t>
            </w:r>
          </w:p>
        </w:tc>
      </w:tr>
      <w:tr w14:paraId="2CE8F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7" w:hRule="atLeast"/>
        </w:trPr>
        <w:tc>
          <w:tcPr>
            <w:tcW w:w="857" w:type="dxa"/>
            <w:vMerge w:val="restart"/>
            <w:tcBorders>
              <w:top w:val="single" w:color="auto" w:sz="4" w:space="0"/>
              <w:bottom w:val="single" w:color="auto" w:sz="4" w:space="0"/>
              <w:right w:val="single" w:color="auto" w:sz="4" w:space="0"/>
            </w:tcBorders>
            <w:vAlign w:val="center"/>
          </w:tcPr>
          <w:p w14:paraId="31470541">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lang w:val="en-US" w:eastAsia="zh-CN"/>
              </w:rPr>
              <w:t>2</w:t>
            </w:r>
          </w:p>
        </w:tc>
        <w:tc>
          <w:tcPr>
            <w:tcW w:w="1281" w:type="dxa"/>
            <w:vMerge w:val="restart"/>
            <w:tcBorders>
              <w:top w:val="single" w:color="auto" w:sz="4" w:space="0"/>
              <w:left w:val="single" w:color="auto" w:sz="4" w:space="0"/>
              <w:bottom w:val="single" w:color="auto" w:sz="4" w:space="0"/>
              <w:right w:val="single" w:color="auto" w:sz="4" w:space="0"/>
            </w:tcBorders>
            <w:vAlign w:val="center"/>
          </w:tcPr>
          <w:p w14:paraId="7BF67995">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lang w:val="en-US" w:eastAsia="zh-CN"/>
              </w:rPr>
              <w:t>人员配备</w:t>
            </w:r>
          </w:p>
        </w:tc>
        <w:tc>
          <w:tcPr>
            <w:tcW w:w="6294" w:type="dxa"/>
            <w:gridSpan w:val="2"/>
            <w:tcBorders>
              <w:top w:val="single" w:color="auto" w:sz="4" w:space="0"/>
              <w:left w:val="single" w:color="auto" w:sz="4" w:space="0"/>
              <w:bottom w:val="single" w:color="auto" w:sz="4" w:space="0"/>
              <w:right w:val="single" w:color="auto" w:sz="4" w:space="0"/>
            </w:tcBorders>
            <w:vAlign w:val="center"/>
          </w:tcPr>
          <w:p w14:paraId="6AE27849">
            <w:pPr>
              <w:keepNext w:val="0"/>
              <w:keepLines w:val="0"/>
              <w:pageBreakBefore w:val="0"/>
              <w:widowControl w:val="0"/>
              <w:kinsoku/>
              <w:wordWrap w:val="0"/>
              <w:overflowPunct/>
              <w:topLinePunct w:val="0"/>
              <w:bidi w:val="0"/>
              <w:snapToGrid w:val="0"/>
              <w:spacing w:line="240" w:lineRule="exact"/>
              <w:jc w:val="left"/>
              <w:textAlignment w:val="auto"/>
              <w:rPr>
                <w:rFonts w:hint="eastAsia" w:ascii="仿宋" w:hAnsi="仿宋" w:eastAsia="仿宋"/>
                <w:bCs/>
                <w:iCs/>
                <w:lang w:val="en-US" w:eastAsia="zh-CN"/>
              </w:rPr>
            </w:pPr>
            <w:r>
              <w:rPr>
                <w:rFonts w:hint="eastAsia" w:ascii="仿宋" w:hAnsi="仿宋" w:eastAsia="仿宋"/>
                <w:bCs/>
                <w:iCs/>
                <w:lang w:val="en-US" w:eastAsia="zh-CN"/>
              </w:rPr>
              <w:t>1.拟派本项目的项目负责人具有正高级工程师（地质勘查、工程勘察或水工环地质）得4分；具有高级工程师（地质勘查、工程勘察或水工环地质）得2分，其余不得分。</w:t>
            </w:r>
          </w:p>
          <w:p w14:paraId="512AD3FC">
            <w:pPr>
              <w:keepNext w:val="0"/>
              <w:keepLines w:val="0"/>
              <w:pageBreakBefore w:val="0"/>
              <w:widowControl w:val="0"/>
              <w:kinsoku/>
              <w:wordWrap w:val="0"/>
              <w:overflowPunct/>
              <w:topLinePunct w:val="0"/>
              <w:bidi w:val="0"/>
              <w:snapToGrid w:val="0"/>
              <w:spacing w:line="240" w:lineRule="exact"/>
              <w:jc w:val="left"/>
              <w:textAlignment w:val="auto"/>
              <w:rPr>
                <w:rFonts w:hint="eastAsia" w:ascii="仿宋" w:hAnsi="仿宋" w:eastAsia="仿宋"/>
                <w:bCs/>
                <w:iCs/>
                <w:lang w:val="en-US" w:eastAsia="zh-CN"/>
              </w:rPr>
            </w:pPr>
            <w:r>
              <w:rPr>
                <w:rFonts w:hint="eastAsia" w:ascii="仿宋" w:hAnsi="仿宋" w:eastAsia="仿宋"/>
                <w:bCs/>
                <w:iCs/>
                <w:lang w:val="en-US" w:eastAsia="zh-CN"/>
              </w:rPr>
              <w:t>2.拟派本项目的项目负责人具有注册土木（岩土）工程师证书得2分。</w:t>
            </w:r>
          </w:p>
          <w:p w14:paraId="7AF6BB79">
            <w:pPr>
              <w:keepNext w:val="0"/>
              <w:keepLines w:val="0"/>
              <w:pageBreakBefore w:val="0"/>
              <w:widowControl/>
              <w:suppressLineNumbers w:val="0"/>
              <w:kinsoku/>
              <w:wordWrap/>
              <w:overflowPunct/>
              <w:topLinePunct w:val="0"/>
              <w:bidi w:val="0"/>
              <w:spacing w:line="240" w:lineRule="exact"/>
              <w:jc w:val="both"/>
              <w:textAlignment w:val="center"/>
              <w:rPr>
                <w:rFonts w:hint="eastAsia" w:ascii="仿宋" w:hAnsi="仿宋" w:eastAsia="仿宋" w:cs="仿宋"/>
                <w:b/>
                <w:bCs/>
              </w:rPr>
            </w:pPr>
            <w:r>
              <w:rPr>
                <w:rFonts w:hint="eastAsia" w:ascii="仿宋" w:hAnsi="仿宋" w:eastAsia="仿宋" w:cs="仿宋"/>
                <w:b/>
                <w:bCs/>
              </w:rPr>
              <w:t>注：</w:t>
            </w:r>
            <w:r>
              <w:rPr>
                <w:rFonts w:hint="eastAsia" w:ascii="仿宋" w:hAnsi="仿宋" w:eastAsia="仿宋" w:cs="仿宋"/>
                <w:b/>
                <w:bCs/>
                <w:lang w:val="en-US" w:eastAsia="zh-CN"/>
              </w:rPr>
              <w:t>1.</w:t>
            </w:r>
            <w:r>
              <w:rPr>
                <w:rFonts w:hint="eastAsia" w:ascii="仿宋" w:hAnsi="仿宋" w:eastAsia="仿宋" w:cs="仿宋"/>
                <w:b/>
                <w:bCs/>
              </w:rPr>
              <w:t>需提供相关证书原件扫描件及2025年</w:t>
            </w:r>
            <w:r>
              <w:rPr>
                <w:rFonts w:hint="eastAsia" w:ascii="仿宋" w:hAnsi="仿宋" w:eastAsia="仿宋" w:cs="仿宋"/>
                <w:b/>
                <w:bCs/>
                <w:lang w:val="en-US" w:eastAsia="zh-CN"/>
              </w:rPr>
              <w:t>05</w:t>
            </w:r>
            <w:r>
              <w:rPr>
                <w:rFonts w:hint="eastAsia" w:ascii="仿宋" w:hAnsi="仿宋" w:eastAsia="仿宋" w:cs="仿宋"/>
                <w:b/>
                <w:bCs/>
              </w:rPr>
              <w:t>月至投标截止时止期间任意一个月投标人为其缴纳的社保缴纳清单，未提供或提供的佐证材料不符合要求的不得分。</w:t>
            </w:r>
          </w:p>
          <w:p w14:paraId="6EDCBE9E">
            <w:pPr>
              <w:keepNext w:val="0"/>
              <w:keepLines w:val="0"/>
              <w:pageBreakBefore w:val="0"/>
              <w:widowControl/>
              <w:suppressLineNumbers w:val="0"/>
              <w:kinsoku/>
              <w:wordWrap/>
              <w:overflowPunct/>
              <w:topLinePunct w:val="0"/>
              <w:bidi w:val="0"/>
              <w:spacing w:line="240" w:lineRule="exact"/>
              <w:jc w:val="both"/>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b/>
                <w:bCs/>
                <w:lang w:val="en-US" w:eastAsia="zh-CN"/>
              </w:rPr>
              <w:t>2.联合体投标人任意一方提供即可。</w:t>
            </w:r>
          </w:p>
        </w:tc>
        <w:tc>
          <w:tcPr>
            <w:tcW w:w="936" w:type="dxa"/>
            <w:tcBorders>
              <w:top w:val="single" w:color="auto" w:sz="4" w:space="0"/>
              <w:bottom w:val="single" w:color="auto" w:sz="4" w:space="0"/>
              <w:right w:val="single" w:color="auto" w:sz="4" w:space="0"/>
            </w:tcBorders>
            <w:vAlign w:val="center"/>
          </w:tcPr>
          <w:p w14:paraId="13D6AB59">
            <w:pPr>
              <w:snapToGrid w:val="0"/>
              <w:spacing w:line="280" w:lineRule="exact"/>
              <w:jc w:val="center"/>
              <w:rPr>
                <w:rFonts w:hint="default" w:ascii="仿宋" w:hAnsi="仿宋" w:eastAsia="仿宋" w:cs="仿宋"/>
                <w:lang w:val="en-US" w:eastAsia="zh-CN"/>
              </w:rPr>
            </w:pPr>
            <w:r>
              <w:rPr>
                <w:rFonts w:hint="eastAsia" w:ascii="仿宋" w:hAnsi="仿宋" w:eastAsia="仿宋" w:cs="仿宋"/>
              </w:rPr>
              <w:t>0-</w:t>
            </w:r>
            <w:r>
              <w:rPr>
                <w:rFonts w:hint="eastAsia" w:ascii="仿宋" w:hAnsi="仿宋" w:eastAsia="仿宋" w:cs="仿宋"/>
                <w:lang w:val="en-US" w:eastAsia="zh-CN"/>
              </w:rPr>
              <w:t>6</w:t>
            </w:r>
          </w:p>
          <w:p w14:paraId="28E5248E">
            <w:pPr>
              <w:keepNext w:val="0"/>
              <w:keepLines w:val="0"/>
              <w:pageBreakBefore w:val="0"/>
              <w:kinsoku/>
              <w:wordWrap/>
              <w:overflowPunct/>
              <w:topLinePunct w:val="0"/>
              <w:bidi w:val="0"/>
              <w:spacing w:line="240" w:lineRule="exact"/>
              <w:jc w:val="center"/>
              <w:rPr>
                <w:rFonts w:hint="eastAsia"/>
                <w:b/>
                <w:bCs/>
                <w:color w:val="auto"/>
                <w:highlight w:val="none"/>
              </w:rPr>
            </w:pPr>
            <w:r>
              <w:rPr>
                <w:rFonts w:hint="eastAsia" w:ascii="仿宋" w:hAnsi="仿宋" w:eastAsia="仿宋" w:cs="仿宋"/>
                <w:b/>
                <w:bCs/>
                <w:sz w:val="15"/>
                <w:szCs w:val="15"/>
              </w:rPr>
              <w:t>（客观分）</w:t>
            </w:r>
          </w:p>
        </w:tc>
      </w:tr>
      <w:tr w14:paraId="22EF6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4"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3626A5C5">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bottom w:val="single" w:color="auto" w:sz="4" w:space="0"/>
              <w:right w:val="single" w:color="auto" w:sz="4" w:space="0"/>
            </w:tcBorders>
            <w:vAlign w:val="center"/>
          </w:tcPr>
          <w:p w14:paraId="2CDAC4B0">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rPr>
            </w:pPr>
          </w:p>
        </w:tc>
        <w:tc>
          <w:tcPr>
            <w:tcW w:w="6294" w:type="dxa"/>
            <w:gridSpan w:val="2"/>
            <w:tcBorders>
              <w:top w:val="single" w:color="auto" w:sz="4" w:space="0"/>
              <w:bottom w:val="single" w:color="auto" w:sz="4" w:space="0"/>
              <w:right w:val="single" w:color="auto" w:sz="4" w:space="0"/>
            </w:tcBorders>
            <w:vAlign w:val="center"/>
          </w:tcPr>
          <w:p w14:paraId="3AD9065C">
            <w:pPr>
              <w:keepNext w:val="0"/>
              <w:keepLines w:val="0"/>
              <w:pageBreakBefore w:val="0"/>
              <w:widowControl w:val="0"/>
              <w:kinsoku/>
              <w:wordWrap w:val="0"/>
              <w:overflowPunct/>
              <w:topLinePunct w:val="0"/>
              <w:bidi w:val="0"/>
              <w:snapToGrid w:val="0"/>
              <w:spacing w:line="240" w:lineRule="exact"/>
              <w:jc w:val="left"/>
              <w:textAlignment w:val="auto"/>
              <w:rPr>
                <w:rFonts w:hint="eastAsia" w:ascii="仿宋" w:hAnsi="仿宋" w:eastAsia="仿宋"/>
                <w:bCs/>
                <w:iCs/>
                <w:lang w:val="en-US" w:eastAsia="zh-CN"/>
              </w:rPr>
            </w:pPr>
            <w:r>
              <w:rPr>
                <w:rFonts w:hint="eastAsia" w:ascii="仿宋" w:hAnsi="仿宋" w:eastAsia="仿宋"/>
                <w:bCs/>
                <w:iCs/>
                <w:lang w:val="en-US" w:eastAsia="zh-CN"/>
              </w:rPr>
              <w:t>1.拟派本项目的项目技术负责人具有（地质勘查、工程勘察或水工环地质）高级及以上职称证书的得2分，其余不得分。</w:t>
            </w:r>
          </w:p>
          <w:p w14:paraId="57AFFABF">
            <w:pPr>
              <w:keepNext w:val="0"/>
              <w:keepLines w:val="0"/>
              <w:pageBreakBefore w:val="0"/>
              <w:widowControl w:val="0"/>
              <w:kinsoku/>
              <w:wordWrap w:val="0"/>
              <w:overflowPunct/>
              <w:topLinePunct w:val="0"/>
              <w:bidi w:val="0"/>
              <w:snapToGrid w:val="0"/>
              <w:spacing w:line="240" w:lineRule="exact"/>
              <w:jc w:val="left"/>
              <w:textAlignment w:val="auto"/>
              <w:rPr>
                <w:rFonts w:hint="eastAsia" w:ascii="仿宋" w:hAnsi="仿宋" w:eastAsia="仿宋"/>
                <w:bCs/>
                <w:iCs/>
                <w:lang w:val="en-US" w:eastAsia="zh-CN"/>
              </w:rPr>
            </w:pPr>
            <w:r>
              <w:rPr>
                <w:rFonts w:hint="eastAsia" w:ascii="仿宋" w:hAnsi="仿宋" w:eastAsia="仿宋"/>
                <w:bCs/>
                <w:iCs/>
                <w:lang w:val="en-US" w:eastAsia="zh-CN"/>
              </w:rPr>
              <w:t>2.拟派本项目的项目技术负责人自2022年1月1日以来获得过勘查（勘察）领域省级及以上荣誉奖项的得2分。</w:t>
            </w:r>
          </w:p>
          <w:p w14:paraId="603EA760">
            <w:pPr>
              <w:keepNext w:val="0"/>
              <w:keepLines w:val="0"/>
              <w:pageBreakBefore w:val="0"/>
              <w:widowControl/>
              <w:suppressLineNumbers w:val="0"/>
              <w:kinsoku/>
              <w:wordWrap/>
              <w:overflowPunct/>
              <w:topLinePunct w:val="0"/>
              <w:bidi w:val="0"/>
              <w:spacing w:line="240" w:lineRule="exact"/>
              <w:jc w:val="both"/>
              <w:textAlignment w:val="center"/>
              <w:rPr>
                <w:rFonts w:hint="eastAsia" w:ascii="仿宋" w:hAnsi="仿宋" w:eastAsia="仿宋" w:cs="仿宋"/>
                <w:b/>
                <w:bCs/>
              </w:rPr>
            </w:pPr>
            <w:r>
              <w:rPr>
                <w:rFonts w:hint="eastAsia" w:ascii="仿宋" w:hAnsi="仿宋" w:eastAsia="仿宋" w:cs="仿宋"/>
                <w:b/>
                <w:bCs/>
              </w:rPr>
              <w:t>注：</w:t>
            </w:r>
            <w:r>
              <w:rPr>
                <w:rFonts w:hint="eastAsia" w:ascii="仿宋" w:hAnsi="仿宋" w:eastAsia="仿宋" w:cs="仿宋"/>
                <w:b/>
                <w:bCs/>
                <w:lang w:val="en-US" w:eastAsia="zh-CN"/>
              </w:rPr>
              <w:t>1.</w:t>
            </w:r>
            <w:r>
              <w:rPr>
                <w:rFonts w:hint="eastAsia" w:ascii="仿宋" w:hAnsi="仿宋" w:eastAsia="仿宋" w:cs="仿宋"/>
                <w:b/>
                <w:bCs/>
              </w:rPr>
              <w:t>需提供相关证书原件扫描件及2025年</w:t>
            </w:r>
            <w:r>
              <w:rPr>
                <w:rFonts w:hint="eastAsia" w:ascii="仿宋" w:hAnsi="仿宋" w:eastAsia="仿宋" w:cs="仿宋"/>
                <w:b/>
                <w:bCs/>
                <w:lang w:val="en-US" w:eastAsia="zh-CN"/>
              </w:rPr>
              <w:t>05</w:t>
            </w:r>
            <w:r>
              <w:rPr>
                <w:rFonts w:hint="eastAsia" w:ascii="仿宋" w:hAnsi="仿宋" w:eastAsia="仿宋" w:cs="仿宋"/>
                <w:b/>
                <w:bCs/>
              </w:rPr>
              <w:t>月至投标截止时止期间任意一个月投标人为其缴纳的社保缴纳清单，未提供或提供的佐证材料不符合要求的不得分。</w:t>
            </w:r>
          </w:p>
          <w:p w14:paraId="41FC457F">
            <w:pPr>
              <w:keepNext w:val="0"/>
              <w:keepLines w:val="0"/>
              <w:pageBreakBefore w:val="0"/>
              <w:widowControl/>
              <w:suppressLineNumbers w:val="0"/>
              <w:kinsoku/>
              <w:wordWrap/>
              <w:overflowPunct/>
              <w:topLinePunct w:val="0"/>
              <w:bidi w:val="0"/>
              <w:spacing w:line="240" w:lineRule="exact"/>
              <w:jc w:val="both"/>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b/>
                <w:bCs/>
                <w:lang w:val="en-US" w:eastAsia="zh-CN"/>
              </w:rPr>
              <w:t>2.联合体投标人任意一方提供即可。</w:t>
            </w:r>
          </w:p>
        </w:tc>
        <w:tc>
          <w:tcPr>
            <w:tcW w:w="936" w:type="dxa"/>
            <w:tcBorders>
              <w:top w:val="single" w:color="auto" w:sz="4" w:space="0"/>
              <w:bottom w:val="single" w:color="auto" w:sz="4" w:space="0"/>
              <w:right w:val="single" w:color="auto" w:sz="4" w:space="0"/>
            </w:tcBorders>
            <w:vAlign w:val="center"/>
          </w:tcPr>
          <w:p w14:paraId="1C7DC02A">
            <w:pPr>
              <w:snapToGrid w:val="0"/>
              <w:spacing w:line="280" w:lineRule="exact"/>
              <w:jc w:val="center"/>
              <w:rPr>
                <w:rFonts w:hint="eastAsia" w:ascii="仿宋" w:hAnsi="仿宋" w:eastAsia="仿宋" w:cs="仿宋"/>
                <w:lang w:val="en-US" w:eastAsia="zh-CN"/>
              </w:rPr>
            </w:pPr>
            <w:r>
              <w:rPr>
                <w:rFonts w:hint="eastAsia" w:ascii="仿宋" w:hAnsi="仿宋" w:eastAsia="仿宋" w:cs="仿宋"/>
              </w:rPr>
              <w:t>0-</w:t>
            </w:r>
            <w:r>
              <w:rPr>
                <w:rFonts w:hint="eastAsia" w:ascii="仿宋" w:hAnsi="仿宋" w:eastAsia="仿宋" w:cs="仿宋"/>
                <w:lang w:val="en-US" w:eastAsia="zh-CN"/>
              </w:rPr>
              <w:t>4</w:t>
            </w:r>
          </w:p>
          <w:p w14:paraId="3A4294A9">
            <w:pPr>
              <w:keepNext w:val="0"/>
              <w:keepLines w:val="0"/>
              <w:pageBreakBefore w:val="0"/>
              <w:kinsoku/>
              <w:wordWrap/>
              <w:overflowPunct/>
              <w:topLinePunct w:val="0"/>
              <w:bidi w:val="0"/>
              <w:spacing w:line="24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
                <w:bCs/>
                <w:sz w:val="15"/>
                <w:szCs w:val="15"/>
              </w:rPr>
              <w:t>（客观分）</w:t>
            </w:r>
          </w:p>
        </w:tc>
      </w:tr>
      <w:tr w14:paraId="35022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22A88643">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bottom w:val="single" w:color="auto" w:sz="4" w:space="0"/>
              <w:right w:val="single" w:color="auto" w:sz="4" w:space="0"/>
            </w:tcBorders>
            <w:vAlign w:val="center"/>
          </w:tcPr>
          <w:p w14:paraId="1353D41E">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rPr>
            </w:pPr>
          </w:p>
        </w:tc>
        <w:tc>
          <w:tcPr>
            <w:tcW w:w="6294" w:type="dxa"/>
            <w:gridSpan w:val="2"/>
            <w:tcBorders>
              <w:top w:val="single" w:color="auto" w:sz="4" w:space="0"/>
              <w:bottom w:val="single" w:color="auto" w:sz="4" w:space="0"/>
              <w:right w:val="single" w:color="auto" w:sz="4" w:space="0"/>
            </w:tcBorders>
            <w:vAlign w:val="center"/>
          </w:tcPr>
          <w:p w14:paraId="2630B768">
            <w:pPr>
              <w:keepNext w:val="0"/>
              <w:keepLines w:val="0"/>
              <w:pageBreakBefore w:val="0"/>
              <w:widowControl w:val="0"/>
              <w:kinsoku/>
              <w:wordWrap w:val="0"/>
              <w:overflowPunct/>
              <w:topLinePunct w:val="0"/>
              <w:bidi w:val="0"/>
              <w:snapToGrid w:val="0"/>
              <w:spacing w:line="240" w:lineRule="exact"/>
              <w:jc w:val="left"/>
              <w:textAlignment w:val="auto"/>
              <w:rPr>
                <w:rFonts w:hint="eastAsia" w:ascii="仿宋" w:hAnsi="仿宋" w:eastAsia="仿宋"/>
                <w:bCs/>
                <w:iCs/>
                <w:lang w:val="en-US" w:eastAsia="zh-CN"/>
              </w:rPr>
            </w:pPr>
            <w:r>
              <w:rPr>
                <w:rFonts w:hint="eastAsia" w:ascii="仿宋" w:hAnsi="仿宋" w:eastAsia="仿宋"/>
                <w:bCs/>
                <w:iCs/>
                <w:lang w:val="en-US" w:eastAsia="zh-CN"/>
              </w:rPr>
              <w:t>1.拟派本项目组成员（除项目负责人和技术负责外）具有（地质、水工环地质、物化探、测绘与地理信息、岩土工程、工程测量）中级职称的每个专业得0.5分，高级职称的每个专业得1分，本项最高得5分。以上证书一人多证不重复得分，多人同一个证书不累计得分。</w:t>
            </w:r>
          </w:p>
          <w:p w14:paraId="1B665DB1">
            <w:pPr>
              <w:keepNext w:val="0"/>
              <w:keepLines w:val="0"/>
              <w:pageBreakBefore w:val="0"/>
              <w:widowControl w:val="0"/>
              <w:kinsoku/>
              <w:wordWrap w:val="0"/>
              <w:overflowPunct/>
              <w:topLinePunct w:val="0"/>
              <w:bidi w:val="0"/>
              <w:snapToGrid w:val="0"/>
              <w:spacing w:line="240" w:lineRule="exact"/>
              <w:jc w:val="left"/>
              <w:textAlignment w:val="auto"/>
              <w:rPr>
                <w:rFonts w:hint="eastAsia" w:ascii="仿宋" w:hAnsi="仿宋" w:eastAsia="仿宋"/>
                <w:bCs/>
                <w:iCs/>
                <w:lang w:val="en-US" w:eastAsia="zh-CN"/>
              </w:rPr>
            </w:pPr>
            <w:r>
              <w:rPr>
                <w:rFonts w:hint="eastAsia" w:ascii="仿宋" w:hAnsi="仿宋" w:eastAsia="仿宋"/>
                <w:bCs/>
                <w:iCs/>
                <w:lang w:val="en-US" w:eastAsia="zh-CN"/>
              </w:rPr>
              <w:t>2.拟派项目组成员（不含项目负责人）具有固体矿产资源勘查与实物量估算矿业权评估师职业资格的每个得1分，本项最高得3分。</w:t>
            </w:r>
          </w:p>
          <w:p w14:paraId="3CCCF4B4">
            <w:pPr>
              <w:keepNext w:val="0"/>
              <w:keepLines w:val="0"/>
              <w:pageBreakBefore w:val="0"/>
              <w:widowControl/>
              <w:suppressLineNumbers w:val="0"/>
              <w:kinsoku/>
              <w:wordWrap/>
              <w:overflowPunct/>
              <w:topLinePunct w:val="0"/>
              <w:bidi w:val="0"/>
              <w:spacing w:line="240" w:lineRule="exact"/>
              <w:jc w:val="both"/>
              <w:textAlignment w:val="center"/>
              <w:rPr>
                <w:rFonts w:hint="eastAsia" w:ascii="仿宋" w:hAnsi="仿宋" w:eastAsia="仿宋" w:cs="仿宋"/>
                <w:b/>
                <w:bCs/>
              </w:rPr>
            </w:pPr>
            <w:r>
              <w:rPr>
                <w:rFonts w:hint="eastAsia" w:ascii="仿宋" w:hAnsi="仿宋" w:eastAsia="仿宋" w:cs="仿宋"/>
                <w:b/>
                <w:bCs/>
              </w:rPr>
              <w:t>注：</w:t>
            </w:r>
            <w:r>
              <w:rPr>
                <w:rFonts w:hint="eastAsia" w:ascii="仿宋" w:hAnsi="仿宋" w:eastAsia="仿宋" w:cs="仿宋"/>
                <w:b/>
                <w:bCs/>
                <w:lang w:val="en-US" w:eastAsia="zh-CN"/>
              </w:rPr>
              <w:t>1.</w:t>
            </w:r>
            <w:r>
              <w:rPr>
                <w:rFonts w:hint="eastAsia" w:ascii="仿宋" w:hAnsi="仿宋" w:eastAsia="仿宋" w:cs="仿宋"/>
                <w:b/>
                <w:bCs/>
              </w:rPr>
              <w:t>需提供相关证书原件扫描件及2025年05月至投标截止时止期间任意一个月投标人为其缴纳的社保缴纳清单，未提供或提供的佐证材料不符合要求的不得分。</w:t>
            </w:r>
          </w:p>
          <w:p w14:paraId="72A6FF6F">
            <w:pPr>
              <w:keepNext w:val="0"/>
              <w:keepLines w:val="0"/>
              <w:pageBreakBefore w:val="0"/>
              <w:widowControl/>
              <w:suppressLineNumbers w:val="0"/>
              <w:kinsoku/>
              <w:wordWrap/>
              <w:overflowPunct/>
              <w:topLinePunct w:val="0"/>
              <w:bidi w:val="0"/>
              <w:spacing w:line="240" w:lineRule="exact"/>
              <w:jc w:val="both"/>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b/>
                <w:bCs/>
                <w:lang w:val="en-US" w:eastAsia="zh-CN"/>
              </w:rPr>
              <w:t>2.联合体投标人任意一方提供即可。</w:t>
            </w:r>
          </w:p>
        </w:tc>
        <w:tc>
          <w:tcPr>
            <w:tcW w:w="936" w:type="dxa"/>
            <w:tcBorders>
              <w:top w:val="single" w:color="auto" w:sz="4" w:space="0"/>
              <w:bottom w:val="single" w:color="auto" w:sz="4" w:space="0"/>
              <w:right w:val="single" w:color="auto" w:sz="4" w:space="0"/>
            </w:tcBorders>
            <w:vAlign w:val="center"/>
          </w:tcPr>
          <w:p w14:paraId="6E5C799B">
            <w:pPr>
              <w:snapToGrid w:val="0"/>
              <w:spacing w:line="280" w:lineRule="exact"/>
              <w:jc w:val="center"/>
              <w:rPr>
                <w:rFonts w:hint="default" w:ascii="仿宋" w:hAnsi="仿宋" w:eastAsia="仿宋" w:cs="仿宋"/>
                <w:lang w:val="en-US" w:eastAsia="zh-CN"/>
              </w:rPr>
            </w:pPr>
            <w:r>
              <w:rPr>
                <w:rFonts w:hint="eastAsia" w:ascii="仿宋" w:hAnsi="仿宋" w:eastAsia="仿宋" w:cs="仿宋"/>
              </w:rPr>
              <w:t>0-</w:t>
            </w:r>
            <w:r>
              <w:rPr>
                <w:rFonts w:hint="eastAsia" w:ascii="仿宋" w:hAnsi="仿宋" w:eastAsia="仿宋" w:cs="仿宋"/>
                <w:lang w:val="en-US" w:eastAsia="zh-CN"/>
              </w:rPr>
              <w:t>8</w:t>
            </w:r>
          </w:p>
          <w:p w14:paraId="20F928DB">
            <w:pPr>
              <w:keepNext w:val="0"/>
              <w:keepLines w:val="0"/>
              <w:pageBreakBefore w:val="0"/>
              <w:kinsoku/>
              <w:wordWrap/>
              <w:overflowPunct/>
              <w:topLinePunct w:val="0"/>
              <w:bidi w:val="0"/>
              <w:spacing w:line="2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b/>
                <w:bCs/>
                <w:sz w:val="15"/>
                <w:szCs w:val="15"/>
              </w:rPr>
              <w:t>（客观分）</w:t>
            </w:r>
          </w:p>
        </w:tc>
      </w:tr>
      <w:tr w14:paraId="0DDFA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857" w:type="dxa"/>
            <w:tcBorders>
              <w:top w:val="single" w:color="auto" w:sz="4" w:space="0"/>
              <w:bottom w:val="single" w:color="auto" w:sz="4" w:space="0"/>
              <w:right w:val="single" w:color="auto" w:sz="4" w:space="0"/>
            </w:tcBorders>
            <w:shd w:val="clear" w:color="auto" w:fill="auto"/>
            <w:vAlign w:val="center"/>
          </w:tcPr>
          <w:p w14:paraId="519FDE51">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lang w:val="en-US" w:eastAsia="zh-CN"/>
              </w:rPr>
              <w:t>3</w:t>
            </w:r>
          </w:p>
        </w:tc>
        <w:tc>
          <w:tcPr>
            <w:tcW w:w="1281" w:type="dxa"/>
            <w:tcBorders>
              <w:top w:val="single" w:color="auto" w:sz="4" w:space="0"/>
              <w:bottom w:val="single" w:color="auto" w:sz="4" w:space="0"/>
              <w:right w:val="single" w:color="auto" w:sz="4" w:space="0"/>
            </w:tcBorders>
            <w:vAlign w:val="center"/>
          </w:tcPr>
          <w:p w14:paraId="1AFD8FE5">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lang w:val="en-US" w:eastAsia="zh-CN"/>
              </w:rPr>
              <w:t xml:space="preserve"> 项目</w:t>
            </w:r>
            <w:r>
              <w:rPr>
                <w:rFonts w:hint="eastAsia" w:ascii="仿宋" w:hAnsi="仿宋" w:eastAsia="仿宋" w:cs="仿宋"/>
              </w:rPr>
              <w:t>业绩</w:t>
            </w:r>
          </w:p>
        </w:tc>
        <w:tc>
          <w:tcPr>
            <w:tcW w:w="6294" w:type="dxa"/>
            <w:gridSpan w:val="2"/>
            <w:tcBorders>
              <w:top w:val="single" w:color="auto" w:sz="4" w:space="0"/>
              <w:bottom w:val="single" w:color="auto" w:sz="4" w:space="0"/>
              <w:right w:val="single" w:color="auto" w:sz="4" w:space="0"/>
            </w:tcBorders>
            <w:vAlign w:val="center"/>
          </w:tcPr>
          <w:p w14:paraId="75723F09">
            <w:pPr>
              <w:keepNext w:val="0"/>
              <w:keepLines w:val="0"/>
              <w:pageBreakBefore w:val="0"/>
              <w:widowControl w:val="0"/>
              <w:kinsoku/>
              <w:overflowPunct/>
              <w:topLinePunct w:val="0"/>
              <w:bidi w:val="0"/>
              <w:spacing w:line="240" w:lineRule="exact"/>
              <w:textAlignment w:val="auto"/>
              <w:rPr>
                <w:rFonts w:hint="eastAsia" w:ascii="仿宋" w:hAnsi="仿宋" w:eastAsia="仿宋" w:cs="仿宋"/>
              </w:rPr>
            </w:pPr>
            <w:r>
              <w:rPr>
                <w:rFonts w:hint="eastAsia" w:ascii="仿宋" w:hAnsi="仿宋" w:eastAsia="仿宋" w:cs="仿宋"/>
              </w:rPr>
              <w:t>投标人自202</w:t>
            </w:r>
            <w:r>
              <w:rPr>
                <w:rFonts w:hint="eastAsia" w:ascii="仿宋" w:hAnsi="仿宋" w:eastAsia="仿宋" w:cs="仿宋"/>
                <w:lang w:val="en-US" w:eastAsia="zh-CN"/>
              </w:rPr>
              <w:t>2</w:t>
            </w:r>
            <w:r>
              <w:rPr>
                <w:rFonts w:hint="eastAsia" w:ascii="仿宋" w:hAnsi="仿宋" w:eastAsia="仿宋" w:cs="仿宋"/>
              </w:rPr>
              <w:t>年1月1日以来（以合同签订时间为准）承担过类似项目业绩的，每提供一个业绩合同得</w:t>
            </w:r>
            <w:r>
              <w:rPr>
                <w:rFonts w:hint="eastAsia" w:ascii="仿宋" w:hAnsi="仿宋" w:eastAsia="仿宋" w:cs="仿宋"/>
                <w:lang w:val="en-US" w:eastAsia="zh-CN"/>
              </w:rPr>
              <w:t>0.5</w:t>
            </w:r>
            <w:r>
              <w:rPr>
                <w:rFonts w:hint="eastAsia" w:ascii="仿宋" w:hAnsi="仿宋" w:eastAsia="仿宋" w:cs="仿宋"/>
              </w:rPr>
              <w:t>分，最高得</w:t>
            </w:r>
            <w:r>
              <w:rPr>
                <w:rFonts w:hint="eastAsia" w:ascii="仿宋" w:hAnsi="仿宋" w:eastAsia="仿宋" w:cs="仿宋"/>
                <w:lang w:val="en-US" w:eastAsia="zh-CN"/>
              </w:rPr>
              <w:t>1</w:t>
            </w:r>
            <w:r>
              <w:rPr>
                <w:rFonts w:hint="eastAsia" w:ascii="仿宋" w:hAnsi="仿宋" w:eastAsia="仿宋" w:cs="仿宋"/>
              </w:rPr>
              <w:t>分。</w:t>
            </w:r>
          </w:p>
          <w:p w14:paraId="1A70AA5B">
            <w:pPr>
              <w:keepNext w:val="0"/>
              <w:keepLines w:val="0"/>
              <w:pageBreakBefore w:val="0"/>
              <w:widowControl/>
              <w:suppressLineNumbers w:val="0"/>
              <w:kinsoku/>
              <w:wordWrap/>
              <w:overflowPunct/>
              <w:topLinePunct w:val="0"/>
              <w:bidi w:val="0"/>
              <w:spacing w:line="240" w:lineRule="exact"/>
              <w:jc w:val="both"/>
              <w:textAlignment w:val="center"/>
              <w:rPr>
                <w:rFonts w:hint="eastAsia" w:ascii="仿宋" w:hAnsi="仿宋" w:eastAsia="仿宋" w:cs="仿宋"/>
                <w:b/>
                <w:bCs/>
              </w:rPr>
            </w:pPr>
            <w:r>
              <w:rPr>
                <w:rFonts w:hint="eastAsia" w:ascii="仿宋" w:hAnsi="仿宋" w:eastAsia="仿宋" w:cs="仿宋"/>
                <w:b/>
                <w:bCs/>
                <w:lang w:eastAsia="zh-CN"/>
              </w:rPr>
              <w:t>注：</w:t>
            </w:r>
            <w:r>
              <w:rPr>
                <w:rFonts w:hint="eastAsia" w:ascii="仿宋" w:hAnsi="仿宋" w:eastAsia="仿宋" w:cs="仿宋"/>
                <w:b/>
                <w:bCs/>
                <w:lang w:val="en-US" w:eastAsia="zh-CN"/>
              </w:rPr>
              <w:t>1.</w:t>
            </w:r>
            <w:r>
              <w:rPr>
                <w:rFonts w:hint="eastAsia" w:ascii="仿宋" w:hAnsi="仿宋" w:eastAsia="仿宋" w:cs="仿宋"/>
                <w:b/>
                <w:bCs/>
              </w:rPr>
              <w:t>需提供相关合同扫描件。未提供合同扫描件或提供的合同扫描件字迹模糊无法辨识的、或提供的业绩无效的，该项业绩均不予计分。</w:t>
            </w:r>
          </w:p>
          <w:p w14:paraId="2C7DD271">
            <w:pPr>
              <w:keepNext w:val="0"/>
              <w:keepLines w:val="0"/>
              <w:pageBreakBefore w:val="0"/>
              <w:widowControl/>
              <w:suppressLineNumbers w:val="0"/>
              <w:kinsoku/>
              <w:wordWrap/>
              <w:overflowPunct/>
              <w:topLinePunct w:val="0"/>
              <w:bidi w:val="0"/>
              <w:spacing w:line="240" w:lineRule="exact"/>
              <w:jc w:val="both"/>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b/>
                <w:bCs/>
                <w:lang w:val="en-US" w:eastAsia="zh-CN"/>
              </w:rPr>
              <w:t>2.联合体投标人任意一方提供即可。</w:t>
            </w:r>
          </w:p>
        </w:tc>
        <w:tc>
          <w:tcPr>
            <w:tcW w:w="936" w:type="dxa"/>
            <w:tcBorders>
              <w:top w:val="single" w:color="auto" w:sz="4" w:space="0"/>
              <w:bottom w:val="single" w:color="auto" w:sz="4" w:space="0"/>
              <w:right w:val="single" w:color="auto" w:sz="4" w:space="0"/>
            </w:tcBorders>
            <w:vAlign w:val="center"/>
          </w:tcPr>
          <w:p w14:paraId="346268B2">
            <w:pPr>
              <w:snapToGrid w:val="0"/>
              <w:spacing w:line="280" w:lineRule="exact"/>
              <w:jc w:val="center"/>
              <w:rPr>
                <w:rFonts w:hint="default" w:ascii="仿宋" w:hAnsi="仿宋" w:eastAsia="仿宋" w:cs="仿宋"/>
                <w:lang w:val="en-US" w:eastAsia="zh-CN"/>
              </w:rPr>
            </w:pPr>
            <w:r>
              <w:rPr>
                <w:rFonts w:hint="eastAsia" w:ascii="仿宋" w:hAnsi="仿宋" w:eastAsia="仿宋" w:cs="仿宋"/>
              </w:rPr>
              <w:t>0-</w:t>
            </w:r>
            <w:r>
              <w:rPr>
                <w:rFonts w:hint="eastAsia" w:ascii="仿宋" w:hAnsi="仿宋" w:eastAsia="仿宋" w:cs="仿宋"/>
                <w:lang w:val="en-US" w:eastAsia="zh-CN"/>
              </w:rPr>
              <w:t>1</w:t>
            </w:r>
          </w:p>
          <w:p w14:paraId="2BC7C831">
            <w:pPr>
              <w:keepNext w:val="0"/>
              <w:keepLines w:val="0"/>
              <w:pageBreakBefore w:val="0"/>
              <w:kinsoku/>
              <w:wordWrap/>
              <w:overflowPunct/>
              <w:topLinePunct w:val="0"/>
              <w:bidi w:val="0"/>
              <w:spacing w:line="2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b/>
                <w:bCs/>
                <w:sz w:val="15"/>
                <w:szCs w:val="15"/>
              </w:rPr>
              <w:t>（客观分）</w:t>
            </w:r>
          </w:p>
        </w:tc>
      </w:tr>
      <w:tr w14:paraId="21168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857" w:type="dxa"/>
            <w:tcBorders>
              <w:top w:val="single" w:color="auto" w:sz="4" w:space="0"/>
              <w:bottom w:val="single" w:color="auto" w:sz="4" w:space="0"/>
              <w:right w:val="single" w:color="auto" w:sz="4" w:space="0"/>
            </w:tcBorders>
            <w:shd w:val="clear" w:color="auto" w:fill="auto"/>
            <w:vAlign w:val="center"/>
          </w:tcPr>
          <w:p w14:paraId="17B31425">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lang w:val="en-US" w:eastAsia="zh-CN"/>
              </w:rPr>
              <w:t>4</w:t>
            </w:r>
          </w:p>
        </w:tc>
        <w:tc>
          <w:tcPr>
            <w:tcW w:w="1281" w:type="dxa"/>
            <w:tcBorders>
              <w:top w:val="single" w:color="auto" w:sz="4" w:space="0"/>
              <w:bottom w:val="single" w:color="auto" w:sz="4" w:space="0"/>
              <w:right w:val="single" w:color="auto" w:sz="4" w:space="0"/>
            </w:tcBorders>
            <w:vAlign w:val="center"/>
          </w:tcPr>
          <w:p w14:paraId="72E2F2B7">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lang w:val="en-US" w:eastAsia="zh-CN"/>
              </w:rPr>
              <w:t>拟投入设备配置情况</w:t>
            </w:r>
          </w:p>
        </w:tc>
        <w:tc>
          <w:tcPr>
            <w:tcW w:w="6294" w:type="dxa"/>
            <w:gridSpan w:val="2"/>
            <w:tcBorders>
              <w:top w:val="single" w:color="auto" w:sz="4" w:space="0"/>
              <w:bottom w:val="single" w:color="auto" w:sz="4" w:space="0"/>
              <w:right w:val="single" w:color="auto" w:sz="4" w:space="0"/>
            </w:tcBorders>
            <w:vAlign w:val="center"/>
          </w:tcPr>
          <w:p w14:paraId="4AA8E181">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bCs/>
                <w:iCs/>
                <w:lang w:val="en-US" w:eastAsia="zh-CN"/>
              </w:rPr>
              <w:t>拟投入本项目使用的勘查仪器、设备：根据投标人为本项目实施投入的仪器设备的数量、性能及品牌档次情况进行打分。</w:t>
            </w:r>
          </w:p>
        </w:tc>
        <w:tc>
          <w:tcPr>
            <w:tcW w:w="936" w:type="dxa"/>
            <w:tcBorders>
              <w:top w:val="single" w:color="auto" w:sz="4" w:space="0"/>
              <w:bottom w:val="single" w:color="auto" w:sz="4" w:space="0"/>
              <w:right w:val="single" w:color="auto" w:sz="4" w:space="0"/>
            </w:tcBorders>
            <w:vAlign w:val="center"/>
          </w:tcPr>
          <w:p w14:paraId="3E54FF20">
            <w:pPr>
              <w:snapToGrid w:val="0"/>
              <w:spacing w:line="2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lang w:val="en-US" w:eastAsia="zh-CN"/>
              </w:rPr>
              <w:t>0-6</w:t>
            </w:r>
          </w:p>
        </w:tc>
      </w:tr>
      <w:tr w14:paraId="753EB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857" w:type="dxa"/>
            <w:vMerge w:val="restart"/>
            <w:tcBorders>
              <w:top w:val="single" w:color="auto" w:sz="4" w:space="0"/>
              <w:bottom w:val="single" w:color="auto" w:sz="4" w:space="0"/>
              <w:right w:val="single" w:color="auto" w:sz="4" w:space="0"/>
            </w:tcBorders>
            <w:shd w:val="clear" w:color="auto" w:fill="auto"/>
            <w:vAlign w:val="center"/>
          </w:tcPr>
          <w:p w14:paraId="5DF77B7D">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000000"/>
                <w:kern w:val="0"/>
                <w:sz w:val="21"/>
                <w:szCs w:val="21"/>
                <w:lang w:val="en-US" w:eastAsia="zh-CN"/>
              </w:rPr>
              <w:t>5</w:t>
            </w:r>
          </w:p>
        </w:tc>
        <w:tc>
          <w:tcPr>
            <w:tcW w:w="1281" w:type="dxa"/>
            <w:vMerge w:val="restart"/>
            <w:tcBorders>
              <w:top w:val="single" w:color="auto" w:sz="4" w:space="0"/>
              <w:left w:val="single" w:color="auto" w:sz="4" w:space="0"/>
              <w:bottom w:val="single" w:color="auto" w:sz="4" w:space="0"/>
              <w:right w:val="single" w:color="auto" w:sz="4" w:space="0"/>
            </w:tcBorders>
            <w:vAlign w:val="center"/>
          </w:tcPr>
          <w:p w14:paraId="72218279">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lang w:val="en-US" w:eastAsia="zh-CN"/>
              </w:rPr>
              <w:t>技术服务内容和措施</w:t>
            </w:r>
          </w:p>
        </w:tc>
        <w:tc>
          <w:tcPr>
            <w:tcW w:w="6294" w:type="dxa"/>
            <w:gridSpan w:val="2"/>
            <w:tcBorders>
              <w:top w:val="single" w:color="auto" w:sz="4" w:space="0"/>
              <w:bottom w:val="single" w:color="auto" w:sz="4" w:space="0"/>
              <w:right w:val="single" w:color="auto" w:sz="4" w:space="0"/>
            </w:tcBorders>
            <w:vAlign w:val="center"/>
          </w:tcPr>
          <w:p w14:paraId="5201919A">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bCs/>
                <w:iCs/>
                <w:lang w:val="en-US" w:eastAsia="zh-CN"/>
              </w:rPr>
              <w:t>根据投标人对本项目的理解、</w:t>
            </w:r>
            <w:r>
              <w:rPr>
                <w:rFonts w:hint="default" w:ascii="Times New Roman" w:hAnsi="Times New Roman" w:eastAsia="仿宋" w:cs="Times New Roman"/>
                <w:color w:val="000000"/>
                <w:kern w:val="0"/>
                <w:szCs w:val="21"/>
              </w:rPr>
              <w:t>相关标准及规范、</w:t>
            </w:r>
            <w:r>
              <w:rPr>
                <w:rFonts w:hint="eastAsia" w:ascii="仿宋" w:hAnsi="仿宋" w:eastAsia="仿宋"/>
                <w:bCs/>
                <w:iCs/>
                <w:lang w:val="en-US" w:eastAsia="zh-CN"/>
              </w:rPr>
              <w:t>项目所在地基础资料的熟悉程度等情况打分。</w:t>
            </w:r>
          </w:p>
        </w:tc>
        <w:tc>
          <w:tcPr>
            <w:tcW w:w="936" w:type="dxa"/>
            <w:tcBorders>
              <w:top w:val="single" w:color="auto" w:sz="4" w:space="0"/>
              <w:bottom w:val="single" w:color="auto" w:sz="4" w:space="0"/>
              <w:right w:val="single" w:color="auto" w:sz="4" w:space="0"/>
            </w:tcBorders>
            <w:vAlign w:val="center"/>
          </w:tcPr>
          <w:p w14:paraId="31B450BC">
            <w:pPr>
              <w:snapToGrid w:val="0"/>
              <w:spacing w:line="2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lang w:val="en-US" w:eastAsia="zh-CN"/>
              </w:rPr>
              <w:t>0-6</w:t>
            </w:r>
          </w:p>
        </w:tc>
      </w:tr>
      <w:tr w14:paraId="2FB0E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76B26987">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6825F355">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p>
        </w:tc>
        <w:tc>
          <w:tcPr>
            <w:tcW w:w="6294" w:type="dxa"/>
            <w:gridSpan w:val="2"/>
            <w:tcBorders>
              <w:top w:val="single" w:color="auto" w:sz="4" w:space="0"/>
              <w:bottom w:val="single" w:color="auto" w:sz="4" w:space="0"/>
              <w:right w:val="single" w:color="auto" w:sz="4" w:space="0"/>
            </w:tcBorders>
            <w:vAlign w:val="center"/>
          </w:tcPr>
          <w:p w14:paraId="3C740BE2">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bCs/>
                <w:iCs/>
                <w:lang w:val="en-US" w:eastAsia="zh-CN"/>
              </w:rPr>
              <w:t>投标人针对本项目矿产资源地质勘查的技术思路和工作方法手段：技术思路是否清晰、科学，工作方法手段是否规范、科学。</w:t>
            </w:r>
          </w:p>
        </w:tc>
        <w:tc>
          <w:tcPr>
            <w:tcW w:w="936" w:type="dxa"/>
            <w:tcBorders>
              <w:top w:val="single" w:color="auto" w:sz="4" w:space="0"/>
              <w:bottom w:val="single" w:color="auto" w:sz="4" w:space="0"/>
              <w:right w:val="single" w:color="auto" w:sz="4" w:space="0"/>
            </w:tcBorders>
            <w:vAlign w:val="center"/>
          </w:tcPr>
          <w:p w14:paraId="535F0E18">
            <w:pPr>
              <w:snapToGrid w:val="0"/>
              <w:spacing w:line="2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lang w:val="en-US" w:eastAsia="zh-CN"/>
              </w:rPr>
              <w:t>0-6</w:t>
            </w:r>
          </w:p>
        </w:tc>
      </w:tr>
      <w:tr w14:paraId="44DD4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485BA9DF">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66D5406B">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p>
        </w:tc>
        <w:tc>
          <w:tcPr>
            <w:tcW w:w="6294" w:type="dxa"/>
            <w:gridSpan w:val="2"/>
            <w:tcBorders>
              <w:top w:val="single" w:color="auto" w:sz="4" w:space="0"/>
              <w:right w:val="single" w:color="auto" w:sz="4" w:space="0"/>
            </w:tcBorders>
            <w:vAlign w:val="center"/>
          </w:tcPr>
          <w:p w14:paraId="1929E6A1">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bCs/>
                <w:iCs/>
                <w:lang w:val="en-US" w:eastAsia="zh-CN"/>
              </w:rPr>
              <w:t>投标人对本项目的重点、难点进行分析，并提出相应的对策措施。</w:t>
            </w:r>
          </w:p>
        </w:tc>
        <w:tc>
          <w:tcPr>
            <w:tcW w:w="936" w:type="dxa"/>
            <w:tcBorders>
              <w:top w:val="single" w:color="auto" w:sz="4" w:space="0"/>
              <w:bottom w:val="single" w:color="auto" w:sz="4" w:space="0"/>
              <w:right w:val="single" w:color="auto" w:sz="4" w:space="0"/>
            </w:tcBorders>
            <w:vAlign w:val="center"/>
          </w:tcPr>
          <w:p w14:paraId="0D589625">
            <w:pPr>
              <w:snapToGrid w:val="0"/>
              <w:spacing w:line="2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lang w:val="en-US" w:eastAsia="zh-CN"/>
              </w:rPr>
              <w:t>0-6</w:t>
            </w:r>
          </w:p>
        </w:tc>
      </w:tr>
      <w:tr w14:paraId="0D956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68C80459">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126666CF">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p>
        </w:tc>
        <w:tc>
          <w:tcPr>
            <w:tcW w:w="6294" w:type="dxa"/>
            <w:gridSpan w:val="2"/>
            <w:tcBorders>
              <w:top w:val="single" w:color="auto" w:sz="4" w:space="0"/>
              <w:right w:val="single" w:color="auto" w:sz="4" w:space="0"/>
            </w:tcBorders>
            <w:vAlign w:val="center"/>
          </w:tcPr>
          <w:p w14:paraId="08AF3976">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eastAsia" w:ascii="仿宋" w:hAnsi="仿宋" w:eastAsia="仿宋" w:cs="仿宋"/>
                <w:szCs w:val="21"/>
                <w:highlight w:val="none"/>
                <w:lang w:eastAsia="zh-CN"/>
              </w:rPr>
            </w:pPr>
            <w:r>
              <w:rPr>
                <w:rFonts w:hint="eastAsia" w:ascii="仿宋" w:hAnsi="仿宋" w:eastAsia="仿宋"/>
                <w:bCs/>
                <w:iCs/>
                <w:lang w:val="en-US" w:eastAsia="zh-CN"/>
              </w:rPr>
              <w:t>根据投标人对项目工作部署、进度安排和相关进度保障措施的合理性、计划的可操作性进行打分。</w:t>
            </w:r>
          </w:p>
        </w:tc>
        <w:tc>
          <w:tcPr>
            <w:tcW w:w="936" w:type="dxa"/>
            <w:tcBorders>
              <w:top w:val="single" w:color="auto" w:sz="4" w:space="0"/>
              <w:bottom w:val="single" w:color="auto" w:sz="4" w:space="0"/>
              <w:right w:val="single" w:color="auto" w:sz="4" w:space="0"/>
            </w:tcBorders>
            <w:vAlign w:val="center"/>
          </w:tcPr>
          <w:p w14:paraId="0E20E001">
            <w:pPr>
              <w:snapToGrid w:val="0"/>
              <w:spacing w:line="280" w:lineRule="exact"/>
              <w:jc w:val="center"/>
              <w:rPr>
                <w:rFonts w:hint="default" w:ascii="仿宋" w:hAnsi="仿宋" w:eastAsia="仿宋" w:cs="仿宋"/>
                <w:szCs w:val="21"/>
                <w:highlight w:val="none"/>
                <w:lang w:val="en-US" w:eastAsia="zh-CN"/>
              </w:rPr>
            </w:pPr>
            <w:r>
              <w:rPr>
                <w:rFonts w:hint="eastAsia" w:ascii="仿宋" w:hAnsi="仿宋" w:eastAsia="仿宋" w:cs="仿宋"/>
                <w:lang w:val="en-US" w:eastAsia="zh-CN"/>
              </w:rPr>
              <w:t>0-6</w:t>
            </w:r>
          </w:p>
        </w:tc>
      </w:tr>
      <w:tr w14:paraId="4ADC0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7A1EEF15">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3A0A64BD">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p>
        </w:tc>
        <w:tc>
          <w:tcPr>
            <w:tcW w:w="6294" w:type="dxa"/>
            <w:gridSpan w:val="2"/>
            <w:tcBorders>
              <w:top w:val="single" w:color="auto" w:sz="4" w:space="0"/>
              <w:bottom w:val="single" w:color="auto" w:sz="4" w:space="0"/>
              <w:right w:val="single" w:color="auto" w:sz="4" w:space="0"/>
            </w:tcBorders>
            <w:vAlign w:val="center"/>
          </w:tcPr>
          <w:p w14:paraId="1B329BED">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eastAsia" w:ascii="仿宋" w:hAnsi="仿宋" w:eastAsia="仿宋" w:cs="仿宋"/>
                <w:color w:val="auto"/>
                <w:sz w:val="22"/>
                <w:szCs w:val="22"/>
                <w:highlight w:val="none"/>
                <w:lang w:val="en-US" w:eastAsia="zh-CN"/>
              </w:rPr>
            </w:pPr>
            <w:r>
              <w:rPr>
                <w:rFonts w:hint="default" w:ascii="Times New Roman" w:hAnsi="Times New Roman" w:eastAsia="仿宋" w:cs="Times New Roman"/>
                <w:color w:val="000000"/>
                <w:kern w:val="0"/>
                <w:szCs w:val="21"/>
              </w:rPr>
              <w:t>质量保证措施合理可行、执行有保障、内容齐全、结构完整、表述准确，管理体系合理详实</w:t>
            </w:r>
            <w:r>
              <w:rPr>
                <w:rFonts w:hint="eastAsia" w:eastAsia="仿宋" w:cs="Times New Roman"/>
                <w:color w:val="000000"/>
                <w:kern w:val="0"/>
                <w:szCs w:val="21"/>
                <w:lang w:eastAsia="zh-CN"/>
              </w:rPr>
              <w:t>。</w:t>
            </w:r>
          </w:p>
        </w:tc>
        <w:tc>
          <w:tcPr>
            <w:tcW w:w="936" w:type="dxa"/>
            <w:tcBorders>
              <w:top w:val="single" w:color="auto" w:sz="4" w:space="0"/>
              <w:bottom w:val="single" w:color="auto" w:sz="4" w:space="0"/>
              <w:right w:val="single" w:color="auto" w:sz="4" w:space="0"/>
            </w:tcBorders>
            <w:vAlign w:val="center"/>
          </w:tcPr>
          <w:p w14:paraId="5A20E871">
            <w:pPr>
              <w:snapToGrid w:val="0"/>
              <w:spacing w:line="2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lang w:val="en-US" w:eastAsia="zh-CN"/>
              </w:rPr>
              <w:t>0-6</w:t>
            </w:r>
          </w:p>
        </w:tc>
      </w:tr>
      <w:tr w14:paraId="4A27E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728758E6">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160A91A8">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p>
        </w:tc>
        <w:tc>
          <w:tcPr>
            <w:tcW w:w="6294" w:type="dxa"/>
            <w:gridSpan w:val="2"/>
            <w:tcBorders>
              <w:top w:val="single" w:color="auto" w:sz="4" w:space="0"/>
              <w:bottom w:val="single" w:color="auto" w:sz="4" w:space="0"/>
              <w:right w:val="single" w:color="auto" w:sz="4" w:space="0"/>
            </w:tcBorders>
            <w:vAlign w:val="center"/>
          </w:tcPr>
          <w:p w14:paraId="75047B7D">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bCs/>
                <w:iCs/>
                <w:lang w:val="en-US" w:eastAsia="zh-CN"/>
              </w:rPr>
              <w:t>原始资料整理、保存，勘查成果报告编写及相关保密措施。</w:t>
            </w:r>
          </w:p>
        </w:tc>
        <w:tc>
          <w:tcPr>
            <w:tcW w:w="936" w:type="dxa"/>
            <w:tcBorders>
              <w:top w:val="single" w:color="auto" w:sz="4" w:space="0"/>
              <w:bottom w:val="single" w:color="auto" w:sz="4" w:space="0"/>
              <w:right w:val="single" w:color="auto" w:sz="4" w:space="0"/>
            </w:tcBorders>
            <w:vAlign w:val="center"/>
          </w:tcPr>
          <w:p w14:paraId="55ABA0E6">
            <w:pPr>
              <w:snapToGrid w:val="0"/>
              <w:spacing w:line="2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lang w:val="en-US" w:eastAsia="zh-CN"/>
              </w:rPr>
              <w:t>0-6</w:t>
            </w:r>
          </w:p>
        </w:tc>
      </w:tr>
      <w:tr w14:paraId="0A52E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4EAAB983">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4C6280AB">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p>
        </w:tc>
        <w:tc>
          <w:tcPr>
            <w:tcW w:w="6294" w:type="dxa"/>
            <w:gridSpan w:val="2"/>
            <w:tcBorders>
              <w:top w:val="single" w:color="auto" w:sz="4" w:space="0"/>
              <w:bottom w:val="single" w:color="auto" w:sz="4" w:space="0"/>
              <w:right w:val="single" w:color="auto" w:sz="4" w:space="0"/>
            </w:tcBorders>
            <w:vAlign w:val="center"/>
          </w:tcPr>
          <w:p w14:paraId="0B19781C">
            <w:pPr>
              <w:keepNext w:val="0"/>
              <w:keepLines w:val="0"/>
              <w:pageBreakBefore w:val="0"/>
              <w:widowControl/>
              <w:kinsoku/>
              <w:overflowPunct/>
              <w:topLinePunct w:val="0"/>
              <w:autoSpaceDE/>
              <w:autoSpaceDN/>
              <w:bidi w:val="0"/>
              <w:adjustRightInd/>
              <w:spacing w:line="240" w:lineRule="atLeast"/>
              <w:jc w:val="left"/>
              <w:textAlignment w:val="auto"/>
              <w:rPr>
                <w:rFonts w:hint="eastAsia" w:ascii="仿宋" w:hAnsi="仿宋" w:eastAsia="仿宋" w:cs="仿宋"/>
                <w:color w:val="auto"/>
                <w:sz w:val="22"/>
                <w:szCs w:val="22"/>
                <w:highlight w:val="none"/>
                <w:lang w:val="en-US" w:eastAsia="zh-CN"/>
              </w:rPr>
            </w:pPr>
            <w:r>
              <w:rPr>
                <w:rFonts w:hint="default" w:ascii="Times New Roman" w:hAnsi="Times New Roman" w:eastAsia="仿宋" w:cs="Times New Roman"/>
                <w:color w:val="000000"/>
                <w:kern w:val="0"/>
                <w:szCs w:val="21"/>
              </w:rPr>
              <w:t>安全作业保障方案措施，方案合理可行、执行有保障、内容齐全、结构完整，措施科学</w:t>
            </w:r>
            <w:r>
              <w:rPr>
                <w:rFonts w:hint="eastAsia" w:ascii="Times New Roman" w:hAnsi="Times New Roman" w:eastAsia="仿宋" w:cs="Times New Roman"/>
                <w:color w:val="000000"/>
                <w:kern w:val="0"/>
                <w:szCs w:val="21"/>
                <w:lang w:eastAsia="zh-CN"/>
              </w:rPr>
              <w:t>等内容</w:t>
            </w:r>
            <w:r>
              <w:rPr>
                <w:rFonts w:hint="eastAsia" w:ascii="仿宋" w:hAnsi="仿宋" w:eastAsia="仿宋"/>
                <w:bCs/>
                <w:iCs/>
                <w:lang w:val="en-US" w:eastAsia="zh-CN"/>
              </w:rPr>
              <w:t>进行打分</w:t>
            </w:r>
            <w:r>
              <w:rPr>
                <w:rFonts w:hint="default" w:ascii="Times New Roman" w:hAnsi="Times New Roman" w:eastAsia="仿宋" w:cs="Times New Roman"/>
                <w:color w:val="000000"/>
                <w:kern w:val="0"/>
                <w:szCs w:val="21"/>
              </w:rPr>
              <w:t>。</w:t>
            </w:r>
          </w:p>
        </w:tc>
        <w:tc>
          <w:tcPr>
            <w:tcW w:w="936" w:type="dxa"/>
            <w:tcBorders>
              <w:top w:val="single" w:color="auto" w:sz="4" w:space="0"/>
              <w:bottom w:val="single" w:color="auto" w:sz="4" w:space="0"/>
              <w:right w:val="single" w:color="auto" w:sz="4" w:space="0"/>
            </w:tcBorders>
            <w:vAlign w:val="center"/>
          </w:tcPr>
          <w:p w14:paraId="0F1F9CEE">
            <w:pPr>
              <w:snapToGrid w:val="0"/>
              <w:spacing w:line="2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lang w:val="en-US" w:eastAsia="zh-CN"/>
              </w:rPr>
              <w:t>0-6</w:t>
            </w:r>
          </w:p>
        </w:tc>
      </w:tr>
      <w:tr w14:paraId="0E948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857" w:type="dxa"/>
            <w:vMerge w:val="continue"/>
            <w:tcBorders>
              <w:top w:val="single" w:color="auto" w:sz="4" w:space="0"/>
              <w:bottom w:val="single" w:color="auto" w:sz="4" w:space="0"/>
              <w:right w:val="single" w:color="auto" w:sz="4" w:space="0"/>
            </w:tcBorders>
            <w:shd w:val="clear" w:color="auto" w:fill="auto"/>
            <w:vAlign w:val="center"/>
          </w:tcPr>
          <w:p w14:paraId="160D3D0A">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45FFAE1E">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p>
        </w:tc>
        <w:tc>
          <w:tcPr>
            <w:tcW w:w="6294" w:type="dxa"/>
            <w:gridSpan w:val="2"/>
            <w:tcBorders>
              <w:top w:val="single" w:color="auto" w:sz="4" w:space="0"/>
              <w:bottom w:val="single" w:color="auto" w:sz="4" w:space="0"/>
              <w:right w:val="single" w:color="auto" w:sz="4" w:space="0"/>
            </w:tcBorders>
            <w:vAlign w:val="center"/>
          </w:tcPr>
          <w:p w14:paraId="52E27DA5">
            <w:pPr>
              <w:keepNext w:val="0"/>
              <w:keepLines w:val="0"/>
              <w:pageBreakBefore w:val="0"/>
              <w:widowControl/>
              <w:kinsoku/>
              <w:overflowPunct/>
              <w:topLinePunct w:val="0"/>
              <w:autoSpaceDE/>
              <w:autoSpaceDN/>
              <w:bidi w:val="0"/>
              <w:adjustRightInd/>
              <w:spacing w:line="240" w:lineRule="atLeas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针对本项目</w:t>
            </w:r>
            <w:r>
              <w:rPr>
                <w:rFonts w:hint="eastAsia" w:ascii="Times New Roman" w:hAnsi="Times New Roman" w:eastAsia="仿宋" w:cs="Times New Roman"/>
                <w:color w:val="000000"/>
                <w:kern w:val="0"/>
                <w:szCs w:val="21"/>
                <w:lang w:val="en-US" w:eastAsia="zh-CN"/>
              </w:rPr>
              <w:t>有</w:t>
            </w:r>
            <w:r>
              <w:rPr>
                <w:rFonts w:hint="default" w:ascii="Times New Roman" w:hAnsi="Times New Roman" w:eastAsia="仿宋" w:cs="Times New Roman"/>
                <w:color w:val="000000"/>
                <w:kern w:val="0"/>
                <w:szCs w:val="21"/>
              </w:rPr>
              <w:t>详细具体的应急处理预案，阐述内容切合本项目实施情况</w:t>
            </w:r>
            <w:r>
              <w:rPr>
                <w:rFonts w:hint="eastAsia" w:ascii="仿宋" w:hAnsi="仿宋" w:eastAsia="仿宋"/>
                <w:bCs/>
                <w:iCs/>
                <w:lang w:val="en-US" w:eastAsia="zh-CN"/>
              </w:rPr>
              <w:t>进行打分</w:t>
            </w:r>
            <w:r>
              <w:rPr>
                <w:rFonts w:hint="eastAsia" w:eastAsia="仿宋" w:cs="Times New Roman"/>
                <w:color w:val="000000"/>
                <w:kern w:val="0"/>
                <w:szCs w:val="21"/>
                <w:lang w:eastAsia="zh-CN"/>
              </w:rPr>
              <w:t>。</w:t>
            </w:r>
          </w:p>
        </w:tc>
        <w:tc>
          <w:tcPr>
            <w:tcW w:w="936" w:type="dxa"/>
            <w:tcBorders>
              <w:top w:val="single" w:color="auto" w:sz="4" w:space="0"/>
              <w:bottom w:val="single" w:color="auto" w:sz="4" w:space="0"/>
              <w:right w:val="single" w:color="auto" w:sz="4" w:space="0"/>
            </w:tcBorders>
            <w:vAlign w:val="center"/>
          </w:tcPr>
          <w:p w14:paraId="2FAEB9A0">
            <w:pPr>
              <w:snapToGrid w:val="0"/>
              <w:spacing w:line="280" w:lineRule="exact"/>
              <w:jc w:val="center"/>
              <w:rPr>
                <w:rFonts w:hint="default" w:ascii="仿宋" w:hAnsi="仿宋" w:eastAsia="仿宋" w:cs="仿宋"/>
                <w:lang w:val="en-US" w:eastAsia="zh-CN"/>
              </w:rPr>
            </w:pPr>
            <w:r>
              <w:rPr>
                <w:rFonts w:hint="eastAsia" w:ascii="仿宋" w:hAnsi="仿宋" w:eastAsia="仿宋" w:cs="仿宋"/>
                <w:lang w:val="en-US" w:eastAsia="zh-CN"/>
              </w:rPr>
              <w:t>0-6</w:t>
            </w:r>
          </w:p>
        </w:tc>
      </w:tr>
      <w:tr w14:paraId="1020F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857" w:type="dxa"/>
            <w:tcBorders>
              <w:top w:val="single" w:color="auto" w:sz="4" w:space="0"/>
              <w:bottom w:val="single" w:color="auto" w:sz="4" w:space="0"/>
              <w:right w:val="single" w:color="auto" w:sz="4" w:space="0"/>
            </w:tcBorders>
            <w:shd w:val="clear" w:color="auto" w:fill="auto"/>
            <w:vAlign w:val="center"/>
          </w:tcPr>
          <w:p w14:paraId="72FA7488">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w:t>
            </w:r>
          </w:p>
        </w:tc>
        <w:tc>
          <w:tcPr>
            <w:tcW w:w="1281" w:type="dxa"/>
            <w:tcBorders>
              <w:top w:val="single" w:color="auto" w:sz="4" w:space="0"/>
              <w:left w:val="single" w:color="auto" w:sz="4" w:space="0"/>
              <w:bottom w:val="single" w:color="auto" w:sz="4" w:space="0"/>
              <w:right w:val="single" w:color="auto" w:sz="4" w:space="0"/>
            </w:tcBorders>
            <w:vAlign w:val="center"/>
          </w:tcPr>
          <w:p w14:paraId="6F3F4C83">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bCs/>
                <w:iCs/>
                <w:lang w:val="en-US" w:eastAsia="zh-CN"/>
              </w:rPr>
              <w:t>售后服务承诺</w:t>
            </w:r>
          </w:p>
        </w:tc>
        <w:tc>
          <w:tcPr>
            <w:tcW w:w="6294" w:type="dxa"/>
            <w:gridSpan w:val="2"/>
            <w:tcBorders>
              <w:top w:val="single" w:color="auto" w:sz="4" w:space="0"/>
              <w:bottom w:val="single" w:color="auto" w:sz="4" w:space="0"/>
              <w:right w:val="single" w:color="auto" w:sz="4" w:space="0"/>
            </w:tcBorders>
            <w:vAlign w:val="center"/>
          </w:tcPr>
          <w:p w14:paraId="377DCB86">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eastAsia" w:ascii="仿宋" w:hAnsi="仿宋" w:eastAsia="仿宋"/>
                <w:bCs/>
                <w:iCs/>
                <w:lang w:val="en-US" w:eastAsia="zh-CN"/>
              </w:rPr>
            </w:pPr>
            <w:r>
              <w:rPr>
                <w:rFonts w:hint="eastAsia" w:ascii="仿宋" w:hAnsi="仿宋" w:eastAsia="仿宋"/>
                <w:bCs/>
                <w:iCs/>
                <w:lang w:val="en-US" w:eastAsia="zh-CN"/>
              </w:rPr>
              <w:t>投标人针对本项目提供的售后服务，包括但不限于服务措施、响应时间、服务力量，对客户使用中提出的问题能否及时、有效地提出解决方案等内容进行打分。</w:t>
            </w:r>
          </w:p>
        </w:tc>
        <w:tc>
          <w:tcPr>
            <w:tcW w:w="936" w:type="dxa"/>
            <w:tcBorders>
              <w:top w:val="single" w:color="auto" w:sz="4" w:space="0"/>
              <w:bottom w:val="single" w:color="auto" w:sz="4" w:space="0"/>
              <w:right w:val="single" w:color="auto" w:sz="4" w:space="0"/>
            </w:tcBorders>
            <w:shd w:val="clear" w:color="auto" w:fill="auto"/>
            <w:vAlign w:val="center"/>
          </w:tcPr>
          <w:p w14:paraId="0D60CE7C">
            <w:pPr>
              <w:snapToGrid w:val="0"/>
              <w:spacing w:line="280" w:lineRule="exact"/>
              <w:jc w:val="center"/>
              <w:rPr>
                <w:rFonts w:hint="default" w:ascii="仿宋" w:hAnsi="仿宋" w:eastAsia="仿宋" w:cs="仿宋"/>
                <w:kern w:val="2"/>
                <w:sz w:val="21"/>
                <w:szCs w:val="24"/>
                <w:lang w:val="en-US" w:eastAsia="zh-CN" w:bidi="ar-SA"/>
              </w:rPr>
            </w:pPr>
            <w:r>
              <w:rPr>
                <w:rFonts w:hint="eastAsia" w:ascii="仿宋" w:hAnsi="仿宋" w:eastAsia="仿宋" w:cs="仿宋"/>
                <w:lang w:val="en-US" w:eastAsia="zh-CN"/>
              </w:rPr>
              <w:t>0-6</w:t>
            </w:r>
          </w:p>
        </w:tc>
      </w:tr>
      <w:tr w14:paraId="0CBEA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857" w:type="dxa"/>
            <w:tcBorders>
              <w:top w:val="single" w:color="auto" w:sz="4" w:space="0"/>
              <w:bottom w:val="single" w:color="auto" w:sz="4" w:space="0"/>
              <w:right w:val="single" w:color="auto" w:sz="4" w:space="0"/>
            </w:tcBorders>
            <w:shd w:val="clear" w:color="auto" w:fill="auto"/>
            <w:vAlign w:val="center"/>
          </w:tcPr>
          <w:p w14:paraId="4B51597B">
            <w:pPr>
              <w:keepNext w:val="0"/>
              <w:keepLines w:val="0"/>
              <w:pageBreakBefore w:val="0"/>
              <w:widowControl w:val="0"/>
              <w:kinsoku/>
              <w:overflowPunct/>
              <w:topLinePunct w:val="0"/>
              <w:bidi w:val="0"/>
              <w:spacing w:line="24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c>
          <w:tcPr>
            <w:tcW w:w="1281" w:type="dxa"/>
            <w:tcBorders>
              <w:top w:val="single" w:color="auto" w:sz="4" w:space="0"/>
              <w:bottom w:val="single" w:color="auto" w:sz="4" w:space="0"/>
              <w:right w:val="single" w:color="auto" w:sz="4" w:space="0"/>
            </w:tcBorders>
            <w:shd w:val="clear" w:color="auto" w:fill="auto"/>
            <w:vAlign w:val="center"/>
          </w:tcPr>
          <w:p w14:paraId="0585B0C7">
            <w:pPr>
              <w:keepNext w:val="0"/>
              <w:keepLines w:val="0"/>
              <w:pageBreakBefore w:val="0"/>
              <w:widowControl w:val="0"/>
              <w:kinsoku/>
              <w:overflowPunct/>
              <w:topLinePunct w:val="0"/>
              <w:bidi w:val="0"/>
              <w:spacing w:line="240" w:lineRule="exact"/>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lang w:val="en-US" w:eastAsia="zh-CN"/>
              </w:rPr>
              <w:t>常见问题剖析及合理化建议</w:t>
            </w:r>
          </w:p>
        </w:tc>
        <w:tc>
          <w:tcPr>
            <w:tcW w:w="6294" w:type="dxa"/>
            <w:gridSpan w:val="2"/>
            <w:tcBorders>
              <w:top w:val="single" w:color="auto" w:sz="4" w:space="0"/>
              <w:bottom w:val="single" w:color="auto" w:sz="4" w:space="0"/>
              <w:right w:val="single" w:color="auto" w:sz="4" w:space="0"/>
            </w:tcBorders>
            <w:vAlign w:val="center"/>
          </w:tcPr>
          <w:p w14:paraId="7BD78FCC">
            <w:pPr>
              <w:keepNext w:val="0"/>
              <w:keepLines w:val="0"/>
              <w:pageBreakBefore w:val="0"/>
              <w:widowControl w:val="0"/>
              <w:kinsoku/>
              <w:wordWrap w:val="0"/>
              <w:overflowPunct/>
              <w:topLinePunct w:val="0"/>
              <w:autoSpaceDE/>
              <w:autoSpaceDN/>
              <w:bidi w:val="0"/>
              <w:adjustRightInd/>
              <w:snapToGrid w:val="0"/>
              <w:spacing w:line="240" w:lineRule="atLeast"/>
              <w:jc w:val="left"/>
              <w:textAlignment w:val="auto"/>
              <w:rPr>
                <w:rFonts w:hint="default" w:ascii="Times New Roman" w:hAnsi="Times New Roman" w:eastAsia="仿宋" w:cs="Times New Roman"/>
                <w:color w:val="000000"/>
                <w:kern w:val="0"/>
                <w:szCs w:val="21"/>
              </w:rPr>
            </w:pPr>
            <w:bookmarkStart w:id="484" w:name="_GoBack"/>
            <w:r>
              <w:rPr>
                <w:rFonts w:hint="eastAsia" w:ascii="仿宋" w:hAnsi="仿宋" w:eastAsia="仿宋"/>
                <w:bCs/>
                <w:iCs/>
                <w:lang w:val="en-US" w:eastAsia="zh-CN"/>
              </w:rPr>
              <w:t>投标人对类似矿产资源地质勘查服务中常见问题进行剖析，并提出合理化建议，根据合理化建议的实际效用进行打分。</w:t>
            </w:r>
            <w:bookmarkEnd w:id="484"/>
          </w:p>
        </w:tc>
        <w:tc>
          <w:tcPr>
            <w:tcW w:w="936" w:type="dxa"/>
            <w:tcBorders>
              <w:top w:val="single" w:color="auto" w:sz="4" w:space="0"/>
              <w:bottom w:val="single" w:color="auto" w:sz="4" w:space="0"/>
              <w:right w:val="single" w:color="auto" w:sz="4" w:space="0"/>
            </w:tcBorders>
            <w:vAlign w:val="center"/>
          </w:tcPr>
          <w:p w14:paraId="7BCA5BD8">
            <w:pPr>
              <w:snapToGrid w:val="0"/>
              <w:spacing w:line="280" w:lineRule="exact"/>
              <w:jc w:val="center"/>
              <w:rPr>
                <w:rFonts w:hint="default" w:ascii="仿宋" w:hAnsi="仿宋" w:eastAsia="仿宋" w:cs="仿宋"/>
                <w:lang w:val="en-US" w:eastAsia="zh-CN"/>
              </w:rPr>
            </w:pPr>
            <w:r>
              <w:rPr>
                <w:rFonts w:hint="eastAsia" w:ascii="仿宋" w:hAnsi="仿宋" w:eastAsia="仿宋" w:cs="仿宋"/>
                <w:lang w:val="en-US" w:eastAsia="zh-CN"/>
              </w:rPr>
              <w:t>0-6</w:t>
            </w:r>
          </w:p>
        </w:tc>
      </w:tr>
      <w:tr w14:paraId="692D1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368" w:type="dxa"/>
            <w:gridSpan w:val="5"/>
            <w:tcBorders>
              <w:top w:val="single" w:color="auto" w:sz="4" w:space="0"/>
              <w:bottom w:val="single" w:color="auto" w:sz="4" w:space="0"/>
              <w:right w:val="single" w:color="auto" w:sz="4" w:space="0"/>
            </w:tcBorders>
            <w:vAlign w:val="center"/>
          </w:tcPr>
          <w:p w14:paraId="51610D82">
            <w:pPr>
              <w:pStyle w:val="65"/>
              <w:numPr>
                <w:ilvl w:val="0"/>
                <w:numId w:val="6"/>
              </w:numPr>
              <w:spacing w:line="360" w:lineRule="exact"/>
              <w:ind w:firstLine="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报价分（10分）</w:t>
            </w:r>
          </w:p>
          <w:p w14:paraId="06441BDA">
            <w:pPr>
              <w:pStyle w:val="3"/>
              <w:spacing w:line="360" w:lineRule="exact"/>
              <w:ind w:firstLine="464"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评定评标基准价：以合格投标人且投标价格最低的投标报价为投标基准价，其报价分为满分。其他投标人的价格分统一按照下列公式计算：</w:t>
            </w:r>
          </w:p>
          <w:p w14:paraId="1788A30B">
            <w:pPr>
              <w:tabs>
                <w:tab w:val="left" w:pos="3990"/>
              </w:tabs>
              <w:adjustRightInd w:val="0"/>
              <w:spacing w:line="300" w:lineRule="exact"/>
              <w:ind w:firstLine="480" w:firstLineChars="20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4"/>
                <w:highlight w:val="none"/>
              </w:rPr>
              <w:t>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分，计算结果保留2位小数。</w:t>
            </w:r>
          </w:p>
        </w:tc>
      </w:tr>
    </w:tbl>
    <w:p w14:paraId="3CF33942">
      <w:pPr>
        <w:pStyle w:val="5"/>
        <w:spacing w:line="440" w:lineRule="exact"/>
        <w:rPr>
          <w:rFonts w:hint="eastAsia" w:ascii="仿宋" w:hAnsi="仿宋" w:eastAsia="仿宋" w:cs="仿宋"/>
          <w:color w:val="auto"/>
          <w:highlight w:val="none"/>
        </w:rPr>
      </w:pPr>
      <w:bookmarkStart w:id="417" w:name="_Toc15019"/>
      <w:r>
        <w:rPr>
          <w:rFonts w:hint="eastAsia" w:ascii="仿宋" w:hAnsi="仿宋" w:eastAsia="仿宋" w:cs="仿宋"/>
          <w:color w:val="auto"/>
          <w:highlight w:val="none"/>
        </w:rPr>
        <w:t>四、评标办法</w:t>
      </w:r>
      <w:bookmarkEnd w:id="406"/>
      <w:bookmarkEnd w:id="407"/>
      <w:bookmarkEnd w:id="417"/>
    </w:p>
    <w:p w14:paraId="297A11D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详见评标办法前附表。</w:t>
      </w:r>
    </w:p>
    <w:p w14:paraId="3BC5ECA8">
      <w:pPr>
        <w:pStyle w:val="5"/>
        <w:spacing w:line="440" w:lineRule="exact"/>
        <w:rPr>
          <w:rFonts w:hint="eastAsia" w:ascii="仿宋" w:hAnsi="仿宋" w:eastAsia="仿宋" w:cs="仿宋"/>
          <w:color w:val="auto"/>
          <w:highlight w:val="none"/>
        </w:rPr>
      </w:pPr>
      <w:bookmarkStart w:id="418" w:name="_Toc17480"/>
      <w:r>
        <w:rPr>
          <w:rFonts w:hint="eastAsia" w:ascii="仿宋" w:hAnsi="仿宋" w:eastAsia="仿宋" w:cs="仿宋"/>
          <w:color w:val="auto"/>
          <w:highlight w:val="none"/>
        </w:rPr>
        <w:t>五、评审标准</w:t>
      </w:r>
      <w:bookmarkEnd w:id="408"/>
      <w:bookmarkEnd w:id="409"/>
      <w:bookmarkEnd w:id="410"/>
      <w:bookmarkEnd w:id="411"/>
      <w:bookmarkEnd w:id="412"/>
      <w:bookmarkEnd w:id="413"/>
      <w:bookmarkEnd w:id="414"/>
      <w:bookmarkEnd w:id="415"/>
      <w:bookmarkEnd w:id="416"/>
      <w:bookmarkEnd w:id="418"/>
    </w:p>
    <w:p w14:paraId="26BA1FEB">
      <w:pPr>
        <w:pStyle w:val="6"/>
        <w:spacing w:line="440" w:lineRule="exact"/>
        <w:rPr>
          <w:rFonts w:hint="eastAsia" w:ascii="仿宋" w:hAnsi="仿宋" w:eastAsia="仿宋" w:cs="仿宋"/>
          <w:color w:val="auto"/>
          <w:highlight w:val="none"/>
        </w:rPr>
      </w:pPr>
      <w:bookmarkStart w:id="419" w:name="_Toc144974569"/>
      <w:bookmarkStart w:id="420" w:name="_Toc179632620"/>
      <w:bookmarkStart w:id="421" w:name="_Toc247085760"/>
      <w:bookmarkStart w:id="422" w:name="_Toc152045602"/>
      <w:bookmarkStart w:id="423" w:name="_Toc246996245"/>
      <w:bookmarkStart w:id="424" w:name="_Toc152042379"/>
      <w:bookmarkStart w:id="425" w:name="_Toc246996988"/>
      <w:bookmarkStart w:id="426" w:name="_Toc455680138"/>
      <w:bookmarkStart w:id="427" w:name="_Toc2064"/>
      <w:bookmarkStart w:id="428" w:name="_Toc498955060"/>
      <w:r>
        <w:rPr>
          <w:rFonts w:hint="eastAsia" w:ascii="仿宋" w:hAnsi="仿宋" w:eastAsia="仿宋" w:cs="仿宋"/>
          <w:color w:val="auto"/>
          <w:highlight w:val="none"/>
        </w:rPr>
        <w:t>（一）符合性评审标准</w:t>
      </w:r>
      <w:bookmarkEnd w:id="419"/>
      <w:bookmarkEnd w:id="420"/>
      <w:bookmarkEnd w:id="421"/>
      <w:bookmarkEnd w:id="422"/>
      <w:bookmarkEnd w:id="423"/>
      <w:bookmarkEnd w:id="424"/>
      <w:bookmarkEnd w:id="425"/>
      <w:bookmarkEnd w:id="426"/>
      <w:bookmarkEnd w:id="427"/>
      <w:bookmarkEnd w:id="428"/>
    </w:p>
    <w:p w14:paraId="7443C40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评审标准：见评标办法前附表。</w:t>
      </w:r>
    </w:p>
    <w:p w14:paraId="569DD970">
      <w:pPr>
        <w:pStyle w:val="6"/>
        <w:spacing w:line="440" w:lineRule="exact"/>
        <w:rPr>
          <w:rFonts w:hint="eastAsia" w:ascii="仿宋" w:hAnsi="仿宋" w:eastAsia="仿宋" w:cs="仿宋"/>
          <w:color w:val="auto"/>
          <w:highlight w:val="none"/>
        </w:rPr>
      </w:pPr>
      <w:bookmarkStart w:id="429" w:name="_Toc246996246"/>
      <w:bookmarkStart w:id="430" w:name="_Toc498955061"/>
      <w:bookmarkStart w:id="431" w:name="_Toc152042380"/>
      <w:bookmarkStart w:id="432" w:name="_Toc179632621"/>
      <w:bookmarkStart w:id="433" w:name="_Toc14861"/>
      <w:bookmarkStart w:id="434" w:name="_Toc246996989"/>
      <w:bookmarkStart w:id="435" w:name="_Toc247085761"/>
      <w:bookmarkStart w:id="436" w:name="_Toc152045603"/>
      <w:bookmarkStart w:id="437" w:name="_Toc144974570"/>
      <w:bookmarkStart w:id="438" w:name="_Toc455680139"/>
      <w:r>
        <w:rPr>
          <w:rFonts w:hint="eastAsia" w:ascii="仿宋" w:hAnsi="仿宋" w:eastAsia="仿宋" w:cs="仿宋"/>
          <w:color w:val="auto"/>
          <w:highlight w:val="none"/>
        </w:rPr>
        <w:t>（二）分值构成与评分标准</w:t>
      </w:r>
      <w:bookmarkEnd w:id="429"/>
      <w:bookmarkEnd w:id="430"/>
      <w:bookmarkEnd w:id="431"/>
      <w:bookmarkEnd w:id="432"/>
      <w:bookmarkEnd w:id="433"/>
      <w:bookmarkEnd w:id="434"/>
      <w:bookmarkEnd w:id="435"/>
      <w:bookmarkEnd w:id="436"/>
      <w:bookmarkEnd w:id="437"/>
      <w:bookmarkEnd w:id="438"/>
    </w:p>
    <w:p w14:paraId="1A35677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分值构成</w:t>
      </w:r>
    </w:p>
    <w:p w14:paraId="65C1BD6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报价部分：见评标办法前附表；</w:t>
      </w:r>
    </w:p>
    <w:p w14:paraId="4B3DD26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2.评标基准价计算</w:t>
      </w:r>
    </w:p>
    <w:p w14:paraId="05C0931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评标基准价计算方法：见评标办法前附表。</w:t>
      </w:r>
    </w:p>
    <w:p w14:paraId="0D9F0C0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投标报价的计算方式</w:t>
      </w:r>
    </w:p>
    <w:p w14:paraId="4EB9622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报价得分计算公式：见评标办法前附表。</w:t>
      </w:r>
    </w:p>
    <w:p w14:paraId="226C16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4.评分标准</w:t>
      </w:r>
      <w:bookmarkStart w:id="439" w:name="_Toc455680140"/>
      <w:bookmarkStart w:id="440" w:name="_Toc179632622"/>
      <w:bookmarkStart w:id="441" w:name="_Toc246996247"/>
      <w:bookmarkStart w:id="442" w:name="_Toc152045604"/>
      <w:bookmarkStart w:id="443" w:name="_Toc144974571"/>
      <w:bookmarkStart w:id="444" w:name="_Toc247085762"/>
      <w:bookmarkStart w:id="445" w:name="_Toc152042381"/>
      <w:bookmarkStart w:id="446" w:name="_Toc246996990"/>
    </w:p>
    <w:p w14:paraId="1225D04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（1）商务技术评分标准：见评标办法前附表；</w:t>
      </w:r>
    </w:p>
    <w:p w14:paraId="65650B9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（2）投标报价评分标准：见评标办法前附表；</w:t>
      </w:r>
    </w:p>
    <w:p w14:paraId="32ED8E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（3）其他因素评分标准：见评标办法前附表。</w:t>
      </w:r>
    </w:p>
    <w:p w14:paraId="7234448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5.投标人综合得分=商务技术分+报价分</w:t>
      </w:r>
    </w:p>
    <w:bookmarkEnd w:id="439"/>
    <w:bookmarkEnd w:id="440"/>
    <w:bookmarkEnd w:id="441"/>
    <w:bookmarkEnd w:id="442"/>
    <w:bookmarkEnd w:id="443"/>
    <w:bookmarkEnd w:id="444"/>
    <w:bookmarkEnd w:id="445"/>
    <w:bookmarkEnd w:id="446"/>
    <w:p w14:paraId="627F1A77">
      <w:pPr>
        <w:pStyle w:val="6"/>
        <w:spacing w:line="440" w:lineRule="exact"/>
        <w:rPr>
          <w:rFonts w:hint="eastAsia" w:ascii="仿宋" w:hAnsi="仿宋" w:eastAsia="仿宋" w:cs="仿宋"/>
          <w:color w:val="auto"/>
          <w:highlight w:val="none"/>
        </w:rPr>
      </w:pPr>
      <w:bookmarkStart w:id="447" w:name="_Toc455680143"/>
      <w:bookmarkStart w:id="448" w:name="_Toc152045607"/>
      <w:bookmarkStart w:id="449" w:name="_Toc179632625"/>
      <w:bookmarkStart w:id="450" w:name="_Toc3717"/>
      <w:bookmarkStart w:id="451" w:name="_Toc247085765"/>
      <w:bookmarkStart w:id="452" w:name="_Toc152042385"/>
      <w:bookmarkStart w:id="453" w:name="_Toc498955065"/>
      <w:bookmarkStart w:id="454" w:name="_Toc144974575"/>
      <w:bookmarkStart w:id="455" w:name="_Toc246996250"/>
      <w:bookmarkStart w:id="456" w:name="_Toc246996993"/>
      <w:r>
        <w:rPr>
          <w:rFonts w:hint="eastAsia" w:ascii="仿宋" w:hAnsi="仿宋" w:eastAsia="仿宋" w:cs="仿宋"/>
          <w:color w:val="auto"/>
          <w:highlight w:val="none"/>
        </w:rPr>
        <w:t>（三）投标文件的澄清</w:t>
      </w:r>
      <w:bookmarkEnd w:id="447"/>
      <w:bookmarkEnd w:id="448"/>
      <w:bookmarkEnd w:id="449"/>
      <w:bookmarkEnd w:id="450"/>
      <w:bookmarkEnd w:id="451"/>
      <w:bookmarkEnd w:id="452"/>
      <w:bookmarkEnd w:id="453"/>
      <w:bookmarkEnd w:id="454"/>
      <w:bookmarkEnd w:id="455"/>
      <w:bookmarkEnd w:id="456"/>
    </w:p>
    <w:p w14:paraId="08F12AEC">
      <w:pPr>
        <w:spacing w:line="440" w:lineRule="exact"/>
        <w:ind w:firstLine="480" w:firstLineChars="200"/>
        <w:rPr>
          <w:rFonts w:hint="eastAsia" w:ascii="仿宋" w:hAnsi="仿宋" w:eastAsia="仿宋" w:cs="仿宋"/>
          <w:color w:val="auto"/>
          <w:sz w:val="24"/>
          <w:highlight w:val="none"/>
        </w:rPr>
      </w:pPr>
      <w:bookmarkStart w:id="457" w:name="_Toc455680144"/>
      <w:bookmarkStart w:id="458" w:name="_Toc152045608"/>
      <w:bookmarkStart w:id="459" w:name="_Toc246996251"/>
      <w:bookmarkStart w:id="460" w:name="_Toc246996994"/>
      <w:bookmarkStart w:id="461" w:name="_Toc144974576"/>
      <w:bookmarkStart w:id="462" w:name="_Toc179632626"/>
      <w:bookmarkStart w:id="463" w:name="_Toc247085766"/>
      <w:bookmarkStart w:id="464" w:name="_Toc152042386"/>
      <w:r>
        <w:rPr>
          <w:rFonts w:hint="eastAsia" w:ascii="仿宋" w:hAnsi="仿宋" w:eastAsia="仿宋" w:cs="仿宋"/>
          <w:color w:val="auto"/>
          <w:sz w:val="24"/>
          <w:highlight w:val="none"/>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14:paraId="773659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于投标文件中含义不明确、同类问题表述不一致或者有明显文字和计算错误的内容需要投标人作出必要的澄清、说明或者补正的，评标委员会应当采用通过电子交易平台交换数据电文（或书面形式）要求投标人作出必要的澄清、说明或者补正。投标人拒不澄清确认的，评标委员会应当否决其投标。给予投标人澄清、说明或者补正的时间为发出通知后 15分钟。投标人逾期或未按要求澄清回复的，将视为不予回复或确认，评标委员会有权否决其投标。投标人通讯不畅通，导致不能及时联系的，视为投标人不予回复或确认。</w:t>
      </w:r>
    </w:p>
    <w:p w14:paraId="79D0EA5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投标人的澄清、说明或者补正应当采用通过电子交易平台交换数据电文（或书面形式），并电子签章（或加盖单位公章）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投标人的澄清、说明或者补正不得超出投标文件的范围或者改变投标文件的实质性内容。</w:t>
      </w:r>
    </w:p>
    <w:p w14:paraId="0E99151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报价一览表内容与投标文件中相应内容不一致的，以报价一览表为准；政采云交易系统开标记录（报价）中的投标报价与投标人上传的报价文件（PDF）中投标报价不一致的，以报价文件（PDF）中的投标报价为准；</w:t>
      </w:r>
    </w:p>
    <w:p w14:paraId="29BAF4D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1781141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（3）单价金额小数点或者百分比有明显错位的，以报价一览表的总价为准，并修改单价；</w:t>
      </w:r>
    </w:p>
    <w:p w14:paraId="3D5C870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405CBA6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按照投标人的澄清、说明或者补正应当采用书面形式，并加盖公章，或者由法定代表人或其授权的代表签字。投标人的澄清、说明或者补正不得 超出投标文件的范围或者改变投标文件的实质性内容的规定经投标人确认 后产生约束力，投标人不确认的，其投标无效。</w:t>
      </w:r>
    </w:p>
    <w:p w14:paraId="295F942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4.澄清、说明或补正不得超出投标文件的范围且不得改变投标文件的实质性内容，并构成投标文件的组成部分。</w:t>
      </w:r>
    </w:p>
    <w:p w14:paraId="7E69BA6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5.评标委员会对投标人提交的澄清、说明或补正有疑问的，可以要求投标人进一步澄清、说明或补正，直至满足评标委员会的要求。</w:t>
      </w:r>
    </w:p>
    <w:p w14:paraId="66189BCA">
      <w:pPr>
        <w:pStyle w:val="13"/>
        <w:spacing w:after="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认为投标人的报价明显低于其他通过符合性审查投标人的报价，投标人的报价为有可能影响产品质量或者不能诚信履约的异常低价的，评标委员会应当要求投标人在合理的期限内通过乐采云平台作澄清或者说明，并提供相关佐证材料。投标人不能在规定时间内合理说明其报价合理性并提供相关佐证材料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评标委员会可以否决其投标人，并在评标报告中说明。也可以由采购人按照招标文件规定的标准和方法对投标人的履约能力进行审查确认。</w:t>
      </w:r>
    </w:p>
    <w:p w14:paraId="1653C2A3">
      <w:pPr>
        <w:pStyle w:val="6"/>
        <w:spacing w:line="440" w:lineRule="exact"/>
        <w:rPr>
          <w:rFonts w:hint="eastAsia" w:ascii="仿宋" w:hAnsi="仿宋" w:eastAsia="仿宋" w:cs="仿宋"/>
          <w:color w:val="auto"/>
          <w:highlight w:val="none"/>
        </w:rPr>
      </w:pPr>
      <w:bookmarkStart w:id="465" w:name="_Toc27268"/>
      <w:r>
        <w:rPr>
          <w:rFonts w:hint="eastAsia" w:ascii="仿宋" w:hAnsi="仿宋" w:eastAsia="仿宋" w:cs="仿宋"/>
          <w:color w:val="auto"/>
          <w:highlight w:val="none"/>
        </w:rPr>
        <w:t>（四）有下列情况之一的，投标无效：</w:t>
      </w:r>
      <w:bookmarkEnd w:id="465"/>
    </w:p>
    <w:p w14:paraId="70FB75F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1.投标人不具备招标文件中规定的资格要求的（投标人未提供有效的资格文件的）；</w:t>
      </w:r>
    </w:p>
    <w:p w14:paraId="0D0FE4D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2.如以联合体形式参加投标的，联合体协议不符合招标文件规定的联合体协议要求的；</w:t>
      </w:r>
    </w:p>
    <w:p w14:paraId="440C0238">
      <w:pPr>
        <w:pStyle w:val="3"/>
        <w:snapToGrid w:val="0"/>
        <w:spacing w:line="440" w:lineRule="exact"/>
        <w:ind w:firstLine="464"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3.投标文件未按招标文件及更正、澄清后的内容编制，又不符合实质性要求的；</w:t>
      </w:r>
    </w:p>
    <w:p w14:paraId="40C42E6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4.投标文件中法定代表人授权书所载内容与本项目内容有异的；</w:t>
      </w:r>
    </w:p>
    <w:p w14:paraId="51A07B4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5.投标文件未按照招标文件要求编制、签署、盖章的；</w:t>
      </w:r>
    </w:p>
    <w:p w14:paraId="3212980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6.未在规定时间内提交投标文件的；</w:t>
      </w:r>
    </w:p>
    <w:p w14:paraId="53DB81C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7.投标文件中承诺的投标有效期、服务期、质保期等商务条款不能满足招标采购文件要求的；</w:t>
      </w:r>
    </w:p>
    <w:p w14:paraId="49553AA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8.投标文件含有采购人不能接受的附加条件的；</w:t>
      </w:r>
    </w:p>
    <w:p w14:paraId="2E00BF6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9.投标文件内容不符合采购需求中实质性要求的；</w:t>
      </w:r>
    </w:p>
    <w:p w14:paraId="674AFA1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10.投标技术方案不明确，存在一个或一个以上备选（替代）投标方案的；</w:t>
      </w:r>
    </w:p>
    <w:p w14:paraId="3542747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11.投标文件出现不是唯一的、有选择性投标报价的,未采用人民币报价或者未按照招标采购文件标明的方式报价的;</w:t>
      </w:r>
    </w:p>
    <w:p w14:paraId="5D1FB34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12.投标报价高于本项目采购预算或者最高限价的;</w:t>
      </w:r>
    </w:p>
    <w:p w14:paraId="776C8B4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13.报价明显低于其他通过符合性审查投标人的报价，有可能影响产品质量或者不能诚信履约的，未能按要求提供书面说明或者提交相关证明材料，不能证明其报价合理性的;</w:t>
      </w:r>
    </w:p>
    <w:p w14:paraId="7D44C7A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14.投标文件内容填写不完整或字迹不能辨认或有漏项的；</w:t>
      </w:r>
    </w:p>
    <w:p w14:paraId="13BC76C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15.投标人对根据修正原则修正后的报价不确认的；</w:t>
      </w:r>
    </w:p>
    <w:p w14:paraId="6EC6E49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16.投标文件对招标采购文件的偏差超出招标采购文件规定的偏差范围或最高项数；</w:t>
      </w:r>
    </w:p>
    <w:p w14:paraId="2AA3DD0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17.采购人拟采购的产品属于政府强制采购的节能产品品目清单范围的，投标人未按招标文件要求提供国家确定的认证机构出具的、处于有效期之内的节能产品认证证书的；</w:t>
      </w:r>
    </w:p>
    <w:p w14:paraId="311AD7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18.投标人提供虚假材料投标的；（包括但不限于以下情节）；</w:t>
      </w:r>
    </w:p>
    <w:p w14:paraId="70C8292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（1）使用伪造、变造的许可证件；</w:t>
      </w:r>
    </w:p>
    <w:p w14:paraId="66DCAD5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（2）提供虚假的财务状况或者业绩；</w:t>
      </w:r>
    </w:p>
    <w:p w14:paraId="46360DD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（3）提供虚假的</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或者主要技术人员简历、劳动关系证明、社保证明；</w:t>
      </w:r>
    </w:p>
    <w:p w14:paraId="4A720E1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（4）提供虚假的信用状况；</w:t>
      </w:r>
    </w:p>
    <w:p w14:paraId="7725565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（5）其他弄虚作假的行为。</w:t>
      </w:r>
    </w:p>
    <w:p w14:paraId="1707581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19.投标人有恶意串通、妨碍其他投标人的竞争行为、损害采购人或者其他投标人的合法权益情形的；有下列情形之一的，属于或视为恶意串通，其投标无效；</w:t>
      </w:r>
    </w:p>
    <w:p w14:paraId="6ECF8F1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（1）供应商直接或者间接从采购人或者采购代理机构处获得其他供应商的相关情况并修改其投标文件或者</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4A59224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（2）供应商按照采购人或者采购代理机构的授意撤换、修改投标文件或者</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1BDC9CB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（3）供应商之间协商报价、技术方案等投标文件或者</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的实质性内容；</w:t>
      </w:r>
    </w:p>
    <w:p w14:paraId="39DFC33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（4）属于同一集团、协会、商会等组织成员的供应商按照该组织要求协同参加投标；</w:t>
      </w:r>
    </w:p>
    <w:p w14:paraId="238F0FD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（5）供应商之间事先约定由某一特定供应商中标、成交；</w:t>
      </w:r>
    </w:p>
    <w:p w14:paraId="4FFF4AF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（6）供应商之间商定部分供应商放弃参加投标或者放弃中标、成交；</w:t>
      </w:r>
    </w:p>
    <w:p w14:paraId="360DDE4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（7）供应商与采购人或者采购代理机构之间、供应商相互之间，为谋求特定供应商中标、成交或者排斥其他供应商的其他串通行为。</w:t>
      </w:r>
    </w:p>
    <w:p w14:paraId="3033FD2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（8）不同投标人的投标文件由同一单位或者个人编制；</w:t>
      </w:r>
    </w:p>
    <w:p w14:paraId="1C6A1D2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（9）不同投标人委托同一单位或者个人办理投标事宜；</w:t>
      </w:r>
    </w:p>
    <w:p w14:paraId="6E3418D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（10）不同投标人的投标文件载明的项目管理成员或者联系人员为同一人；</w:t>
      </w:r>
    </w:p>
    <w:p w14:paraId="58BFA11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（11）不同投标人的投标文件异常一致或者投标报价呈规律性差异。</w:t>
      </w:r>
    </w:p>
    <w:p w14:paraId="15B46485">
      <w:pPr>
        <w:spacing w:line="440" w:lineRule="exact"/>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20.法律、法规、规章（适用本县的）及省级以上规范性文件（适用本县的）规定的其他无效情形。</w:t>
      </w:r>
    </w:p>
    <w:p w14:paraId="572ED0BF">
      <w:pPr>
        <w:pStyle w:val="6"/>
        <w:spacing w:line="440" w:lineRule="exact"/>
        <w:rPr>
          <w:rFonts w:hint="eastAsia" w:ascii="仿宋" w:hAnsi="仿宋" w:eastAsia="仿宋" w:cs="仿宋"/>
          <w:color w:val="auto"/>
          <w:highlight w:val="none"/>
        </w:rPr>
      </w:pPr>
      <w:bookmarkStart w:id="466" w:name="_Toc498955066"/>
      <w:bookmarkStart w:id="467" w:name="_Toc16456"/>
      <w:r>
        <w:rPr>
          <w:rFonts w:hint="eastAsia" w:ascii="仿宋" w:hAnsi="仿宋" w:eastAsia="仿宋" w:cs="仿宋"/>
          <w:color w:val="auto"/>
          <w:highlight w:val="none"/>
        </w:rPr>
        <w:t>（五）</w:t>
      </w:r>
      <w:bookmarkEnd w:id="457"/>
      <w:bookmarkEnd w:id="458"/>
      <w:bookmarkEnd w:id="459"/>
      <w:bookmarkEnd w:id="460"/>
      <w:bookmarkEnd w:id="461"/>
      <w:bookmarkEnd w:id="462"/>
      <w:bookmarkEnd w:id="463"/>
      <w:bookmarkEnd w:id="464"/>
      <w:bookmarkEnd w:id="466"/>
      <w:r>
        <w:rPr>
          <w:rFonts w:hint="eastAsia" w:ascii="仿宋" w:hAnsi="仿宋" w:eastAsia="仿宋" w:cs="仿宋"/>
          <w:color w:val="auto"/>
          <w:highlight w:val="none"/>
        </w:rPr>
        <w:t>评标报告</w:t>
      </w:r>
      <w:bookmarkEnd w:id="467"/>
    </w:p>
    <w:p w14:paraId="2F4D702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1.评标报告与推荐中标候选人。评标委员会根据全体评标成员签字的原始评标记录和评标结果编写评标报告，并推荐中标候选人，评审报告由评标委员会成员签字确认提交。</w:t>
      </w:r>
    </w:p>
    <w:p w14:paraId="3538C86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2.评标争议事项处理。评标委员会成员对需要共同认定的事项存在争议的，应当按照少数服从多数的原则作出结论。持不同意见的评标委员会成员应当在评标报告上签署不同意见及理由，否则视为同意评标报告。</w:t>
      </w:r>
    </w:p>
    <w:p w14:paraId="1876802F">
      <w:pPr>
        <w:pStyle w:val="4"/>
        <w:rPr>
          <w:rFonts w:ascii="仿宋" w:hAnsi="仿宋" w:eastAsia="仿宋" w:cs="仿宋"/>
          <w:color w:val="auto"/>
          <w:szCs w:val="21"/>
          <w:highlight w:val="none"/>
        </w:rPr>
      </w:pPr>
      <w:r>
        <w:rPr>
          <w:rFonts w:hint="eastAsia" w:ascii="仿宋" w:hAnsi="仿宋" w:eastAsia="仿宋" w:cs="仿宋"/>
          <w:color w:val="auto"/>
          <w:szCs w:val="28"/>
          <w:highlight w:val="none"/>
        </w:rPr>
        <w:br w:type="page"/>
      </w:r>
      <w:bookmarkStart w:id="468" w:name="_Toc4835"/>
      <w:r>
        <w:rPr>
          <w:rFonts w:hint="eastAsia" w:ascii="仿宋" w:hAnsi="仿宋" w:eastAsia="仿宋" w:cs="仿宋"/>
          <w:color w:val="auto"/>
          <w:highlight w:val="none"/>
        </w:rPr>
        <w:t>第六章  投标文件格式</w:t>
      </w:r>
      <w:bookmarkEnd w:id="468"/>
    </w:p>
    <w:p w14:paraId="103C22F8">
      <w:pPr>
        <w:pStyle w:val="26"/>
        <w:outlineLvl w:val="9"/>
        <w:rPr>
          <w:rFonts w:ascii="仿宋" w:hAnsi="仿宋" w:eastAsia="仿宋" w:cs="仿宋"/>
          <w:color w:val="auto"/>
          <w:sz w:val="60"/>
          <w:szCs w:val="60"/>
          <w:highlight w:val="none"/>
        </w:rPr>
      </w:pPr>
      <w:r>
        <w:rPr>
          <w:rFonts w:hint="eastAsia" w:ascii="仿宋" w:hAnsi="仿宋" w:eastAsia="仿宋" w:cs="仿宋"/>
          <w:color w:val="auto"/>
          <w:highlight w:val="none"/>
        </w:rPr>
        <w:t>投标文件封面格式(可选用)</w:t>
      </w:r>
      <w:r>
        <w:rPr>
          <w:rFonts w:hint="eastAsia" w:ascii="仿宋" w:hAnsi="仿宋" w:eastAsia="仿宋" w:cs="仿宋"/>
          <w:color w:val="auto"/>
          <w:sz w:val="60"/>
          <w:szCs w:val="60"/>
          <w:highlight w:val="none"/>
        </w:rPr>
        <w:t xml:space="preserve">          </w:t>
      </w:r>
    </w:p>
    <w:p w14:paraId="4990D57A">
      <w:pPr>
        <w:jc w:val="left"/>
        <w:rPr>
          <w:rFonts w:ascii="仿宋" w:hAnsi="仿宋" w:eastAsia="仿宋" w:cs="仿宋"/>
          <w:color w:val="auto"/>
          <w:sz w:val="60"/>
          <w:szCs w:val="60"/>
          <w:highlight w:val="none"/>
        </w:rPr>
      </w:pPr>
    </w:p>
    <w:p w14:paraId="2664AE7B">
      <w:pPr>
        <w:jc w:val="right"/>
        <w:rPr>
          <w:rFonts w:ascii="仿宋" w:hAnsi="仿宋" w:eastAsia="仿宋" w:cs="仿宋"/>
          <w:color w:val="auto"/>
          <w:sz w:val="32"/>
          <w:szCs w:val="32"/>
          <w:highlight w:val="none"/>
        </w:rPr>
      </w:pPr>
      <w:r>
        <w:rPr>
          <w:rFonts w:hint="eastAsia" w:ascii="仿宋" w:hAnsi="仿宋" w:eastAsia="仿宋" w:cs="仿宋"/>
          <w:color w:val="auto"/>
          <w:sz w:val="60"/>
          <w:szCs w:val="60"/>
          <w:highlight w:val="none"/>
        </w:rPr>
        <w:t xml:space="preserve">  </w:t>
      </w:r>
      <w:r>
        <w:rPr>
          <w:rFonts w:hint="eastAsia" w:ascii="仿宋" w:hAnsi="仿宋" w:eastAsia="仿宋" w:cs="仿宋"/>
          <w:color w:val="auto"/>
          <w:sz w:val="32"/>
          <w:szCs w:val="32"/>
          <w:highlight w:val="none"/>
        </w:rPr>
        <w:t>正本/副本</w:t>
      </w:r>
    </w:p>
    <w:p w14:paraId="75EAAFA1">
      <w:pPr>
        <w:rPr>
          <w:rFonts w:ascii="仿宋" w:hAnsi="仿宋" w:eastAsia="仿宋" w:cs="仿宋"/>
          <w:color w:val="auto"/>
          <w:sz w:val="120"/>
          <w:szCs w:val="120"/>
          <w:highlight w:val="none"/>
        </w:rPr>
      </w:pPr>
    </w:p>
    <w:p w14:paraId="7D76E940">
      <w:pPr>
        <w:jc w:val="center"/>
        <w:rPr>
          <w:rFonts w:ascii="仿宋" w:hAnsi="仿宋" w:eastAsia="仿宋" w:cs="仿宋"/>
          <w:color w:val="auto"/>
          <w:sz w:val="96"/>
          <w:szCs w:val="96"/>
          <w:highlight w:val="none"/>
        </w:rPr>
      </w:pPr>
      <w:r>
        <w:rPr>
          <w:rFonts w:hint="eastAsia" w:ascii="仿宋" w:hAnsi="仿宋" w:eastAsia="仿宋" w:cs="仿宋"/>
          <w:color w:val="auto"/>
          <w:sz w:val="96"/>
          <w:szCs w:val="96"/>
          <w:highlight w:val="none"/>
        </w:rPr>
        <w:t>投标文件</w:t>
      </w:r>
    </w:p>
    <w:p w14:paraId="41AA90DA">
      <w:pPr>
        <w:jc w:val="center"/>
        <w:rPr>
          <w:rFonts w:ascii="仿宋" w:hAnsi="仿宋" w:eastAsia="仿宋" w:cs="仿宋"/>
          <w:color w:val="auto"/>
          <w:sz w:val="56"/>
          <w:szCs w:val="56"/>
          <w:highlight w:val="none"/>
        </w:rPr>
      </w:pPr>
      <w:r>
        <w:rPr>
          <w:rFonts w:hint="eastAsia" w:ascii="仿宋" w:hAnsi="仿宋" w:eastAsia="仿宋" w:cs="仿宋"/>
          <w:color w:val="auto"/>
          <w:sz w:val="44"/>
          <w:szCs w:val="44"/>
          <w:highlight w:val="none"/>
        </w:rPr>
        <w:t>（资格文件/商务技术文件</w:t>
      </w:r>
      <w:r>
        <w:rPr>
          <w:rFonts w:hint="eastAsia" w:ascii="仿宋" w:hAnsi="仿宋" w:eastAsia="仿宋" w:cs="仿宋"/>
          <w:b/>
          <w:bCs/>
          <w:color w:val="auto"/>
          <w:sz w:val="44"/>
          <w:szCs w:val="44"/>
          <w:highlight w:val="none"/>
        </w:rPr>
        <w:t>/</w:t>
      </w:r>
      <w:r>
        <w:rPr>
          <w:rFonts w:hint="eastAsia" w:ascii="仿宋" w:hAnsi="仿宋" w:eastAsia="仿宋" w:cs="仿宋"/>
          <w:color w:val="auto"/>
          <w:sz w:val="44"/>
          <w:szCs w:val="44"/>
          <w:highlight w:val="none"/>
        </w:rPr>
        <w:t>报价文件）</w:t>
      </w:r>
    </w:p>
    <w:p w14:paraId="7B0A924B">
      <w:pPr>
        <w:jc w:val="center"/>
        <w:rPr>
          <w:rFonts w:ascii="仿宋" w:hAnsi="仿宋" w:eastAsia="仿宋" w:cs="仿宋"/>
          <w:color w:val="auto"/>
          <w:sz w:val="110"/>
          <w:szCs w:val="110"/>
          <w:highlight w:val="none"/>
        </w:rPr>
      </w:pPr>
    </w:p>
    <w:p w14:paraId="30BC9FA2">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1CD75F17">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0D3B153E">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投标人名称（盖章）：</w:t>
      </w:r>
    </w:p>
    <w:p w14:paraId="645B8C62">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法人代表或委托代理人</w:t>
      </w:r>
      <w:r>
        <w:rPr>
          <w:rFonts w:hint="eastAsia" w:ascii="仿宋" w:hAnsi="仿宋" w:eastAsia="仿宋" w:cs="仿宋"/>
          <w:color w:val="auto"/>
          <w:sz w:val="28"/>
          <w:szCs w:val="28"/>
          <w:highlight w:val="none"/>
          <w:u w:val="single"/>
          <w:lang w:val="zh-TW" w:eastAsia="zh-TW"/>
        </w:rPr>
        <w:t>（签字或盖章）</w:t>
      </w:r>
      <w:r>
        <w:rPr>
          <w:rFonts w:hint="eastAsia" w:ascii="仿宋" w:hAnsi="仿宋" w:eastAsia="仿宋" w:cs="仿宋"/>
          <w:color w:val="auto"/>
          <w:sz w:val="28"/>
          <w:szCs w:val="28"/>
          <w:highlight w:val="none"/>
          <w:lang w:val="zh-TW" w:eastAsia="zh-TW"/>
        </w:rPr>
        <w:t>：</w:t>
      </w:r>
    </w:p>
    <w:p w14:paraId="0B25DE39">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left"/>
        <w:textAlignment w:val="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日期：</w:t>
      </w:r>
    </w:p>
    <w:p w14:paraId="1FDE1551">
      <w:pPr>
        <w:pStyle w:val="2"/>
        <w:rPr>
          <w:rFonts w:ascii="仿宋" w:hAnsi="仿宋" w:eastAsia="仿宋" w:cs="仿宋"/>
          <w:color w:val="auto"/>
          <w:sz w:val="32"/>
          <w:szCs w:val="32"/>
          <w:highlight w:val="none"/>
          <w:lang w:val="zh-TW"/>
        </w:rPr>
      </w:pPr>
    </w:p>
    <w:p w14:paraId="78A9BB34">
      <w:pPr>
        <w:rPr>
          <w:rFonts w:ascii="仿宋" w:hAnsi="仿宋" w:eastAsia="仿宋" w:cs="仿宋"/>
          <w:color w:val="auto"/>
          <w:highlight w:val="none"/>
        </w:rPr>
      </w:pPr>
    </w:p>
    <w:p w14:paraId="4B8262DC">
      <w:pPr>
        <w:pStyle w:val="26"/>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469" w:name="_Toc17343"/>
      <w:r>
        <w:rPr>
          <w:rFonts w:hint="eastAsia" w:ascii="仿宋" w:hAnsi="仿宋" w:eastAsia="仿宋" w:cs="仿宋"/>
          <w:color w:val="auto"/>
          <w:highlight w:val="none"/>
        </w:rPr>
        <w:t>目录</w:t>
      </w:r>
      <w:bookmarkEnd w:id="469"/>
    </w:p>
    <w:p w14:paraId="1AF56565">
      <w:pPr>
        <w:spacing w:line="3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一、资格文件：</w:t>
      </w:r>
    </w:p>
    <w:p w14:paraId="56BD4695">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（1）投标声明函；</w:t>
      </w:r>
    </w:p>
    <w:p w14:paraId="7EA6EC6A">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（2）提供有效的营业执照复印件</w:t>
      </w:r>
      <w:r>
        <w:rPr>
          <w:rFonts w:hint="eastAsia" w:ascii="仿宋" w:hAnsi="仿宋" w:eastAsia="仿宋" w:cs="仿宋"/>
          <w:color w:val="0000FF"/>
          <w:sz w:val="24"/>
          <w:highlight w:val="none"/>
          <w:lang w:eastAsia="zh-CN"/>
        </w:rPr>
        <w:t>（联合体各成员均需提供）</w:t>
      </w:r>
      <w:r>
        <w:rPr>
          <w:rFonts w:hint="eastAsia" w:ascii="仿宋" w:hAnsi="仿宋" w:eastAsia="仿宋" w:cs="仿宋"/>
          <w:color w:val="auto"/>
          <w:sz w:val="24"/>
          <w:highlight w:val="none"/>
        </w:rPr>
        <w:t>；</w:t>
      </w:r>
    </w:p>
    <w:p w14:paraId="0D24C08A">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（3）具有履行合同所必需的场地、设备和专业技术能力的承诺函；</w:t>
      </w:r>
    </w:p>
    <w:p w14:paraId="060C02CF">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（4）参加投标活动前3年内在经营活动中没有重大违法记录的声明函；</w:t>
      </w:r>
    </w:p>
    <w:p w14:paraId="3F2438AE">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（5）提供投标人“信用中国”网站(www.creditchina.gov.cn)、“中国采购网”(www.ccgp.gov.cn)信用信息查询记录截图</w:t>
      </w:r>
      <w:r>
        <w:rPr>
          <w:rFonts w:hint="eastAsia" w:ascii="仿宋" w:hAnsi="仿宋" w:eastAsia="仿宋" w:cs="仿宋"/>
          <w:color w:val="0000FF"/>
          <w:sz w:val="24"/>
          <w:highlight w:val="none"/>
          <w:lang w:eastAsia="zh-CN"/>
        </w:rPr>
        <w:t>（联合体各成员均需提供）</w:t>
      </w:r>
      <w:r>
        <w:rPr>
          <w:rFonts w:hint="eastAsia" w:ascii="仿宋" w:hAnsi="仿宋" w:eastAsia="仿宋" w:cs="仿宋"/>
          <w:color w:val="auto"/>
          <w:sz w:val="24"/>
          <w:highlight w:val="none"/>
        </w:rPr>
        <w:t>；</w:t>
      </w:r>
    </w:p>
    <w:p w14:paraId="15FBB917">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（6）法定代表人资格书或法定代表人授权委托书；</w:t>
      </w:r>
    </w:p>
    <w:p w14:paraId="65DC0D75">
      <w:pPr>
        <w:spacing w:line="420" w:lineRule="exact"/>
        <w:jc w:val="left"/>
        <w:rPr>
          <w:rFonts w:hint="eastAsia" w:ascii="仿宋" w:hAnsi="仿宋" w:eastAsia="仿宋" w:cs="仿宋"/>
          <w:color w:val="0000FF"/>
          <w:sz w:val="24"/>
          <w:highlight w:val="none"/>
          <w:lang w:eastAsia="zh-CN"/>
        </w:rPr>
      </w:pPr>
      <w:r>
        <w:rPr>
          <w:rFonts w:hint="eastAsia" w:ascii="仿宋" w:hAnsi="仿宋" w:eastAsia="仿宋" w:cs="仿宋"/>
          <w:color w:val="0000FF"/>
          <w:sz w:val="24"/>
          <w:highlight w:val="none"/>
          <w:lang w:eastAsia="zh-CN"/>
        </w:rPr>
        <w:t>（</w:t>
      </w:r>
      <w:r>
        <w:rPr>
          <w:rFonts w:hint="eastAsia" w:ascii="仿宋" w:hAnsi="仿宋" w:eastAsia="仿宋" w:cs="仿宋"/>
          <w:color w:val="0000FF"/>
          <w:sz w:val="24"/>
          <w:highlight w:val="none"/>
          <w:lang w:val="en-US" w:eastAsia="zh-CN"/>
        </w:rPr>
        <w:t>7</w:t>
      </w:r>
      <w:r>
        <w:rPr>
          <w:rFonts w:hint="eastAsia" w:ascii="仿宋" w:hAnsi="仿宋" w:eastAsia="仿宋" w:cs="仿宋"/>
          <w:color w:val="0000FF"/>
          <w:sz w:val="24"/>
          <w:highlight w:val="none"/>
          <w:lang w:eastAsia="zh-CN"/>
        </w:rPr>
        <w:t>）联合体协议书（如有）；</w:t>
      </w:r>
    </w:p>
    <w:p w14:paraId="44EB1DC9">
      <w:pPr>
        <w:spacing w:line="420" w:lineRule="exact"/>
        <w:jc w:val="left"/>
        <w:rPr>
          <w:rFonts w:hint="eastAsia" w:ascii="仿宋" w:hAnsi="仿宋" w:eastAsia="仿宋" w:cs="仿宋"/>
          <w:color w:val="0000FF"/>
          <w:sz w:val="24"/>
          <w:highlight w:val="none"/>
          <w:lang w:eastAsia="zh-CN"/>
        </w:rPr>
      </w:pPr>
      <w:r>
        <w:rPr>
          <w:rFonts w:hint="eastAsia" w:ascii="仿宋" w:hAnsi="仿宋" w:eastAsia="仿宋" w:cs="仿宋"/>
          <w:color w:val="0000FF"/>
          <w:sz w:val="24"/>
          <w:highlight w:val="none"/>
          <w:lang w:eastAsia="zh-CN"/>
        </w:rPr>
        <w:t>（</w:t>
      </w:r>
      <w:r>
        <w:rPr>
          <w:rFonts w:hint="eastAsia" w:ascii="仿宋" w:hAnsi="仿宋" w:eastAsia="仿宋" w:cs="仿宋"/>
          <w:color w:val="0000FF"/>
          <w:sz w:val="24"/>
          <w:highlight w:val="none"/>
          <w:lang w:val="en-US" w:eastAsia="zh-CN"/>
        </w:rPr>
        <w:t>8</w:t>
      </w:r>
      <w:r>
        <w:rPr>
          <w:rFonts w:hint="eastAsia" w:ascii="仿宋" w:hAnsi="仿宋" w:eastAsia="仿宋" w:cs="仿宋"/>
          <w:color w:val="0000FF"/>
          <w:sz w:val="24"/>
          <w:highlight w:val="none"/>
          <w:lang w:eastAsia="zh-CN"/>
        </w:rPr>
        <w:t>）</w:t>
      </w:r>
      <w:r>
        <w:rPr>
          <w:rFonts w:hint="eastAsia" w:ascii="仿宋" w:hAnsi="仿宋" w:eastAsia="仿宋" w:cs="仿宋"/>
          <w:color w:val="auto"/>
          <w:sz w:val="24"/>
          <w:highlight w:val="none"/>
          <w:lang w:eastAsia="zh-CN"/>
        </w:rPr>
        <w:t>资质（资格）证书</w:t>
      </w:r>
      <w:r>
        <w:rPr>
          <w:rFonts w:hint="eastAsia" w:ascii="仿宋" w:hAnsi="仿宋" w:eastAsia="仿宋" w:cs="仿宋"/>
          <w:color w:val="0000FF"/>
          <w:sz w:val="24"/>
          <w:highlight w:val="none"/>
          <w:lang w:eastAsia="zh-CN"/>
        </w:rPr>
        <w:t>（联合体各成员均需提供）</w:t>
      </w:r>
      <w:r>
        <w:rPr>
          <w:rFonts w:hint="eastAsia" w:ascii="仿宋" w:hAnsi="仿宋" w:eastAsia="仿宋" w:cs="仿宋"/>
          <w:color w:val="auto"/>
          <w:sz w:val="24"/>
          <w:highlight w:val="none"/>
          <w:lang w:eastAsia="zh-CN"/>
        </w:rPr>
        <w:t>；</w:t>
      </w:r>
    </w:p>
    <w:p w14:paraId="7CE5FE14">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）招标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中要求需要提供的其他资质和说明。</w:t>
      </w:r>
    </w:p>
    <w:p w14:paraId="766D5DC0">
      <w:pPr>
        <w:spacing w:line="42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二、商务技术文件：</w:t>
      </w:r>
    </w:p>
    <w:p w14:paraId="3C3F8285">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（1）商务技术分评分索引；</w:t>
      </w:r>
    </w:p>
    <w:p w14:paraId="249AEFD9">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（2）诚信竞投承诺书；</w:t>
      </w:r>
    </w:p>
    <w:p w14:paraId="45DBB134">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（3）投标人情况介绍</w:t>
      </w:r>
      <w:r>
        <w:rPr>
          <w:rFonts w:hint="eastAsia" w:ascii="仿宋" w:hAnsi="仿宋" w:eastAsia="仿宋" w:cs="仿宋"/>
          <w:color w:val="0000FF"/>
          <w:sz w:val="24"/>
          <w:highlight w:val="none"/>
          <w:lang w:eastAsia="zh-CN"/>
        </w:rPr>
        <w:t>（联合体各成员均需提供）</w:t>
      </w:r>
      <w:r>
        <w:rPr>
          <w:rFonts w:hint="eastAsia" w:ascii="仿宋" w:hAnsi="仿宋" w:eastAsia="仿宋" w:cs="仿宋"/>
          <w:color w:val="auto"/>
          <w:sz w:val="24"/>
          <w:highlight w:val="none"/>
        </w:rPr>
        <w:t>；</w:t>
      </w:r>
    </w:p>
    <w:p w14:paraId="29CF2797">
      <w:pPr>
        <w:spacing w:line="4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3.1投标人的类似项目业绩；</w:t>
      </w:r>
    </w:p>
    <w:p w14:paraId="11ED4581">
      <w:pPr>
        <w:numPr>
          <w:ilvl w:val="0"/>
          <w:numId w:val="7"/>
        </w:num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拟派本项目实施人员；</w:t>
      </w:r>
    </w:p>
    <w:p w14:paraId="6147BB0C">
      <w:pPr>
        <w:spacing w:line="4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基本情况表</w:t>
      </w:r>
    </w:p>
    <w:p w14:paraId="39AE3DE9">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服务质量保证、本地化服务及有关承诺</w:t>
      </w:r>
      <w:r>
        <w:rPr>
          <w:rFonts w:hint="eastAsia" w:ascii="仿宋" w:hAnsi="仿宋" w:eastAsia="仿宋" w:cs="仿宋"/>
          <w:color w:val="auto"/>
          <w:sz w:val="24"/>
          <w:highlight w:val="none"/>
        </w:rPr>
        <w:t>；</w:t>
      </w:r>
    </w:p>
    <w:p w14:paraId="295E18CF">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（6）实施方案；</w:t>
      </w:r>
    </w:p>
    <w:p w14:paraId="3F5CB227">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商务响应表</w:t>
      </w:r>
      <w:r>
        <w:rPr>
          <w:rFonts w:hint="eastAsia" w:ascii="仿宋" w:hAnsi="仿宋" w:eastAsia="仿宋" w:cs="仿宋"/>
          <w:color w:val="auto"/>
          <w:sz w:val="24"/>
          <w:highlight w:val="none"/>
        </w:rPr>
        <w:t>；</w:t>
      </w:r>
    </w:p>
    <w:p w14:paraId="03213E2F">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（8）投标人认为需提交的其他文件和说明。</w:t>
      </w:r>
    </w:p>
    <w:p w14:paraId="6A5AB776">
      <w:pPr>
        <w:spacing w:line="420" w:lineRule="exact"/>
        <w:ind w:firstLine="44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2"/>
          <w:szCs w:val="22"/>
          <w:highlight w:val="none"/>
        </w:rPr>
        <w:t>注：投标单位请结合评分要点编制投标文件。</w:t>
      </w:r>
    </w:p>
    <w:p w14:paraId="0F5C6417">
      <w:pPr>
        <w:spacing w:line="42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三、报价文件：</w:t>
      </w:r>
    </w:p>
    <w:p w14:paraId="561A3433">
      <w:pPr>
        <w:spacing w:line="4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w:t>
      </w:r>
    </w:p>
    <w:p w14:paraId="1E75100A">
      <w:pPr>
        <w:spacing w:line="36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（2）报价一览表</w:t>
      </w:r>
      <w:r>
        <w:rPr>
          <w:rFonts w:hint="eastAsia" w:ascii="仿宋" w:hAnsi="仿宋" w:eastAsia="仿宋" w:cs="仿宋"/>
          <w:color w:val="auto"/>
          <w:sz w:val="24"/>
          <w:highlight w:val="none"/>
          <w:lang w:eastAsia="zh-CN"/>
        </w:rPr>
        <w:t>。</w:t>
      </w:r>
    </w:p>
    <w:p w14:paraId="10C574C2">
      <w:pPr>
        <w:pStyle w:val="25"/>
        <w:rPr>
          <w:rFonts w:hint="eastAsia"/>
          <w:lang w:val="en-US" w:eastAsia="zh-CN"/>
        </w:rPr>
      </w:pPr>
    </w:p>
    <w:p w14:paraId="7199E955">
      <w:pPr>
        <w:rPr>
          <w:rFonts w:hint="eastAsia" w:ascii="仿宋" w:hAnsi="仿宋" w:eastAsia="仿宋" w:cs="仿宋"/>
          <w:color w:val="auto"/>
          <w:highlight w:val="none"/>
        </w:rPr>
      </w:pPr>
    </w:p>
    <w:p w14:paraId="10150C1E">
      <w:pPr>
        <w:pStyle w:val="18"/>
        <w:spacing w:before="0" w:beforeLines="0" w:after="0" w:afterLines="0" w:line="240" w:lineRule="auto"/>
        <w:rPr>
          <w:rFonts w:hint="eastAsia" w:ascii="仿宋" w:hAnsi="仿宋" w:eastAsia="仿宋" w:cs="仿宋"/>
          <w:b/>
          <w:bCs/>
          <w:color w:val="auto"/>
          <w:sz w:val="28"/>
          <w:szCs w:val="28"/>
          <w:highlight w:val="none"/>
        </w:rPr>
      </w:pPr>
      <w:bookmarkStart w:id="470" w:name="_Toc14471"/>
      <w:r>
        <w:rPr>
          <w:rFonts w:hint="eastAsia" w:ascii="仿宋" w:hAnsi="仿宋" w:eastAsia="仿宋" w:cs="仿宋"/>
          <w:b/>
          <w:bCs/>
          <w:color w:val="auto"/>
          <w:sz w:val="28"/>
          <w:szCs w:val="28"/>
          <w:highlight w:val="none"/>
        </w:rPr>
        <w:t>注：未提供格式的由投标人格式自拟</w:t>
      </w:r>
      <w:bookmarkEnd w:id="470"/>
      <w:r>
        <w:rPr>
          <w:rFonts w:hint="eastAsia" w:ascii="仿宋" w:hAnsi="仿宋" w:eastAsia="仿宋" w:cs="仿宋"/>
          <w:b/>
          <w:bCs/>
          <w:color w:val="auto"/>
          <w:sz w:val="28"/>
          <w:szCs w:val="28"/>
          <w:highlight w:val="none"/>
        </w:rPr>
        <w:t>。</w:t>
      </w:r>
    </w:p>
    <w:p w14:paraId="018D829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1"/>
        <w:rPr>
          <w:rFonts w:hint="eastAsia" w:ascii="仿宋" w:hAnsi="仿宋" w:eastAsia="仿宋" w:cs="仿宋"/>
          <w:b/>
          <w:bCs/>
          <w:color w:val="auto"/>
          <w:sz w:val="24"/>
          <w:highlight w:val="none"/>
        </w:rPr>
      </w:pPr>
      <w:r>
        <w:rPr>
          <w:rFonts w:hint="eastAsia" w:ascii="仿宋" w:hAnsi="仿宋" w:eastAsia="仿宋" w:cs="仿宋"/>
          <w:color w:val="auto"/>
          <w:highlight w:val="none"/>
        </w:rPr>
        <w:br w:type="page"/>
      </w:r>
      <w:bookmarkStart w:id="471" w:name="_Toc8144"/>
      <w:r>
        <w:rPr>
          <w:rFonts w:hint="eastAsia" w:ascii="仿宋" w:hAnsi="仿宋" w:eastAsia="仿宋" w:cs="仿宋"/>
          <w:b/>
          <w:bCs/>
          <w:color w:val="auto"/>
          <w:sz w:val="24"/>
          <w:highlight w:val="none"/>
        </w:rPr>
        <w:t>一、资格文件：</w:t>
      </w:r>
    </w:p>
    <w:p w14:paraId="5D51F4FE">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28"/>
          <w:sz w:val="28"/>
          <w:szCs w:val="32"/>
          <w:highlight w:val="none"/>
        </w:rPr>
      </w:pPr>
      <w:r>
        <w:rPr>
          <w:rFonts w:hint="eastAsia" w:ascii="仿宋" w:hAnsi="仿宋" w:eastAsia="仿宋" w:cs="仿宋"/>
          <w:b/>
          <w:bCs/>
          <w:color w:val="auto"/>
          <w:kern w:val="28"/>
          <w:sz w:val="28"/>
          <w:szCs w:val="32"/>
          <w:highlight w:val="none"/>
          <w:lang w:eastAsia="zh-CN"/>
        </w:rPr>
        <w:t>（</w:t>
      </w:r>
      <w:r>
        <w:rPr>
          <w:rFonts w:hint="eastAsia" w:ascii="仿宋" w:hAnsi="仿宋" w:eastAsia="仿宋" w:cs="仿宋"/>
          <w:b/>
          <w:bCs/>
          <w:color w:val="auto"/>
          <w:kern w:val="28"/>
          <w:sz w:val="28"/>
          <w:szCs w:val="32"/>
          <w:highlight w:val="none"/>
          <w:lang w:val="en-US" w:eastAsia="zh-CN"/>
        </w:rPr>
        <w:t>1</w:t>
      </w:r>
      <w:r>
        <w:rPr>
          <w:rFonts w:hint="eastAsia" w:ascii="仿宋" w:hAnsi="仿宋" w:eastAsia="仿宋" w:cs="仿宋"/>
          <w:b/>
          <w:bCs/>
          <w:color w:val="auto"/>
          <w:kern w:val="28"/>
          <w:sz w:val="28"/>
          <w:szCs w:val="32"/>
          <w:highlight w:val="none"/>
          <w:lang w:eastAsia="zh-CN"/>
        </w:rPr>
        <w:t>）</w:t>
      </w:r>
      <w:r>
        <w:rPr>
          <w:rFonts w:hint="eastAsia" w:ascii="仿宋" w:hAnsi="仿宋" w:eastAsia="仿宋" w:cs="仿宋"/>
          <w:b/>
          <w:bCs/>
          <w:color w:val="auto"/>
          <w:kern w:val="28"/>
          <w:sz w:val="28"/>
          <w:szCs w:val="32"/>
          <w:highlight w:val="none"/>
        </w:rPr>
        <w:t>投标声明函</w:t>
      </w:r>
      <w:bookmarkEnd w:id="471"/>
    </w:p>
    <w:p w14:paraId="1F03CB06">
      <w:pPr>
        <w:pStyle w:val="18"/>
        <w:spacing w:before="157" w:after="157" w:line="288" w:lineRule="auto"/>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（采购人）</w:t>
      </w:r>
    </w:p>
    <w:p w14:paraId="00D81F3E">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（投标人名称）系中华人民共和国合法企业，经营地址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FB5E556">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0000FF"/>
          <w:sz w:val="24"/>
          <w:highlight w:val="none"/>
        </w:rPr>
        <w:t>（投标人名称</w:t>
      </w:r>
      <w:r>
        <w:rPr>
          <w:rFonts w:hint="eastAsia" w:ascii="仿宋" w:hAnsi="仿宋" w:eastAsia="仿宋" w:cs="仿宋"/>
          <w:color w:val="0000FF"/>
          <w:sz w:val="24"/>
          <w:highlight w:val="none"/>
          <w:lang w:eastAsia="zh-CN"/>
        </w:rPr>
        <w:t>、含各联合体成员单位</w:t>
      </w:r>
      <w:r>
        <w:rPr>
          <w:rFonts w:hint="eastAsia" w:ascii="仿宋" w:hAnsi="仿宋" w:eastAsia="仿宋" w:cs="仿宋"/>
          <w:color w:val="0000FF"/>
          <w:sz w:val="24"/>
          <w:highlight w:val="none"/>
        </w:rPr>
        <w:t>）</w:t>
      </w:r>
      <w:r>
        <w:rPr>
          <w:rFonts w:hint="eastAsia" w:ascii="仿宋" w:hAnsi="仿宋" w:eastAsia="仿宋" w:cs="仿宋"/>
          <w:color w:val="auto"/>
          <w:sz w:val="24"/>
          <w:highlight w:val="none"/>
        </w:rPr>
        <w:t>的法定代表人，我方愿意参加贵方组织的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项目的投标，为便于贵方公正、择优地确定中标人，我方就本次投标有关事项郑重声明如下：</w:t>
      </w:r>
    </w:p>
    <w:p w14:paraId="28A21281">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（一）我方向贵方提交的所有投标文件、资料都是准确的和真实的；</w:t>
      </w:r>
    </w:p>
    <w:p w14:paraId="4C5C8B2E">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（二）我方不是采购人的附属机构；在获知本项目采购信息后，与采购人聘请的为此项目提供咨询服务的公司及其附属机构没有任何联系。</w:t>
      </w:r>
    </w:p>
    <w:p w14:paraId="241D523E">
      <w:pPr>
        <w:snapToGrid w:val="0"/>
        <w:spacing w:line="288" w:lineRule="auto"/>
        <w:ind w:firstLine="480" w:firstLineChars="200"/>
        <w:rPr>
          <w:rFonts w:hint="eastAsia" w:ascii="仿宋" w:hAnsi="仿宋" w:eastAsia="仿宋" w:cs="仿宋"/>
          <w:b/>
          <w:bCs/>
          <w:color w:val="auto"/>
          <w:highlight w:val="none"/>
          <w:u w:val="single"/>
        </w:rPr>
      </w:pPr>
      <w:r>
        <w:rPr>
          <w:rFonts w:hint="eastAsia" w:ascii="仿宋" w:hAnsi="仿宋" w:eastAsia="仿宋" w:cs="仿宋"/>
          <w:color w:val="auto"/>
          <w:sz w:val="24"/>
          <w:highlight w:val="none"/>
        </w:rPr>
        <w:t>（三）我方拟在中标后将</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工作分包，分包承担主体是</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，我方承诺分包承担主体具备相应资质条件</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，且不再次分包。</w:t>
      </w:r>
      <w:r>
        <w:rPr>
          <w:rFonts w:hint="eastAsia" w:ascii="仿宋" w:hAnsi="仿宋" w:eastAsia="仿宋" w:cs="仿宋"/>
          <w:b/>
          <w:bCs/>
          <w:color w:val="auto"/>
          <w:sz w:val="24"/>
          <w:highlight w:val="none"/>
          <w:u w:val="single"/>
        </w:rPr>
        <w:t>（不再将工作进行分包或本项目不允许分包的，下划线处填写“/”。）</w:t>
      </w:r>
    </w:p>
    <w:p w14:paraId="22096EB3">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方在此声明，所递交的投标文件及有关资料内容完整、真实和准确，如有虚假或隐瞒，我方愿意承担一切后果和责任。严格遵守相关法律法规的规定：投标人有下列情形之一的，处以采购金额5‰以上10‰以下的罚款，列入不良行为记录名单，在一至三年内禁止参加投标活动；如有违法所得并将其没收；情节严重的，由工商行政管理机关吊销营业执照；构成犯罪的，依法追究刑事责任：</w:t>
      </w:r>
    </w:p>
    <w:p w14:paraId="7360D4FC">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1.提供虚假材料谋取中标、成交的；</w:t>
      </w:r>
    </w:p>
    <w:p w14:paraId="05C14C5F">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2.采取不正当手段诋毁、排挤其他投标人的；</w:t>
      </w:r>
    </w:p>
    <w:p w14:paraId="4329C714">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3.与其他投标人恶意串通的；</w:t>
      </w:r>
    </w:p>
    <w:p w14:paraId="66DACF16">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4.向采购单位行贿或者提供其他不正当利益的；</w:t>
      </w:r>
    </w:p>
    <w:p w14:paraId="50B600F2">
      <w:pPr>
        <w:snapToGrid w:val="0"/>
        <w:spacing w:line="288" w:lineRule="auto"/>
        <w:ind w:left="420" w:leftChars="200"/>
        <w:rPr>
          <w:rFonts w:hint="eastAsia" w:ascii="仿宋" w:hAnsi="仿宋" w:eastAsia="仿宋" w:cs="仿宋"/>
          <w:color w:val="auto"/>
          <w:highlight w:val="none"/>
        </w:rPr>
      </w:pPr>
      <w:r>
        <w:rPr>
          <w:rFonts w:hint="eastAsia" w:ascii="仿宋" w:hAnsi="仿宋" w:eastAsia="仿宋" w:cs="仿宋"/>
          <w:color w:val="auto"/>
          <w:sz w:val="24"/>
          <w:highlight w:val="none"/>
        </w:rPr>
        <w:t>5.拒绝有关部门监督检查或提供虚假情况的。</w:t>
      </w:r>
    </w:p>
    <w:p w14:paraId="07A82C5C">
      <w:pPr>
        <w:spacing w:line="360" w:lineRule="auto"/>
        <w:ind w:firstLine="3675" w:firstLineChars="1750"/>
        <w:rPr>
          <w:rFonts w:hint="eastAsia" w:ascii="仿宋" w:hAnsi="仿宋" w:eastAsia="仿宋" w:cs="仿宋"/>
          <w:color w:val="auto"/>
          <w:szCs w:val="21"/>
          <w:highlight w:val="none"/>
          <w:lang w:val="zh-CN"/>
        </w:rPr>
      </w:pPr>
    </w:p>
    <w:p w14:paraId="4A51C60F">
      <w:pPr>
        <w:spacing w:before="120" w:beforeLines="50" w:line="480" w:lineRule="auto"/>
        <w:ind w:firstLine="3960" w:firstLineChars="1650"/>
        <w:rPr>
          <w:rFonts w:hint="eastAsia" w:ascii="仿宋" w:hAnsi="仿宋" w:eastAsia="仿宋" w:cs="仿宋"/>
          <w:color w:val="auto"/>
          <w:sz w:val="24"/>
          <w:highlight w:val="none"/>
        </w:rPr>
      </w:pPr>
      <w:bookmarkStart w:id="472" w:name="_Toc794"/>
      <w:bookmarkStart w:id="473" w:name="_Toc4718_WPSOffice_Level2"/>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3591168A">
      <w:pPr>
        <w:spacing w:before="120" w:beforeLines="50" w:line="480" w:lineRule="auto"/>
        <w:ind w:firstLine="3960" w:firstLineChars="16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14:paraId="5E806856">
      <w:pPr>
        <w:pStyle w:val="2"/>
        <w:spacing w:after="0" w:line="480" w:lineRule="auto"/>
        <w:rPr>
          <w:rFonts w:hint="eastAsia" w:ascii="仿宋" w:hAnsi="仿宋" w:eastAsia="仿宋" w:cs="仿宋"/>
          <w:color w:val="auto"/>
          <w:highlight w:val="none"/>
        </w:rPr>
        <w:sectPr>
          <w:footerReference r:id="rId8" w:type="default"/>
          <w:footerReference r:id="rId9" w:type="even"/>
          <w:pgSz w:w="11900" w:h="16840"/>
          <w:pgMar w:top="1020" w:right="1474" w:bottom="1020" w:left="1474" w:header="867" w:footer="850" w:gutter="0"/>
          <w:pgNumType w:fmt="decimal"/>
          <w:cols w:space="720" w:num="1"/>
          <w:docGrid w:linePitch="360" w:charSpace="0"/>
        </w:sectPr>
      </w:pP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 xml:space="preserve">授权委托日期： </w:t>
      </w:r>
      <w:r>
        <w:rPr>
          <w:rFonts w:hint="eastAsia" w:ascii="仿宋" w:hAnsi="仿宋" w:eastAsia="仿宋" w:cs="仿宋"/>
          <w:color w:val="auto"/>
          <w:sz w:val="24"/>
          <w:szCs w:val="24"/>
          <w:highlight w:val="none"/>
          <w:u w:val="single"/>
        </w:rPr>
        <w:t xml:space="preserve">                 </w:t>
      </w:r>
    </w:p>
    <w:p w14:paraId="05C2F49F">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28"/>
          <w:sz w:val="28"/>
          <w:szCs w:val="32"/>
          <w:highlight w:val="none"/>
          <w:lang w:eastAsia="zh-CN"/>
        </w:rPr>
      </w:pPr>
      <w:bookmarkStart w:id="474" w:name="_Toc17838"/>
      <w:bookmarkStart w:id="475" w:name="_Toc33194405"/>
      <w:bookmarkStart w:id="476" w:name="_Toc27119254"/>
      <w:r>
        <w:rPr>
          <w:rFonts w:hint="eastAsia" w:ascii="仿宋" w:hAnsi="仿宋" w:eastAsia="仿宋" w:cs="仿宋"/>
          <w:b/>
          <w:bCs/>
          <w:color w:val="auto"/>
          <w:kern w:val="28"/>
          <w:sz w:val="28"/>
          <w:szCs w:val="32"/>
          <w:highlight w:val="none"/>
          <w:lang w:eastAsia="zh-CN"/>
        </w:rPr>
        <w:t>（</w:t>
      </w:r>
      <w:r>
        <w:rPr>
          <w:rFonts w:hint="eastAsia" w:ascii="仿宋" w:hAnsi="仿宋" w:eastAsia="仿宋" w:cs="仿宋"/>
          <w:b/>
          <w:bCs/>
          <w:color w:val="auto"/>
          <w:kern w:val="28"/>
          <w:sz w:val="28"/>
          <w:szCs w:val="32"/>
          <w:highlight w:val="none"/>
          <w:lang w:val="en-US" w:eastAsia="zh-CN"/>
        </w:rPr>
        <w:t>2</w:t>
      </w:r>
      <w:r>
        <w:rPr>
          <w:rFonts w:hint="eastAsia" w:ascii="仿宋" w:hAnsi="仿宋" w:eastAsia="仿宋" w:cs="仿宋"/>
          <w:b/>
          <w:bCs/>
          <w:color w:val="auto"/>
          <w:kern w:val="28"/>
          <w:sz w:val="28"/>
          <w:szCs w:val="32"/>
          <w:highlight w:val="none"/>
          <w:lang w:eastAsia="zh-CN"/>
        </w:rPr>
        <w:t>）营业执照(或事业法人登记证书)</w:t>
      </w:r>
      <w:bookmarkEnd w:id="474"/>
      <w:r>
        <w:rPr>
          <w:rFonts w:hint="eastAsia" w:ascii="仿宋" w:hAnsi="仿宋" w:eastAsia="仿宋" w:cs="仿宋"/>
          <w:b/>
          <w:bCs/>
          <w:color w:val="0000FF"/>
          <w:kern w:val="28"/>
          <w:sz w:val="28"/>
          <w:szCs w:val="32"/>
          <w:highlight w:val="none"/>
          <w:lang w:eastAsia="zh-CN"/>
        </w:rPr>
        <w:t>（联合体各成员均需提供）</w:t>
      </w:r>
    </w:p>
    <w:p w14:paraId="4F274ABB">
      <w:pPr>
        <w:pStyle w:val="26"/>
        <w:jc w:val="left"/>
        <w:outlineLvl w:val="9"/>
        <w:rPr>
          <w:rFonts w:hint="eastAsia" w:ascii="仿宋" w:hAnsi="仿宋" w:eastAsia="仿宋" w:cs="仿宋"/>
          <w:color w:val="auto"/>
          <w:highlight w:val="none"/>
        </w:rPr>
      </w:pPr>
    </w:p>
    <w:p w14:paraId="6C6A38F4">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5C020658">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28"/>
          <w:sz w:val="28"/>
          <w:szCs w:val="32"/>
          <w:highlight w:val="none"/>
          <w:lang w:eastAsia="zh-CN"/>
        </w:rPr>
      </w:pPr>
      <w:r>
        <w:rPr>
          <w:rFonts w:hint="eastAsia" w:ascii="仿宋" w:hAnsi="仿宋" w:eastAsia="仿宋" w:cs="仿宋"/>
          <w:b/>
          <w:bCs/>
          <w:color w:val="auto"/>
          <w:kern w:val="28"/>
          <w:sz w:val="28"/>
          <w:szCs w:val="32"/>
          <w:highlight w:val="none"/>
          <w:lang w:eastAsia="zh-CN"/>
        </w:rPr>
        <w:t>（</w:t>
      </w:r>
      <w:r>
        <w:rPr>
          <w:rFonts w:hint="eastAsia" w:ascii="仿宋" w:hAnsi="仿宋" w:eastAsia="仿宋" w:cs="仿宋"/>
          <w:b/>
          <w:bCs/>
          <w:color w:val="auto"/>
          <w:kern w:val="28"/>
          <w:sz w:val="28"/>
          <w:szCs w:val="32"/>
          <w:highlight w:val="none"/>
          <w:lang w:val="en-US" w:eastAsia="zh-CN"/>
        </w:rPr>
        <w:t>3</w:t>
      </w:r>
      <w:r>
        <w:rPr>
          <w:rFonts w:hint="eastAsia" w:ascii="仿宋" w:hAnsi="仿宋" w:eastAsia="仿宋" w:cs="仿宋"/>
          <w:b/>
          <w:bCs/>
          <w:color w:val="auto"/>
          <w:kern w:val="28"/>
          <w:sz w:val="28"/>
          <w:szCs w:val="32"/>
          <w:highlight w:val="none"/>
          <w:lang w:eastAsia="zh-CN"/>
        </w:rPr>
        <w:t>）具有履行合同所必需的场地、设备和专业技术能力的承诺函</w:t>
      </w:r>
    </w:p>
    <w:p w14:paraId="093C96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w:t>
      </w:r>
    </w:p>
    <w:p w14:paraId="2D3D929F">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（投标人名称）</w:t>
      </w:r>
      <w:r>
        <w:rPr>
          <w:rFonts w:hint="eastAsia" w:ascii="仿宋" w:hAnsi="仿宋" w:eastAsia="仿宋" w:cs="仿宋"/>
          <w:color w:val="auto"/>
          <w:kern w:val="0"/>
          <w:sz w:val="24"/>
          <w:highlight w:val="none"/>
        </w:rPr>
        <w:t>承诺具有履行合同所必需的场地、设备和专业技术能力。如有虚假，采购人可取消我方任何资格（投标/中标/签订合同），我方对此无任何异议。</w:t>
      </w:r>
    </w:p>
    <w:p w14:paraId="7C45EEDD">
      <w:pPr>
        <w:widowControl/>
        <w:snapToGrid w:val="0"/>
        <w:spacing w:line="600" w:lineRule="exact"/>
        <w:ind w:firstLine="480" w:firstLineChars="200"/>
        <w:jc w:val="left"/>
        <w:rPr>
          <w:rFonts w:hint="eastAsia" w:ascii="仿宋" w:hAnsi="仿宋" w:eastAsia="仿宋" w:cs="仿宋"/>
          <w:color w:val="auto"/>
          <w:kern w:val="0"/>
          <w:sz w:val="24"/>
          <w:highlight w:val="none"/>
        </w:rPr>
      </w:pPr>
    </w:p>
    <w:p w14:paraId="4A170F81">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14:paraId="6A885A90">
      <w:pPr>
        <w:widowControl/>
        <w:snapToGrid w:val="0"/>
        <w:spacing w:line="600" w:lineRule="exact"/>
        <w:ind w:firstLine="480" w:firstLineChars="200"/>
        <w:jc w:val="left"/>
        <w:rPr>
          <w:rFonts w:hint="eastAsia" w:ascii="仿宋" w:hAnsi="仿宋" w:eastAsia="仿宋" w:cs="仿宋"/>
          <w:color w:val="auto"/>
          <w:kern w:val="0"/>
          <w:sz w:val="24"/>
          <w:highlight w:val="none"/>
        </w:rPr>
      </w:pPr>
    </w:p>
    <w:p w14:paraId="7A6114A7">
      <w:pPr>
        <w:keepNext/>
        <w:keepLines/>
        <w:pageBreakBefore w:val="0"/>
        <w:widowControl w:val="0"/>
        <w:kinsoku/>
        <w:wordWrap/>
        <w:overflowPunct/>
        <w:topLinePunct w:val="0"/>
        <w:autoSpaceDE/>
        <w:autoSpaceDN/>
        <w:bidi w:val="0"/>
        <w:adjustRightInd w:val="0"/>
        <w:snapToGrid w:val="0"/>
        <w:textAlignment w:val="auto"/>
        <w:outlineLvl w:val="9"/>
        <w:rPr>
          <w:rFonts w:hint="eastAsia"/>
        </w:rPr>
      </w:pPr>
    </w:p>
    <w:p w14:paraId="7FEE12A2">
      <w:pPr>
        <w:spacing w:before="120" w:beforeLines="50" w:line="480" w:lineRule="auto"/>
        <w:ind w:firstLine="3960" w:firstLineChars="16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5A12CED5">
      <w:pPr>
        <w:spacing w:before="120" w:beforeLines="50" w:line="480" w:lineRule="auto"/>
        <w:ind w:firstLine="3960" w:firstLineChars="16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14:paraId="28AE432A">
      <w:pPr>
        <w:pStyle w:val="2"/>
        <w:spacing w:after="0" w:line="480" w:lineRule="auto"/>
        <w:rPr>
          <w:rFonts w:hint="eastAsia" w:ascii="仿宋" w:hAnsi="仿宋" w:eastAsia="仿宋" w:cs="仿宋"/>
          <w:color w:val="auto"/>
          <w:highlight w:val="none"/>
        </w:rPr>
        <w:sectPr>
          <w:footerReference r:id="rId10" w:type="default"/>
          <w:footerReference r:id="rId11" w:type="even"/>
          <w:pgSz w:w="11900" w:h="16840"/>
          <w:pgMar w:top="1020" w:right="1474" w:bottom="1020" w:left="1474" w:header="867" w:footer="850" w:gutter="0"/>
          <w:pgNumType w:fmt="decimal"/>
          <w:cols w:space="720" w:num="1"/>
          <w:docGrid w:linePitch="360" w:charSpace="0"/>
        </w:sectPr>
      </w:pP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 xml:space="preserve">授权委托日期： </w:t>
      </w:r>
      <w:r>
        <w:rPr>
          <w:rFonts w:hint="eastAsia" w:ascii="仿宋" w:hAnsi="仿宋" w:eastAsia="仿宋" w:cs="仿宋"/>
          <w:color w:val="auto"/>
          <w:sz w:val="24"/>
          <w:szCs w:val="24"/>
          <w:highlight w:val="none"/>
          <w:u w:val="single"/>
        </w:rPr>
        <w:t xml:space="preserve">                  </w:t>
      </w:r>
    </w:p>
    <w:p w14:paraId="6634C39B">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color w:val="auto"/>
          <w:highlight w:val="none"/>
        </w:rPr>
      </w:pPr>
      <w:r>
        <w:rPr>
          <w:rFonts w:hint="eastAsia" w:ascii="仿宋" w:hAnsi="仿宋" w:eastAsia="仿宋" w:cs="仿宋"/>
          <w:b/>
          <w:bCs/>
          <w:color w:val="auto"/>
          <w:kern w:val="28"/>
          <w:sz w:val="28"/>
          <w:szCs w:val="32"/>
          <w:highlight w:val="none"/>
          <w:lang w:eastAsia="zh-CN"/>
        </w:rPr>
        <w:t>（</w:t>
      </w:r>
      <w:r>
        <w:rPr>
          <w:rFonts w:hint="eastAsia" w:ascii="仿宋" w:hAnsi="仿宋" w:eastAsia="仿宋" w:cs="仿宋"/>
          <w:b/>
          <w:bCs/>
          <w:color w:val="auto"/>
          <w:kern w:val="28"/>
          <w:sz w:val="28"/>
          <w:szCs w:val="32"/>
          <w:highlight w:val="none"/>
          <w:lang w:val="en-US" w:eastAsia="zh-CN"/>
        </w:rPr>
        <w:t>4</w:t>
      </w:r>
      <w:r>
        <w:rPr>
          <w:rFonts w:hint="eastAsia" w:ascii="仿宋" w:hAnsi="仿宋" w:eastAsia="仿宋" w:cs="仿宋"/>
          <w:b/>
          <w:bCs/>
          <w:color w:val="auto"/>
          <w:kern w:val="28"/>
          <w:sz w:val="28"/>
          <w:szCs w:val="32"/>
          <w:highlight w:val="none"/>
          <w:lang w:eastAsia="zh-CN"/>
        </w:rPr>
        <w:t>）参加投标活动前3年内在经营活动中没有重大违法记录的声明函</w:t>
      </w:r>
    </w:p>
    <w:p w14:paraId="3DEF98E0">
      <w:pPr>
        <w:spacing w:line="360" w:lineRule="auto"/>
        <w:rPr>
          <w:rFonts w:hint="eastAsia" w:ascii="仿宋" w:hAnsi="仿宋" w:eastAsia="仿宋" w:cs="仿宋"/>
          <w:color w:val="auto"/>
          <w:sz w:val="24"/>
          <w:highlight w:val="none"/>
        </w:rPr>
      </w:pPr>
    </w:p>
    <w:p w14:paraId="672B5D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w:t>
      </w:r>
    </w:p>
    <w:p w14:paraId="007A0811">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（投标人名称）</w:t>
      </w:r>
      <w:r>
        <w:rPr>
          <w:rFonts w:hint="eastAsia" w:ascii="仿宋" w:hAnsi="仿宋" w:eastAsia="仿宋" w:cs="仿宋"/>
          <w:color w:val="auto"/>
          <w:kern w:val="0"/>
          <w:sz w:val="24"/>
          <w:highlight w:val="none"/>
        </w:rPr>
        <w:t>具有良好的商业信誉，依法缴纳税收和社会保障资金，未被列入失信被执行人名单、重大税收违法案件当事人名单、投标严重违法失信行为记录名单，参加本次投标活动前3年内在经营活动中没有重大违法记录（没有因违法经营受到刑事处罚，没有被责令停产停业、被吊销许可证或者执照、被处以较大数额罚款等行政处罚，没有因违法经营被禁止参加投标活动的期限未满情形）。如有虚假，采购人可取消我方任何资格（投标/中标/签订合同），我方对此无任何异议。</w:t>
      </w:r>
    </w:p>
    <w:p w14:paraId="77FD24CD">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14:paraId="51891622">
      <w:pPr>
        <w:pStyle w:val="48"/>
        <w:rPr>
          <w:rFonts w:hint="eastAsia" w:ascii="仿宋" w:hAnsi="仿宋" w:eastAsia="仿宋" w:cs="仿宋"/>
          <w:color w:val="auto"/>
          <w:highlight w:val="none"/>
        </w:rPr>
      </w:pPr>
    </w:p>
    <w:p w14:paraId="4C907A23">
      <w:pPr>
        <w:pStyle w:val="48"/>
        <w:rPr>
          <w:rFonts w:hint="eastAsia" w:ascii="仿宋" w:hAnsi="仿宋" w:eastAsia="仿宋" w:cs="仿宋"/>
          <w:color w:val="auto"/>
          <w:highlight w:val="none"/>
        </w:rPr>
      </w:pPr>
    </w:p>
    <w:p w14:paraId="5815799B">
      <w:pPr>
        <w:pStyle w:val="48"/>
        <w:rPr>
          <w:rFonts w:hint="eastAsia" w:ascii="仿宋" w:hAnsi="仿宋" w:eastAsia="仿宋" w:cs="仿宋"/>
          <w:color w:val="auto"/>
          <w:highlight w:val="none"/>
        </w:rPr>
      </w:pPr>
    </w:p>
    <w:p w14:paraId="312F22B5">
      <w:pPr>
        <w:spacing w:before="120" w:beforeLines="50" w:line="480" w:lineRule="auto"/>
        <w:ind w:firstLine="3960" w:firstLineChars="16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5F7E769D">
      <w:pPr>
        <w:spacing w:before="120" w:beforeLines="50" w:line="480" w:lineRule="auto"/>
        <w:ind w:firstLine="3960" w:firstLineChars="16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14:paraId="5477F441">
      <w:pPr>
        <w:pStyle w:val="2"/>
        <w:spacing w:after="0" w:line="480" w:lineRule="auto"/>
        <w:rPr>
          <w:rFonts w:hint="eastAsia" w:ascii="仿宋" w:hAnsi="仿宋" w:eastAsia="仿宋" w:cs="仿宋"/>
          <w:color w:val="auto"/>
          <w:highlight w:val="none"/>
        </w:rPr>
        <w:sectPr>
          <w:footerReference r:id="rId12" w:type="default"/>
          <w:footerReference r:id="rId13" w:type="even"/>
          <w:pgSz w:w="11900" w:h="16840"/>
          <w:pgMar w:top="1020" w:right="1474" w:bottom="1020" w:left="1474" w:header="867" w:footer="850" w:gutter="0"/>
          <w:pgNumType w:fmt="decimal"/>
          <w:cols w:space="720" w:num="1"/>
          <w:docGrid w:linePitch="360" w:charSpace="0"/>
        </w:sectPr>
      </w:pP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 xml:space="preserve">授权委托日期： </w:t>
      </w:r>
      <w:r>
        <w:rPr>
          <w:rFonts w:hint="eastAsia" w:ascii="仿宋" w:hAnsi="仿宋" w:eastAsia="仿宋" w:cs="仿宋"/>
          <w:color w:val="auto"/>
          <w:sz w:val="24"/>
          <w:szCs w:val="24"/>
          <w:highlight w:val="none"/>
          <w:u w:val="single"/>
        </w:rPr>
        <w:t xml:space="preserve">                  </w:t>
      </w:r>
    </w:p>
    <w:p w14:paraId="7FB7DD5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color w:val="auto"/>
          <w:highlight w:val="none"/>
        </w:rPr>
        <w:sectPr>
          <w:footerReference r:id="rId14" w:type="default"/>
          <w:pgSz w:w="11906" w:h="16838"/>
          <w:pgMar w:top="1020" w:right="1474" w:bottom="1020" w:left="1474" w:header="851" w:footer="850" w:gutter="0"/>
          <w:pgNumType w:fmt="decimal"/>
          <w:cols w:space="720" w:num="1"/>
          <w:docGrid w:type="lines" w:linePitch="315" w:charSpace="0"/>
        </w:sectPr>
      </w:pPr>
      <w:r>
        <w:rPr>
          <w:rFonts w:hint="eastAsia" w:ascii="仿宋" w:hAnsi="仿宋" w:eastAsia="仿宋" w:cs="仿宋"/>
          <w:b/>
          <w:bCs/>
          <w:color w:val="auto"/>
          <w:highlight w:val="none"/>
        </w:rPr>
        <w:drawing>
          <wp:anchor distT="0" distB="0" distL="114300" distR="114300" simplePos="0" relativeHeight="251660288" behindDoc="0" locked="0" layoutInCell="1" allowOverlap="1">
            <wp:simplePos x="0" y="0"/>
            <wp:positionH relativeFrom="column">
              <wp:posOffset>76200</wp:posOffset>
            </wp:positionH>
            <wp:positionV relativeFrom="paragraph">
              <wp:posOffset>5420360</wp:posOffset>
            </wp:positionV>
            <wp:extent cx="5583555" cy="3690620"/>
            <wp:effectExtent l="0" t="0" r="17145" b="5080"/>
            <wp:wrapNone/>
            <wp:docPr id="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pic:cNvPicPr>
                      <a:picLocks noChangeAspect="1"/>
                    </pic:cNvPicPr>
                  </pic:nvPicPr>
                  <pic:blipFill>
                    <a:blip r:embed="rId22"/>
                    <a:stretch>
                      <a:fillRect/>
                    </a:stretch>
                  </pic:blipFill>
                  <pic:spPr>
                    <a:xfrm>
                      <a:off x="0" y="0"/>
                      <a:ext cx="5583555" cy="3690620"/>
                    </a:xfrm>
                    <a:prstGeom prst="rect">
                      <a:avLst/>
                    </a:prstGeom>
                    <a:solidFill>
                      <a:srgbClr val="FFC000"/>
                    </a:solidFill>
                    <a:ln>
                      <a:noFill/>
                    </a:ln>
                  </pic:spPr>
                </pic:pic>
              </a:graphicData>
            </a:graphic>
          </wp:anchor>
        </w:drawing>
      </w:r>
      <w:r>
        <w:rPr>
          <w:rFonts w:hint="eastAsia" w:ascii="仿宋" w:hAnsi="仿宋" w:eastAsia="仿宋" w:cs="仿宋"/>
          <w:b/>
          <w:color w:val="auto"/>
          <w:sz w:val="30"/>
          <w:szCs w:val="30"/>
          <w:highlight w:val="none"/>
        </w:rPr>
        <w:drawing>
          <wp:anchor distT="0" distB="0" distL="114300" distR="114300" simplePos="0" relativeHeight="251659264" behindDoc="0" locked="0" layoutInCell="1" allowOverlap="1">
            <wp:simplePos x="0" y="0"/>
            <wp:positionH relativeFrom="column">
              <wp:posOffset>-4445</wp:posOffset>
            </wp:positionH>
            <wp:positionV relativeFrom="paragraph">
              <wp:posOffset>1443355</wp:posOffset>
            </wp:positionV>
            <wp:extent cx="5687695" cy="3900805"/>
            <wp:effectExtent l="0" t="0" r="8255" b="4445"/>
            <wp:wrapNone/>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23"/>
                    <a:stretch>
                      <a:fillRect/>
                    </a:stretch>
                  </pic:blipFill>
                  <pic:spPr>
                    <a:xfrm>
                      <a:off x="0" y="0"/>
                      <a:ext cx="5687695" cy="3900805"/>
                    </a:xfrm>
                    <a:prstGeom prst="rect">
                      <a:avLst/>
                    </a:prstGeom>
                    <a:noFill/>
                    <a:ln>
                      <a:noFill/>
                    </a:ln>
                  </pic:spPr>
                </pic:pic>
              </a:graphicData>
            </a:graphic>
          </wp:anchor>
        </w:drawing>
      </w:r>
      <w:r>
        <w:rPr>
          <w:rFonts w:hint="eastAsia" w:ascii="仿宋" w:hAnsi="仿宋" w:eastAsia="仿宋" w:cs="仿宋"/>
          <w:b/>
          <w:bCs/>
          <w:color w:val="auto"/>
          <w:kern w:val="28"/>
          <w:sz w:val="28"/>
          <w:szCs w:val="32"/>
          <w:highlight w:val="none"/>
          <w:lang w:eastAsia="zh-CN"/>
        </w:rPr>
        <w:t>（</w:t>
      </w:r>
      <w:r>
        <w:rPr>
          <w:rFonts w:hint="eastAsia" w:ascii="仿宋" w:hAnsi="仿宋" w:eastAsia="仿宋" w:cs="仿宋"/>
          <w:b/>
          <w:bCs/>
          <w:color w:val="auto"/>
          <w:kern w:val="28"/>
          <w:sz w:val="28"/>
          <w:szCs w:val="32"/>
          <w:highlight w:val="none"/>
          <w:lang w:val="en-US" w:eastAsia="zh-CN"/>
        </w:rPr>
        <w:t>5</w:t>
      </w:r>
      <w:r>
        <w:rPr>
          <w:rFonts w:hint="eastAsia" w:ascii="仿宋" w:hAnsi="仿宋" w:eastAsia="仿宋" w:cs="仿宋"/>
          <w:b/>
          <w:bCs/>
          <w:color w:val="auto"/>
          <w:kern w:val="28"/>
          <w:sz w:val="28"/>
          <w:szCs w:val="32"/>
          <w:highlight w:val="none"/>
          <w:lang w:eastAsia="zh-CN"/>
        </w:rPr>
        <w:t>）公告发布之日起至投标截止时间前“信用中国”、“中国采购网”页面查询结果的网页截图</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zh-CN"/>
        </w:rPr>
        <w:t>信用中国</w:t>
      </w:r>
      <w:r>
        <w:rPr>
          <w:rFonts w:hint="eastAsia" w:ascii="仿宋" w:hAnsi="仿宋" w:eastAsia="仿宋" w:cs="仿宋"/>
          <w:b/>
          <w:color w:val="auto"/>
          <w:sz w:val="30"/>
          <w:szCs w:val="30"/>
          <w:highlight w:val="none"/>
        </w:rPr>
        <w:t>”（www.creditchina.gov.cn）</w:t>
      </w:r>
      <w:r>
        <w:rPr>
          <w:rFonts w:hint="eastAsia" w:ascii="仿宋" w:hAnsi="仿宋" w:eastAsia="仿宋" w:cs="仿宋"/>
          <w:b/>
          <w:color w:val="auto"/>
          <w:sz w:val="30"/>
          <w:szCs w:val="30"/>
          <w:highlight w:val="none"/>
          <w:lang w:val="zh-CN"/>
        </w:rPr>
        <w:t>、</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zh-CN"/>
        </w:rPr>
        <w:t>中国采购网</w:t>
      </w:r>
      <w:r>
        <w:rPr>
          <w:rFonts w:hint="eastAsia" w:ascii="仿宋" w:hAnsi="仿宋" w:eastAsia="仿宋" w:cs="仿宋"/>
          <w:b/>
          <w:color w:val="auto"/>
          <w:sz w:val="30"/>
          <w:szCs w:val="30"/>
          <w:highlight w:val="none"/>
        </w:rPr>
        <w:t>”（www.ccgp.gov.cn）</w:t>
      </w:r>
      <w:r>
        <w:rPr>
          <w:rFonts w:hint="eastAsia" w:ascii="仿宋" w:hAnsi="仿宋" w:eastAsia="仿宋" w:cs="仿宋"/>
          <w:b/>
          <w:color w:val="auto"/>
          <w:sz w:val="30"/>
          <w:szCs w:val="30"/>
          <w:highlight w:val="none"/>
          <w:lang w:val="zh-CN"/>
        </w:rPr>
        <w:t>网页截图模板</w:t>
      </w:r>
      <w:r>
        <w:rPr>
          <w:rFonts w:hint="eastAsia" w:ascii="仿宋" w:hAnsi="仿宋" w:eastAsia="仿宋" w:cs="仿宋"/>
          <w:b/>
          <w:bCs/>
          <w:color w:val="0000FF"/>
          <w:kern w:val="28"/>
          <w:sz w:val="28"/>
          <w:szCs w:val="32"/>
          <w:highlight w:val="none"/>
          <w:lang w:eastAsia="zh-CN"/>
        </w:rPr>
        <w:t>（联合体各成员均需提供）</w:t>
      </w:r>
    </w:p>
    <w:p w14:paraId="0A1A06FB">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28"/>
          <w:sz w:val="28"/>
          <w:szCs w:val="32"/>
          <w:highlight w:val="none"/>
          <w:lang w:eastAsia="zh-CN"/>
        </w:rPr>
      </w:pPr>
      <w:r>
        <w:rPr>
          <w:rFonts w:hint="eastAsia" w:ascii="仿宋" w:hAnsi="仿宋" w:eastAsia="仿宋" w:cs="仿宋"/>
          <w:b/>
          <w:bCs/>
          <w:color w:val="auto"/>
          <w:kern w:val="28"/>
          <w:sz w:val="28"/>
          <w:szCs w:val="32"/>
          <w:highlight w:val="none"/>
          <w:lang w:eastAsia="zh-CN"/>
        </w:rPr>
        <w:t>（</w:t>
      </w:r>
      <w:r>
        <w:rPr>
          <w:rFonts w:hint="eastAsia" w:ascii="仿宋" w:hAnsi="仿宋" w:eastAsia="仿宋" w:cs="仿宋"/>
          <w:b/>
          <w:bCs/>
          <w:color w:val="auto"/>
          <w:kern w:val="28"/>
          <w:sz w:val="28"/>
          <w:szCs w:val="32"/>
          <w:highlight w:val="none"/>
          <w:lang w:val="en-US" w:eastAsia="zh-CN"/>
        </w:rPr>
        <w:t>6</w:t>
      </w:r>
      <w:r>
        <w:rPr>
          <w:rFonts w:hint="eastAsia" w:ascii="仿宋" w:hAnsi="仿宋" w:eastAsia="仿宋" w:cs="仿宋"/>
          <w:b/>
          <w:bCs/>
          <w:color w:val="auto"/>
          <w:kern w:val="28"/>
          <w:sz w:val="28"/>
          <w:szCs w:val="32"/>
          <w:highlight w:val="none"/>
          <w:lang w:eastAsia="zh-CN"/>
        </w:rPr>
        <w:t>）法定代表人资格书</w:t>
      </w:r>
    </w:p>
    <w:p w14:paraId="6BCBB8DC">
      <w:pP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u w:val="single"/>
        </w:rPr>
        <w:t xml:space="preserve">                                             </w:t>
      </w:r>
    </w:p>
    <w:p w14:paraId="408AE1D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14:paraId="023FA864">
      <w:pP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0522A87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的法定代表人，为</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，签署上述投标文件、进行合同谈判、签署合同和处理与之有关的一切事务。</w:t>
      </w:r>
    </w:p>
    <w:p w14:paraId="0C73B14F">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8C66EEF">
      <w:pP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法定代表人身份证号：</w:t>
      </w:r>
      <w:r>
        <w:rPr>
          <w:rFonts w:hint="eastAsia" w:ascii="仿宋" w:hAnsi="仿宋" w:eastAsia="仿宋" w:cs="仿宋"/>
          <w:color w:val="auto"/>
          <w:szCs w:val="21"/>
          <w:highlight w:val="none"/>
          <w:u w:val="single"/>
        </w:rPr>
        <w:t xml:space="preserve">                       </w:t>
      </w:r>
    </w:p>
    <w:p w14:paraId="6238D011">
      <w:pP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法定代表人联系号码：</w:t>
      </w:r>
      <w:r>
        <w:rPr>
          <w:rFonts w:hint="eastAsia" w:ascii="仿宋" w:hAnsi="仿宋" w:eastAsia="仿宋" w:cs="仿宋"/>
          <w:color w:val="auto"/>
          <w:szCs w:val="21"/>
          <w:highlight w:val="none"/>
          <w:u w:val="single"/>
        </w:rPr>
        <w:t xml:space="preserve">                       </w:t>
      </w:r>
    </w:p>
    <w:tbl>
      <w:tblPr>
        <w:tblStyle w:val="33"/>
        <w:tblpPr w:leftFromText="180" w:rightFromText="180" w:vertAnchor="text" w:horzAnchor="page" w:tblpXSpec="center" w:tblpY="47"/>
        <w:tblOverlap w:val="never"/>
        <w:tblW w:w="0" w:type="auto"/>
        <w:jc w:val="center"/>
        <w:tblLayout w:type="fixed"/>
        <w:tblCellMar>
          <w:top w:w="0" w:type="dxa"/>
          <w:left w:w="108" w:type="dxa"/>
          <w:bottom w:w="0" w:type="dxa"/>
          <w:right w:w="108" w:type="dxa"/>
        </w:tblCellMar>
      </w:tblPr>
      <w:tblGrid>
        <w:gridCol w:w="4899"/>
        <w:gridCol w:w="4900"/>
      </w:tblGrid>
      <w:tr w14:paraId="61AC30DF">
        <w:tblPrEx>
          <w:tblCellMar>
            <w:top w:w="0" w:type="dxa"/>
            <w:left w:w="108" w:type="dxa"/>
            <w:bottom w:w="0" w:type="dxa"/>
            <w:right w:w="108" w:type="dxa"/>
          </w:tblCellMar>
        </w:tblPrEx>
        <w:trPr>
          <w:trHeight w:val="25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7E2BCBC">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附：法定代表人有效身份证复印件（正面）</w:t>
            </w:r>
          </w:p>
        </w:tc>
        <w:tc>
          <w:tcPr>
            <w:tcW w:w="4900" w:type="dxa"/>
            <w:tcBorders>
              <w:top w:val="single" w:color="auto" w:sz="4" w:space="0"/>
              <w:left w:val="single" w:color="auto" w:sz="4" w:space="0"/>
              <w:bottom w:val="single" w:color="auto" w:sz="4" w:space="0"/>
              <w:right w:val="single" w:color="auto" w:sz="4" w:space="0"/>
            </w:tcBorders>
            <w:vAlign w:val="center"/>
          </w:tcPr>
          <w:p w14:paraId="6BC7F134">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附：法定代表人有效身份证复印件（反面）</w:t>
            </w:r>
          </w:p>
        </w:tc>
      </w:tr>
    </w:tbl>
    <w:p w14:paraId="439F0781">
      <w:pPr>
        <w:pStyle w:val="2"/>
        <w:ind w:left="0" w:leftChars="0" w:firstLine="0"/>
        <w:rPr>
          <w:rFonts w:hint="eastAsia" w:ascii="仿宋" w:hAnsi="仿宋" w:eastAsia="仿宋" w:cs="仿宋"/>
          <w:color w:val="auto"/>
          <w:highlight w:val="none"/>
        </w:rPr>
      </w:pPr>
    </w:p>
    <w:p w14:paraId="0DA1C54F">
      <w:pPr>
        <w:spacing w:line="360" w:lineRule="auto"/>
        <w:rPr>
          <w:rFonts w:hint="eastAsia" w:ascii="仿宋" w:hAnsi="仿宋" w:eastAsia="仿宋" w:cs="仿宋"/>
          <w:color w:val="auto"/>
          <w:sz w:val="24"/>
          <w:highlight w:val="none"/>
        </w:rPr>
      </w:pPr>
    </w:p>
    <w:p w14:paraId="6E0A4DAC">
      <w:pPr>
        <w:spacing w:before="120" w:beforeLines="50"/>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7E39993E">
      <w:pPr>
        <w:spacing w:before="120" w:beforeLines="50"/>
        <w:ind w:firstLine="4320" w:firstLineChars="1800"/>
        <w:rPr>
          <w:rFonts w:hint="eastAsia" w:ascii="仿宋" w:hAnsi="仿宋" w:eastAsia="仿宋" w:cs="仿宋"/>
          <w:color w:val="auto"/>
          <w:sz w:val="24"/>
          <w:highlight w:val="none"/>
        </w:rPr>
      </w:pPr>
    </w:p>
    <w:p w14:paraId="16D773C5">
      <w:pPr>
        <w:spacing w:before="120" w:beforeLines="50"/>
        <w:ind w:firstLine="4320" w:firstLineChars="1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14:paraId="271E0F3E">
      <w:pPr>
        <w:spacing w:before="120" w:beforeLines="50"/>
        <w:ind w:firstLine="4320" w:firstLineChars="1800"/>
        <w:rPr>
          <w:rFonts w:hint="eastAsia" w:ascii="仿宋" w:hAnsi="仿宋" w:eastAsia="仿宋" w:cs="仿宋"/>
          <w:color w:val="auto"/>
          <w:sz w:val="24"/>
          <w:highlight w:val="none"/>
        </w:rPr>
      </w:pPr>
    </w:p>
    <w:p w14:paraId="14376409">
      <w:pPr>
        <w:spacing w:before="120" w:beforeLines="50"/>
        <w:ind w:firstLine="4320" w:firstLineChars="1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日    期： </w:t>
      </w:r>
      <w:r>
        <w:rPr>
          <w:rFonts w:hint="eastAsia" w:ascii="仿宋" w:hAnsi="仿宋" w:eastAsia="仿宋" w:cs="仿宋"/>
          <w:color w:val="auto"/>
          <w:sz w:val="24"/>
          <w:highlight w:val="none"/>
          <w:u w:val="single"/>
        </w:rPr>
        <w:t xml:space="preserve">               </w:t>
      </w:r>
    </w:p>
    <w:p w14:paraId="65EDAA05">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kern w:val="28"/>
          <w:sz w:val="28"/>
          <w:szCs w:val="32"/>
          <w:highlight w:val="none"/>
          <w:lang w:eastAsia="zh-CN"/>
        </w:rPr>
        <w:t>或（</w:t>
      </w:r>
      <w:r>
        <w:rPr>
          <w:rFonts w:hint="eastAsia" w:ascii="仿宋" w:hAnsi="仿宋" w:eastAsia="仿宋" w:cs="仿宋"/>
          <w:b/>
          <w:bCs/>
          <w:color w:val="auto"/>
          <w:kern w:val="28"/>
          <w:sz w:val="28"/>
          <w:szCs w:val="32"/>
          <w:highlight w:val="none"/>
          <w:lang w:val="en-US" w:eastAsia="zh-CN"/>
        </w:rPr>
        <w:t>6</w:t>
      </w:r>
      <w:r>
        <w:rPr>
          <w:rFonts w:hint="eastAsia" w:ascii="仿宋" w:hAnsi="仿宋" w:eastAsia="仿宋" w:cs="仿宋"/>
          <w:b/>
          <w:bCs/>
          <w:color w:val="auto"/>
          <w:kern w:val="28"/>
          <w:sz w:val="28"/>
          <w:szCs w:val="32"/>
          <w:highlight w:val="none"/>
          <w:lang w:eastAsia="zh-CN"/>
        </w:rPr>
        <w:t>）法定代表人授权委托书</w:t>
      </w:r>
    </w:p>
    <w:p w14:paraId="6CE9F14A">
      <w:pPr>
        <w:ind w:firstLine="562"/>
        <w:jc w:val="center"/>
        <w:rPr>
          <w:rFonts w:hint="eastAsia" w:ascii="仿宋" w:hAnsi="仿宋" w:eastAsia="仿宋" w:cs="仿宋"/>
          <w:color w:val="auto"/>
          <w:sz w:val="24"/>
          <w:szCs w:val="24"/>
          <w:highlight w:val="none"/>
        </w:rPr>
      </w:pPr>
    </w:p>
    <w:p w14:paraId="1C1489CA">
      <w:pPr>
        <w:spacing w:before="120" w:beforeLines="5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本人作为</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的法定代表人，在此授权我公司的</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，身份证件号码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，作为我的合法的委托代理人，以我的名义并代表我公司全权处理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项目投标的各项事宜。</w:t>
      </w:r>
    </w:p>
    <w:p w14:paraId="2C6A032D">
      <w:pPr>
        <w:autoSpaceDE w:val="0"/>
        <w:autoSpaceDN w:val="0"/>
        <w:adjustRightInd w:val="0"/>
        <w:snapToGrid w:val="0"/>
        <w:spacing w:before="120" w:beforeLines="50" w:line="360" w:lineRule="auto"/>
        <w:ind w:firstLine="492" w:firstLineChars="200"/>
        <w:rPr>
          <w:rFonts w:hint="eastAsia" w:ascii="仿宋" w:hAnsi="仿宋" w:eastAsia="仿宋" w:cs="仿宋"/>
          <w:color w:val="auto"/>
          <w:sz w:val="24"/>
          <w:highlight w:val="none"/>
        </w:rPr>
      </w:pPr>
      <w:r>
        <w:rPr>
          <w:rFonts w:hint="eastAsia" w:ascii="仿宋" w:hAnsi="仿宋" w:eastAsia="仿宋" w:cs="仿宋"/>
          <w:color w:val="auto"/>
          <w:spacing w:val="3"/>
          <w:kern w:val="0"/>
          <w:sz w:val="24"/>
          <w:highlight w:val="none"/>
        </w:rPr>
        <w:t>本授权书期限自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日起至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日止。</w:t>
      </w:r>
    </w:p>
    <w:p w14:paraId="20CB2291">
      <w:pPr>
        <w:autoSpaceDE w:val="0"/>
        <w:autoSpaceDN w:val="0"/>
        <w:adjustRightInd w:val="0"/>
        <w:snapToGrid w:val="0"/>
        <w:spacing w:before="120" w:beforeLines="50" w:line="360" w:lineRule="auto"/>
        <w:ind w:firstLine="500" w:firstLineChars="200"/>
        <w:rPr>
          <w:rFonts w:hint="eastAsia" w:ascii="仿宋" w:hAnsi="仿宋" w:eastAsia="仿宋" w:cs="仿宋"/>
          <w:color w:val="auto"/>
          <w:sz w:val="24"/>
          <w:highlight w:val="none"/>
        </w:rPr>
      </w:pPr>
      <w:r>
        <w:rPr>
          <w:rFonts w:hint="eastAsia" w:ascii="仿宋" w:hAnsi="仿宋" w:eastAsia="仿宋" w:cs="仿宋"/>
          <w:color w:val="auto"/>
          <w:spacing w:val="5"/>
          <w:kern w:val="0"/>
          <w:sz w:val="24"/>
          <w:highlight w:val="none"/>
        </w:rPr>
        <w:t>在此授权范围和期限内，被授权人所实施的行为具有法律效力，授权人</w:t>
      </w:r>
      <w:r>
        <w:rPr>
          <w:rFonts w:hint="eastAsia" w:ascii="仿宋" w:hAnsi="仿宋" w:eastAsia="仿宋" w:cs="仿宋"/>
          <w:color w:val="auto"/>
          <w:spacing w:val="4"/>
          <w:kern w:val="0"/>
          <w:sz w:val="24"/>
          <w:highlight w:val="none"/>
        </w:rPr>
        <w:t>予以认可。</w:t>
      </w:r>
    </w:p>
    <w:p w14:paraId="0DF67C76">
      <w:pPr>
        <w:autoSpaceDE w:val="0"/>
        <w:autoSpaceDN w:val="0"/>
        <w:adjustRightInd w:val="0"/>
        <w:snapToGrid w:val="0"/>
        <w:spacing w:before="120"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委托代理人无权转让委托权，特此委托。</w:t>
      </w:r>
    </w:p>
    <w:p w14:paraId="79044755">
      <w:pPr>
        <w:spacing w:before="120" w:beforeLines="5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（签字）</w:t>
      </w:r>
      <w:r>
        <w:rPr>
          <w:rFonts w:hint="eastAsia" w:ascii="仿宋" w:hAnsi="仿宋" w:eastAsia="仿宋" w:cs="仿宋"/>
          <w:color w:val="auto"/>
          <w:sz w:val="24"/>
          <w:highlight w:val="none"/>
        </w:rPr>
        <w:t>性别：    年龄：</w:t>
      </w:r>
    </w:p>
    <w:p w14:paraId="4C3D0EF0">
      <w:pPr>
        <w:spacing w:before="120"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    职务：</w:t>
      </w:r>
    </w:p>
    <w:p w14:paraId="6253620F">
      <w:pPr>
        <w:spacing w:line="36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委托代理人手机号码：</w:t>
      </w:r>
      <w:r>
        <w:rPr>
          <w:rFonts w:hint="eastAsia" w:ascii="仿宋" w:hAnsi="仿宋" w:eastAsia="仿宋" w:cs="仿宋"/>
          <w:color w:val="auto"/>
          <w:highlight w:val="none"/>
          <w:u w:val="single"/>
        </w:rPr>
        <w:t xml:space="preserve">               </w:t>
      </w:r>
    </w:p>
    <w:tbl>
      <w:tblPr>
        <w:tblStyle w:val="33"/>
        <w:tblpPr w:leftFromText="180" w:rightFromText="180" w:vertAnchor="text" w:horzAnchor="page" w:tblpX="957" w:tblpY="47"/>
        <w:tblOverlap w:val="never"/>
        <w:tblW w:w="0" w:type="auto"/>
        <w:tblInd w:w="0" w:type="dxa"/>
        <w:tblLayout w:type="fixed"/>
        <w:tblCellMar>
          <w:top w:w="0" w:type="dxa"/>
          <w:left w:w="108" w:type="dxa"/>
          <w:bottom w:w="0" w:type="dxa"/>
          <w:right w:w="108" w:type="dxa"/>
        </w:tblCellMar>
      </w:tblPr>
      <w:tblGrid>
        <w:gridCol w:w="4892"/>
        <w:gridCol w:w="4893"/>
      </w:tblGrid>
      <w:tr w14:paraId="0537D3A0">
        <w:tblPrEx>
          <w:tblCellMar>
            <w:top w:w="0" w:type="dxa"/>
            <w:left w:w="108" w:type="dxa"/>
            <w:bottom w:w="0" w:type="dxa"/>
            <w:right w:w="108" w:type="dxa"/>
          </w:tblCellMar>
        </w:tblPrEx>
        <w:trPr>
          <w:trHeight w:val="3041" w:hRule="atLeast"/>
        </w:trPr>
        <w:tc>
          <w:tcPr>
            <w:tcW w:w="4892" w:type="dxa"/>
            <w:tcBorders>
              <w:top w:val="single" w:color="auto" w:sz="4" w:space="0"/>
              <w:left w:val="single" w:color="auto" w:sz="4" w:space="0"/>
              <w:bottom w:val="single" w:color="auto" w:sz="4" w:space="0"/>
              <w:right w:val="single" w:color="auto" w:sz="4" w:space="0"/>
            </w:tcBorders>
            <w:vAlign w:val="center"/>
          </w:tcPr>
          <w:p w14:paraId="1209C5D6">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附：法定代表人有效身份证复印件（正反面）</w:t>
            </w:r>
          </w:p>
        </w:tc>
        <w:tc>
          <w:tcPr>
            <w:tcW w:w="4893" w:type="dxa"/>
            <w:tcBorders>
              <w:top w:val="single" w:color="auto" w:sz="4" w:space="0"/>
              <w:left w:val="single" w:color="auto" w:sz="4" w:space="0"/>
              <w:bottom w:val="single" w:color="auto" w:sz="4" w:space="0"/>
              <w:right w:val="single" w:color="auto" w:sz="4" w:space="0"/>
            </w:tcBorders>
            <w:vAlign w:val="center"/>
          </w:tcPr>
          <w:p w14:paraId="311F204A">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附：委托代理人有效身份证复印件（正反面）</w:t>
            </w:r>
          </w:p>
        </w:tc>
      </w:tr>
    </w:tbl>
    <w:p w14:paraId="4771666E">
      <w:pPr>
        <w:spacing w:before="120" w:beforeLines="50" w:line="480" w:lineRule="auto"/>
        <w:ind w:firstLine="3960" w:firstLineChars="1650"/>
        <w:rPr>
          <w:rFonts w:hint="eastAsia" w:ascii="仿宋" w:hAnsi="仿宋" w:eastAsia="仿宋" w:cs="仿宋"/>
          <w:color w:val="auto"/>
          <w:sz w:val="24"/>
          <w:highlight w:val="none"/>
        </w:rPr>
      </w:pPr>
    </w:p>
    <w:p w14:paraId="463869BC">
      <w:pPr>
        <w:spacing w:before="120" w:beforeLines="50" w:line="480" w:lineRule="auto"/>
        <w:ind w:firstLine="3960" w:firstLineChars="16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08AEA92C">
      <w:pPr>
        <w:spacing w:before="120" w:beforeLines="50" w:line="480" w:lineRule="auto"/>
        <w:ind w:firstLine="3960" w:firstLineChars="16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14:paraId="2DFF2DB4">
      <w:pPr>
        <w:pStyle w:val="2"/>
        <w:spacing w:after="0" w:line="480" w:lineRule="auto"/>
        <w:rPr>
          <w:rFonts w:hint="eastAsia" w:ascii="仿宋" w:hAnsi="仿宋" w:eastAsia="仿宋" w:cs="仿宋"/>
          <w:color w:val="auto"/>
          <w:highlight w:val="none"/>
        </w:rPr>
        <w:sectPr>
          <w:footerReference r:id="rId15" w:type="default"/>
          <w:footerReference r:id="rId16" w:type="even"/>
          <w:pgSz w:w="11900" w:h="16840"/>
          <w:pgMar w:top="1020" w:right="1474" w:bottom="1020" w:left="1474" w:header="867" w:footer="850" w:gutter="0"/>
          <w:pgNumType w:fmt="decimal"/>
          <w:cols w:space="720" w:num="1"/>
          <w:docGrid w:linePitch="360" w:charSpace="0"/>
        </w:sectPr>
      </w:pP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 xml:space="preserve">授权委托日期： </w:t>
      </w:r>
      <w:r>
        <w:rPr>
          <w:rFonts w:hint="eastAsia" w:ascii="仿宋" w:hAnsi="仿宋" w:eastAsia="仿宋" w:cs="仿宋"/>
          <w:color w:val="auto"/>
          <w:sz w:val="24"/>
          <w:szCs w:val="24"/>
          <w:highlight w:val="none"/>
          <w:u w:val="single"/>
        </w:rPr>
        <w:t xml:space="preserve">                  </w:t>
      </w:r>
    </w:p>
    <w:p w14:paraId="598BD4E6">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28"/>
          <w:sz w:val="28"/>
          <w:szCs w:val="32"/>
          <w:highlight w:val="none"/>
          <w:lang w:val="zh-CN" w:eastAsia="zh-CN"/>
        </w:rPr>
      </w:pPr>
      <w:r>
        <w:rPr>
          <w:rFonts w:hint="eastAsia" w:ascii="仿宋" w:hAnsi="仿宋" w:eastAsia="仿宋" w:cs="仿宋"/>
          <w:b/>
          <w:bCs/>
          <w:color w:val="auto"/>
          <w:kern w:val="28"/>
          <w:sz w:val="28"/>
          <w:szCs w:val="32"/>
          <w:highlight w:val="none"/>
          <w:lang w:val="en-US" w:eastAsia="zh-CN"/>
        </w:rPr>
        <w:t>（7）</w:t>
      </w:r>
      <w:r>
        <w:rPr>
          <w:rFonts w:hint="eastAsia" w:ascii="仿宋" w:hAnsi="仿宋" w:eastAsia="仿宋" w:cs="仿宋"/>
          <w:b/>
          <w:bCs/>
          <w:color w:val="auto"/>
          <w:kern w:val="28"/>
          <w:sz w:val="28"/>
          <w:szCs w:val="32"/>
          <w:highlight w:val="none"/>
          <w:lang w:val="zh-CN" w:eastAsia="zh-CN"/>
        </w:rPr>
        <w:t>联合投标协议书</w:t>
      </w:r>
    </w:p>
    <w:p w14:paraId="07FE9CE8">
      <w:pPr>
        <w:pStyle w:val="42"/>
        <w:rPr>
          <w:lang w:val="zh-CN"/>
        </w:rPr>
      </w:pPr>
    </w:p>
    <w:p w14:paraId="4BE36713">
      <w:pPr>
        <w:snapToGrid w:val="0"/>
        <w:spacing w:line="44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 xml:space="preserve">投标。 </w:t>
      </w:r>
    </w:p>
    <w:p w14:paraId="6DF62276">
      <w:pPr>
        <w:snapToGrid w:val="0"/>
        <w:spacing w:line="44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0660569">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二、在本次投标过程中，</w:t>
      </w:r>
      <w:r>
        <w:rPr>
          <w:rFonts w:hint="eastAsia" w:ascii="仿宋" w:hAnsi="仿宋" w:eastAsia="仿宋" w:cs="仿宋"/>
          <w:sz w:val="24"/>
          <w:szCs w:val="24"/>
          <w:lang w:eastAsia="zh-CN"/>
        </w:rPr>
        <w:t>牵头人</w:t>
      </w:r>
      <w:r>
        <w:rPr>
          <w:rFonts w:hint="eastAsia" w:ascii="仿宋" w:hAnsi="仿宋" w:eastAsia="仿宋" w:cs="仿宋"/>
          <w:sz w:val="24"/>
          <w:szCs w:val="24"/>
        </w:rPr>
        <w:t>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5A6A69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三、联合投标其余各方保证对</w:t>
      </w:r>
      <w:r>
        <w:rPr>
          <w:rFonts w:hint="eastAsia" w:ascii="仿宋" w:hAnsi="仿宋" w:eastAsia="仿宋" w:cs="仿宋"/>
          <w:sz w:val="24"/>
          <w:szCs w:val="24"/>
          <w:lang w:eastAsia="zh-CN"/>
        </w:rPr>
        <w:t>牵头人</w:t>
      </w:r>
      <w:r>
        <w:rPr>
          <w:rFonts w:hint="eastAsia" w:ascii="仿宋" w:hAnsi="仿宋" w:eastAsia="仿宋" w:cs="仿宋"/>
          <w:sz w:val="24"/>
          <w:szCs w:val="24"/>
        </w:rPr>
        <w:t>为响应本次招标而提供的产品和服务提供全部质量保证及售后服务支持。</w:t>
      </w:r>
    </w:p>
    <w:p w14:paraId="016E7E67">
      <w:pPr>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四、本次联合投标中，甲方承担的工作和义务为:</w:t>
      </w:r>
      <w:r>
        <w:rPr>
          <w:rFonts w:hint="eastAsia" w:ascii="仿宋" w:hAnsi="仿宋" w:eastAsia="仿宋" w:cs="仿宋"/>
          <w:sz w:val="24"/>
          <w:szCs w:val="24"/>
          <w:u w:val="single"/>
        </w:rPr>
        <w:t xml:space="preserve">                    </w:t>
      </w:r>
    </w:p>
    <w:p w14:paraId="2B579144">
      <w:pPr>
        <w:spacing w:line="500" w:lineRule="exact"/>
        <w:ind w:firstLine="2880" w:firstLineChars="1200"/>
        <w:rPr>
          <w:rFonts w:hint="eastAsia" w:ascii="仿宋" w:hAnsi="仿宋" w:eastAsia="仿宋" w:cs="仿宋"/>
          <w:sz w:val="24"/>
          <w:szCs w:val="24"/>
          <w:u w:val="single"/>
        </w:rPr>
      </w:pPr>
      <w:r>
        <w:rPr>
          <w:rFonts w:hint="eastAsia" w:ascii="仿宋" w:hAnsi="仿宋" w:eastAsia="仿宋" w:cs="仿宋"/>
          <w:sz w:val="24"/>
          <w:szCs w:val="24"/>
          <w:u w:val="none"/>
        </w:rPr>
        <w:t>甲方承担本项目的合同金额占合同总金额的</w:t>
      </w:r>
      <w:r>
        <w:rPr>
          <w:rFonts w:hint="eastAsia" w:ascii="仿宋" w:hAnsi="仿宋" w:eastAsia="仿宋" w:cs="仿宋"/>
          <w:sz w:val="24"/>
          <w:szCs w:val="24"/>
          <w:u w:val="single"/>
        </w:rPr>
        <w:t xml:space="preserve">      %</w:t>
      </w:r>
    </w:p>
    <w:p w14:paraId="33735FEA">
      <w:pPr>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乙方承担的工作和义务为：</w:t>
      </w:r>
      <w:r>
        <w:rPr>
          <w:rFonts w:hint="eastAsia" w:ascii="仿宋" w:hAnsi="仿宋" w:eastAsia="仿宋" w:cs="仿宋"/>
          <w:sz w:val="24"/>
          <w:szCs w:val="24"/>
          <w:u w:val="single"/>
        </w:rPr>
        <w:t xml:space="preserve">                      </w:t>
      </w:r>
    </w:p>
    <w:p w14:paraId="053CEA07">
      <w:pPr>
        <w:spacing w:line="500" w:lineRule="exact"/>
        <w:ind w:firstLine="2880" w:firstLineChars="1200"/>
        <w:rPr>
          <w:rFonts w:hint="eastAsia" w:ascii="仿宋" w:hAnsi="仿宋" w:eastAsia="仿宋" w:cs="仿宋"/>
          <w:sz w:val="24"/>
          <w:szCs w:val="24"/>
          <w:u w:val="single"/>
        </w:rPr>
      </w:pPr>
      <w:r>
        <w:rPr>
          <w:rFonts w:hint="eastAsia" w:ascii="仿宋" w:hAnsi="仿宋" w:eastAsia="仿宋" w:cs="仿宋"/>
          <w:sz w:val="24"/>
          <w:szCs w:val="24"/>
          <w:u w:val="none"/>
        </w:rPr>
        <w:t>乙方承担本项目的合同金额占合同总金额的</w:t>
      </w:r>
      <w:r>
        <w:rPr>
          <w:rFonts w:hint="eastAsia" w:ascii="仿宋" w:hAnsi="仿宋" w:eastAsia="仿宋" w:cs="仿宋"/>
          <w:sz w:val="24"/>
          <w:szCs w:val="24"/>
          <w:u w:val="single"/>
        </w:rPr>
        <w:t xml:space="preserve">      %</w:t>
      </w:r>
    </w:p>
    <w:p w14:paraId="38560F69">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五、有关本次联合投标的其他事宜：</w:t>
      </w:r>
    </w:p>
    <w:p w14:paraId="5E409E6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六、本协议提交招标方后，联合投标各方不得以任何形式对上述实质内容进行修改或撤销。</w:t>
      </w:r>
    </w:p>
    <w:p w14:paraId="34F3BEC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七、本协议一式</w:t>
      </w:r>
      <w:r>
        <w:rPr>
          <w:rFonts w:hint="eastAsia" w:ascii="仿宋" w:hAnsi="仿宋" w:eastAsia="仿宋" w:cs="仿宋"/>
          <w:sz w:val="24"/>
          <w:szCs w:val="24"/>
          <w:u w:val="none"/>
          <w:lang w:eastAsia="zh-CN"/>
        </w:rPr>
        <w:t>二</w:t>
      </w:r>
      <w:r>
        <w:rPr>
          <w:rFonts w:hint="eastAsia" w:ascii="仿宋" w:hAnsi="仿宋" w:eastAsia="仿宋" w:cs="仿宋"/>
          <w:sz w:val="24"/>
          <w:szCs w:val="24"/>
        </w:rPr>
        <w:t>份，签约各方各持一份。</w:t>
      </w:r>
    </w:p>
    <w:tbl>
      <w:tblPr>
        <w:tblStyle w:val="33"/>
        <w:tblW w:w="0" w:type="auto"/>
        <w:jc w:val="center"/>
        <w:tblLayout w:type="fixed"/>
        <w:tblCellMar>
          <w:top w:w="0" w:type="dxa"/>
          <w:left w:w="108" w:type="dxa"/>
          <w:bottom w:w="0" w:type="dxa"/>
          <w:right w:w="108" w:type="dxa"/>
        </w:tblCellMar>
      </w:tblPr>
      <w:tblGrid>
        <w:gridCol w:w="4264"/>
        <w:gridCol w:w="4264"/>
      </w:tblGrid>
      <w:tr w14:paraId="12FAD5F5">
        <w:tblPrEx>
          <w:tblCellMar>
            <w:top w:w="0" w:type="dxa"/>
            <w:left w:w="108" w:type="dxa"/>
            <w:bottom w:w="0" w:type="dxa"/>
            <w:right w:w="108" w:type="dxa"/>
          </w:tblCellMar>
        </w:tblPrEx>
        <w:trPr>
          <w:jc w:val="center"/>
        </w:trPr>
        <w:tc>
          <w:tcPr>
            <w:tcW w:w="4264" w:type="dxa"/>
            <w:noWrap w:val="0"/>
            <w:vAlign w:val="top"/>
          </w:tcPr>
          <w:p w14:paraId="7C36EFBF">
            <w:pPr>
              <w:spacing w:line="500" w:lineRule="exact"/>
              <w:ind w:firstLine="480" w:firstLineChars="200"/>
              <w:rPr>
                <w:rFonts w:hint="eastAsia" w:ascii="仿宋" w:hAnsi="仿宋" w:eastAsia="仿宋" w:cs="仿宋"/>
                <w:sz w:val="24"/>
                <w:szCs w:val="24"/>
              </w:rPr>
            </w:pPr>
          </w:p>
          <w:p w14:paraId="1EB3DD6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甲方单位：</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p>
          <w:p w14:paraId="50E178E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eastAsia="zh-CN"/>
              </w:rPr>
              <w:t>签字或盖章</w:t>
            </w:r>
            <w:r>
              <w:rPr>
                <w:rFonts w:hint="eastAsia" w:ascii="仿宋" w:hAnsi="仿宋" w:eastAsia="仿宋" w:cs="仿宋"/>
                <w:sz w:val="24"/>
                <w:szCs w:val="24"/>
              </w:rPr>
              <w:t>）</w:t>
            </w:r>
          </w:p>
          <w:p w14:paraId="19DEBB23">
            <w:pPr>
              <w:spacing w:line="500" w:lineRule="exact"/>
              <w:ind w:firstLine="480" w:firstLineChars="200"/>
              <w:rPr>
                <w:rFonts w:hint="eastAsia" w:ascii="仿宋" w:hAnsi="仿宋" w:eastAsia="仿宋" w:cs="仿宋"/>
                <w:sz w:val="24"/>
                <w:szCs w:val="24"/>
              </w:rPr>
            </w:pPr>
          </w:p>
          <w:p w14:paraId="7A48086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    年   月   日</w:t>
            </w:r>
          </w:p>
        </w:tc>
        <w:tc>
          <w:tcPr>
            <w:tcW w:w="4264" w:type="dxa"/>
            <w:noWrap w:val="0"/>
            <w:vAlign w:val="top"/>
          </w:tcPr>
          <w:p w14:paraId="2EECFF1B">
            <w:pPr>
              <w:spacing w:line="500" w:lineRule="exact"/>
              <w:ind w:firstLine="480" w:firstLineChars="200"/>
              <w:rPr>
                <w:rFonts w:hint="eastAsia" w:ascii="仿宋" w:hAnsi="仿宋" w:eastAsia="仿宋" w:cs="仿宋"/>
                <w:sz w:val="24"/>
                <w:szCs w:val="24"/>
              </w:rPr>
            </w:pPr>
          </w:p>
          <w:p w14:paraId="0B7521E4">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乙方单位：</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p>
          <w:p w14:paraId="3FB1F18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eastAsia="zh-CN"/>
              </w:rPr>
              <w:t>签字或盖章</w:t>
            </w:r>
            <w:r>
              <w:rPr>
                <w:rFonts w:hint="eastAsia" w:ascii="仿宋" w:hAnsi="仿宋" w:eastAsia="仿宋" w:cs="仿宋"/>
                <w:sz w:val="24"/>
                <w:szCs w:val="24"/>
              </w:rPr>
              <w:t>）</w:t>
            </w:r>
          </w:p>
          <w:p w14:paraId="76E72684">
            <w:pPr>
              <w:spacing w:line="500" w:lineRule="exact"/>
              <w:ind w:firstLine="480" w:firstLineChars="200"/>
              <w:rPr>
                <w:rFonts w:hint="eastAsia" w:ascii="仿宋" w:hAnsi="仿宋" w:eastAsia="仿宋" w:cs="仿宋"/>
                <w:sz w:val="24"/>
                <w:szCs w:val="24"/>
              </w:rPr>
            </w:pPr>
          </w:p>
          <w:p w14:paraId="260D27D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   年   月   日</w:t>
            </w:r>
          </w:p>
        </w:tc>
      </w:tr>
    </w:tbl>
    <w:p w14:paraId="12BC81B5">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40F62407">
      <w:pPr>
        <w:numPr>
          <w:ilvl w:val="0"/>
          <w:numId w:val="8"/>
        </w:numPr>
        <w:outlineLvl w:val="2"/>
        <w:rPr>
          <w:rFonts w:hint="eastAsia" w:ascii="仿宋" w:hAnsi="仿宋" w:eastAsia="仿宋" w:cs="仿宋"/>
          <w:b/>
          <w:bCs/>
          <w:color w:val="auto"/>
          <w:kern w:val="28"/>
          <w:sz w:val="28"/>
          <w:szCs w:val="32"/>
          <w:highlight w:val="none"/>
          <w:lang w:eastAsia="zh-CN"/>
        </w:rPr>
      </w:pPr>
      <w:r>
        <w:rPr>
          <w:rFonts w:hint="eastAsia" w:ascii="仿宋" w:hAnsi="仿宋" w:eastAsia="仿宋" w:cs="仿宋"/>
          <w:b/>
          <w:bCs/>
          <w:color w:val="auto"/>
          <w:kern w:val="28"/>
          <w:sz w:val="28"/>
          <w:szCs w:val="32"/>
          <w:highlight w:val="none"/>
          <w:lang w:eastAsia="zh-CN"/>
        </w:rPr>
        <w:t>资质（资格）证书</w:t>
      </w:r>
      <w:r>
        <w:rPr>
          <w:rFonts w:hint="eastAsia" w:ascii="仿宋" w:hAnsi="仿宋" w:eastAsia="仿宋" w:cs="仿宋"/>
          <w:b/>
          <w:bCs/>
          <w:color w:val="0000FF"/>
          <w:kern w:val="28"/>
          <w:sz w:val="28"/>
          <w:szCs w:val="32"/>
          <w:highlight w:val="none"/>
          <w:lang w:eastAsia="zh-CN"/>
        </w:rPr>
        <w:t>（联合体各成员均需提供）</w:t>
      </w:r>
      <w:r>
        <w:rPr>
          <w:rFonts w:hint="eastAsia" w:ascii="仿宋" w:hAnsi="仿宋" w:eastAsia="仿宋" w:cs="仿宋"/>
          <w:b/>
          <w:bCs/>
          <w:color w:val="auto"/>
          <w:kern w:val="28"/>
          <w:sz w:val="28"/>
          <w:szCs w:val="32"/>
          <w:highlight w:val="none"/>
          <w:lang w:eastAsia="zh-CN"/>
        </w:rPr>
        <w:tab/>
      </w:r>
    </w:p>
    <w:p w14:paraId="6B58C7DE">
      <w:pPr>
        <w:numPr>
          <w:ilvl w:val="0"/>
          <w:numId w:val="0"/>
        </w:numPr>
        <w:rPr>
          <w:rFonts w:hint="eastAsia" w:ascii="仿宋" w:hAnsi="仿宋" w:eastAsia="仿宋" w:cs="仿宋"/>
          <w:b/>
          <w:bCs/>
          <w:color w:val="auto"/>
          <w:kern w:val="28"/>
          <w:sz w:val="28"/>
          <w:szCs w:val="32"/>
          <w:highlight w:val="none"/>
          <w:lang w:eastAsia="zh-CN"/>
        </w:rPr>
      </w:pPr>
      <w:r>
        <w:rPr>
          <w:rFonts w:hint="eastAsia" w:ascii="仿宋" w:hAnsi="仿宋" w:eastAsia="仿宋" w:cs="仿宋"/>
          <w:b/>
          <w:bCs/>
          <w:color w:val="auto"/>
          <w:kern w:val="28"/>
          <w:sz w:val="28"/>
          <w:szCs w:val="32"/>
          <w:highlight w:val="none"/>
          <w:lang w:eastAsia="zh-CN"/>
        </w:rPr>
        <w:t>联合体各方须具备工程勘察专业类（岩土工程）乙级及以上资质。</w:t>
      </w:r>
    </w:p>
    <w:p w14:paraId="2CB8010E">
      <w:pPr>
        <w:rPr>
          <w:rFonts w:hint="eastAsia" w:ascii="仿宋" w:hAnsi="仿宋" w:eastAsia="仿宋" w:cs="仿宋"/>
          <w:b/>
          <w:bCs/>
          <w:color w:val="auto"/>
          <w:kern w:val="28"/>
          <w:sz w:val="28"/>
          <w:szCs w:val="32"/>
          <w:highlight w:val="none"/>
          <w:lang w:eastAsia="zh-CN"/>
        </w:rPr>
      </w:pPr>
      <w:r>
        <w:rPr>
          <w:rFonts w:hint="eastAsia" w:ascii="仿宋" w:hAnsi="仿宋" w:eastAsia="仿宋" w:cs="仿宋"/>
          <w:b/>
          <w:bCs/>
          <w:color w:val="auto"/>
          <w:kern w:val="28"/>
          <w:sz w:val="28"/>
          <w:szCs w:val="32"/>
          <w:highlight w:val="none"/>
          <w:lang w:eastAsia="zh-CN"/>
        </w:rPr>
        <w:br w:type="page"/>
      </w:r>
    </w:p>
    <w:p w14:paraId="2E7B807D">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28"/>
          <w:sz w:val="28"/>
          <w:szCs w:val="32"/>
          <w:highlight w:val="none"/>
          <w:lang w:eastAsia="zh-CN"/>
        </w:rPr>
      </w:pPr>
      <w:r>
        <w:rPr>
          <w:rFonts w:hint="eastAsia" w:ascii="仿宋" w:hAnsi="仿宋" w:eastAsia="仿宋" w:cs="仿宋"/>
          <w:b/>
          <w:bCs/>
          <w:color w:val="auto"/>
          <w:kern w:val="28"/>
          <w:sz w:val="28"/>
          <w:szCs w:val="32"/>
          <w:highlight w:val="none"/>
          <w:lang w:eastAsia="zh-CN"/>
        </w:rPr>
        <w:t>（</w:t>
      </w:r>
      <w:r>
        <w:rPr>
          <w:rFonts w:hint="eastAsia" w:ascii="仿宋" w:hAnsi="仿宋" w:eastAsia="仿宋" w:cs="仿宋"/>
          <w:b/>
          <w:bCs/>
          <w:color w:val="auto"/>
          <w:kern w:val="28"/>
          <w:sz w:val="28"/>
          <w:szCs w:val="32"/>
          <w:highlight w:val="none"/>
          <w:lang w:val="en-US" w:eastAsia="zh-CN"/>
        </w:rPr>
        <w:t>9</w:t>
      </w:r>
      <w:r>
        <w:rPr>
          <w:rFonts w:hint="eastAsia" w:ascii="仿宋" w:hAnsi="仿宋" w:eastAsia="仿宋" w:cs="仿宋"/>
          <w:b/>
          <w:bCs/>
          <w:color w:val="auto"/>
          <w:kern w:val="28"/>
          <w:sz w:val="28"/>
          <w:szCs w:val="32"/>
          <w:highlight w:val="none"/>
          <w:lang w:eastAsia="zh-CN"/>
        </w:rPr>
        <w:t>）招标</w:t>
      </w:r>
      <w:r>
        <w:rPr>
          <w:rFonts w:hint="eastAsia" w:ascii="仿宋" w:hAnsi="仿宋" w:eastAsia="仿宋" w:cs="仿宋"/>
          <w:b/>
          <w:bCs/>
          <w:color w:val="auto"/>
          <w:kern w:val="28"/>
          <w:sz w:val="28"/>
          <w:szCs w:val="32"/>
          <w:highlight w:val="none"/>
          <w:lang w:val="en-US" w:eastAsia="zh-CN"/>
        </w:rPr>
        <w:t>文件</w:t>
      </w:r>
      <w:r>
        <w:rPr>
          <w:rFonts w:hint="eastAsia" w:ascii="仿宋" w:hAnsi="仿宋" w:eastAsia="仿宋" w:cs="仿宋"/>
          <w:b/>
          <w:bCs/>
          <w:color w:val="auto"/>
          <w:kern w:val="28"/>
          <w:sz w:val="28"/>
          <w:szCs w:val="32"/>
          <w:highlight w:val="none"/>
          <w:lang w:eastAsia="zh-CN"/>
        </w:rPr>
        <w:t>中要求需要提供的其他资质和说明</w:t>
      </w:r>
    </w:p>
    <w:p w14:paraId="27181D8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1"/>
        <w:rPr>
          <w:rFonts w:hint="eastAsia" w:ascii="仿宋" w:hAnsi="仿宋" w:eastAsia="仿宋" w:cs="仿宋"/>
          <w:b/>
          <w:bCs/>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highlight w:val="none"/>
        </w:rPr>
        <w:t>二、商务技术文件：</w:t>
      </w:r>
    </w:p>
    <w:p w14:paraId="19117616">
      <w:pPr>
        <w:keepNext/>
        <w:keepLines/>
        <w:pageBreakBefore w:val="0"/>
        <w:widowControl w:val="0"/>
        <w:kinsoku/>
        <w:wordWrap/>
        <w:overflowPunct/>
        <w:topLinePunct w:val="0"/>
        <w:autoSpaceDE/>
        <w:autoSpaceDN/>
        <w:bidi w:val="0"/>
        <w:adjustRightInd w:val="0"/>
        <w:snapToGrid w:val="0"/>
        <w:jc w:val="center"/>
        <w:textAlignment w:val="auto"/>
        <w:outlineLvl w:val="9"/>
        <w:rPr>
          <w:rFonts w:hint="eastAsia" w:ascii="仿宋" w:hAnsi="仿宋" w:eastAsia="仿宋" w:cs="仿宋"/>
          <w:bCs w:val="0"/>
          <w:color w:val="auto"/>
          <w:highlight w:val="none"/>
          <w:lang w:eastAsia="zh-CN"/>
        </w:rPr>
      </w:pPr>
    </w:p>
    <w:p w14:paraId="56A6458E">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b/>
          <w:bCs/>
          <w:color w:val="auto"/>
          <w:kern w:val="28"/>
          <w:sz w:val="28"/>
          <w:szCs w:val="32"/>
          <w:highlight w:val="none"/>
          <w:lang w:val="en-US" w:eastAsia="zh-CN" w:bidi="ar-SA"/>
        </w:rPr>
      </w:pPr>
      <w:r>
        <w:rPr>
          <w:rFonts w:hint="eastAsia" w:ascii="仿宋" w:hAnsi="仿宋" w:eastAsia="仿宋" w:cs="仿宋"/>
          <w:b/>
          <w:bCs/>
          <w:color w:val="auto"/>
          <w:kern w:val="28"/>
          <w:sz w:val="28"/>
          <w:szCs w:val="32"/>
          <w:highlight w:val="none"/>
          <w:lang w:val="en-US" w:eastAsia="zh-CN" w:bidi="ar-SA"/>
        </w:rPr>
        <w:t>（1）商务技术分评分索引</w:t>
      </w:r>
    </w:p>
    <w:tbl>
      <w:tblPr>
        <w:tblStyle w:val="33"/>
        <w:tblW w:w="8152" w:type="dxa"/>
        <w:jc w:val="center"/>
        <w:tblLayout w:type="fixed"/>
        <w:tblCellMar>
          <w:top w:w="0" w:type="dxa"/>
          <w:left w:w="10" w:type="dxa"/>
          <w:bottom w:w="0" w:type="dxa"/>
          <w:right w:w="10" w:type="dxa"/>
        </w:tblCellMar>
      </w:tblPr>
      <w:tblGrid>
        <w:gridCol w:w="686"/>
        <w:gridCol w:w="1449"/>
        <w:gridCol w:w="4171"/>
        <w:gridCol w:w="923"/>
        <w:gridCol w:w="923"/>
      </w:tblGrid>
      <w:tr w14:paraId="39632C5C">
        <w:tblPrEx>
          <w:tblCellMar>
            <w:top w:w="0" w:type="dxa"/>
            <w:left w:w="10" w:type="dxa"/>
            <w:bottom w:w="0" w:type="dxa"/>
            <w:right w:w="10" w:type="dxa"/>
          </w:tblCellMar>
        </w:tblPrEx>
        <w:trPr>
          <w:trHeight w:val="630" w:hRule="exact"/>
          <w:jc w:val="center"/>
        </w:trPr>
        <w:tc>
          <w:tcPr>
            <w:tcW w:w="686" w:type="dxa"/>
            <w:tcBorders>
              <w:top w:val="single" w:color="auto" w:sz="4" w:space="0"/>
              <w:left w:val="single" w:color="auto" w:sz="4" w:space="0"/>
              <w:bottom w:val="single" w:color="auto" w:sz="4" w:space="0"/>
            </w:tcBorders>
            <w:shd w:val="clear" w:color="auto" w:fill="FFFFFF"/>
            <w:vAlign w:val="center"/>
          </w:tcPr>
          <w:p w14:paraId="669B2630">
            <w:pPr>
              <w:spacing w:line="3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序号</w:t>
            </w:r>
          </w:p>
        </w:tc>
        <w:tc>
          <w:tcPr>
            <w:tcW w:w="1449" w:type="dxa"/>
            <w:tcBorders>
              <w:top w:val="single" w:color="auto" w:sz="4" w:space="0"/>
              <w:left w:val="single" w:color="auto" w:sz="4" w:space="0"/>
              <w:bottom w:val="single" w:color="auto" w:sz="4" w:space="0"/>
            </w:tcBorders>
            <w:shd w:val="clear" w:color="auto" w:fill="FFFFFF"/>
            <w:vAlign w:val="center"/>
          </w:tcPr>
          <w:p w14:paraId="4F58E9DE">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评分项目</w:t>
            </w:r>
          </w:p>
        </w:tc>
        <w:tc>
          <w:tcPr>
            <w:tcW w:w="4171" w:type="dxa"/>
            <w:tcBorders>
              <w:top w:val="single" w:color="auto" w:sz="4" w:space="0"/>
              <w:left w:val="single" w:color="auto" w:sz="4" w:space="0"/>
              <w:bottom w:val="single" w:color="auto" w:sz="4" w:space="0"/>
            </w:tcBorders>
            <w:shd w:val="clear" w:color="auto" w:fill="FFFFFF"/>
            <w:vAlign w:val="center"/>
          </w:tcPr>
          <w:p w14:paraId="4A513B69">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评标要点及说明</w:t>
            </w: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0B83CE69">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页码</w:t>
            </w: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41A9EB72">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自评</w:t>
            </w:r>
          </w:p>
        </w:tc>
      </w:tr>
      <w:tr w14:paraId="7A05D1F1">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4B91F173">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Cs w:val="21"/>
                <w:highlight w:val="none"/>
              </w:rPr>
              <w:t>1</w:t>
            </w:r>
          </w:p>
        </w:tc>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50203969">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2E965631">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25AE4668">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7CE5F1E7">
            <w:pPr>
              <w:spacing w:line="240" w:lineRule="exact"/>
              <w:jc w:val="center"/>
              <w:rPr>
                <w:rFonts w:hint="eastAsia" w:ascii="仿宋" w:hAnsi="仿宋" w:eastAsia="仿宋" w:cs="仿宋"/>
                <w:color w:val="auto"/>
                <w:sz w:val="18"/>
                <w:szCs w:val="18"/>
                <w:highlight w:val="none"/>
              </w:rPr>
            </w:pPr>
          </w:p>
        </w:tc>
      </w:tr>
      <w:tr w14:paraId="3E06F881">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3B387BC3">
            <w:pPr>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Cs w:val="21"/>
                <w:highlight w:val="none"/>
              </w:rPr>
              <w:t>2</w:t>
            </w:r>
          </w:p>
        </w:tc>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3C0FF76A">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10322758">
            <w:pPr>
              <w:spacing w:line="240" w:lineRule="exact"/>
              <w:jc w:val="lef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73AA7175">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2CAFF230">
            <w:pPr>
              <w:spacing w:line="240" w:lineRule="exact"/>
              <w:jc w:val="center"/>
              <w:rPr>
                <w:rFonts w:hint="eastAsia" w:ascii="仿宋" w:hAnsi="仿宋" w:eastAsia="仿宋" w:cs="仿宋"/>
                <w:color w:val="auto"/>
                <w:sz w:val="18"/>
                <w:szCs w:val="18"/>
                <w:highlight w:val="none"/>
              </w:rPr>
            </w:pPr>
          </w:p>
        </w:tc>
      </w:tr>
      <w:tr w14:paraId="1D5F08A0">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779DA40B">
            <w:pPr>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Cs w:val="21"/>
                <w:highlight w:val="none"/>
              </w:rPr>
              <w:t>3</w:t>
            </w:r>
          </w:p>
        </w:tc>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147B624F">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3D091604">
            <w:pPr>
              <w:widowControl/>
              <w:spacing w:line="240" w:lineRule="exact"/>
              <w:jc w:val="lef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7886F1CF">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43DDFF87">
            <w:pPr>
              <w:spacing w:line="240" w:lineRule="exact"/>
              <w:jc w:val="center"/>
              <w:rPr>
                <w:rFonts w:hint="eastAsia" w:ascii="仿宋" w:hAnsi="仿宋" w:eastAsia="仿宋" w:cs="仿宋"/>
                <w:color w:val="auto"/>
                <w:sz w:val="18"/>
                <w:szCs w:val="18"/>
                <w:highlight w:val="none"/>
              </w:rPr>
            </w:pPr>
          </w:p>
        </w:tc>
      </w:tr>
      <w:tr w14:paraId="7BF7B1EB">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7870A313">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Cs w:val="21"/>
                <w:highlight w:val="none"/>
              </w:rPr>
              <w:t>4</w:t>
            </w:r>
          </w:p>
        </w:tc>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718E19E5">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74C6D520">
            <w:pPr>
              <w:spacing w:line="240" w:lineRule="exact"/>
              <w:rPr>
                <w:rFonts w:hint="eastAsia" w:ascii="仿宋" w:hAnsi="仿宋" w:eastAsia="仿宋" w:cs="仿宋"/>
                <w:b/>
                <w:bCs/>
                <w:color w:val="auto"/>
                <w:kern w:val="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790F84D7">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460BA900">
            <w:pPr>
              <w:spacing w:line="240" w:lineRule="exact"/>
              <w:jc w:val="center"/>
              <w:rPr>
                <w:rFonts w:hint="eastAsia" w:ascii="仿宋" w:hAnsi="仿宋" w:eastAsia="仿宋" w:cs="仿宋"/>
                <w:color w:val="auto"/>
                <w:sz w:val="18"/>
                <w:szCs w:val="18"/>
                <w:highlight w:val="none"/>
              </w:rPr>
            </w:pPr>
          </w:p>
        </w:tc>
      </w:tr>
      <w:tr w14:paraId="61C09ABA">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7E68A363">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Cs w:val="21"/>
                <w:highlight w:val="none"/>
              </w:rPr>
              <w:t>5</w:t>
            </w:r>
          </w:p>
        </w:tc>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0FC79461">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57ABC9A7">
            <w:pPr>
              <w:spacing w:line="240" w:lineRule="exact"/>
              <w:rPr>
                <w:rFonts w:hint="eastAsia" w:ascii="仿宋" w:hAnsi="仿宋" w:eastAsia="仿宋" w:cs="仿宋"/>
                <w:b/>
                <w:bCs/>
                <w:color w:val="auto"/>
                <w:kern w:val="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362A5A41">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286C7236">
            <w:pPr>
              <w:spacing w:line="240" w:lineRule="exact"/>
              <w:jc w:val="center"/>
              <w:rPr>
                <w:rFonts w:hint="eastAsia" w:ascii="仿宋" w:hAnsi="仿宋" w:eastAsia="仿宋" w:cs="仿宋"/>
                <w:color w:val="auto"/>
                <w:sz w:val="18"/>
                <w:szCs w:val="18"/>
                <w:highlight w:val="none"/>
              </w:rPr>
            </w:pPr>
          </w:p>
        </w:tc>
      </w:tr>
      <w:tr w14:paraId="478E6201">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596A16BC">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Cs w:val="21"/>
                <w:highlight w:val="none"/>
              </w:rPr>
              <w:t>6</w:t>
            </w:r>
          </w:p>
        </w:tc>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07E8B8AA">
            <w:pPr>
              <w:adjustRightInd w:val="0"/>
              <w:snapToGrid w:val="0"/>
              <w:spacing w:line="36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4A2DFDA8">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53C3E943">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0343AE31">
            <w:pPr>
              <w:spacing w:line="240" w:lineRule="exact"/>
              <w:jc w:val="center"/>
              <w:rPr>
                <w:rFonts w:hint="eastAsia" w:ascii="仿宋" w:hAnsi="仿宋" w:eastAsia="仿宋" w:cs="仿宋"/>
                <w:color w:val="auto"/>
                <w:sz w:val="18"/>
                <w:szCs w:val="18"/>
                <w:highlight w:val="none"/>
              </w:rPr>
            </w:pPr>
          </w:p>
        </w:tc>
      </w:tr>
      <w:tr w14:paraId="3F001B7E">
        <w:tblPrEx>
          <w:tblCellMar>
            <w:top w:w="0" w:type="dxa"/>
            <w:left w:w="10" w:type="dxa"/>
            <w:bottom w:w="0" w:type="dxa"/>
            <w:right w:w="10" w:type="dxa"/>
          </w:tblCellMar>
        </w:tblPrEx>
        <w:trPr>
          <w:trHeight w:val="567" w:hRule="exact"/>
          <w:jc w:val="center"/>
        </w:trPr>
        <w:tc>
          <w:tcPr>
            <w:tcW w:w="686" w:type="dxa"/>
            <w:tcBorders>
              <w:left w:val="single" w:color="auto" w:sz="4" w:space="0"/>
              <w:bottom w:val="single" w:color="auto" w:sz="4" w:space="0"/>
              <w:right w:val="single" w:color="auto" w:sz="4" w:space="0"/>
            </w:tcBorders>
            <w:shd w:val="clear" w:color="auto" w:fill="FFFFFF"/>
            <w:vAlign w:val="center"/>
          </w:tcPr>
          <w:p w14:paraId="710FE561">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Cs w:val="21"/>
                <w:highlight w:val="none"/>
              </w:rPr>
              <w:t>7</w:t>
            </w:r>
          </w:p>
        </w:tc>
        <w:tc>
          <w:tcPr>
            <w:tcW w:w="1449" w:type="dxa"/>
            <w:tcBorders>
              <w:left w:val="single" w:color="auto" w:sz="4" w:space="0"/>
              <w:bottom w:val="single" w:color="auto" w:sz="4" w:space="0"/>
              <w:right w:val="single" w:color="auto" w:sz="4" w:space="0"/>
            </w:tcBorders>
            <w:shd w:val="clear" w:color="auto" w:fill="FFFFFF"/>
            <w:vAlign w:val="center"/>
          </w:tcPr>
          <w:p w14:paraId="14895BA7">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651EF5B1">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6D97A573">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10966137">
            <w:pPr>
              <w:spacing w:line="240" w:lineRule="exact"/>
              <w:jc w:val="center"/>
              <w:rPr>
                <w:rFonts w:hint="eastAsia" w:ascii="仿宋" w:hAnsi="仿宋" w:eastAsia="仿宋" w:cs="仿宋"/>
                <w:color w:val="auto"/>
                <w:sz w:val="18"/>
                <w:szCs w:val="18"/>
                <w:highlight w:val="none"/>
              </w:rPr>
            </w:pPr>
          </w:p>
        </w:tc>
      </w:tr>
      <w:tr w14:paraId="444704C3">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5780CE0C">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Cs w:val="21"/>
                <w:highlight w:val="none"/>
              </w:rPr>
              <w:t>8</w:t>
            </w:r>
          </w:p>
        </w:tc>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729DB1CC">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2F804AEF">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4B23B2EA">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2DFF740D">
            <w:pPr>
              <w:spacing w:line="240" w:lineRule="exact"/>
              <w:jc w:val="center"/>
              <w:rPr>
                <w:rFonts w:hint="eastAsia" w:ascii="仿宋" w:hAnsi="仿宋" w:eastAsia="仿宋" w:cs="仿宋"/>
                <w:color w:val="auto"/>
                <w:sz w:val="18"/>
                <w:szCs w:val="18"/>
                <w:highlight w:val="none"/>
              </w:rPr>
            </w:pPr>
          </w:p>
        </w:tc>
      </w:tr>
      <w:tr w14:paraId="711F067F">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4F3F0971">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Cs w:val="21"/>
                <w:highlight w:val="none"/>
              </w:rPr>
              <w:t>……</w:t>
            </w:r>
          </w:p>
        </w:tc>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3A7F6DED">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vAlign w:val="center"/>
          </w:tcPr>
          <w:p w14:paraId="0E994345">
            <w:pP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6D932317">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vAlign w:val="center"/>
          </w:tcPr>
          <w:p w14:paraId="6654A4CA">
            <w:pPr>
              <w:spacing w:line="240" w:lineRule="exact"/>
              <w:jc w:val="center"/>
              <w:rPr>
                <w:rFonts w:hint="eastAsia" w:ascii="仿宋" w:hAnsi="仿宋" w:eastAsia="仿宋" w:cs="仿宋"/>
                <w:color w:val="auto"/>
                <w:sz w:val="18"/>
                <w:szCs w:val="18"/>
                <w:highlight w:val="none"/>
              </w:rPr>
            </w:pPr>
          </w:p>
        </w:tc>
      </w:tr>
    </w:tbl>
    <w:p w14:paraId="2AC917FA">
      <w:pPr>
        <w:rPr>
          <w:rFonts w:hint="eastAsia" w:ascii="仿宋" w:hAnsi="仿宋" w:eastAsia="仿宋" w:cs="仿宋"/>
          <w:color w:val="auto"/>
          <w:highlight w:val="none"/>
        </w:rPr>
      </w:pPr>
    </w:p>
    <w:p w14:paraId="6AD331E4">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color w:val="auto"/>
          <w:sz w:val="36"/>
          <w:szCs w:val="36"/>
          <w:highlight w:val="none"/>
        </w:rPr>
      </w:pPr>
      <w:r>
        <w:rPr>
          <w:rFonts w:hint="eastAsia" w:ascii="仿宋" w:hAnsi="仿宋" w:eastAsia="仿宋" w:cs="仿宋"/>
          <w:color w:val="auto"/>
          <w:highlight w:val="none"/>
        </w:rPr>
        <w:br w:type="page"/>
      </w:r>
      <w:r>
        <w:rPr>
          <w:rFonts w:hint="eastAsia" w:ascii="仿宋" w:hAnsi="仿宋" w:eastAsia="仿宋" w:cs="仿宋"/>
          <w:b/>
          <w:bCs/>
          <w:color w:val="auto"/>
          <w:kern w:val="28"/>
          <w:sz w:val="28"/>
          <w:szCs w:val="32"/>
          <w:highlight w:val="none"/>
          <w:lang w:val="en-US" w:eastAsia="zh-CN" w:bidi="ar-SA"/>
        </w:rPr>
        <w:t>（2）诚信竞投承诺书</w:t>
      </w:r>
    </w:p>
    <w:p w14:paraId="269768D3">
      <w:pPr>
        <w:pStyle w:val="6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本供应商郑重承诺：</w:t>
      </w:r>
    </w:p>
    <w:p w14:paraId="76F179B1">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一、将遵循公开、公平、公正和诚实信用的原则参加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(采购项目名称)的竞投；</w:t>
      </w:r>
    </w:p>
    <w:p w14:paraId="46C383F7">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二、不向采购单位、采购代理机构和监管部门及其工作人员和评审人员贿赂，或采取其它不正当手段谋取中标或成交；</w:t>
      </w:r>
    </w:p>
    <w:p w14:paraId="5FCFAE43">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三、应公平竞争、诚实守信，不得采取不正当手段抵毁、排挤其他供应商，不提供虚假材料谋取中标或成交；</w:t>
      </w:r>
    </w:p>
    <w:p w14:paraId="00171ECF">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四、中标成交后，不得将采购项目非法转让他人，或未经采购单位或采购监管部门同意，将中标项目分包给他人；</w:t>
      </w:r>
    </w:p>
    <w:p w14:paraId="4BF50D8B">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五、不与采购单位、其它供应商和采购代理机构串通或恶意报价，哄抬采购价格；不在招标过程中与采购组织机构协商谈判；</w:t>
      </w:r>
    </w:p>
    <w:p w14:paraId="4FD98B51">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六、中标成交后，按规定及时与采购方签订采购合同；无正当理由不拖延或拒绝与采购方签订采购合同，不与采购方订立有悖于采购结果的合同或协议；</w:t>
      </w:r>
    </w:p>
    <w:p w14:paraId="04417826">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七、严格履行采购合同，不降低合同约定的产品质量和服务，不擅自变更、中止、终止合同，或拒绝履行合同义务；</w:t>
      </w:r>
    </w:p>
    <w:p w14:paraId="6304F299">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八、不捏造事实或者提供虚假材料，进行虚假、恶意质疑、投诉，扰乱采购工作；</w:t>
      </w:r>
    </w:p>
    <w:p w14:paraId="2BA612FD">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九、自觉接受和配合有关采购监督部门的监督检查，不拒绝或在检查中提供虚假材料。</w:t>
      </w:r>
    </w:p>
    <w:p w14:paraId="2F4DFA6E">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本公司若有违反承诺内容的行为，自愿接受取消交易席位、记入信用档案等有关处理，愿意承担法律责任。如已中标的，自动放弃中标资格；给采购方造成损失的，依法承担赔偿责任。</w:t>
      </w:r>
    </w:p>
    <w:p w14:paraId="393D7A5C">
      <w:pPr>
        <w:pStyle w:val="62"/>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A097C53">
      <w:pPr>
        <w:keepNext/>
        <w:keepLines/>
        <w:pageBreakBefore w:val="0"/>
        <w:widowControl w:val="0"/>
        <w:kinsoku/>
        <w:wordWrap/>
        <w:overflowPunct/>
        <w:topLinePunct w:val="0"/>
        <w:autoSpaceDE/>
        <w:autoSpaceDN/>
        <w:bidi w:val="0"/>
        <w:adjustRightInd w:val="0"/>
        <w:snapToGrid w:val="0"/>
        <w:jc w:val="center"/>
        <w:textAlignment w:val="auto"/>
        <w:outlineLvl w:val="9"/>
        <w:rPr>
          <w:rFonts w:hint="eastAsia" w:ascii="仿宋" w:hAnsi="仿宋" w:eastAsia="仿宋" w:cs="仿宋"/>
          <w:color w:val="auto"/>
          <w:highlight w:val="none"/>
        </w:rPr>
      </w:pPr>
    </w:p>
    <w:p w14:paraId="0ADE1BBF">
      <w:pPr>
        <w:keepNext/>
        <w:keepLines/>
        <w:pageBreakBefore w:val="0"/>
        <w:widowControl w:val="0"/>
        <w:kinsoku/>
        <w:wordWrap/>
        <w:overflowPunct/>
        <w:topLinePunct w:val="0"/>
        <w:autoSpaceDE/>
        <w:autoSpaceDN/>
        <w:bidi w:val="0"/>
        <w:adjustRightInd w:val="0"/>
        <w:snapToGrid w:val="0"/>
        <w:jc w:val="center"/>
        <w:textAlignment w:val="auto"/>
        <w:outlineLvl w:val="9"/>
        <w:rPr>
          <w:rFonts w:hint="eastAsia" w:ascii="仿宋" w:hAnsi="仿宋" w:eastAsia="仿宋" w:cs="仿宋"/>
          <w:color w:val="auto"/>
          <w:highlight w:val="none"/>
        </w:rPr>
      </w:pPr>
    </w:p>
    <w:p w14:paraId="72AB38EE">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3F6B127D">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4EAAF782">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71E01129">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kern w:val="28"/>
          <w:sz w:val="28"/>
          <w:szCs w:val="32"/>
          <w:highlight w:val="none"/>
          <w:lang w:val="en-US" w:eastAsia="zh-CN" w:bidi="ar-SA"/>
        </w:rPr>
        <w:t>（3）投标人情况介绍</w:t>
      </w:r>
      <w:r>
        <w:rPr>
          <w:rFonts w:hint="eastAsia" w:ascii="仿宋" w:hAnsi="仿宋" w:eastAsia="仿宋" w:cs="仿宋"/>
          <w:b/>
          <w:bCs/>
          <w:color w:val="0000FF"/>
          <w:kern w:val="28"/>
          <w:sz w:val="28"/>
          <w:szCs w:val="32"/>
          <w:highlight w:val="none"/>
          <w:lang w:eastAsia="zh-CN"/>
        </w:rPr>
        <w:t>（联合体各成员均需提供）</w:t>
      </w:r>
    </w:p>
    <w:tbl>
      <w:tblPr>
        <w:tblStyle w:val="33"/>
        <w:tblW w:w="0" w:type="auto"/>
        <w:jc w:val="center"/>
        <w:tblLayout w:type="fixed"/>
        <w:tblCellMar>
          <w:top w:w="0" w:type="dxa"/>
          <w:left w:w="10" w:type="dxa"/>
          <w:bottom w:w="0" w:type="dxa"/>
          <w:right w:w="10" w:type="dxa"/>
        </w:tblCellMar>
      </w:tblPr>
      <w:tblGrid>
        <w:gridCol w:w="1785"/>
        <w:gridCol w:w="930"/>
        <w:gridCol w:w="975"/>
        <w:gridCol w:w="1275"/>
        <w:gridCol w:w="1455"/>
        <w:gridCol w:w="909"/>
        <w:gridCol w:w="2046"/>
      </w:tblGrid>
      <w:tr w14:paraId="08769B42">
        <w:tblPrEx>
          <w:tblCellMar>
            <w:top w:w="0" w:type="dxa"/>
            <w:left w:w="10" w:type="dxa"/>
            <w:bottom w:w="0" w:type="dxa"/>
            <w:right w:w="10" w:type="dxa"/>
          </w:tblCellMar>
        </w:tblPrEx>
        <w:trPr>
          <w:trHeight w:val="645" w:hRule="exact"/>
          <w:jc w:val="center"/>
        </w:trPr>
        <w:tc>
          <w:tcPr>
            <w:tcW w:w="1785" w:type="dxa"/>
            <w:tcBorders>
              <w:top w:val="single" w:color="auto" w:sz="4" w:space="0"/>
              <w:left w:val="single" w:color="auto" w:sz="4" w:space="0"/>
            </w:tcBorders>
            <w:shd w:val="clear" w:color="auto" w:fill="FFFFFF"/>
            <w:vAlign w:val="center"/>
          </w:tcPr>
          <w:p w14:paraId="29297402">
            <w:pPr>
              <w:pStyle w:val="65"/>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tc>
        <w:tc>
          <w:tcPr>
            <w:tcW w:w="7590" w:type="dxa"/>
            <w:gridSpan w:val="6"/>
            <w:tcBorders>
              <w:top w:val="single" w:color="auto" w:sz="4" w:space="0"/>
              <w:left w:val="single" w:color="auto" w:sz="4" w:space="0"/>
              <w:right w:val="single" w:color="auto" w:sz="4" w:space="0"/>
            </w:tcBorders>
            <w:shd w:val="clear" w:color="auto" w:fill="FFFFFF"/>
          </w:tcPr>
          <w:p w14:paraId="637D4301">
            <w:pPr>
              <w:rPr>
                <w:rFonts w:hint="eastAsia" w:ascii="仿宋" w:hAnsi="仿宋" w:eastAsia="仿宋" w:cs="仿宋"/>
                <w:color w:val="auto"/>
                <w:sz w:val="24"/>
                <w:highlight w:val="none"/>
              </w:rPr>
            </w:pPr>
          </w:p>
        </w:tc>
      </w:tr>
      <w:tr w14:paraId="597035F0">
        <w:tblPrEx>
          <w:tblCellMar>
            <w:top w:w="0" w:type="dxa"/>
            <w:left w:w="10" w:type="dxa"/>
            <w:bottom w:w="0" w:type="dxa"/>
            <w:right w:w="10" w:type="dxa"/>
          </w:tblCellMar>
        </w:tblPrEx>
        <w:trPr>
          <w:trHeight w:val="705" w:hRule="exact"/>
          <w:jc w:val="center"/>
        </w:trPr>
        <w:tc>
          <w:tcPr>
            <w:tcW w:w="1785" w:type="dxa"/>
            <w:tcBorders>
              <w:top w:val="single" w:color="auto" w:sz="4" w:space="0"/>
              <w:left w:val="single" w:color="auto" w:sz="4" w:space="0"/>
            </w:tcBorders>
            <w:shd w:val="clear" w:color="auto" w:fill="FFFFFF"/>
            <w:vAlign w:val="center"/>
          </w:tcPr>
          <w:p w14:paraId="7C1817CE">
            <w:pPr>
              <w:pStyle w:val="65"/>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7590" w:type="dxa"/>
            <w:gridSpan w:val="6"/>
            <w:tcBorders>
              <w:top w:val="single" w:color="auto" w:sz="4" w:space="0"/>
              <w:left w:val="single" w:color="auto" w:sz="4" w:space="0"/>
              <w:right w:val="single" w:color="auto" w:sz="4" w:space="0"/>
            </w:tcBorders>
            <w:shd w:val="clear" w:color="auto" w:fill="FFFFFF"/>
          </w:tcPr>
          <w:p w14:paraId="3A28A38F">
            <w:pPr>
              <w:rPr>
                <w:rFonts w:hint="eastAsia" w:ascii="仿宋" w:hAnsi="仿宋" w:eastAsia="仿宋" w:cs="仿宋"/>
                <w:color w:val="auto"/>
                <w:sz w:val="24"/>
                <w:highlight w:val="none"/>
              </w:rPr>
            </w:pPr>
          </w:p>
        </w:tc>
      </w:tr>
      <w:tr w14:paraId="73F3BF1B">
        <w:tblPrEx>
          <w:tblCellMar>
            <w:top w:w="0" w:type="dxa"/>
            <w:left w:w="10" w:type="dxa"/>
            <w:bottom w:w="0" w:type="dxa"/>
            <w:right w:w="10" w:type="dxa"/>
          </w:tblCellMar>
        </w:tblPrEx>
        <w:trPr>
          <w:trHeight w:val="690" w:hRule="exact"/>
          <w:jc w:val="center"/>
        </w:trPr>
        <w:tc>
          <w:tcPr>
            <w:tcW w:w="1785" w:type="dxa"/>
            <w:vMerge w:val="restart"/>
            <w:tcBorders>
              <w:top w:val="single" w:color="auto" w:sz="4" w:space="0"/>
              <w:left w:val="single" w:color="auto" w:sz="4" w:space="0"/>
            </w:tcBorders>
            <w:shd w:val="clear" w:color="auto" w:fill="FFFFFF"/>
            <w:vAlign w:val="center"/>
          </w:tcPr>
          <w:p w14:paraId="6F6950FC">
            <w:pPr>
              <w:pStyle w:val="65"/>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930" w:type="dxa"/>
            <w:tcBorders>
              <w:top w:val="single" w:color="auto" w:sz="4" w:space="0"/>
              <w:left w:val="single" w:color="auto" w:sz="4" w:space="0"/>
            </w:tcBorders>
            <w:shd w:val="clear" w:color="auto" w:fill="FFFFFF"/>
            <w:vAlign w:val="center"/>
          </w:tcPr>
          <w:p w14:paraId="43305973">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250" w:type="dxa"/>
            <w:gridSpan w:val="2"/>
            <w:tcBorders>
              <w:top w:val="single" w:color="auto" w:sz="4" w:space="0"/>
              <w:left w:val="single" w:color="auto" w:sz="4" w:space="0"/>
            </w:tcBorders>
            <w:shd w:val="clear" w:color="auto" w:fill="FFFFFF"/>
          </w:tcPr>
          <w:p w14:paraId="1C32D2F2">
            <w:pPr>
              <w:jc w:val="center"/>
              <w:rPr>
                <w:rFonts w:hint="eastAsia" w:ascii="仿宋" w:hAnsi="仿宋" w:eastAsia="仿宋" w:cs="仿宋"/>
                <w:color w:val="auto"/>
                <w:sz w:val="24"/>
                <w:highlight w:val="none"/>
              </w:rPr>
            </w:pPr>
          </w:p>
        </w:tc>
        <w:tc>
          <w:tcPr>
            <w:tcW w:w="1455" w:type="dxa"/>
            <w:tcBorders>
              <w:top w:val="single" w:color="auto" w:sz="4" w:space="0"/>
              <w:left w:val="single" w:color="auto" w:sz="4" w:space="0"/>
            </w:tcBorders>
            <w:shd w:val="clear" w:color="auto" w:fill="FFFFFF"/>
            <w:vAlign w:val="center"/>
          </w:tcPr>
          <w:p w14:paraId="65876CD4">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955" w:type="dxa"/>
            <w:gridSpan w:val="2"/>
            <w:tcBorders>
              <w:top w:val="single" w:color="auto" w:sz="4" w:space="0"/>
              <w:left w:val="single" w:color="auto" w:sz="4" w:space="0"/>
              <w:right w:val="single" w:color="auto" w:sz="4" w:space="0"/>
            </w:tcBorders>
            <w:shd w:val="clear" w:color="auto" w:fill="FFFFFF"/>
          </w:tcPr>
          <w:p w14:paraId="5E76F6A8">
            <w:pPr>
              <w:rPr>
                <w:rFonts w:hint="eastAsia" w:ascii="仿宋" w:hAnsi="仿宋" w:eastAsia="仿宋" w:cs="仿宋"/>
                <w:color w:val="auto"/>
                <w:sz w:val="24"/>
                <w:highlight w:val="none"/>
              </w:rPr>
            </w:pPr>
          </w:p>
        </w:tc>
      </w:tr>
      <w:tr w14:paraId="74AE2107">
        <w:tblPrEx>
          <w:tblCellMar>
            <w:top w:w="0" w:type="dxa"/>
            <w:left w:w="10" w:type="dxa"/>
            <w:bottom w:w="0" w:type="dxa"/>
            <w:right w:w="10" w:type="dxa"/>
          </w:tblCellMar>
        </w:tblPrEx>
        <w:trPr>
          <w:trHeight w:val="705" w:hRule="exact"/>
          <w:jc w:val="center"/>
        </w:trPr>
        <w:tc>
          <w:tcPr>
            <w:tcW w:w="1785" w:type="dxa"/>
            <w:vMerge w:val="continue"/>
            <w:tcBorders>
              <w:left w:val="single" w:color="auto" w:sz="4" w:space="0"/>
            </w:tcBorders>
            <w:shd w:val="clear" w:color="auto" w:fill="FFFFFF"/>
            <w:vAlign w:val="center"/>
          </w:tcPr>
          <w:p w14:paraId="6809A12D">
            <w:pPr>
              <w:rPr>
                <w:rFonts w:hint="eastAsia" w:ascii="仿宋" w:hAnsi="仿宋" w:eastAsia="仿宋" w:cs="仿宋"/>
                <w:color w:val="auto"/>
                <w:sz w:val="24"/>
                <w:highlight w:val="none"/>
              </w:rPr>
            </w:pPr>
          </w:p>
        </w:tc>
        <w:tc>
          <w:tcPr>
            <w:tcW w:w="930" w:type="dxa"/>
            <w:tcBorders>
              <w:top w:val="single" w:color="auto" w:sz="4" w:space="0"/>
              <w:left w:val="single" w:color="auto" w:sz="4" w:space="0"/>
            </w:tcBorders>
            <w:shd w:val="clear" w:color="auto" w:fill="FFFFFF"/>
            <w:vAlign w:val="center"/>
          </w:tcPr>
          <w:p w14:paraId="541B3E20">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250" w:type="dxa"/>
            <w:gridSpan w:val="2"/>
            <w:tcBorders>
              <w:top w:val="single" w:color="auto" w:sz="4" w:space="0"/>
              <w:left w:val="single" w:color="auto" w:sz="4" w:space="0"/>
            </w:tcBorders>
            <w:shd w:val="clear" w:color="auto" w:fill="FFFFFF"/>
          </w:tcPr>
          <w:p w14:paraId="083FFF79">
            <w:pPr>
              <w:jc w:val="center"/>
              <w:rPr>
                <w:rFonts w:hint="eastAsia" w:ascii="仿宋" w:hAnsi="仿宋" w:eastAsia="仿宋" w:cs="仿宋"/>
                <w:color w:val="auto"/>
                <w:sz w:val="24"/>
                <w:highlight w:val="none"/>
              </w:rPr>
            </w:pPr>
          </w:p>
        </w:tc>
        <w:tc>
          <w:tcPr>
            <w:tcW w:w="1455" w:type="dxa"/>
            <w:tcBorders>
              <w:top w:val="single" w:color="auto" w:sz="4" w:space="0"/>
              <w:left w:val="single" w:color="auto" w:sz="4" w:space="0"/>
            </w:tcBorders>
            <w:shd w:val="clear" w:color="auto" w:fill="FFFFFF"/>
            <w:vAlign w:val="center"/>
          </w:tcPr>
          <w:p w14:paraId="43F2D8DA">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955" w:type="dxa"/>
            <w:gridSpan w:val="2"/>
            <w:tcBorders>
              <w:top w:val="single" w:color="auto" w:sz="4" w:space="0"/>
              <w:left w:val="single" w:color="auto" w:sz="4" w:space="0"/>
              <w:right w:val="single" w:color="auto" w:sz="4" w:space="0"/>
            </w:tcBorders>
            <w:shd w:val="clear" w:color="auto" w:fill="FFFFFF"/>
          </w:tcPr>
          <w:p w14:paraId="1C9DFDFE">
            <w:pPr>
              <w:rPr>
                <w:rFonts w:hint="eastAsia" w:ascii="仿宋" w:hAnsi="仿宋" w:eastAsia="仿宋" w:cs="仿宋"/>
                <w:color w:val="auto"/>
                <w:sz w:val="24"/>
                <w:highlight w:val="none"/>
              </w:rPr>
            </w:pPr>
          </w:p>
        </w:tc>
      </w:tr>
      <w:tr w14:paraId="5E21396F">
        <w:tblPrEx>
          <w:tblCellMar>
            <w:top w:w="0" w:type="dxa"/>
            <w:left w:w="10" w:type="dxa"/>
            <w:bottom w:w="0" w:type="dxa"/>
            <w:right w:w="10" w:type="dxa"/>
          </w:tblCellMar>
        </w:tblPrEx>
        <w:trPr>
          <w:trHeight w:val="690" w:hRule="exact"/>
          <w:jc w:val="center"/>
        </w:trPr>
        <w:tc>
          <w:tcPr>
            <w:tcW w:w="1785" w:type="dxa"/>
            <w:tcBorders>
              <w:top w:val="single" w:color="auto" w:sz="4" w:space="0"/>
              <w:left w:val="single" w:color="auto" w:sz="4" w:space="0"/>
            </w:tcBorders>
            <w:shd w:val="clear" w:color="auto" w:fill="FFFFFF"/>
            <w:vAlign w:val="center"/>
          </w:tcPr>
          <w:p w14:paraId="08676351">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930" w:type="dxa"/>
            <w:tcBorders>
              <w:top w:val="single" w:color="auto" w:sz="4" w:space="0"/>
              <w:left w:val="single" w:color="auto" w:sz="4" w:space="0"/>
            </w:tcBorders>
            <w:shd w:val="clear" w:color="auto" w:fill="FFFFFF"/>
            <w:vAlign w:val="center"/>
          </w:tcPr>
          <w:p w14:paraId="7BB3623A">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75" w:type="dxa"/>
            <w:tcBorders>
              <w:top w:val="single" w:color="auto" w:sz="4" w:space="0"/>
              <w:left w:val="single" w:color="auto" w:sz="4" w:space="0"/>
            </w:tcBorders>
            <w:shd w:val="clear" w:color="auto" w:fill="FFFFFF"/>
          </w:tcPr>
          <w:p w14:paraId="5FFD41EF">
            <w:pPr>
              <w:rPr>
                <w:rFonts w:hint="eastAsia" w:ascii="仿宋" w:hAnsi="仿宋" w:eastAsia="仿宋" w:cs="仿宋"/>
                <w:color w:val="auto"/>
                <w:sz w:val="24"/>
                <w:highlight w:val="none"/>
              </w:rPr>
            </w:pPr>
          </w:p>
        </w:tc>
        <w:tc>
          <w:tcPr>
            <w:tcW w:w="1275" w:type="dxa"/>
            <w:tcBorders>
              <w:top w:val="single" w:color="auto" w:sz="4" w:space="0"/>
              <w:left w:val="single" w:color="auto" w:sz="4" w:space="0"/>
            </w:tcBorders>
            <w:shd w:val="clear" w:color="auto" w:fill="FFFFFF"/>
            <w:vAlign w:val="center"/>
          </w:tcPr>
          <w:p w14:paraId="6D05EDF4">
            <w:pPr>
              <w:pStyle w:val="65"/>
              <w:spacing w:line="240" w:lineRule="auto"/>
              <w:ind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455" w:type="dxa"/>
            <w:tcBorders>
              <w:top w:val="single" w:color="auto" w:sz="4" w:space="0"/>
              <w:left w:val="single" w:color="auto" w:sz="4" w:space="0"/>
            </w:tcBorders>
            <w:shd w:val="clear" w:color="auto" w:fill="FFFFFF"/>
            <w:vAlign w:val="center"/>
          </w:tcPr>
          <w:p w14:paraId="19FB256B">
            <w:pPr>
              <w:pStyle w:val="65"/>
              <w:spacing w:line="240" w:lineRule="auto"/>
              <w:ind w:firstLine="0"/>
              <w:jc w:val="left"/>
              <w:rPr>
                <w:rFonts w:hint="eastAsia" w:ascii="仿宋" w:hAnsi="仿宋" w:eastAsia="仿宋" w:cs="仿宋"/>
                <w:color w:val="auto"/>
                <w:sz w:val="24"/>
                <w:szCs w:val="24"/>
                <w:highlight w:val="none"/>
              </w:rPr>
            </w:pPr>
          </w:p>
        </w:tc>
        <w:tc>
          <w:tcPr>
            <w:tcW w:w="909" w:type="dxa"/>
            <w:tcBorders>
              <w:top w:val="single" w:color="auto" w:sz="4" w:space="0"/>
              <w:left w:val="single" w:color="auto" w:sz="4" w:space="0"/>
              <w:right w:val="single" w:color="auto" w:sz="4" w:space="0"/>
            </w:tcBorders>
            <w:shd w:val="clear" w:color="auto" w:fill="FFFFFF"/>
            <w:vAlign w:val="center"/>
          </w:tcPr>
          <w:p w14:paraId="36137C79">
            <w:pPr>
              <w:pStyle w:val="65"/>
              <w:spacing w:line="240" w:lineRule="auto"/>
              <w:ind w:firstLine="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046" w:type="dxa"/>
            <w:tcBorders>
              <w:top w:val="single" w:color="auto" w:sz="4" w:space="0"/>
              <w:left w:val="single" w:color="auto" w:sz="4" w:space="0"/>
              <w:right w:val="single" w:color="auto" w:sz="4" w:space="0"/>
            </w:tcBorders>
            <w:shd w:val="clear" w:color="auto" w:fill="FFFFFF"/>
            <w:vAlign w:val="center"/>
          </w:tcPr>
          <w:p w14:paraId="669121A4">
            <w:pPr>
              <w:pStyle w:val="65"/>
              <w:spacing w:line="240" w:lineRule="auto"/>
              <w:ind w:firstLine="200"/>
              <w:jc w:val="left"/>
              <w:rPr>
                <w:rFonts w:hint="eastAsia" w:ascii="仿宋" w:hAnsi="仿宋" w:eastAsia="仿宋" w:cs="仿宋"/>
                <w:color w:val="auto"/>
                <w:sz w:val="24"/>
                <w:szCs w:val="24"/>
                <w:highlight w:val="none"/>
              </w:rPr>
            </w:pPr>
          </w:p>
        </w:tc>
      </w:tr>
      <w:tr w14:paraId="42FE9FE9">
        <w:tblPrEx>
          <w:tblCellMar>
            <w:top w:w="0" w:type="dxa"/>
            <w:left w:w="10" w:type="dxa"/>
            <w:bottom w:w="0" w:type="dxa"/>
            <w:right w:w="10" w:type="dxa"/>
          </w:tblCellMar>
        </w:tblPrEx>
        <w:trPr>
          <w:trHeight w:val="720" w:hRule="exact"/>
          <w:jc w:val="center"/>
        </w:trPr>
        <w:tc>
          <w:tcPr>
            <w:tcW w:w="1785" w:type="dxa"/>
            <w:tcBorders>
              <w:top w:val="single" w:color="auto" w:sz="4" w:space="0"/>
              <w:left w:val="single" w:color="auto" w:sz="4" w:space="0"/>
            </w:tcBorders>
            <w:shd w:val="clear" w:color="auto" w:fill="FFFFFF"/>
            <w:vAlign w:val="center"/>
          </w:tcPr>
          <w:p w14:paraId="429A4979">
            <w:pPr>
              <w:pStyle w:val="65"/>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1905" w:type="dxa"/>
            <w:gridSpan w:val="2"/>
            <w:tcBorders>
              <w:top w:val="single" w:color="auto" w:sz="4" w:space="0"/>
              <w:left w:val="single" w:color="auto" w:sz="4" w:space="0"/>
            </w:tcBorders>
            <w:shd w:val="clear" w:color="auto" w:fill="FFFFFF"/>
          </w:tcPr>
          <w:p w14:paraId="363DD9C0">
            <w:pPr>
              <w:rPr>
                <w:rFonts w:hint="eastAsia" w:ascii="仿宋" w:hAnsi="仿宋" w:eastAsia="仿宋" w:cs="仿宋"/>
                <w:color w:val="auto"/>
                <w:sz w:val="24"/>
                <w:highlight w:val="none"/>
              </w:rPr>
            </w:pPr>
          </w:p>
        </w:tc>
        <w:tc>
          <w:tcPr>
            <w:tcW w:w="5685" w:type="dxa"/>
            <w:gridSpan w:val="4"/>
            <w:tcBorders>
              <w:top w:val="single" w:color="auto" w:sz="4" w:space="0"/>
              <w:left w:val="single" w:color="auto" w:sz="4" w:space="0"/>
              <w:right w:val="single" w:color="auto" w:sz="4" w:space="0"/>
            </w:tcBorders>
            <w:shd w:val="clear" w:color="auto" w:fill="FFFFFF"/>
            <w:vAlign w:val="center"/>
          </w:tcPr>
          <w:p w14:paraId="786CE125">
            <w:pPr>
              <w:pStyle w:val="65"/>
              <w:spacing w:line="240" w:lineRule="auto"/>
              <w:ind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5617E584">
        <w:tblPrEx>
          <w:tblCellMar>
            <w:top w:w="0" w:type="dxa"/>
            <w:left w:w="10" w:type="dxa"/>
            <w:bottom w:w="0" w:type="dxa"/>
            <w:right w:w="10" w:type="dxa"/>
          </w:tblCellMar>
        </w:tblPrEx>
        <w:trPr>
          <w:trHeight w:val="690" w:hRule="exact"/>
          <w:jc w:val="center"/>
        </w:trPr>
        <w:tc>
          <w:tcPr>
            <w:tcW w:w="1785" w:type="dxa"/>
            <w:tcBorders>
              <w:top w:val="single" w:color="auto" w:sz="4" w:space="0"/>
              <w:left w:val="single" w:color="auto" w:sz="4" w:space="0"/>
            </w:tcBorders>
            <w:shd w:val="clear" w:color="auto" w:fill="FFFFFF"/>
            <w:vAlign w:val="center"/>
          </w:tcPr>
          <w:p w14:paraId="37939822">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1905" w:type="dxa"/>
            <w:gridSpan w:val="2"/>
            <w:tcBorders>
              <w:top w:val="single" w:color="auto" w:sz="4" w:space="0"/>
              <w:left w:val="single" w:color="auto" w:sz="4" w:space="0"/>
            </w:tcBorders>
            <w:shd w:val="clear" w:color="auto" w:fill="FFFFFF"/>
          </w:tcPr>
          <w:p w14:paraId="2DF43799">
            <w:pPr>
              <w:rPr>
                <w:rFonts w:hint="eastAsia" w:ascii="仿宋" w:hAnsi="仿宋" w:eastAsia="仿宋" w:cs="仿宋"/>
                <w:color w:val="auto"/>
                <w:sz w:val="24"/>
                <w:highlight w:val="none"/>
              </w:rPr>
            </w:pPr>
          </w:p>
        </w:tc>
        <w:tc>
          <w:tcPr>
            <w:tcW w:w="2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2CBF03">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955" w:type="dxa"/>
            <w:gridSpan w:val="2"/>
            <w:tcBorders>
              <w:top w:val="single" w:color="auto" w:sz="4" w:space="0"/>
              <w:left w:val="single" w:color="auto" w:sz="4" w:space="0"/>
              <w:right w:val="single" w:color="auto" w:sz="4" w:space="0"/>
            </w:tcBorders>
            <w:shd w:val="clear" w:color="auto" w:fill="FFFFFF"/>
          </w:tcPr>
          <w:p w14:paraId="2CD5C0B6">
            <w:pPr>
              <w:rPr>
                <w:rFonts w:hint="eastAsia" w:ascii="仿宋" w:hAnsi="仿宋" w:eastAsia="仿宋" w:cs="仿宋"/>
                <w:color w:val="auto"/>
                <w:sz w:val="24"/>
                <w:highlight w:val="none"/>
              </w:rPr>
            </w:pPr>
          </w:p>
        </w:tc>
      </w:tr>
      <w:tr w14:paraId="5E9A6BBD">
        <w:tblPrEx>
          <w:tblCellMar>
            <w:top w:w="0" w:type="dxa"/>
            <w:left w:w="10" w:type="dxa"/>
            <w:bottom w:w="0" w:type="dxa"/>
            <w:right w:w="10" w:type="dxa"/>
          </w:tblCellMar>
        </w:tblPrEx>
        <w:trPr>
          <w:trHeight w:val="705" w:hRule="exact"/>
          <w:jc w:val="center"/>
        </w:trPr>
        <w:tc>
          <w:tcPr>
            <w:tcW w:w="1785" w:type="dxa"/>
            <w:tcBorders>
              <w:top w:val="single" w:color="auto" w:sz="4" w:space="0"/>
              <w:left w:val="single" w:color="auto" w:sz="4" w:space="0"/>
            </w:tcBorders>
            <w:shd w:val="clear" w:color="auto" w:fill="FFFFFF"/>
            <w:vAlign w:val="center"/>
          </w:tcPr>
          <w:p w14:paraId="0CAD5716">
            <w:pPr>
              <w:pStyle w:val="65"/>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1905" w:type="dxa"/>
            <w:gridSpan w:val="2"/>
            <w:tcBorders>
              <w:top w:val="single" w:color="auto" w:sz="4" w:space="0"/>
              <w:left w:val="single" w:color="auto" w:sz="4" w:space="0"/>
            </w:tcBorders>
            <w:shd w:val="clear" w:color="auto" w:fill="FFFFFF"/>
          </w:tcPr>
          <w:p w14:paraId="76A992D6">
            <w:pPr>
              <w:rPr>
                <w:rFonts w:hint="eastAsia" w:ascii="仿宋" w:hAnsi="仿宋" w:eastAsia="仿宋" w:cs="仿宋"/>
                <w:color w:val="auto"/>
                <w:sz w:val="24"/>
                <w:highlight w:val="none"/>
              </w:rPr>
            </w:pPr>
          </w:p>
        </w:tc>
        <w:tc>
          <w:tcPr>
            <w:tcW w:w="2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49AD955">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955" w:type="dxa"/>
            <w:gridSpan w:val="2"/>
            <w:tcBorders>
              <w:top w:val="single" w:color="auto" w:sz="4" w:space="0"/>
              <w:left w:val="single" w:color="auto" w:sz="4" w:space="0"/>
              <w:right w:val="single" w:color="auto" w:sz="4" w:space="0"/>
            </w:tcBorders>
            <w:shd w:val="clear" w:color="auto" w:fill="FFFFFF"/>
          </w:tcPr>
          <w:p w14:paraId="5182D997">
            <w:pPr>
              <w:rPr>
                <w:rFonts w:hint="eastAsia" w:ascii="仿宋" w:hAnsi="仿宋" w:eastAsia="仿宋" w:cs="仿宋"/>
                <w:color w:val="auto"/>
                <w:sz w:val="24"/>
                <w:highlight w:val="none"/>
              </w:rPr>
            </w:pPr>
          </w:p>
        </w:tc>
      </w:tr>
      <w:tr w14:paraId="5B7D5388">
        <w:tblPrEx>
          <w:tblCellMar>
            <w:top w:w="0" w:type="dxa"/>
            <w:left w:w="10" w:type="dxa"/>
            <w:bottom w:w="0" w:type="dxa"/>
            <w:right w:w="10" w:type="dxa"/>
          </w:tblCellMar>
        </w:tblPrEx>
        <w:trPr>
          <w:trHeight w:val="705" w:hRule="exact"/>
          <w:jc w:val="center"/>
        </w:trPr>
        <w:tc>
          <w:tcPr>
            <w:tcW w:w="1785" w:type="dxa"/>
            <w:tcBorders>
              <w:top w:val="single" w:color="auto" w:sz="4" w:space="0"/>
              <w:left w:val="single" w:color="auto" w:sz="4" w:space="0"/>
            </w:tcBorders>
            <w:shd w:val="clear" w:color="auto" w:fill="FFFFFF"/>
            <w:vAlign w:val="center"/>
          </w:tcPr>
          <w:p w14:paraId="746EE43F">
            <w:pPr>
              <w:pStyle w:val="65"/>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905" w:type="dxa"/>
            <w:gridSpan w:val="2"/>
            <w:tcBorders>
              <w:top w:val="single" w:color="auto" w:sz="4" w:space="0"/>
              <w:left w:val="single" w:color="auto" w:sz="4" w:space="0"/>
            </w:tcBorders>
            <w:shd w:val="clear" w:color="auto" w:fill="FFFFFF"/>
          </w:tcPr>
          <w:p w14:paraId="3FC3E5F4">
            <w:pPr>
              <w:rPr>
                <w:rFonts w:hint="eastAsia" w:ascii="仿宋" w:hAnsi="仿宋" w:eastAsia="仿宋" w:cs="仿宋"/>
                <w:color w:val="auto"/>
                <w:sz w:val="24"/>
                <w:highlight w:val="none"/>
              </w:rPr>
            </w:pPr>
          </w:p>
        </w:tc>
        <w:tc>
          <w:tcPr>
            <w:tcW w:w="2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B98F027">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955" w:type="dxa"/>
            <w:gridSpan w:val="2"/>
            <w:tcBorders>
              <w:top w:val="single" w:color="auto" w:sz="4" w:space="0"/>
              <w:left w:val="single" w:color="auto" w:sz="4" w:space="0"/>
              <w:right w:val="single" w:color="auto" w:sz="4" w:space="0"/>
            </w:tcBorders>
            <w:shd w:val="clear" w:color="auto" w:fill="FFFFFF"/>
          </w:tcPr>
          <w:p w14:paraId="55ACDC1C">
            <w:pPr>
              <w:rPr>
                <w:rFonts w:hint="eastAsia" w:ascii="仿宋" w:hAnsi="仿宋" w:eastAsia="仿宋" w:cs="仿宋"/>
                <w:color w:val="auto"/>
                <w:sz w:val="24"/>
                <w:highlight w:val="none"/>
              </w:rPr>
            </w:pPr>
          </w:p>
        </w:tc>
      </w:tr>
      <w:tr w14:paraId="2EE8B712">
        <w:tblPrEx>
          <w:tblCellMar>
            <w:top w:w="0" w:type="dxa"/>
            <w:left w:w="10" w:type="dxa"/>
            <w:bottom w:w="0" w:type="dxa"/>
            <w:right w:w="10" w:type="dxa"/>
          </w:tblCellMar>
        </w:tblPrEx>
        <w:trPr>
          <w:trHeight w:val="705" w:hRule="exact"/>
          <w:jc w:val="center"/>
        </w:trPr>
        <w:tc>
          <w:tcPr>
            <w:tcW w:w="1785" w:type="dxa"/>
            <w:tcBorders>
              <w:top w:val="single" w:color="auto" w:sz="4" w:space="0"/>
              <w:left w:val="single" w:color="auto" w:sz="4" w:space="0"/>
            </w:tcBorders>
            <w:shd w:val="clear" w:color="auto" w:fill="FFFFFF"/>
            <w:vAlign w:val="center"/>
          </w:tcPr>
          <w:p w14:paraId="17E88425">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1905" w:type="dxa"/>
            <w:gridSpan w:val="2"/>
            <w:tcBorders>
              <w:top w:val="single" w:color="auto" w:sz="4" w:space="0"/>
              <w:left w:val="single" w:color="auto" w:sz="4" w:space="0"/>
            </w:tcBorders>
            <w:shd w:val="clear" w:color="auto" w:fill="FFFFFF"/>
          </w:tcPr>
          <w:p w14:paraId="7BB69CAE">
            <w:pPr>
              <w:rPr>
                <w:rFonts w:hint="eastAsia" w:ascii="仿宋" w:hAnsi="仿宋" w:eastAsia="仿宋" w:cs="仿宋"/>
                <w:color w:val="auto"/>
                <w:sz w:val="24"/>
                <w:highlight w:val="none"/>
              </w:rPr>
            </w:pPr>
          </w:p>
        </w:tc>
        <w:tc>
          <w:tcPr>
            <w:tcW w:w="2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AC5090">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2955" w:type="dxa"/>
            <w:gridSpan w:val="2"/>
            <w:tcBorders>
              <w:top w:val="single" w:color="auto" w:sz="4" w:space="0"/>
              <w:left w:val="single" w:color="auto" w:sz="4" w:space="0"/>
              <w:right w:val="single" w:color="auto" w:sz="4" w:space="0"/>
            </w:tcBorders>
            <w:shd w:val="clear" w:color="auto" w:fill="FFFFFF"/>
          </w:tcPr>
          <w:p w14:paraId="6329FA02">
            <w:pPr>
              <w:rPr>
                <w:rFonts w:hint="eastAsia" w:ascii="仿宋" w:hAnsi="仿宋" w:eastAsia="仿宋" w:cs="仿宋"/>
                <w:color w:val="auto"/>
                <w:sz w:val="24"/>
                <w:highlight w:val="none"/>
              </w:rPr>
            </w:pPr>
          </w:p>
        </w:tc>
      </w:tr>
      <w:tr w14:paraId="3282B22C">
        <w:tblPrEx>
          <w:tblCellMar>
            <w:top w:w="0" w:type="dxa"/>
            <w:left w:w="10" w:type="dxa"/>
            <w:bottom w:w="0" w:type="dxa"/>
            <w:right w:w="10" w:type="dxa"/>
          </w:tblCellMar>
        </w:tblPrEx>
        <w:trPr>
          <w:trHeight w:val="1470" w:hRule="exact"/>
          <w:jc w:val="center"/>
        </w:trPr>
        <w:tc>
          <w:tcPr>
            <w:tcW w:w="1785" w:type="dxa"/>
            <w:tcBorders>
              <w:top w:val="single" w:color="auto" w:sz="4" w:space="0"/>
              <w:left w:val="single" w:color="auto" w:sz="4" w:space="0"/>
            </w:tcBorders>
            <w:shd w:val="clear" w:color="auto" w:fill="FFFFFF"/>
            <w:vAlign w:val="center"/>
          </w:tcPr>
          <w:p w14:paraId="3509B67F">
            <w:pPr>
              <w:pStyle w:val="65"/>
              <w:spacing w:line="240" w:lineRule="auto"/>
              <w:ind w:firstLine="5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590" w:type="dxa"/>
            <w:gridSpan w:val="6"/>
            <w:tcBorders>
              <w:top w:val="single" w:color="auto" w:sz="4" w:space="0"/>
              <w:left w:val="single" w:color="auto" w:sz="4" w:space="0"/>
              <w:right w:val="single" w:color="auto" w:sz="4" w:space="0"/>
            </w:tcBorders>
            <w:shd w:val="clear" w:color="auto" w:fill="FFFFFF"/>
          </w:tcPr>
          <w:p w14:paraId="49EA7EDD">
            <w:pPr>
              <w:rPr>
                <w:rFonts w:hint="eastAsia" w:ascii="仿宋" w:hAnsi="仿宋" w:eastAsia="仿宋" w:cs="仿宋"/>
                <w:color w:val="auto"/>
                <w:sz w:val="24"/>
                <w:highlight w:val="none"/>
              </w:rPr>
            </w:pPr>
          </w:p>
        </w:tc>
      </w:tr>
      <w:tr w14:paraId="10298B50">
        <w:tblPrEx>
          <w:tblCellMar>
            <w:top w:w="0" w:type="dxa"/>
            <w:left w:w="10" w:type="dxa"/>
            <w:bottom w:w="0" w:type="dxa"/>
            <w:right w:w="10" w:type="dxa"/>
          </w:tblCellMar>
        </w:tblPrEx>
        <w:trPr>
          <w:trHeight w:val="735" w:hRule="exact"/>
          <w:jc w:val="center"/>
        </w:trPr>
        <w:tc>
          <w:tcPr>
            <w:tcW w:w="1785" w:type="dxa"/>
            <w:tcBorders>
              <w:top w:val="single" w:color="auto" w:sz="4" w:space="0"/>
              <w:left w:val="single" w:color="auto" w:sz="4" w:space="0"/>
              <w:bottom w:val="single" w:color="auto" w:sz="4" w:space="0"/>
            </w:tcBorders>
            <w:shd w:val="clear" w:color="auto" w:fill="FFFFFF"/>
            <w:vAlign w:val="center"/>
          </w:tcPr>
          <w:p w14:paraId="3463537F">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tcPr>
          <w:p w14:paraId="25B0272A">
            <w:pPr>
              <w:rPr>
                <w:rFonts w:hint="eastAsia" w:ascii="仿宋" w:hAnsi="仿宋" w:eastAsia="仿宋" w:cs="仿宋"/>
                <w:color w:val="auto"/>
                <w:sz w:val="24"/>
                <w:highlight w:val="none"/>
              </w:rPr>
            </w:pPr>
          </w:p>
        </w:tc>
      </w:tr>
    </w:tbl>
    <w:p w14:paraId="15AE745B">
      <w:pPr>
        <w:widowControl/>
        <w:jc w:val="left"/>
        <w:rPr>
          <w:rFonts w:hint="eastAsia" w:ascii="仿宋" w:hAnsi="仿宋" w:eastAsia="仿宋" w:cs="仿宋"/>
          <w:color w:val="auto"/>
          <w:sz w:val="24"/>
          <w:highlight w:val="none"/>
        </w:rPr>
      </w:pPr>
    </w:p>
    <w:p w14:paraId="7C15F3EA">
      <w:pPr>
        <w:widowControl/>
        <w:jc w:val="left"/>
        <w:rPr>
          <w:rFonts w:hint="eastAsia" w:ascii="仿宋" w:hAnsi="仿宋" w:eastAsia="仿宋" w:cs="仿宋"/>
          <w:color w:val="auto"/>
          <w:sz w:val="24"/>
          <w:highlight w:val="none"/>
        </w:rPr>
      </w:pPr>
    </w:p>
    <w:p w14:paraId="0D4CDDDD">
      <w:pPr>
        <w:widowControl/>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注：本表后应附营业执照等相关材料及投标人认为还需要提供的其他资料。</w:t>
      </w:r>
    </w:p>
    <w:p w14:paraId="7C757728">
      <w:pPr>
        <w:widowControl/>
        <w:jc w:val="left"/>
        <w:rPr>
          <w:rFonts w:hint="eastAsia" w:ascii="仿宋" w:hAnsi="仿宋" w:eastAsia="仿宋" w:cs="仿宋"/>
          <w:color w:val="auto"/>
          <w:sz w:val="24"/>
          <w:highlight w:val="none"/>
        </w:rPr>
      </w:pPr>
    </w:p>
    <w:p w14:paraId="122C9C0E">
      <w:pPr>
        <w:widowControl/>
        <w:jc w:val="left"/>
        <w:rPr>
          <w:rFonts w:hint="eastAsia" w:ascii="仿宋" w:hAnsi="仿宋" w:eastAsia="仿宋" w:cs="仿宋"/>
          <w:color w:val="auto"/>
          <w:sz w:val="24"/>
          <w:highlight w:val="none"/>
        </w:rPr>
      </w:pPr>
    </w:p>
    <w:p w14:paraId="1439B358">
      <w:pPr>
        <w:jc w:val="center"/>
        <w:rPr>
          <w:rFonts w:hint="eastAsia" w:ascii="仿宋" w:hAnsi="仿宋" w:eastAsia="仿宋" w:cs="仿宋"/>
          <w:color w:val="auto"/>
          <w:sz w:val="24"/>
          <w:highlight w:val="none"/>
        </w:rPr>
      </w:pPr>
    </w:p>
    <w:p w14:paraId="3C4B8177">
      <w:pPr>
        <w:jc w:val="center"/>
        <w:rPr>
          <w:rFonts w:hint="eastAsia" w:ascii="仿宋" w:hAnsi="仿宋" w:eastAsia="仿宋" w:cs="仿宋"/>
          <w:color w:val="auto"/>
          <w:sz w:val="24"/>
          <w:highlight w:val="none"/>
        </w:rPr>
      </w:pPr>
    </w:p>
    <w:p w14:paraId="795ADEC0">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2E169E45">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380D6834">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4971F677">
      <w:pPr>
        <w:jc w:val="center"/>
        <w:outlineLvl w:val="2"/>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3.1投标人的类似项目业绩一览表</w:t>
      </w:r>
    </w:p>
    <w:tbl>
      <w:tblPr>
        <w:tblStyle w:val="33"/>
        <w:tblpPr w:leftFromText="180" w:rightFromText="180" w:vertAnchor="text" w:horzAnchor="page" w:tblpXSpec="center" w:tblpY="460"/>
        <w:tblOverlap w:val="never"/>
        <w:tblW w:w="9891" w:type="dxa"/>
        <w:jc w:val="center"/>
        <w:tblLayout w:type="fixed"/>
        <w:tblCellMar>
          <w:top w:w="0" w:type="dxa"/>
          <w:left w:w="10" w:type="dxa"/>
          <w:bottom w:w="0" w:type="dxa"/>
          <w:right w:w="10" w:type="dxa"/>
        </w:tblCellMar>
      </w:tblPr>
      <w:tblGrid>
        <w:gridCol w:w="791"/>
        <w:gridCol w:w="1756"/>
        <w:gridCol w:w="1965"/>
        <w:gridCol w:w="2246"/>
        <w:gridCol w:w="1999"/>
        <w:gridCol w:w="1134"/>
      </w:tblGrid>
      <w:tr w14:paraId="19E2D974">
        <w:tblPrEx>
          <w:tblCellMar>
            <w:top w:w="0" w:type="dxa"/>
            <w:left w:w="10" w:type="dxa"/>
            <w:bottom w:w="0" w:type="dxa"/>
            <w:right w:w="10" w:type="dxa"/>
          </w:tblCellMar>
        </w:tblPrEx>
        <w:trPr>
          <w:trHeight w:val="887" w:hRule="exact"/>
          <w:jc w:val="center"/>
        </w:trPr>
        <w:tc>
          <w:tcPr>
            <w:tcW w:w="791" w:type="dxa"/>
            <w:tcBorders>
              <w:top w:val="single" w:color="auto" w:sz="4" w:space="0"/>
              <w:left w:val="single" w:color="auto" w:sz="4" w:space="0"/>
            </w:tcBorders>
            <w:shd w:val="clear" w:color="auto" w:fill="FFFFFF"/>
            <w:vAlign w:val="center"/>
          </w:tcPr>
          <w:p w14:paraId="6F02AB1B">
            <w:pPr>
              <w:pStyle w:val="65"/>
              <w:spacing w:line="240" w:lineRule="auto"/>
              <w:ind w:firstLine="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756" w:type="dxa"/>
            <w:tcBorders>
              <w:top w:val="single" w:color="auto" w:sz="4" w:space="0"/>
              <w:left w:val="single" w:color="auto" w:sz="4" w:space="0"/>
            </w:tcBorders>
            <w:shd w:val="clear" w:color="auto" w:fill="FFFFFF"/>
            <w:vAlign w:val="center"/>
          </w:tcPr>
          <w:p w14:paraId="534FE1DE">
            <w:pPr>
              <w:pStyle w:val="65"/>
              <w:spacing w:line="240" w:lineRule="auto"/>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965" w:type="dxa"/>
            <w:tcBorders>
              <w:top w:val="single" w:color="auto" w:sz="4" w:space="0"/>
              <w:left w:val="single" w:color="auto" w:sz="4" w:space="0"/>
            </w:tcBorders>
            <w:shd w:val="clear" w:color="auto" w:fill="FFFFFF"/>
            <w:vAlign w:val="center"/>
          </w:tcPr>
          <w:p w14:paraId="29A1652C">
            <w:pPr>
              <w:pStyle w:val="65"/>
              <w:spacing w:line="240" w:lineRule="auto"/>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项目内容</w:t>
            </w:r>
          </w:p>
        </w:tc>
        <w:tc>
          <w:tcPr>
            <w:tcW w:w="2246" w:type="dxa"/>
            <w:tcBorders>
              <w:top w:val="single" w:color="auto" w:sz="4" w:space="0"/>
              <w:left w:val="single" w:color="auto" w:sz="4" w:space="0"/>
            </w:tcBorders>
            <w:shd w:val="clear" w:color="auto" w:fill="FFFFFF"/>
            <w:vAlign w:val="center"/>
          </w:tcPr>
          <w:p w14:paraId="6EF327DD">
            <w:pPr>
              <w:pStyle w:val="65"/>
              <w:spacing w:line="240" w:lineRule="auto"/>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合同签订时间</w:t>
            </w:r>
          </w:p>
        </w:tc>
        <w:tc>
          <w:tcPr>
            <w:tcW w:w="1999" w:type="dxa"/>
            <w:tcBorders>
              <w:top w:val="single" w:color="auto" w:sz="4" w:space="0"/>
              <w:left w:val="single" w:color="auto" w:sz="4" w:space="0"/>
              <w:right w:val="single" w:color="auto" w:sz="4" w:space="0"/>
            </w:tcBorders>
            <w:shd w:val="clear" w:color="auto" w:fill="FFFFFF"/>
            <w:vAlign w:val="center"/>
          </w:tcPr>
          <w:p w14:paraId="01FD8E56">
            <w:pPr>
              <w:pStyle w:val="65"/>
              <w:spacing w:line="240" w:lineRule="auto"/>
              <w:ind w:firstLine="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业主评价情况</w:t>
            </w:r>
          </w:p>
        </w:tc>
        <w:tc>
          <w:tcPr>
            <w:tcW w:w="1134" w:type="dxa"/>
            <w:tcBorders>
              <w:top w:val="single" w:color="auto" w:sz="4" w:space="0"/>
              <w:left w:val="single" w:color="auto" w:sz="4" w:space="0"/>
              <w:right w:val="single" w:color="auto" w:sz="4" w:space="0"/>
            </w:tcBorders>
            <w:shd w:val="clear" w:color="auto" w:fill="FFFFFF"/>
            <w:vAlign w:val="center"/>
          </w:tcPr>
          <w:p w14:paraId="6F6B52A7">
            <w:pPr>
              <w:pStyle w:val="65"/>
              <w:spacing w:line="240" w:lineRule="auto"/>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3702BF19">
        <w:tblPrEx>
          <w:tblCellMar>
            <w:top w:w="0" w:type="dxa"/>
            <w:left w:w="10" w:type="dxa"/>
            <w:bottom w:w="0" w:type="dxa"/>
            <w:right w:w="10" w:type="dxa"/>
          </w:tblCellMar>
        </w:tblPrEx>
        <w:trPr>
          <w:trHeight w:val="750" w:hRule="exact"/>
          <w:jc w:val="center"/>
        </w:trPr>
        <w:tc>
          <w:tcPr>
            <w:tcW w:w="791" w:type="dxa"/>
            <w:tcBorders>
              <w:top w:val="single" w:color="auto" w:sz="4" w:space="0"/>
              <w:left w:val="single" w:color="auto" w:sz="4" w:space="0"/>
            </w:tcBorders>
            <w:shd w:val="clear" w:color="auto" w:fill="FFFFFF"/>
          </w:tcPr>
          <w:p w14:paraId="422C23EF">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19BEB16E">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3AF29ECB">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4E846A3E">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75C0E3AF">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1DF4092F">
            <w:pPr>
              <w:rPr>
                <w:rFonts w:hint="eastAsia" w:ascii="仿宋" w:hAnsi="仿宋" w:eastAsia="仿宋" w:cs="仿宋"/>
                <w:color w:val="auto"/>
                <w:sz w:val="10"/>
                <w:szCs w:val="10"/>
                <w:highlight w:val="none"/>
              </w:rPr>
            </w:pPr>
          </w:p>
        </w:tc>
      </w:tr>
      <w:tr w14:paraId="4E6248DB">
        <w:tblPrEx>
          <w:tblCellMar>
            <w:top w:w="0" w:type="dxa"/>
            <w:left w:w="10" w:type="dxa"/>
            <w:bottom w:w="0" w:type="dxa"/>
            <w:right w:w="10" w:type="dxa"/>
          </w:tblCellMar>
        </w:tblPrEx>
        <w:trPr>
          <w:trHeight w:val="765" w:hRule="exact"/>
          <w:jc w:val="center"/>
        </w:trPr>
        <w:tc>
          <w:tcPr>
            <w:tcW w:w="791" w:type="dxa"/>
            <w:tcBorders>
              <w:top w:val="single" w:color="auto" w:sz="4" w:space="0"/>
              <w:left w:val="single" w:color="auto" w:sz="4" w:space="0"/>
            </w:tcBorders>
            <w:shd w:val="clear" w:color="auto" w:fill="FFFFFF"/>
          </w:tcPr>
          <w:p w14:paraId="48E4E70C">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59A91323">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77925887">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5D229B0E">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1B6248E5">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1CF731B9">
            <w:pPr>
              <w:rPr>
                <w:rFonts w:hint="eastAsia" w:ascii="仿宋" w:hAnsi="仿宋" w:eastAsia="仿宋" w:cs="仿宋"/>
                <w:color w:val="auto"/>
                <w:sz w:val="10"/>
                <w:szCs w:val="10"/>
                <w:highlight w:val="none"/>
              </w:rPr>
            </w:pPr>
          </w:p>
        </w:tc>
      </w:tr>
      <w:tr w14:paraId="52641E0D">
        <w:tblPrEx>
          <w:tblCellMar>
            <w:top w:w="0" w:type="dxa"/>
            <w:left w:w="10" w:type="dxa"/>
            <w:bottom w:w="0" w:type="dxa"/>
            <w:right w:w="10" w:type="dxa"/>
          </w:tblCellMar>
        </w:tblPrEx>
        <w:trPr>
          <w:trHeight w:val="780" w:hRule="exact"/>
          <w:jc w:val="center"/>
        </w:trPr>
        <w:tc>
          <w:tcPr>
            <w:tcW w:w="791" w:type="dxa"/>
            <w:tcBorders>
              <w:top w:val="single" w:color="auto" w:sz="4" w:space="0"/>
              <w:left w:val="single" w:color="auto" w:sz="4" w:space="0"/>
            </w:tcBorders>
            <w:shd w:val="clear" w:color="auto" w:fill="FFFFFF"/>
          </w:tcPr>
          <w:p w14:paraId="309E74E7">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451E73D9">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7AF6BD0C">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6654A91F">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14E67755">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57BB923B">
            <w:pPr>
              <w:rPr>
                <w:rFonts w:hint="eastAsia" w:ascii="仿宋" w:hAnsi="仿宋" w:eastAsia="仿宋" w:cs="仿宋"/>
                <w:color w:val="auto"/>
                <w:sz w:val="10"/>
                <w:szCs w:val="10"/>
                <w:highlight w:val="none"/>
              </w:rPr>
            </w:pPr>
          </w:p>
        </w:tc>
      </w:tr>
      <w:tr w14:paraId="7F3C0B19">
        <w:tblPrEx>
          <w:tblCellMar>
            <w:top w:w="0" w:type="dxa"/>
            <w:left w:w="10" w:type="dxa"/>
            <w:bottom w:w="0" w:type="dxa"/>
            <w:right w:w="10" w:type="dxa"/>
          </w:tblCellMar>
        </w:tblPrEx>
        <w:trPr>
          <w:trHeight w:val="750" w:hRule="exact"/>
          <w:jc w:val="center"/>
        </w:trPr>
        <w:tc>
          <w:tcPr>
            <w:tcW w:w="791" w:type="dxa"/>
            <w:tcBorders>
              <w:top w:val="single" w:color="auto" w:sz="4" w:space="0"/>
              <w:left w:val="single" w:color="auto" w:sz="4" w:space="0"/>
            </w:tcBorders>
            <w:shd w:val="clear" w:color="auto" w:fill="FFFFFF"/>
          </w:tcPr>
          <w:p w14:paraId="54E346B0">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1656E598">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4389EBF2">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17868C2B">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667B6724">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0EDB9C10">
            <w:pPr>
              <w:rPr>
                <w:rFonts w:hint="eastAsia" w:ascii="仿宋" w:hAnsi="仿宋" w:eastAsia="仿宋" w:cs="仿宋"/>
                <w:color w:val="auto"/>
                <w:sz w:val="10"/>
                <w:szCs w:val="10"/>
                <w:highlight w:val="none"/>
              </w:rPr>
            </w:pPr>
          </w:p>
        </w:tc>
      </w:tr>
      <w:tr w14:paraId="118E83E2">
        <w:tblPrEx>
          <w:tblCellMar>
            <w:top w:w="0" w:type="dxa"/>
            <w:left w:w="10" w:type="dxa"/>
            <w:bottom w:w="0" w:type="dxa"/>
            <w:right w:w="10" w:type="dxa"/>
          </w:tblCellMar>
        </w:tblPrEx>
        <w:trPr>
          <w:trHeight w:val="765" w:hRule="exact"/>
          <w:jc w:val="center"/>
        </w:trPr>
        <w:tc>
          <w:tcPr>
            <w:tcW w:w="791" w:type="dxa"/>
            <w:tcBorders>
              <w:top w:val="single" w:color="auto" w:sz="4" w:space="0"/>
              <w:left w:val="single" w:color="auto" w:sz="4" w:space="0"/>
            </w:tcBorders>
            <w:shd w:val="clear" w:color="auto" w:fill="FFFFFF"/>
          </w:tcPr>
          <w:p w14:paraId="2F6D73ED">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01FFB3AB">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54EEF0CC">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2BCE221C">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012824C8">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09D4FF71">
            <w:pPr>
              <w:rPr>
                <w:rFonts w:hint="eastAsia" w:ascii="仿宋" w:hAnsi="仿宋" w:eastAsia="仿宋" w:cs="仿宋"/>
                <w:color w:val="auto"/>
                <w:sz w:val="10"/>
                <w:szCs w:val="10"/>
                <w:highlight w:val="none"/>
              </w:rPr>
            </w:pPr>
          </w:p>
        </w:tc>
      </w:tr>
      <w:tr w14:paraId="3A13FD9B">
        <w:tblPrEx>
          <w:tblCellMar>
            <w:top w:w="0" w:type="dxa"/>
            <w:left w:w="10" w:type="dxa"/>
            <w:bottom w:w="0" w:type="dxa"/>
            <w:right w:w="10" w:type="dxa"/>
          </w:tblCellMar>
        </w:tblPrEx>
        <w:trPr>
          <w:trHeight w:val="780" w:hRule="exact"/>
          <w:jc w:val="center"/>
        </w:trPr>
        <w:tc>
          <w:tcPr>
            <w:tcW w:w="791" w:type="dxa"/>
            <w:tcBorders>
              <w:top w:val="single" w:color="auto" w:sz="4" w:space="0"/>
              <w:left w:val="single" w:color="auto" w:sz="4" w:space="0"/>
            </w:tcBorders>
            <w:shd w:val="clear" w:color="auto" w:fill="FFFFFF"/>
          </w:tcPr>
          <w:p w14:paraId="46A43909">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07BC07BB">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76EB9C3C">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29C77847">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1E93DDC3">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280D773E">
            <w:pPr>
              <w:rPr>
                <w:rFonts w:hint="eastAsia" w:ascii="仿宋" w:hAnsi="仿宋" w:eastAsia="仿宋" w:cs="仿宋"/>
                <w:color w:val="auto"/>
                <w:sz w:val="10"/>
                <w:szCs w:val="10"/>
                <w:highlight w:val="none"/>
              </w:rPr>
            </w:pPr>
          </w:p>
        </w:tc>
      </w:tr>
      <w:tr w14:paraId="4ACEB1C9">
        <w:tblPrEx>
          <w:tblCellMar>
            <w:top w:w="0" w:type="dxa"/>
            <w:left w:w="10" w:type="dxa"/>
            <w:bottom w:w="0" w:type="dxa"/>
            <w:right w:w="10" w:type="dxa"/>
          </w:tblCellMar>
        </w:tblPrEx>
        <w:trPr>
          <w:trHeight w:val="765" w:hRule="exact"/>
          <w:jc w:val="center"/>
        </w:trPr>
        <w:tc>
          <w:tcPr>
            <w:tcW w:w="791" w:type="dxa"/>
            <w:tcBorders>
              <w:top w:val="single" w:color="auto" w:sz="4" w:space="0"/>
              <w:left w:val="single" w:color="auto" w:sz="4" w:space="0"/>
            </w:tcBorders>
            <w:shd w:val="clear" w:color="auto" w:fill="FFFFFF"/>
          </w:tcPr>
          <w:p w14:paraId="5C295786">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07A8B06A">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6B628AA8">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385DEC13">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01F8D8E2">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1F4E0B70">
            <w:pPr>
              <w:rPr>
                <w:rFonts w:hint="eastAsia" w:ascii="仿宋" w:hAnsi="仿宋" w:eastAsia="仿宋" w:cs="仿宋"/>
                <w:color w:val="auto"/>
                <w:sz w:val="10"/>
                <w:szCs w:val="10"/>
                <w:highlight w:val="none"/>
              </w:rPr>
            </w:pPr>
          </w:p>
        </w:tc>
      </w:tr>
      <w:tr w14:paraId="7A32AFC3">
        <w:tblPrEx>
          <w:tblCellMar>
            <w:top w:w="0" w:type="dxa"/>
            <w:left w:w="10" w:type="dxa"/>
            <w:bottom w:w="0" w:type="dxa"/>
            <w:right w:w="10" w:type="dxa"/>
          </w:tblCellMar>
        </w:tblPrEx>
        <w:trPr>
          <w:trHeight w:val="780" w:hRule="exact"/>
          <w:jc w:val="center"/>
        </w:trPr>
        <w:tc>
          <w:tcPr>
            <w:tcW w:w="791" w:type="dxa"/>
            <w:tcBorders>
              <w:top w:val="single" w:color="auto" w:sz="4" w:space="0"/>
              <w:left w:val="single" w:color="auto" w:sz="4" w:space="0"/>
            </w:tcBorders>
            <w:shd w:val="clear" w:color="auto" w:fill="FFFFFF"/>
          </w:tcPr>
          <w:p w14:paraId="0EC81499">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164EAA35">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070C46A1">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4D9C0F95">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53786DEB">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2DECF3B2">
            <w:pPr>
              <w:rPr>
                <w:rFonts w:hint="eastAsia" w:ascii="仿宋" w:hAnsi="仿宋" w:eastAsia="仿宋" w:cs="仿宋"/>
                <w:color w:val="auto"/>
                <w:sz w:val="10"/>
                <w:szCs w:val="10"/>
                <w:highlight w:val="none"/>
              </w:rPr>
            </w:pPr>
          </w:p>
        </w:tc>
      </w:tr>
      <w:tr w14:paraId="626DF7FE">
        <w:tblPrEx>
          <w:tblCellMar>
            <w:top w:w="0" w:type="dxa"/>
            <w:left w:w="10" w:type="dxa"/>
            <w:bottom w:w="0" w:type="dxa"/>
            <w:right w:w="10" w:type="dxa"/>
          </w:tblCellMar>
        </w:tblPrEx>
        <w:trPr>
          <w:trHeight w:val="780" w:hRule="exact"/>
          <w:jc w:val="center"/>
        </w:trPr>
        <w:tc>
          <w:tcPr>
            <w:tcW w:w="791" w:type="dxa"/>
            <w:tcBorders>
              <w:top w:val="single" w:color="auto" w:sz="4" w:space="0"/>
              <w:left w:val="single" w:color="auto" w:sz="4" w:space="0"/>
            </w:tcBorders>
            <w:shd w:val="clear" w:color="auto" w:fill="FFFFFF"/>
          </w:tcPr>
          <w:p w14:paraId="4ADAAA66">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tcPr>
          <w:p w14:paraId="126D866E">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tcPr>
          <w:p w14:paraId="1B0B6BAB">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tcBorders>
            <w:shd w:val="clear" w:color="auto" w:fill="FFFFFF"/>
          </w:tcPr>
          <w:p w14:paraId="20022F93">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right w:val="single" w:color="auto" w:sz="4" w:space="0"/>
            </w:tcBorders>
            <w:shd w:val="clear" w:color="auto" w:fill="FFFFFF"/>
          </w:tcPr>
          <w:p w14:paraId="468AC48F">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right w:val="single" w:color="auto" w:sz="4" w:space="0"/>
            </w:tcBorders>
            <w:shd w:val="clear" w:color="auto" w:fill="FFFFFF"/>
          </w:tcPr>
          <w:p w14:paraId="664DAC7D">
            <w:pPr>
              <w:rPr>
                <w:rFonts w:hint="eastAsia" w:ascii="仿宋" w:hAnsi="仿宋" w:eastAsia="仿宋" w:cs="仿宋"/>
                <w:color w:val="auto"/>
                <w:sz w:val="10"/>
                <w:szCs w:val="10"/>
                <w:highlight w:val="none"/>
              </w:rPr>
            </w:pPr>
          </w:p>
        </w:tc>
      </w:tr>
      <w:tr w14:paraId="7C52F8AE">
        <w:tblPrEx>
          <w:tblCellMar>
            <w:top w:w="0" w:type="dxa"/>
            <w:left w:w="10" w:type="dxa"/>
            <w:bottom w:w="0" w:type="dxa"/>
            <w:right w:w="10" w:type="dxa"/>
          </w:tblCellMar>
        </w:tblPrEx>
        <w:trPr>
          <w:trHeight w:val="795" w:hRule="exact"/>
          <w:jc w:val="center"/>
        </w:trPr>
        <w:tc>
          <w:tcPr>
            <w:tcW w:w="791" w:type="dxa"/>
            <w:tcBorders>
              <w:top w:val="single" w:color="auto" w:sz="4" w:space="0"/>
              <w:left w:val="single" w:color="auto" w:sz="4" w:space="0"/>
              <w:bottom w:val="single" w:color="auto" w:sz="4" w:space="0"/>
            </w:tcBorders>
            <w:shd w:val="clear" w:color="auto" w:fill="FFFFFF"/>
          </w:tcPr>
          <w:p w14:paraId="708B5FE1">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bottom w:val="single" w:color="auto" w:sz="4" w:space="0"/>
            </w:tcBorders>
            <w:shd w:val="clear" w:color="auto" w:fill="FFFFFF"/>
          </w:tcPr>
          <w:p w14:paraId="3B81E205">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bottom w:val="single" w:color="auto" w:sz="4" w:space="0"/>
            </w:tcBorders>
            <w:shd w:val="clear" w:color="auto" w:fill="FFFFFF"/>
          </w:tcPr>
          <w:p w14:paraId="688CA0C2">
            <w:pPr>
              <w:rPr>
                <w:rFonts w:hint="eastAsia" w:ascii="仿宋" w:hAnsi="仿宋" w:eastAsia="仿宋" w:cs="仿宋"/>
                <w:color w:val="auto"/>
                <w:sz w:val="10"/>
                <w:szCs w:val="10"/>
                <w:highlight w:val="none"/>
              </w:rPr>
            </w:pPr>
          </w:p>
        </w:tc>
        <w:tc>
          <w:tcPr>
            <w:tcW w:w="2246" w:type="dxa"/>
            <w:tcBorders>
              <w:top w:val="single" w:color="auto" w:sz="4" w:space="0"/>
              <w:left w:val="single" w:color="auto" w:sz="4" w:space="0"/>
              <w:bottom w:val="single" w:color="auto" w:sz="4" w:space="0"/>
            </w:tcBorders>
            <w:shd w:val="clear" w:color="auto" w:fill="FFFFFF"/>
          </w:tcPr>
          <w:p w14:paraId="3A5F5728">
            <w:pPr>
              <w:rPr>
                <w:rFonts w:hint="eastAsia" w:ascii="仿宋" w:hAnsi="仿宋" w:eastAsia="仿宋" w:cs="仿宋"/>
                <w:color w:val="auto"/>
                <w:sz w:val="10"/>
                <w:szCs w:val="10"/>
                <w:highlight w:val="none"/>
              </w:rPr>
            </w:pPr>
          </w:p>
        </w:tc>
        <w:tc>
          <w:tcPr>
            <w:tcW w:w="1999" w:type="dxa"/>
            <w:tcBorders>
              <w:top w:val="single" w:color="auto" w:sz="4" w:space="0"/>
              <w:left w:val="single" w:color="auto" w:sz="4" w:space="0"/>
              <w:bottom w:val="single" w:color="auto" w:sz="4" w:space="0"/>
              <w:right w:val="single" w:color="auto" w:sz="4" w:space="0"/>
            </w:tcBorders>
            <w:shd w:val="clear" w:color="auto" w:fill="FFFFFF"/>
          </w:tcPr>
          <w:p w14:paraId="2E1D192D">
            <w:pPr>
              <w:rPr>
                <w:rFonts w:hint="eastAsia" w:ascii="仿宋" w:hAnsi="仿宋" w:eastAsia="仿宋" w:cs="仿宋"/>
                <w:color w:val="auto"/>
                <w:sz w:val="10"/>
                <w:szCs w:val="1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14:paraId="51EA1708">
            <w:pPr>
              <w:rPr>
                <w:rFonts w:hint="eastAsia" w:ascii="仿宋" w:hAnsi="仿宋" w:eastAsia="仿宋" w:cs="仿宋"/>
                <w:color w:val="auto"/>
                <w:sz w:val="10"/>
                <w:szCs w:val="10"/>
                <w:highlight w:val="none"/>
              </w:rPr>
            </w:pPr>
          </w:p>
        </w:tc>
      </w:tr>
    </w:tbl>
    <w:p w14:paraId="74F0C35E">
      <w:pPr>
        <w:spacing w:before="156" w:beforeLines="50" w:after="156" w:afterLines="50" w:line="360"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注：本表后应附对应业绩相关材料。</w:t>
      </w:r>
    </w:p>
    <w:p w14:paraId="7B4F7528">
      <w:pPr>
        <w:pStyle w:val="44"/>
        <w:rPr>
          <w:rFonts w:hint="eastAsia" w:ascii="仿宋" w:hAnsi="仿宋" w:eastAsia="仿宋" w:cs="仿宋"/>
          <w:b/>
          <w:bCs/>
          <w:color w:val="auto"/>
          <w:sz w:val="24"/>
          <w:highlight w:val="none"/>
        </w:rPr>
      </w:pPr>
    </w:p>
    <w:p w14:paraId="135DBBD5">
      <w:pPr>
        <w:keepNext/>
        <w:keepLines/>
        <w:pageBreakBefore w:val="0"/>
        <w:widowControl w:val="0"/>
        <w:kinsoku/>
        <w:wordWrap/>
        <w:overflowPunct/>
        <w:topLinePunct w:val="0"/>
        <w:autoSpaceDE/>
        <w:autoSpaceDN/>
        <w:bidi w:val="0"/>
        <w:adjustRightInd w:val="0"/>
        <w:snapToGrid w:val="0"/>
        <w:jc w:val="center"/>
        <w:textAlignment w:val="auto"/>
        <w:outlineLvl w:val="9"/>
        <w:rPr>
          <w:rFonts w:hint="eastAsia" w:ascii="仿宋" w:hAnsi="仿宋" w:eastAsia="仿宋" w:cs="仿宋"/>
          <w:color w:val="auto"/>
          <w:highlight w:val="none"/>
        </w:rPr>
      </w:pPr>
    </w:p>
    <w:p w14:paraId="5944C682">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03177B0F">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10E83546">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4DC90812">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kern w:val="28"/>
          <w:sz w:val="28"/>
          <w:szCs w:val="32"/>
          <w:highlight w:val="none"/>
          <w:lang w:val="en-US" w:eastAsia="zh-CN" w:bidi="ar-SA"/>
        </w:rPr>
        <w:t>（4）拟派本项目实施人员汇总表</w:t>
      </w:r>
    </w:p>
    <w:tbl>
      <w:tblPr>
        <w:tblStyle w:val="33"/>
        <w:tblW w:w="9630" w:type="dxa"/>
        <w:jc w:val="center"/>
        <w:tblLayout w:type="fixed"/>
        <w:tblCellMar>
          <w:top w:w="0" w:type="dxa"/>
          <w:left w:w="10" w:type="dxa"/>
          <w:bottom w:w="0" w:type="dxa"/>
          <w:right w:w="10" w:type="dxa"/>
        </w:tblCellMar>
      </w:tblPr>
      <w:tblGrid>
        <w:gridCol w:w="825"/>
        <w:gridCol w:w="720"/>
        <w:gridCol w:w="810"/>
        <w:gridCol w:w="1425"/>
        <w:gridCol w:w="810"/>
        <w:gridCol w:w="795"/>
        <w:gridCol w:w="1425"/>
        <w:gridCol w:w="2820"/>
      </w:tblGrid>
      <w:tr w14:paraId="67B7D2E3">
        <w:tblPrEx>
          <w:tblCellMar>
            <w:top w:w="0" w:type="dxa"/>
            <w:left w:w="10" w:type="dxa"/>
            <w:bottom w:w="0" w:type="dxa"/>
            <w:right w:w="10" w:type="dxa"/>
          </w:tblCellMar>
        </w:tblPrEx>
        <w:trPr>
          <w:trHeight w:val="870" w:hRule="exact"/>
          <w:jc w:val="center"/>
        </w:trPr>
        <w:tc>
          <w:tcPr>
            <w:tcW w:w="825" w:type="dxa"/>
            <w:tcBorders>
              <w:top w:val="single" w:color="auto" w:sz="4" w:space="0"/>
              <w:left w:val="single" w:color="auto" w:sz="4" w:space="0"/>
            </w:tcBorders>
            <w:shd w:val="clear" w:color="auto" w:fill="FFFFFF"/>
            <w:vAlign w:val="center"/>
          </w:tcPr>
          <w:p w14:paraId="61E63BE5">
            <w:pPr>
              <w:pStyle w:val="65"/>
              <w:spacing w:line="240" w:lineRule="auto"/>
              <w:ind w:firstLine="1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0" w:type="dxa"/>
            <w:tcBorders>
              <w:top w:val="single" w:color="auto" w:sz="4" w:space="0"/>
              <w:left w:val="single" w:color="auto" w:sz="4" w:space="0"/>
            </w:tcBorders>
            <w:shd w:val="clear" w:color="auto" w:fill="FFFFFF"/>
            <w:vAlign w:val="center"/>
          </w:tcPr>
          <w:p w14:paraId="33876707">
            <w:pPr>
              <w:pStyle w:val="65"/>
              <w:spacing w:line="240" w:lineRule="auto"/>
              <w:ind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810" w:type="dxa"/>
            <w:tcBorders>
              <w:top w:val="single" w:color="auto" w:sz="4" w:space="0"/>
              <w:left w:val="single" w:color="auto" w:sz="4" w:space="0"/>
            </w:tcBorders>
            <w:shd w:val="clear" w:color="auto" w:fill="FFFFFF"/>
            <w:vAlign w:val="center"/>
          </w:tcPr>
          <w:p w14:paraId="3B67CE57">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425" w:type="dxa"/>
            <w:tcBorders>
              <w:top w:val="single" w:color="auto" w:sz="4" w:space="0"/>
              <w:left w:val="single" w:color="auto" w:sz="4" w:space="0"/>
            </w:tcBorders>
            <w:shd w:val="clear" w:color="auto" w:fill="FFFFFF"/>
            <w:vAlign w:val="center"/>
          </w:tcPr>
          <w:p w14:paraId="11B7949A">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出生日期</w:t>
            </w:r>
          </w:p>
        </w:tc>
        <w:tc>
          <w:tcPr>
            <w:tcW w:w="810" w:type="dxa"/>
            <w:tcBorders>
              <w:top w:val="single" w:color="auto" w:sz="4" w:space="0"/>
              <w:left w:val="single" w:color="auto" w:sz="4" w:space="0"/>
            </w:tcBorders>
            <w:shd w:val="clear" w:color="auto" w:fill="FFFFFF"/>
            <w:vAlign w:val="center"/>
          </w:tcPr>
          <w:p w14:paraId="18062FEB">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795" w:type="dxa"/>
            <w:tcBorders>
              <w:top w:val="single" w:color="auto" w:sz="4" w:space="0"/>
              <w:left w:val="single" w:color="auto" w:sz="4" w:space="0"/>
            </w:tcBorders>
            <w:shd w:val="clear" w:color="auto" w:fill="FFFFFF"/>
            <w:vAlign w:val="center"/>
          </w:tcPr>
          <w:p w14:paraId="1B1636C6">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425" w:type="dxa"/>
            <w:tcBorders>
              <w:top w:val="single" w:color="auto" w:sz="4" w:space="0"/>
              <w:left w:val="single" w:color="auto" w:sz="4" w:space="0"/>
            </w:tcBorders>
            <w:shd w:val="clear" w:color="auto" w:fill="FFFFFF"/>
            <w:vAlign w:val="center"/>
          </w:tcPr>
          <w:p w14:paraId="5AC22481">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2820" w:type="dxa"/>
            <w:tcBorders>
              <w:top w:val="single" w:color="auto" w:sz="4" w:space="0"/>
              <w:left w:val="single" w:color="auto" w:sz="4" w:space="0"/>
              <w:right w:val="single" w:color="auto" w:sz="4" w:space="0"/>
            </w:tcBorders>
            <w:shd w:val="clear" w:color="auto" w:fill="FFFFFF"/>
            <w:vAlign w:val="center"/>
          </w:tcPr>
          <w:p w14:paraId="2AA2E469">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在本项目拟任职务</w:t>
            </w:r>
          </w:p>
        </w:tc>
      </w:tr>
      <w:tr w14:paraId="229BF48E">
        <w:tblPrEx>
          <w:tblCellMar>
            <w:top w:w="0" w:type="dxa"/>
            <w:left w:w="10" w:type="dxa"/>
            <w:bottom w:w="0" w:type="dxa"/>
            <w:right w:w="10" w:type="dxa"/>
          </w:tblCellMar>
        </w:tblPrEx>
        <w:trPr>
          <w:trHeight w:val="855" w:hRule="exact"/>
          <w:jc w:val="center"/>
        </w:trPr>
        <w:tc>
          <w:tcPr>
            <w:tcW w:w="825" w:type="dxa"/>
            <w:tcBorders>
              <w:top w:val="single" w:color="auto" w:sz="4" w:space="0"/>
              <w:left w:val="single" w:color="auto" w:sz="4" w:space="0"/>
            </w:tcBorders>
            <w:shd w:val="clear" w:color="auto" w:fill="FFFFFF"/>
          </w:tcPr>
          <w:p w14:paraId="24458AE7">
            <w:pPr>
              <w:rPr>
                <w:rFonts w:hint="eastAsia" w:ascii="仿宋" w:hAnsi="仿宋" w:eastAsia="仿宋" w:cs="仿宋"/>
                <w:color w:val="auto"/>
                <w:sz w:val="24"/>
                <w:highlight w:val="none"/>
              </w:rPr>
            </w:pPr>
          </w:p>
        </w:tc>
        <w:tc>
          <w:tcPr>
            <w:tcW w:w="720" w:type="dxa"/>
            <w:tcBorders>
              <w:top w:val="single" w:color="auto" w:sz="4" w:space="0"/>
              <w:left w:val="single" w:color="auto" w:sz="4" w:space="0"/>
            </w:tcBorders>
            <w:shd w:val="clear" w:color="auto" w:fill="FFFFFF"/>
          </w:tcPr>
          <w:p w14:paraId="71C09D8E">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42272DFE">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36CB2110">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0F37FDA3">
            <w:pPr>
              <w:rPr>
                <w:rFonts w:hint="eastAsia" w:ascii="仿宋" w:hAnsi="仿宋" w:eastAsia="仿宋" w:cs="仿宋"/>
                <w:color w:val="auto"/>
                <w:sz w:val="24"/>
                <w:highlight w:val="none"/>
              </w:rPr>
            </w:pPr>
          </w:p>
        </w:tc>
        <w:tc>
          <w:tcPr>
            <w:tcW w:w="795" w:type="dxa"/>
            <w:tcBorders>
              <w:top w:val="single" w:color="auto" w:sz="4" w:space="0"/>
              <w:left w:val="single" w:color="auto" w:sz="4" w:space="0"/>
            </w:tcBorders>
            <w:shd w:val="clear" w:color="auto" w:fill="FFFFFF"/>
          </w:tcPr>
          <w:p w14:paraId="4536B0D1">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14BBEAEE">
            <w:pPr>
              <w:rPr>
                <w:rFonts w:hint="eastAsia" w:ascii="仿宋" w:hAnsi="仿宋" w:eastAsia="仿宋" w:cs="仿宋"/>
                <w:color w:val="auto"/>
                <w:sz w:val="24"/>
                <w:highlight w:val="none"/>
              </w:rPr>
            </w:pPr>
          </w:p>
        </w:tc>
        <w:tc>
          <w:tcPr>
            <w:tcW w:w="2820" w:type="dxa"/>
            <w:tcBorders>
              <w:top w:val="single" w:color="auto" w:sz="4" w:space="0"/>
              <w:left w:val="single" w:color="auto" w:sz="4" w:space="0"/>
              <w:right w:val="single" w:color="auto" w:sz="4" w:space="0"/>
            </w:tcBorders>
            <w:shd w:val="clear" w:color="auto" w:fill="FFFFFF"/>
            <w:vAlign w:val="center"/>
          </w:tcPr>
          <w:p w14:paraId="65768E55">
            <w:pPr>
              <w:adjustRightInd w:val="0"/>
              <w:snapToGrid w:val="0"/>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项目负责人</w:t>
            </w:r>
          </w:p>
        </w:tc>
      </w:tr>
      <w:tr w14:paraId="0192B04E">
        <w:tblPrEx>
          <w:tblCellMar>
            <w:top w:w="0" w:type="dxa"/>
            <w:left w:w="10" w:type="dxa"/>
            <w:bottom w:w="0" w:type="dxa"/>
            <w:right w:w="10" w:type="dxa"/>
          </w:tblCellMar>
        </w:tblPrEx>
        <w:trPr>
          <w:trHeight w:val="870" w:hRule="exact"/>
          <w:jc w:val="center"/>
        </w:trPr>
        <w:tc>
          <w:tcPr>
            <w:tcW w:w="825" w:type="dxa"/>
            <w:tcBorders>
              <w:top w:val="single" w:color="auto" w:sz="4" w:space="0"/>
              <w:left w:val="single" w:color="auto" w:sz="4" w:space="0"/>
            </w:tcBorders>
            <w:shd w:val="clear" w:color="auto" w:fill="FFFFFF"/>
          </w:tcPr>
          <w:p w14:paraId="1E369B24">
            <w:pPr>
              <w:rPr>
                <w:rFonts w:hint="eastAsia" w:ascii="仿宋" w:hAnsi="仿宋" w:eastAsia="仿宋" w:cs="仿宋"/>
                <w:color w:val="auto"/>
                <w:sz w:val="24"/>
                <w:highlight w:val="none"/>
              </w:rPr>
            </w:pPr>
          </w:p>
        </w:tc>
        <w:tc>
          <w:tcPr>
            <w:tcW w:w="720" w:type="dxa"/>
            <w:tcBorders>
              <w:top w:val="single" w:color="auto" w:sz="4" w:space="0"/>
              <w:left w:val="single" w:color="auto" w:sz="4" w:space="0"/>
            </w:tcBorders>
            <w:shd w:val="clear" w:color="auto" w:fill="FFFFFF"/>
          </w:tcPr>
          <w:p w14:paraId="0C3FB57B">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7BAB3AFC">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5CCF6D16">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682A8AFE">
            <w:pPr>
              <w:rPr>
                <w:rFonts w:hint="eastAsia" w:ascii="仿宋" w:hAnsi="仿宋" w:eastAsia="仿宋" w:cs="仿宋"/>
                <w:color w:val="auto"/>
                <w:sz w:val="24"/>
                <w:highlight w:val="none"/>
              </w:rPr>
            </w:pPr>
          </w:p>
        </w:tc>
        <w:tc>
          <w:tcPr>
            <w:tcW w:w="795" w:type="dxa"/>
            <w:tcBorders>
              <w:top w:val="single" w:color="auto" w:sz="4" w:space="0"/>
              <w:left w:val="single" w:color="auto" w:sz="4" w:space="0"/>
            </w:tcBorders>
            <w:shd w:val="clear" w:color="auto" w:fill="FFFFFF"/>
          </w:tcPr>
          <w:p w14:paraId="10E3FBF8">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13BA2443">
            <w:pPr>
              <w:rPr>
                <w:rFonts w:hint="eastAsia" w:ascii="仿宋" w:hAnsi="仿宋" w:eastAsia="仿宋" w:cs="仿宋"/>
                <w:color w:val="auto"/>
                <w:sz w:val="24"/>
                <w:highlight w:val="none"/>
              </w:rPr>
            </w:pPr>
          </w:p>
        </w:tc>
        <w:tc>
          <w:tcPr>
            <w:tcW w:w="2820" w:type="dxa"/>
            <w:tcBorders>
              <w:top w:val="single" w:color="auto" w:sz="4" w:space="0"/>
              <w:left w:val="single" w:color="auto" w:sz="4" w:space="0"/>
              <w:right w:val="single" w:color="auto" w:sz="4" w:space="0"/>
            </w:tcBorders>
            <w:shd w:val="clear" w:color="auto" w:fill="FFFFFF"/>
            <w:vAlign w:val="center"/>
          </w:tcPr>
          <w:p w14:paraId="6EA4DA9E">
            <w:pPr>
              <w:adjustRightInd w:val="0"/>
              <w:snapToGrid w:val="0"/>
              <w:spacing w:line="440" w:lineRule="exact"/>
              <w:jc w:val="center"/>
              <w:rPr>
                <w:rFonts w:hint="eastAsia" w:ascii="仿宋" w:hAnsi="仿宋" w:eastAsia="仿宋" w:cs="仿宋"/>
                <w:color w:val="auto"/>
                <w:sz w:val="24"/>
                <w:highlight w:val="none"/>
              </w:rPr>
            </w:pPr>
          </w:p>
        </w:tc>
      </w:tr>
      <w:tr w14:paraId="24292139">
        <w:tblPrEx>
          <w:tblCellMar>
            <w:top w:w="0" w:type="dxa"/>
            <w:left w:w="10" w:type="dxa"/>
            <w:bottom w:w="0" w:type="dxa"/>
            <w:right w:w="10" w:type="dxa"/>
          </w:tblCellMar>
        </w:tblPrEx>
        <w:trPr>
          <w:trHeight w:val="855" w:hRule="exact"/>
          <w:jc w:val="center"/>
        </w:trPr>
        <w:tc>
          <w:tcPr>
            <w:tcW w:w="825" w:type="dxa"/>
            <w:tcBorders>
              <w:top w:val="single" w:color="auto" w:sz="4" w:space="0"/>
              <w:left w:val="single" w:color="auto" w:sz="4" w:space="0"/>
            </w:tcBorders>
            <w:shd w:val="clear" w:color="auto" w:fill="FFFFFF"/>
          </w:tcPr>
          <w:p w14:paraId="5464C0C7">
            <w:pPr>
              <w:rPr>
                <w:rFonts w:hint="eastAsia" w:ascii="仿宋" w:hAnsi="仿宋" w:eastAsia="仿宋" w:cs="仿宋"/>
                <w:color w:val="auto"/>
                <w:sz w:val="24"/>
                <w:highlight w:val="none"/>
              </w:rPr>
            </w:pPr>
          </w:p>
        </w:tc>
        <w:tc>
          <w:tcPr>
            <w:tcW w:w="720" w:type="dxa"/>
            <w:tcBorders>
              <w:top w:val="single" w:color="auto" w:sz="4" w:space="0"/>
              <w:left w:val="single" w:color="auto" w:sz="4" w:space="0"/>
            </w:tcBorders>
            <w:shd w:val="clear" w:color="auto" w:fill="FFFFFF"/>
          </w:tcPr>
          <w:p w14:paraId="5F64BA9E">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7AF55CB3">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23D6CA95">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4F3D7375">
            <w:pPr>
              <w:rPr>
                <w:rFonts w:hint="eastAsia" w:ascii="仿宋" w:hAnsi="仿宋" w:eastAsia="仿宋" w:cs="仿宋"/>
                <w:color w:val="auto"/>
                <w:sz w:val="24"/>
                <w:highlight w:val="none"/>
              </w:rPr>
            </w:pPr>
          </w:p>
        </w:tc>
        <w:tc>
          <w:tcPr>
            <w:tcW w:w="795" w:type="dxa"/>
            <w:tcBorders>
              <w:top w:val="single" w:color="auto" w:sz="4" w:space="0"/>
              <w:left w:val="single" w:color="auto" w:sz="4" w:space="0"/>
            </w:tcBorders>
            <w:shd w:val="clear" w:color="auto" w:fill="FFFFFF"/>
          </w:tcPr>
          <w:p w14:paraId="455729F5">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0BF511E2">
            <w:pPr>
              <w:rPr>
                <w:rFonts w:hint="eastAsia" w:ascii="仿宋" w:hAnsi="仿宋" w:eastAsia="仿宋" w:cs="仿宋"/>
                <w:color w:val="auto"/>
                <w:sz w:val="24"/>
                <w:highlight w:val="none"/>
              </w:rPr>
            </w:pPr>
          </w:p>
        </w:tc>
        <w:tc>
          <w:tcPr>
            <w:tcW w:w="2820" w:type="dxa"/>
            <w:tcBorders>
              <w:top w:val="single" w:color="auto" w:sz="4" w:space="0"/>
              <w:left w:val="single" w:color="auto" w:sz="4" w:space="0"/>
              <w:right w:val="single" w:color="auto" w:sz="4" w:space="0"/>
            </w:tcBorders>
            <w:shd w:val="clear" w:color="auto" w:fill="FFFFFF"/>
            <w:vAlign w:val="center"/>
          </w:tcPr>
          <w:p w14:paraId="08767B88">
            <w:pPr>
              <w:adjustRightInd w:val="0"/>
              <w:snapToGrid w:val="0"/>
              <w:spacing w:line="440" w:lineRule="exact"/>
              <w:jc w:val="center"/>
              <w:rPr>
                <w:rFonts w:hint="eastAsia" w:ascii="仿宋" w:hAnsi="仿宋" w:eastAsia="仿宋" w:cs="仿宋"/>
                <w:color w:val="auto"/>
                <w:sz w:val="24"/>
                <w:highlight w:val="none"/>
              </w:rPr>
            </w:pPr>
          </w:p>
        </w:tc>
      </w:tr>
      <w:tr w14:paraId="13E12AFE">
        <w:tblPrEx>
          <w:tblCellMar>
            <w:top w:w="0" w:type="dxa"/>
            <w:left w:w="10" w:type="dxa"/>
            <w:bottom w:w="0" w:type="dxa"/>
            <w:right w:w="10" w:type="dxa"/>
          </w:tblCellMar>
        </w:tblPrEx>
        <w:trPr>
          <w:trHeight w:val="855" w:hRule="exact"/>
          <w:jc w:val="center"/>
        </w:trPr>
        <w:tc>
          <w:tcPr>
            <w:tcW w:w="825" w:type="dxa"/>
            <w:tcBorders>
              <w:top w:val="single" w:color="auto" w:sz="4" w:space="0"/>
              <w:left w:val="single" w:color="auto" w:sz="4" w:space="0"/>
            </w:tcBorders>
            <w:shd w:val="clear" w:color="auto" w:fill="FFFFFF"/>
          </w:tcPr>
          <w:p w14:paraId="7CE01FBB">
            <w:pPr>
              <w:rPr>
                <w:rFonts w:hint="eastAsia" w:ascii="仿宋" w:hAnsi="仿宋" w:eastAsia="仿宋" w:cs="仿宋"/>
                <w:color w:val="auto"/>
                <w:sz w:val="24"/>
                <w:highlight w:val="none"/>
              </w:rPr>
            </w:pPr>
          </w:p>
        </w:tc>
        <w:tc>
          <w:tcPr>
            <w:tcW w:w="720" w:type="dxa"/>
            <w:tcBorders>
              <w:top w:val="single" w:color="auto" w:sz="4" w:space="0"/>
              <w:left w:val="single" w:color="auto" w:sz="4" w:space="0"/>
            </w:tcBorders>
            <w:shd w:val="clear" w:color="auto" w:fill="FFFFFF"/>
          </w:tcPr>
          <w:p w14:paraId="2AF977B1">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06E63C14">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0FA0541E">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60EAF8E1">
            <w:pPr>
              <w:rPr>
                <w:rFonts w:hint="eastAsia" w:ascii="仿宋" w:hAnsi="仿宋" w:eastAsia="仿宋" w:cs="仿宋"/>
                <w:color w:val="auto"/>
                <w:sz w:val="24"/>
                <w:highlight w:val="none"/>
              </w:rPr>
            </w:pPr>
          </w:p>
        </w:tc>
        <w:tc>
          <w:tcPr>
            <w:tcW w:w="795" w:type="dxa"/>
            <w:tcBorders>
              <w:top w:val="single" w:color="auto" w:sz="4" w:space="0"/>
              <w:left w:val="single" w:color="auto" w:sz="4" w:space="0"/>
            </w:tcBorders>
            <w:shd w:val="clear" w:color="auto" w:fill="FFFFFF"/>
          </w:tcPr>
          <w:p w14:paraId="55B6C87C">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720886AC">
            <w:pPr>
              <w:rPr>
                <w:rFonts w:hint="eastAsia" w:ascii="仿宋" w:hAnsi="仿宋" w:eastAsia="仿宋" w:cs="仿宋"/>
                <w:color w:val="auto"/>
                <w:sz w:val="24"/>
                <w:highlight w:val="none"/>
              </w:rPr>
            </w:pPr>
          </w:p>
        </w:tc>
        <w:tc>
          <w:tcPr>
            <w:tcW w:w="2820" w:type="dxa"/>
            <w:tcBorders>
              <w:top w:val="single" w:color="auto" w:sz="4" w:space="0"/>
              <w:left w:val="single" w:color="auto" w:sz="4" w:space="0"/>
              <w:right w:val="single" w:color="auto" w:sz="4" w:space="0"/>
            </w:tcBorders>
            <w:shd w:val="clear" w:color="auto" w:fill="FFFFFF"/>
            <w:vAlign w:val="center"/>
          </w:tcPr>
          <w:p w14:paraId="28C77DE5">
            <w:pPr>
              <w:adjustRightInd w:val="0"/>
              <w:snapToGrid w:val="0"/>
              <w:spacing w:line="440" w:lineRule="exact"/>
              <w:jc w:val="center"/>
              <w:rPr>
                <w:rFonts w:hint="eastAsia" w:ascii="仿宋" w:hAnsi="仿宋" w:eastAsia="仿宋" w:cs="仿宋"/>
                <w:color w:val="auto"/>
                <w:sz w:val="24"/>
                <w:highlight w:val="none"/>
              </w:rPr>
            </w:pPr>
          </w:p>
        </w:tc>
      </w:tr>
      <w:tr w14:paraId="1F57CE6D">
        <w:tblPrEx>
          <w:tblCellMar>
            <w:top w:w="0" w:type="dxa"/>
            <w:left w:w="10" w:type="dxa"/>
            <w:bottom w:w="0" w:type="dxa"/>
            <w:right w:w="10" w:type="dxa"/>
          </w:tblCellMar>
        </w:tblPrEx>
        <w:trPr>
          <w:trHeight w:val="870" w:hRule="exact"/>
          <w:jc w:val="center"/>
        </w:trPr>
        <w:tc>
          <w:tcPr>
            <w:tcW w:w="825" w:type="dxa"/>
            <w:tcBorders>
              <w:top w:val="single" w:color="auto" w:sz="4" w:space="0"/>
              <w:left w:val="single" w:color="auto" w:sz="4" w:space="0"/>
            </w:tcBorders>
            <w:shd w:val="clear" w:color="auto" w:fill="FFFFFF"/>
          </w:tcPr>
          <w:p w14:paraId="35C0FFF7">
            <w:pPr>
              <w:rPr>
                <w:rFonts w:hint="eastAsia" w:ascii="仿宋" w:hAnsi="仿宋" w:eastAsia="仿宋" w:cs="仿宋"/>
                <w:color w:val="auto"/>
                <w:sz w:val="24"/>
                <w:highlight w:val="none"/>
              </w:rPr>
            </w:pPr>
          </w:p>
        </w:tc>
        <w:tc>
          <w:tcPr>
            <w:tcW w:w="720" w:type="dxa"/>
            <w:tcBorders>
              <w:top w:val="single" w:color="auto" w:sz="4" w:space="0"/>
              <w:left w:val="single" w:color="auto" w:sz="4" w:space="0"/>
            </w:tcBorders>
            <w:shd w:val="clear" w:color="auto" w:fill="FFFFFF"/>
          </w:tcPr>
          <w:p w14:paraId="780A9AD3">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1DF60962">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59DA4AF0">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065978F6">
            <w:pPr>
              <w:rPr>
                <w:rFonts w:hint="eastAsia" w:ascii="仿宋" w:hAnsi="仿宋" w:eastAsia="仿宋" w:cs="仿宋"/>
                <w:color w:val="auto"/>
                <w:sz w:val="24"/>
                <w:highlight w:val="none"/>
              </w:rPr>
            </w:pPr>
          </w:p>
        </w:tc>
        <w:tc>
          <w:tcPr>
            <w:tcW w:w="795" w:type="dxa"/>
            <w:tcBorders>
              <w:top w:val="single" w:color="auto" w:sz="4" w:space="0"/>
              <w:left w:val="single" w:color="auto" w:sz="4" w:space="0"/>
            </w:tcBorders>
            <w:shd w:val="clear" w:color="auto" w:fill="FFFFFF"/>
          </w:tcPr>
          <w:p w14:paraId="449EA128">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30391436">
            <w:pPr>
              <w:rPr>
                <w:rFonts w:hint="eastAsia" w:ascii="仿宋" w:hAnsi="仿宋" w:eastAsia="仿宋" w:cs="仿宋"/>
                <w:color w:val="auto"/>
                <w:sz w:val="24"/>
                <w:highlight w:val="none"/>
              </w:rPr>
            </w:pPr>
          </w:p>
        </w:tc>
        <w:tc>
          <w:tcPr>
            <w:tcW w:w="2820" w:type="dxa"/>
            <w:tcBorders>
              <w:top w:val="single" w:color="auto" w:sz="4" w:space="0"/>
              <w:left w:val="single" w:color="auto" w:sz="4" w:space="0"/>
              <w:right w:val="single" w:color="auto" w:sz="4" w:space="0"/>
            </w:tcBorders>
            <w:shd w:val="clear" w:color="auto" w:fill="FFFFFF"/>
            <w:vAlign w:val="center"/>
          </w:tcPr>
          <w:p w14:paraId="414C043D">
            <w:pPr>
              <w:adjustRightInd w:val="0"/>
              <w:snapToGrid w:val="0"/>
              <w:spacing w:line="440" w:lineRule="exact"/>
              <w:jc w:val="center"/>
              <w:rPr>
                <w:rFonts w:hint="eastAsia" w:ascii="仿宋" w:hAnsi="仿宋" w:eastAsia="仿宋" w:cs="仿宋"/>
                <w:color w:val="auto"/>
                <w:sz w:val="24"/>
                <w:highlight w:val="none"/>
              </w:rPr>
            </w:pPr>
          </w:p>
        </w:tc>
      </w:tr>
      <w:tr w14:paraId="3C34F862">
        <w:tblPrEx>
          <w:tblCellMar>
            <w:top w:w="0" w:type="dxa"/>
            <w:left w:w="10" w:type="dxa"/>
            <w:bottom w:w="0" w:type="dxa"/>
            <w:right w:w="10" w:type="dxa"/>
          </w:tblCellMar>
        </w:tblPrEx>
        <w:trPr>
          <w:trHeight w:val="855" w:hRule="exact"/>
          <w:jc w:val="center"/>
        </w:trPr>
        <w:tc>
          <w:tcPr>
            <w:tcW w:w="825" w:type="dxa"/>
            <w:tcBorders>
              <w:top w:val="single" w:color="auto" w:sz="4" w:space="0"/>
              <w:left w:val="single" w:color="auto" w:sz="4" w:space="0"/>
            </w:tcBorders>
            <w:shd w:val="clear" w:color="auto" w:fill="FFFFFF"/>
          </w:tcPr>
          <w:p w14:paraId="6F318E5C">
            <w:pPr>
              <w:rPr>
                <w:rFonts w:hint="eastAsia" w:ascii="仿宋" w:hAnsi="仿宋" w:eastAsia="仿宋" w:cs="仿宋"/>
                <w:color w:val="auto"/>
                <w:sz w:val="24"/>
                <w:highlight w:val="none"/>
              </w:rPr>
            </w:pPr>
          </w:p>
        </w:tc>
        <w:tc>
          <w:tcPr>
            <w:tcW w:w="720" w:type="dxa"/>
            <w:tcBorders>
              <w:top w:val="single" w:color="auto" w:sz="4" w:space="0"/>
              <w:left w:val="single" w:color="auto" w:sz="4" w:space="0"/>
            </w:tcBorders>
            <w:shd w:val="clear" w:color="auto" w:fill="FFFFFF"/>
          </w:tcPr>
          <w:p w14:paraId="7A235D2B">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073590E1">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3C8BD2A4">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0C5ED69A">
            <w:pPr>
              <w:rPr>
                <w:rFonts w:hint="eastAsia" w:ascii="仿宋" w:hAnsi="仿宋" w:eastAsia="仿宋" w:cs="仿宋"/>
                <w:color w:val="auto"/>
                <w:sz w:val="24"/>
                <w:highlight w:val="none"/>
              </w:rPr>
            </w:pPr>
          </w:p>
        </w:tc>
        <w:tc>
          <w:tcPr>
            <w:tcW w:w="795" w:type="dxa"/>
            <w:tcBorders>
              <w:top w:val="single" w:color="auto" w:sz="4" w:space="0"/>
              <w:left w:val="single" w:color="auto" w:sz="4" w:space="0"/>
            </w:tcBorders>
            <w:shd w:val="clear" w:color="auto" w:fill="FFFFFF"/>
          </w:tcPr>
          <w:p w14:paraId="27D02890">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4E762CA8">
            <w:pPr>
              <w:rPr>
                <w:rFonts w:hint="eastAsia" w:ascii="仿宋" w:hAnsi="仿宋" w:eastAsia="仿宋" w:cs="仿宋"/>
                <w:color w:val="auto"/>
                <w:sz w:val="24"/>
                <w:highlight w:val="none"/>
              </w:rPr>
            </w:pPr>
          </w:p>
        </w:tc>
        <w:tc>
          <w:tcPr>
            <w:tcW w:w="2820" w:type="dxa"/>
            <w:tcBorders>
              <w:top w:val="single" w:color="auto" w:sz="4" w:space="0"/>
              <w:left w:val="single" w:color="auto" w:sz="4" w:space="0"/>
              <w:right w:val="single" w:color="auto" w:sz="4" w:space="0"/>
            </w:tcBorders>
            <w:shd w:val="clear" w:color="auto" w:fill="FFFFFF"/>
            <w:vAlign w:val="center"/>
          </w:tcPr>
          <w:p w14:paraId="5EEAE9B8">
            <w:pPr>
              <w:pStyle w:val="65"/>
              <w:spacing w:line="240" w:lineRule="auto"/>
              <w:ind w:firstLine="0"/>
              <w:jc w:val="center"/>
              <w:rPr>
                <w:rFonts w:hint="eastAsia" w:ascii="仿宋" w:hAnsi="仿宋" w:eastAsia="仿宋" w:cs="仿宋"/>
                <w:color w:val="auto"/>
                <w:sz w:val="24"/>
                <w:szCs w:val="24"/>
                <w:highlight w:val="none"/>
                <w:lang w:val="en-US" w:eastAsia="zh-CN"/>
              </w:rPr>
            </w:pPr>
          </w:p>
        </w:tc>
      </w:tr>
      <w:tr w14:paraId="5D3BE640">
        <w:tblPrEx>
          <w:tblCellMar>
            <w:top w:w="0" w:type="dxa"/>
            <w:left w:w="10" w:type="dxa"/>
            <w:bottom w:w="0" w:type="dxa"/>
            <w:right w:w="10" w:type="dxa"/>
          </w:tblCellMar>
        </w:tblPrEx>
        <w:trPr>
          <w:trHeight w:val="855" w:hRule="exact"/>
          <w:jc w:val="center"/>
        </w:trPr>
        <w:tc>
          <w:tcPr>
            <w:tcW w:w="825" w:type="dxa"/>
            <w:tcBorders>
              <w:top w:val="single" w:color="auto" w:sz="4" w:space="0"/>
              <w:left w:val="single" w:color="auto" w:sz="4" w:space="0"/>
            </w:tcBorders>
            <w:shd w:val="clear" w:color="auto" w:fill="FFFFFF"/>
          </w:tcPr>
          <w:p w14:paraId="53CF199E">
            <w:pPr>
              <w:rPr>
                <w:rFonts w:hint="eastAsia" w:ascii="仿宋" w:hAnsi="仿宋" w:eastAsia="仿宋" w:cs="仿宋"/>
                <w:color w:val="auto"/>
                <w:sz w:val="24"/>
                <w:highlight w:val="none"/>
              </w:rPr>
            </w:pPr>
          </w:p>
        </w:tc>
        <w:tc>
          <w:tcPr>
            <w:tcW w:w="720" w:type="dxa"/>
            <w:tcBorders>
              <w:top w:val="single" w:color="auto" w:sz="4" w:space="0"/>
              <w:left w:val="single" w:color="auto" w:sz="4" w:space="0"/>
            </w:tcBorders>
            <w:shd w:val="clear" w:color="auto" w:fill="FFFFFF"/>
          </w:tcPr>
          <w:p w14:paraId="7264CE74">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737223F4">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1C725C91">
            <w:pPr>
              <w:rPr>
                <w:rFonts w:hint="eastAsia" w:ascii="仿宋" w:hAnsi="仿宋" w:eastAsia="仿宋" w:cs="仿宋"/>
                <w:color w:val="auto"/>
                <w:sz w:val="24"/>
                <w:highlight w:val="none"/>
              </w:rPr>
            </w:pPr>
          </w:p>
        </w:tc>
        <w:tc>
          <w:tcPr>
            <w:tcW w:w="810" w:type="dxa"/>
            <w:tcBorders>
              <w:top w:val="single" w:color="auto" w:sz="4" w:space="0"/>
              <w:left w:val="single" w:color="auto" w:sz="4" w:space="0"/>
            </w:tcBorders>
            <w:shd w:val="clear" w:color="auto" w:fill="FFFFFF"/>
          </w:tcPr>
          <w:p w14:paraId="4D807E5B">
            <w:pPr>
              <w:rPr>
                <w:rFonts w:hint="eastAsia" w:ascii="仿宋" w:hAnsi="仿宋" w:eastAsia="仿宋" w:cs="仿宋"/>
                <w:color w:val="auto"/>
                <w:sz w:val="24"/>
                <w:highlight w:val="none"/>
              </w:rPr>
            </w:pPr>
          </w:p>
        </w:tc>
        <w:tc>
          <w:tcPr>
            <w:tcW w:w="795" w:type="dxa"/>
            <w:tcBorders>
              <w:top w:val="single" w:color="auto" w:sz="4" w:space="0"/>
              <w:left w:val="single" w:color="auto" w:sz="4" w:space="0"/>
            </w:tcBorders>
            <w:shd w:val="clear" w:color="auto" w:fill="FFFFFF"/>
          </w:tcPr>
          <w:p w14:paraId="66BA2AE5">
            <w:pPr>
              <w:rPr>
                <w:rFonts w:hint="eastAsia" w:ascii="仿宋" w:hAnsi="仿宋" w:eastAsia="仿宋" w:cs="仿宋"/>
                <w:color w:val="auto"/>
                <w:sz w:val="24"/>
                <w:highlight w:val="none"/>
              </w:rPr>
            </w:pPr>
          </w:p>
        </w:tc>
        <w:tc>
          <w:tcPr>
            <w:tcW w:w="1425" w:type="dxa"/>
            <w:tcBorders>
              <w:top w:val="single" w:color="auto" w:sz="4" w:space="0"/>
              <w:left w:val="single" w:color="auto" w:sz="4" w:space="0"/>
            </w:tcBorders>
            <w:shd w:val="clear" w:color="auto" w:fill="FFFFFF"/>
          </w:tcPr>
          <w:p w14:paraId="3934FDB4">
            <w:pPr>
              <w:rPr>
                <w:rFonts w:hint="eastAsia" w:ascii="仿宋" w:hAnsi="仿宋" w:eastAsia="仿宋" w:cs="仿宋"/>
                <w:color w:val="auto"/>
                <w:sz w:val="24"/>
                <w:highlight w:val="none"/>
              </w:rPr>
            </w:pPr>
          </w:p>
        </w:tc>
        <w:tc>
          <w:tcPr>
            <w:tcW w:w="2820" w:type="dxa"/>
            <w:tcBorders>
              <w:top w:val="single" w:color="auto" w:sz="4" w:space="0"/>
              <w:left w:val="single" w:color="auto" w:sz="4" w:space="0"/>
              <w:right w:val="single" w:color="auto" w:sz="4" w:space="0"/>
            </w:tcBorders>
            <w:shd w:val="clear" w:color="auto" w:fill="FFFFFF"/>
            <w:vAlign w:val="center"/>
          </w:tcPr>
          <w:p w14:paraId="03D9E4DA">
            <w:pPr>
              <w:jc w:val="center"/>
              <w:rPr>
                <w:rFonts w:hint="eastAsia" w:ascii="仿宋" w:hAnsi="仿宋" w:eastAsia="仿宋" w:cs="仿宋"/>
                <w:color w:val="auto"/>
                <w:sz w:val="24"/>
                <w:highlight w:val="none"/>
              </w:rPr>
            </w:pPr>
          </w:p>
        </w:tc>
      </w:tr>
      <w:tr w14:paraId="28EF9E0B">
        <w:tblPrEx>
          <w:tblCellMar>
            <w:top w:w="0" w:type="dxa"/>
            <w:left w:w="10" w:type="dxa"/>
            <w:bottom w:w="0" w:type="dxa"/>
            <w:right w:w="10" w:type="dxa"/>
          </w:tblCellMar>
        </w:tblPrEx>
        <w:trPr>
          <w:trHeight w:val="870" w:hRule="exact"/>
          <w:jc w:val="center"/>
        </w:trPr>
        <w:tc>
          <w:tcPr>
            <w:tcW w:w="825" w:type="dxa"/>
            <w:tcBorders>
              <w:top w:val="single" w:color="auto" w:sz="4" w:space="0"/>
              <w:left w:val="single" w:color="auto" w:sz="4" w:space="0"/>
              <w:bottom w:val="single" w:color="auto" w:sz="4" w:space="0"/>
            </w:tcBorders>
            <w:shd w:val="clear" w:color="auto" w:fill="FFFFFF"/>
          </w:tcPr>
          <w:p w14:paraId="1F91B3DE">
            <w:pPr>
              <w:rPr>
                <w:rFonts w:hint="eastAsia" w:ascii="仿宋" w:hAnsi="仿宋" w:eastAsia="仿宋" w:cs="仿宋"/>
                <w:color w:val="auto"/>
                <w:sz w:val="24"/>
                <w:highlight w:val="none"/>
              </w:rPr>
            </w:pPr>
          </w:p>
        </w:tc>
        <w:tc>
          <w:tcPr>
            <w:tcW w:w="720" w:type="dxa"/>
            <w:tcBorders>
              <w:top w:val="single" w:color="auto" w:sz="4" w:space="0"/>
              <w:left w:val="single" w:color="auto" w:sz="4" w:space="0"/>
              <w:bottom w:val="single" w:color="auto" w:sz="4" w:space="0"/>
            </w:tcBorders>
            <w:shd w:val="clear" w:color="auto" w:fill="FFFFFF"/>
          </w:tcPr>
          <w:p w14:paraId="1BE44DB3">
            <w:pPr>
              <w:rPr>
                <w:rFonts w:hint="eastAsia" w:ascii="仿宋" w:hAnsi="仿宋" w:eastAsia="仿宋" w:cs="仿宋"/>
                <w:color w:val="auto"/>
                <w:sz w:val="24"/>
                <w:highlight w:val="none"/>
              </w:rPr>
            </w:pPr>
          </w:p>
        </w:tc>
        <w:tc>
          <w:tcPr>
            <w:tcW w:w="810" w:type="dxa"/>
            <w:tcBorders>
              <w:top w:val="single" w:color="auto" w:sz="4" w:space="0"/>
              <w:left w:val="single" w:color="auto" w:sz="4" w:space="0"/>
              <w:bottom w:val="single" w:color="auto" w:sz="4" w:space="0"/>
            </w:tcBorders>
            <w:shd w:val="clear" w:color="auto" w:fill="FFFFFF"/>
          </w:tcPr>
          <w:p w14:paraId="3AABB910">
            <w:pPr>
              <w:rPr>
                <w:rFonts w:hint="eastAsia" w:ascii="仿宋" w:hAnsi="仿宋" w:eastAsia="仿宋" w:cs="仿宋"/>
                <w:color w:val="auto"/>
                <w:sz w:val="24"/>
                <w:highlight w:val="none"/>
              </w:rPr>
            </w:pPr>
          </w:p>
        </w:tc>
        <w:tc>
          <w:tcPr>
            <w:tcW w:w="1425" w:type="dxa"/>
            <w:tcBorders>
              <w:top w:val="single" w:color="auto" w:sz="4" w:space="0"/>
              <w:left w:val="single" w:color="auto" w:sz="4" w:space="0"/>
              <w:bottom w:val="single" w:color="auto" w:sz="4" w:space="0"/>
            </w:tcBorders>
            <w:shd w:val="clear" w:color="auto" w:fill="FFFFFF"/>
          </w:tcPr>
          <w:p w14:paraId="47F55E4B">
            <w:pPr>
              <w:rPr>
                <w:rFonts w:hint="eastAsia" w:ascii="仿宋" w:hAnsi="仿宋" w:eastAsia="仿宋" w:cs="仿宋"/>
                <w:color w:val="auto"/>
                <w:sz w:val="24"/>
                <w:highlight w:val="none"/>
              </w:rPr>
            </w:pPr>
          </w:p>
        </w:tc>
        <w:tc>
          <w:tcPr>
            <w:tcW w:w="810" w:type="dxa"/>
            <w:tcBorders>
              <w:top w:val="single" w:color="auto" w:sz="4" w:space="0"/>
              <w:left w:val="single" w:color="auto" w:sz="4" w:space="0"/>
              <w:bottom w:val="single" w:color="auto" w:sz="4" w:space="0"/>
            </w:tcBorders>
            <w:shd w:val="clear" w:color="auto" w:fill="FFFFFF"/>
          </w:tcPr>
          <w:p w14:paraId="5B2181AC">
            <w:pPr>
              <w:rPr>
                <w:rFonts w:hint="eastAsia" w:ascii="仿宋" w:hAnsi="仿宋" w:eastAsia="仿宋" w:cs="仿宋"/>
                <w:color w:val="auto"/>
                <w:sz w:val="24"/>
                <w:highlight w:val="none"/>
              </w:rPr>
            </w:pPr>
          </w:p>
        </w:tc>
        <w:tc>
          <w:tcPr>
            <w:tcW w:w="795" w:type="dxa"/>
            <w:tcBorders>
              <w:top w:val="single" w:color="auto" w:sz="4" w:space="0"/>
              <w:left w:val="single" w:color="auto" w:sz="4" w:space="0"/>
              <w:bottom w:val="single" w:color="auto" w:sz="4" w:space="0"/>
            </w:tcBorders>
            <w:shd w:val="clear" w:color="auto" w:fill="FFFFFF"/>
          </w:tcPr>
          <w:p w14:paraId="3D48A43E">
            <w:pPr>
              <w:rPr>
                <w:rFonts w:hint="eastAsia" w:ascii="仿宋" w:hAnsi="仿宋" w:eastAsia="仿宋" w:cs="仿宋"/>
                <w:color w:val="auto"/>
                <w:sz w:val="24"/>
                <w:highlight w:val="none"/>
              </w:rPr>
            </w:pPr>
          </w:p>
        </w:tc>
        <w:tc>
          <w:tcPr>
            <w:tcW w:w="1425" w:type="dxa"/>
            <w:tcBorders>
              <w:top w:val="single" w:color="auto" w:sz="4" w:space="0"/>
              <w:left w:val="single" w:color="auto" w:sz="4" w:space="0"/>
              <w:bottom w:val="single" w:color="auto" w:sz="4" w:space="0"/>
            </w:tcBorders>
            <w:shd w:val="clear" w:color="auto" w:fill="FFFFFF"/>
          </w:tcPr>
          <w:p w14:paraId="05609E67">
            <w:pPr>
              <w:rPr>
                <w:rFonts w:hint="eastAsia" w:ascii="仿宋" w:hAnsi="仿宋" w:eastAsia="仿宋" w:cs="仿宋"/>
                <w:color w:val="auto"/>
                <w:sz w:val="24"/>
                <w:highlight w:val="none"/>
              </w:rPr>
            </w:pPr>
          </w:p>
        </w:tc>
        <w:tc>
          <w:tcPr>
            <w:tcW w:w="2820" w:type="dxa"/>
            <w:tcBorders>
              <w:top w:val="single" w:color="auto" w:sz="4" w:space="0"/>
              <w:left w:val="single" w:color="auto" w:sz="4" w:space="0"/>
              <w:bottom w:val="single" w:color="auto" w:sz="4" w:space="0"/>
              <w:right w:val="single" w:color="auto" w:sz="4" w:space="0"/>
            </w:tcBorders>
            <w:shd w:val="clear" w:color="auto" w:fill="FFFFFF"/>
            <w:vAlign w:val="center"/>
          </w:tcPr>
          <w:p w14:paraId="05B3039E">
            <w:pPr>
              <w:jc w:val="center"/>
              <w:rPr>
                <w:rFonts w:hint="eastAsia" w:ascii="仿宋" w:hAnsi="仿宋" w:eastAsia="仿宋" w:cs="仿宋"/>
                <w:color w:val="auto"/>
                <w:sz w:val="24"/>
                <w:highlight w:val="none"/>
              </w:rPr>
            </w:pPr>
          </w:p>
        </w:tc>
      </w:tr>
    </w:tbl>
    <w:p w14:paraId="010857A7">
      <w:pPr>
        <w:pStyle w:val="59"/>
        <w:rPr>
          <w:rFonts w:hint="eastAsia" w:ascii="仿宋" w:hAnsi="仿宋" w:eastAsia="仿宋" w:cs="仿宋"/>
          <w:color w:val="auto"/>
          <w:sz w:val="24"/>
          <w:szCs w:val="24"/>
          <w:highlight w:val="none"/>
        </w:rPr>
      </w:pPr>
    </w:p>
    <w:p w14:paraId="74272B61">
      <w:pPr>
        <w:pStyle w:val="69"/>
        <w:spacing w:line="24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由</w:t>
      </w:r>
      <w:r>
        <w:rPr>
          <w:rFonts w:hint="eastAsia" w:ascii="仿宋" w:hAnsi="仿宋" w:eastAsia="仿宋" w:cs="仿宋"/>
          <w:b/>
          <w:bCs/>
          <w:color w:val="auto"/>
          <w:sz w:val="24"/>
          <w:szCs w:val="24"/>
          <w:highlight w:val="none"/>
          <w:lang w:val="en-US" w:eastAsia="zh-CN"/>
        </w:rPr>
        <w:t>投标人根据评标办法的要求自行填写</w:t>
      </w:r>
      <w:r>
        <w:rPr>
          <w:rFonts w:hint="eastAsia" w:ascii="仿宋" w:hAnsi="仿宋" w:eastAsia="仿宋" w:cs="仿宋"/>
          <w:b/>
          <w:bCs/>
          <w:color w:val="auto"/>
          <w:sz w:val="24"/>
          <w:szCs w:val="24"/>
          <w:highlight w:val="none"/>
          <w:lang w:eastAsia="zh-CN"/>
        </w:rPr>
        <w:t>并</w:t>
      </w:r>
      <w:r>
        <w:rPr>
          <w:rFonts w:hint="eastAsia" w:ascii="仿宋" w:hAnsi="仿宋" w:eastAsia="仿宋" w:cs="仿宋"/>
          <w:b/>
          <w:bCs/>
          <w:color w:val="auto"/>
          <w:sz w:val="24"/>
          <w:szCs w:val="24"/>
          <w:highlight w:val="none"/>
        </w:rPr>
        <w:t>附对应人员相关</w:t>
      </w:r>
      <w:r>
        <w:rPr>
          <w:rFonts w:hint="eastAsia" w:ascii="仿宋" w:hAnsi="仿宋" w:eastAsia="仿宋" w:cs="仿宋"/>
          <w:b/>
          <w:bCs/>
          <w:color w:val="auto"/>
          <w:sz w:val="24"/>
          <w:szCs w:val="24"/>
          <w:highlight w:val="none"/>
          <w:lang w:eastAsia="zh-CN"/>
        </w:rPr>
        <w:t>材料</w:t>
      </w:r>
      <w:r>
        <w:rPr>
          <w:rFonts w:hint="eastAsia" w:ascii="仿宋" w:hAnsi="仿宋" w:eastAsia="仿宋" w:cs="仿宋"/>
          <w:b/>
          <w:bCs/>
          <w:color w:val="auto"/>
          <w:sz w:val="24"/>
          <w:szCs w:val="24"/>
          <w:highlight w:val="none"/>
        </w:rPr>
        <w:t>及身份证复印件（正反面）</w:t>
      </w:r>
      <w:r>
        <w:rPr>
          <w:rFonts w:hint="eastAsia" w:ascii="仿宋" w:hAnsi="仿宋" w:eastAsia="仿宋" w:cs="仿宋"/>
          <w:b/>
          <w:bCs/>
          <w:color w:val="auto"/>
          <w:sz w:val="24"/>
          <w:szCs w:val="24"/>
          <w:highlight w:val="none"/>
          <w:lang w:eastAsia="zh-CN"/>
        </w:rPr>
        <w:t>。</w:t>
      </w:r>
    </w:p>
    <w:p w14:paraId="168400EC">
      <w:pPr>
        <w:pStyle w:val="69"/>
        <w:spacing w:line="615" w:lineRule="exact"/>
        <w:ind w:right="800" w:firstLine="480"/>
        <w:jc w:val="center"/>
        <w:rPr>
          <w:rFonts w:hint="eastAsia" w:ascii="仿宋" w:hAnsi="仿宋" w:eastAsia="仿宋" w:cs="仿宋"/>
          <w:color w:val="auto"/>
          <w:sz w:val="24"/>
          <w:szCs w:val="24"/>
          <w:highlight w:val="none"/>
        </w:rPr>
      </w:pPr>
    </w:p>
    <w:p w14:paraId="76574FE5">
      <w:pPr>
        <w:jc w:val="center"/>
        <w:rPr>
          <w:rFonts w:hint="eastAsia" w:ascii="仿宋" w:hAnsi="仿宋" w:eastAsia="仿宋" w:cs="仿宋"/>
          <w:color w:val="auto"/>
          <w:highlight w:val="none"/>
        </w:rPr>
      </w:pPr>
    </w:p>
    <w:p w14:paraId="6B43B073">
      <w:pPr>
        <w:jc w:val="center"/>
        <w:rPr>
          <w:rFonts w:hint="eastAsia" w:ascii="仿宋" w:hAnsi="仿宋" w:eastAsia="仿宋" w:cs="仿宋"/>
          <w:color w:val="auto"/>
          <w:highlight w:val="none"/>
        </w:rPr>
      </w:pPr>
    </w:p>
    <w:p w14:paraId="03B46F48">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5A1A037F">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4EF4A640">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4B725F5D">
      <w:pPr>
        <w:jc w:val="center"/>
        <w:outlineLvl w:val="2"/>
        <w:rPr>
          <w:rFonts w:hint="eastAsia" w:ascii="仿宋" w:hAnsi="仿宋" w:eastAsia="仿宋" w:cs="仿宋"/>
          <w:b/>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8"/>
          <w:highlight w:val="none"/>
        </w:rPr>
        <w:t>4.1</w:t>
      </w:r>
      <w:r>
        <w:rPr>
          <w:rFonts w:hint="eastAsia" w:ascii="仿宋" w:hAnsi="仿宋" w:eastAsia="仿宋" w:cs="仿宋"/>
          <w:b/>
          <w:color w:val="auto"/>
          <w:sz w:val="28"/>
          <w:highlight w:val="none"/>
          <w:lang w:eastAsia="zh-CN"/>
        </w:rPr>
        <w:t>项目负责人</w:t>
      </w:r>
      <w:r>
        <w:rPr>
          <w:rFonts w:hint="eastAsia" w:ascii="仿宋" w:hAnsi="仿宋" w:eastAsia="仿宋" w:cs="仿宋"/>
          <w:b/>
          <w:color w:val="auto"/>
          <w:sz w:val="28"/>
          <w:highlight w:val="none"/>
        </w:rPr>
        <w:t>基本情况表</w:t>
      </w:r>
    </w:p>
    <w:tbl>
      <w:tblPr>
        <w:tblStyle w:val="33"/>
        <w:tblW w:w="8491" w:type="dxa"/>
        <w:jc w:val="center"/>
        <w:tblLayout w:type="fixed"/>
        <w:tblCellMar>
          <w:top w:w="0" w:type="dxa"/>
          <w:left w:w="10" w:type="dxa"/>
          <w:bottom w:w="0" w:type="dxa"/>
          <w:right w:w="10" w:type="dxa"/>
        </w:tblCellMar>
      </w:tblPr>
      <w:tblGrid>
        <w:gridCol w:w="1440"/>
        <w:gridCol w:w="612"/>
        <w:gridCol w:w="913"/>
        <w:gridCol w:w="787"/>
        <w:gridCol w:w="973"/>
        <w:gridCol w:w="1440"/>
        <w:gridCol w:w="2326"/>
      </w:tblGrid>
      <w:tr w14:paraId="7C19CFC2">
        <w:tblPrEx>
          <w:tblCellMar>
            <w:top w:w="0" w:type="dxa"/>
            <w:left w:w="10" w:type="dxa"/>
            <w:bottom w:w="0" w:type="dxa"/>
            <w:right w:w="10" w:type="dxa"/>
          </w:tblCellMar>
        </w:tblPrEx>
        <w:trPr>
          <w:trHeight w:val="750" w:hRule="exact"/>
          <w:jc w:val="center"/>
        </w:trPr>
        <w:tc>
          <w:tcPr>
            <w:tcW w:w="1440" w:type="dxa"/>
            <w:tcBorders>
              <w:top w:val="single" w:color="auto" w:sz="4" w:space="0"/>
              <w:left w:val="single" w:color="auto" w:sz="4" w:space="0"/>
            </w:tcBorders>
            <w:shd w:val="clear" w:color="auto" w:fill="FFFFFF"/>
            <w:vAlign w:val="center"/>
          </w:tcPr>
          <w:p w14:paraId="6945A76B">
            <w:pPr>
              <w:pStyle w:val="65"/>
              <w:spacing w:line="315"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姓名</w:t>
            </w:r>
          </w:p>
        </w:tc>
        <w:tc>
          <w:tcPr>
            <w:tcW w:w="1525" w:type="dxa"/>
            <w:gridSpan w:val="2"/>
            <w:tcBorders>
              <w:top w:val="single" w:color="auto" w:sz="4" w:space="0"/>
              <w:left w:val="single" w:color="auto" w:sz="4" w:space="0"/>
            </w:tcBorders>
            <w:shd w:val="clear" w:color="auto" w:fill="FFFFFF"/>
          </w:tcPr>
          <w:p w14:paraId="663EC0EE">
            <w:pPr>
              <w:jc w:val="center"/>
              <w:rPr>
                <w:rFonts w:hint="eastAsia" w:ascii="仿宋" w:hAnsi="仿宋" w:eastAsia="仿宋" w:cs="仿宋"/>
                <w:color w:val="auto"/>
                <w:sz w:val="24"/>
                <w:highlight w:val="none"/>
              </w:rPr>
            </w:pPr>
          </w:p>
        </w:tc>
        <w:tc>
          <w:tcPr>
            <w:tcW w:w="787" w:type="dxa"/>
            <w:tcBorders>
              <w:top w:val="single" w:color="auto" w:sz="4" w:space="0"/>
              <w:left w:val="single" w:color="auto" w:sz="4" w:space="0"/>
            </w:tcBorders>
            <w:shd w:val="clear" w:color="auto" w:fill="FFFFFF"/>
            <w:vAlign w:val="center"/>
          </w:tcPr>
          <w:p w14:paraId="2C1DF7F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973" w:type="dxa"/>
            <w:tcBorders>
              <w:top w:val="single" w:color="auto" w:sz="4" w:space="0"/>
              <w:left w:val="single" w:color="auto" w:sz="4" w:space="0"/>
            </w:tcBorders>
            <w:shd w:val="clear" w:color="auto" w:fill="FFFFFF"/>
          </w:tcPr>
          <w:p w14:paraId="38CDF359">
            <w:pPr>
              <w:jc w:val="cente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vAlign w:val="center"/>
          </w:tcPr>
          <w:p w14:paraId="7D0E2FEC">
            <w:pPr>
              <w:pStyle w:val="65"/>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出生日期</w:t>
            </w:r>
          </w:p>
        </w:tc>
        <w:tc>
          <w:tcPr>
            <w:tcW w:w="2326" w:type="dxa"/>
            <w:tcBorders>
              <w:top w:val="single" w:color="auto" w:sz="4" w:space="0"/>
              <w:left w:val="single" w:color="auto" w:sz="4" w:space="0"/>
              <w:right w:val="single" w:color="auto" w:sz="4" w:space="0"/>
            </w:tcBorders>
            <w:shd w:val="clear" w:color="auto" w:fill="FFFFFF"/>
          </w:tcPr>
          <w:p w14:paraId="3A171868">
            <w:pPr>
              <w:jc w:val="center"/>
              <w:rPr>
                <w:rFonts w:hint="eastAsia" w:ascii="仿宋" w:hAnsi="仿宋" w:eastAsia="仿宋" w:cs="仿宋"/>
                <w:color w:val="auto"/>
                <w:sz w:val="24"/>
                <w:highlight w:val="none"/>
              </w:rPr>
            </w:pPr>
          </w:p>
        </w:tc>
      </w:tr>
      <w:tr w14:paraId="111B90F0">
        <w:tblPrEx>
          <w:tblCellMar>
            <w:top w:w="0" w:type="dxa"/>
            <w:left w:w="10" w:type="dxa"/>
            <w:bottom w:w="0" w:type="dxa"/>
            <w:right w:w="10" w:type="dxa"/>
          </w:tblCellMar>
        </w:tblPrEx>
        <w:trPr>
          <w:trHeight w:val="750" w:hRule="exact"/>
          <w:jc w:val="center"/>
        </w:trPr>
        <w:tc>
          <w:tcPr>
            <w:tcW w:w="1440" w:type="dxa"/>
            <w:tcBorders>
              <w:top w:val="single" w:color="auto" w:sz="4" w:space="0"/>
              <w:left w:val="single" w:color="auto" w:sz="4" w:space="0"/>
            </w:tcBorders>
            <w:shd w:val="clear" w:color="auto" w:fill="FFFFFF"/>
            <w:vAlign w:val="center"/>
          </w:tcPr>
          <w:p w14:paraId="0D65028F">
            <w:pPr>
              <w:pStyle w:val="65"/>
              <w:spacing w:line="315"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毕业院校及专业</w:t>
            </w:r>
          </w:p>
        </w:tc>
        <w:tc>
          <w:tcPr>
            <w:tcW w:w="3285" w:type="dxa"/>
            <w:gridSpan w:val="4"/>
            <w:tcBorders>
              <w:top w:val="single" w:color="auto" w:sz="4" w:space="0"/>
              <w:left w:val="single" w:color="auto" w:sz="4" w:space="0"/>
            </w:tcBorders>
            <w:shd w:val="clear" w:color="auto" w:fill="FFFFFF"/>
          </w:tcPr>
          <w:p w14:paraId="468E18E7">
            <w:pPr>
              <w:jc w:val="cente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vAlign w:val="center"/>
          </w:tcPr>
          <w:p w14:paraId="37DB242E">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2326" w:type="dxa"/>
            <w:tcBorders>
              <w:top w:val="single" w:color="auto" w:sz="4" w:space="0"/>
              <w:left w:val="single" w:color="auto" w:sz="4" w:space="0"/>
              <w:right w:val="single" w:color="auto" w:sz="4" w:space="0"/>
            </w:tcBorders>
            <w:shd w:val="clear" w:color="auto" w:fill="FFFFFF"/>
          </w:tcPr>
          <w:p w14:paraId="2D95EFF1">
            <w:pPr>
              <w:jc w:val="center"/>
              <w:rPr>
                <w:rFonts w:hint="eastAsia" w:ascii="仿宋" w:hAnsi="仿宋" w:eastAsia="仿宋" w:cs="仿宋"/>
                <w:color w:val="auto"/>
                <w:sz w:val="24"/>
                <w:highlight w:val="none"/>
              </w:rPr>
            </w:pPr>
          </w:p>
        </w:tc>
      </w:tr>
      <w:tr w14:paraId="0044BA56">
        <w:tblPrEx>
          <w:tblCellMar>
            <w:top w:w="0" w:type="dxa"/>
            <w:left w:w="10" w:type="dxa"/>
            <w:bottom w:w="0" w:type="dxa"/>
            <w:right w:w="10" w:type="dxa"/>
          </w:tblCellMar>
        </w:tblPrEx>
        <w:trPr>
          <w:trHeight w:val="750" w:hRule="exact"/>
          <w:jc w:val="center"/>
        </w:trPr>
        <w:tc>
          <w:tcPr>
            <w:tcW w:w="1440" w:type="dxa"/>
            <w:tcBorders>
              <w:top w:val="single" w:color="auto" w:sz="4" w:space="0"/>
              <w:left w:val="single" w:color="auto" w:sz="4" w:space="0"/>
            </w:tcBorders>
            <w:shd w:val="clear" w:color="auto" w:fill="FFFFFF"/>
            <w:vAlign w:val="center"/>
          </w:tcPr>
          <w:p w14:paraId="4AA30709">
            <w:pPr>
              <w:pStyle w:val="65"/>
              <w:spacing w:line="30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从事本专业时间</w:t>
            </w:r>
          </w:p>
        </w:tc>
        <w:tc>
          <w:tcPr>
            <w:tcW w:w="3285" w:type="dxa"/>
            <w:gridSpan w:val="4"/>
            <w:tcBorders>
              <w:top w:val="single" w:color="auto" w:sz="4" w:space="0"/>
              <w:left w:val="single" w:color="auto" w:sz="4" w:space="0"/>
            </w:tcBorders>
            <w:shd w:val="clear" w:color="auto" w:fill="FFFFFF"/>
          </w:tcPr>
          <w:p w14:paraId="7C08BB74">
            <w:pPr>
              <w:jc w:val="cente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vAlign w:val="center"/>
          </w:tcPr>
          <w:p w14:paraId="53ECDD60">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执业时间</w:t>
            </w:r>
          </w:p>
        </w:tc>
        <w:tc>
          <w:tcPr>
            <w:tcW w:w="2326" w:type="dxa"/>
            <w:tcBorders>
              <w:top w:val="single" w:color="auto" w:sz="4" w:space="0"/>
              <w:left w:val="single" w:color="auto" w:sz="4" w:space="0"/>
              <w:right w:val="single" w:color="auto" w:sz="4" w:space="0"/>
            </w:tcBorders>
            <w:shd w:val="clear" w:color="auto" w:fill="FFFFFF"/>
          </w:tcPr>
          <w:p w14:paraId="38572373">
            <w:pPr>
              <w:jc w:val="center"/>
              <w:rPr>
                <w:rFonts w:hint="eastAsia" w:ascii="仿宋" w:hAnsi="仿宋" w:eastAsia="仿宋" w:cs="仿宋"/>
                <w:color w:val="auto"/>
                <w:sz w:val="24"/>
                <w:highlight w:val="none"/>
              </w:rPr>
            </w:pPr>
          </w:p>
        </w:tc>
      </w:tr>
      <w:tr w14:paraId="3082DA9D">
        <w:tblPrEx>
          <w:tblCellMar>
            <w:top w:w="0" w:type="dxa"/>
            <w:left w:w="10" w:type="dxa"/>
            <w:bottom w:w="0" w:type="dxa"/>
            <w:right w:w="10" w:type="dxa"/>
          </w:tblCellMar>
        </w:tblPrEx>
        <w:trPr>
          <w:trHeight w:val="750" w:hRule="exact"/>
          <w:jc w:val="center"/>
        </w:trPr>
        <w:tc>
          <w:tcPr>
            <w:tcW w:w="1440" w:type="dxa"/>
            <w:tcBorders>
              <w:top w:val="single" w:color="auto" w:sz="4" w:space="0"/>
              <w:left w:val="single" w:color="auto" w:sz="4" w:space="0"/>
            </w:tcBorders>
            <w:shd w:val="clear" w:color="auto" w:fill="FFFFFF"/>
          </w:tcPr>
          <w:p w14:paraId="2DE0D5DE">
            <w:pPr>
              <w:pStyle w:val="65"/>
              <w:spacing w:line="315"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在本项目中担任任务</w:t>
            </w:r>
          </w:p>
        </w:tc>
        <w:tc>
          <w:tcPr>
            <w:tcW w:w="7051" w:type="dxa"/>
            <w:gridSpan w:val="6"/>
            <w:tcBorders>
              <w:top w:val="single" w:color="auto" w:sz="4" w:space="0"/>
              <w:left w:val="single" w:color="auto" w:sz="4" w:space="0"/>
              <w:right w:val="single" w:color="auto" w:sz="4" w:space="0"/>
            </w:tcBorders>
            <w:shd w:val="clear" w:color="auto" w:fill="FFFFFF"/>
          </w:tcPr>
          <w:p w14:paraId="4880BCA7">
            <w:pPr>
              <w:jc w:val="center"/>
              <w:rPr>
                <w:rFonts w:hint="eastAsia" w:ascii="仿宋" w:hAnsi="仿宋" w:eastAsia="仿宋" w:cs="仿宋"/>
                <w:color w:val="auto"/>
                <w:sz w:val="24"/>
                <w:highlight w:val="none"/>
              </w:rPr>
            </w:pPr>
          </w:p>
        </w:tc>
      </w:tr>
      <w:tr w14:paraId="2DE44469">
        <w:tblPrEx>
          <w:tblCellMar>
            <w:top w:w="0" w:type="dxa"/>
            <w:left w:w="10" w:type="dxa"/>
            <w:bottom w:w="0" w:type="dxa"/>
            <w:right w:w="10" w:type="dxa"/>
          </w:tblCellMar>
        </w:tblPrEx>
        <w:trPr>
          <w:trHeight w:val="705" w:hRule="exact"/>
          <w:jc w:val="center"/>
        </w:trPr>
        <w:tc>
          <w:tcPr>
            <w:tcW w:w="1440" w:type="dxa"/>
            <w:vMerge w:val="restart"/>
            <w:tcBorders>
              <w:top w:val="single" w:color="auto" w:sz="4" w:space="0"/>
              <w:left w:val="single" w:color="auto" w:sz="4" w:space="0"/>
            </w:tcBorders>
            <w:shd w:val="clear" w:color="auto" w:fill="FFFFFF"/>
            <w:textDirection w:val="tbRlV"/>
            <w:vAlign w:val="center"/>
          </w:tcPr>
          <w:p w14:paraId="75BAA686">
            <w:pPr>
              <w:pStyle w:val="49"/>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本人主要项目成果</w:t>
            </w:r>
          </w:p>
        </w:tc>
        <w:tc>
          <w:tcPr>
            <w:tcW w:w="612" w:type="dxa"/>
            <w:tcBorders>
              <w:top w:val="single" w:color="auto" w:sz="4" w:space="0"/>
              <w:left w:val="single" w:color="auto" w:sz="4" w:space="0"/>
            </w:tcBorders>
            <w:shd w:val="clear" w:color="auto" w:fill="FFFFFF"/>
            <w:vAlign w:val="center"/>
          </w:tcPr>
          <w:p w14:paraId="7348A212">
            <w:pPr>
              <w:pStyle w:val="65"/>
              <w:spacing w:line="240" w:lineRule="auto"/>
              <w:ind w:firstLine="2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73" w:type="dxa"/>
            <w:gridSpan w:val="3"/>
            <w:tcBorders>
              <w:top w:val="single" w:color="auto" w:sz="4" w:space="0"/>
              <w:left w:val="single" w:color="auto" w:sz="4" w:space="0"/>
            </w:tcBorders>
            <w:shd w:val="clear" w:color="auto" w:fill="FFFFFF"/>
            <w:vAlign w:val="center"/>
          </w:tcPr>
          <w:p w14:paraId="79D5234F">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项目名称及规模</w:t>
            </w:r>
          </w:p>
        </w:tc>
        <w:tc>
          <w:tcPr>
            <w:tcW w:w="1440" w:type="dxa"/>
            <w:tcBorders>
              <w:top w:val="single" w:color="auto" w:sz="4" w:space="0"/>
              <w:left w:val="single" w:color="auto" w:sz="4" w:space="0"/>
            </w:tcBorders>
            <w:shd w:val="clear" w:color="auto" w:fill="FFFFFF"/>
            <w:vAlign w:val="center"/>
          </w:tcPr>
          <w:p w14:paraId="6E96E827">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完成年月</w:t>
            </w:r>
          </w:p>
        </w:tc>
        <w:tc>
          <w:tcPr>
            <w:tcW w:w="2326" w:type="dxa"/>
            <w:tcBorders>
              <w:top w:val="single" w:color="auto" w:sz="4" w:space="0"/>
              <w:left w:val="single" w:color="auto" w:sz="4" w:space="0"/>
              <w:right w:val="single" w:color="auto" w:sz="4" w:space="0"/>
            </w:tcBorders>
            <w:shd w:val="clear" w:color="auto" w:fill="FFFFFF"/>
            <w:vAlign w:val="center"/>
          </w:tcPr>
          <w:p w14:paraId="5F06CCBA">
            <w:pPr>
              <w:pStyle w:val="65"/>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在该项目中任何职</w:t>
            </w:r>
          </w:p>
        </w:tc>
      </w:tr>
      <w:tr w14:paraId="77DF4A2D">
        <w:tblPrEx>
          <w:tblCellMar>
            <w:top w:w="0" w:type="dxa"/>
            <w:left w:w="10" w:type="dxa"/>
            <w:bottom w:w="0" w:type="dxa"/>
            <w:right w:w="10" w:type="dxa"/>
          </w:tblCellMar>
        </w:tblPrEx>
        <w:trPr>
          <w:trHeight w:val="540" w:hRule="exact"/>
          <w:jc w:val="center"/>
        </w:trPr>
        <w:tc>
          <w:tcPr>
            <w:tcW w:w="1440" w:type="dxa"/>
            <w:vMerge w:val="continue"/>
            <w:tcBorders>
              <w:left w:val="single" w:color="auto" w:sz="4" w:space="0"/>
            </w:tcBorders>
            <w:shd w:val="clear" w:color="auto" w:fill="FFFFFF"/>
            <w:textDirection w:val="tbRlV"/>
            <w:vAlign w:val="bottom"/>
          </w:tcPr>
          <w:p w14:paraId="2B9CF347">
            <w:pPr>
              <w:rPr>
                <w:rFonts w:hint="eastAsia" w:ascii="仿宋" w:hAnsi="仿宋" w:eastAsia="仿宋" w:cs="仿宋"/>
                <w:color w:val="auto"/>
                <w:sz w:val="24"/>
                <w:highlight w:val="none"/>
              </w:rPr>
            </w:pPr>
          </w:p>
        </w:tc>
        <w:tc>
          <w:tcPr>
            <w:tcW w:w="612" w:type="dxa"/>
            <w:tcBorders>
              <w:top w:val="single" w:color="auto" w:sz="4" w:space="0"/>
              <w:left w:val="single" w:color="auto" w:sz="4" w:space="0"/>
            </w:tcBorders>
            <w:shd w:val="clear" w:color="auto" w:fill="FFFFFF"/>
            <w:vAlign w:val="center"/>
          </w:tcPr>
          <w:p w14:paraId="0027FB3C">
            <w:pPr>
              <w:pStyle w:val="65"/>
              <w:spacing w:line="240" w:lineRule="auto"/>
              <w:ind w:firstLine="2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73" w:type="dxa"/>
            <w:gridSpan w:val="3"/>
            <w:tcBorders>
              <w:top w:val="single" w:color="auto" w:sz="4" w:space="0"/>
              <w:left w:val="single" w:color="auto" w:sz="4" w:space="0"/>
            </w:tcBorders>
            <w:shd w:val="clear" w:color="auto" w:fill="FFFFFF"/>
          </w:tcPr>
          <w:p w14:paraId="6B35CF4D">
            <w:pP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tcPr>
          <w:p w14:paraId="5224E775">
            <w:pPr>
              <w:rPr>
                <w:rFonts w:hint="eastAsia" w:ascii="仿宋" w:hAnsi="仿宋" w:eastAsia="仿宋" w:cs="仿宋"/>
                <w:color w:val="auto"/>
                <w:sz w:val="24"/>
                <w:highlight w:val="none"/>
              </w:rPr>
            </w:pPr>
          </w:p>
        </w:tc>
        <w:tc>
          <w:tcPr>
            <w:tcW w:w="2326" w:type="dxa"/>
            <w:tcBorders>
              <w:top w:val="single" w:color="auto" w:sz="4" w:space="0"/>
              <w:left w:val="single" w:color="auto" w:sz="4" w:space="0"/>
              <w:right w:val="single" w:color="auto" w:sz="4" w:space="0"/>
            </w:tcBorders>
            <w:shd w:val="clear" w:color="auto" w:fill="FFFFFF"/>
          </w:tcPr>
          <w:p w14:paraId="2E2FDDA5">
            <w:pPr>
              <w:rPr>
                <w:rFonts w:hint="eastAsia" w:ascii="仿宋" w:hAnsi="仿宋" w:eastAsia="仿宋" w:cs="仿宋"/>
                <w:color w:val="auto"/>
                <w:sz w:val="24"/>
                <w:highlight w:val="none"/>
              </w:rPr>
            </w:pPr>
          </w:p>
        </w:tc>
      </w:tr>
      <w:tr w14:paraId="441BD9FE">
        <w:tblPrEx>
          <w:tblCellMar>
            <w:top w:w="0" w:type="dxa"/>
            <w:left w:w="10" w:type="dxa"/>
            <w:bottom w:w="0" w:type="dxa"/>
            <w:right w:w="10" w:type="dxa"/>
          </w:tblCellMar>
        </w:tblPrEx>
        <w:trPr>
          <w:trHeight w:val="540" w:hRule="exact"/>
          <w:jc w:val="center"/>
        </w:trPr>
        <w:tc>
          <w:tcPr>
            <w:tcW w:w="1440" w:type="dxa"/>
            <w:vMerge w:val="continue"/>
            <w:tcBorders>
              <w:left w:val="single" w:color="auto" w:sz="4" w:space="0"/>
            </w:tcBorders>
            <w:shd w:val="clear" w:color="auto" w:fill="FFFFFF"/>
            <w:textDirection w:val="tbRlV"/>
            <w:vAlign w:val="bottom"/>
          </w:tcPr>
          <w:p w14:paraId="7E5A0080">
            <w:pPr>
              <w:rPr>
                <w:rFonts w:hint="eastAsia" w:ascii="仿宋" w:hAnsi="仿宋" w:eastAsia="仿宋" w:cs="仿宋"/>
                <w:color w:val="auto"/>
                <w:sz w:val="24"/>
                <w:highlight w:val="none"/>
              </w:rPr>
            </w:pPr>
          </w:p>
        </w:tc>
        <w:tc>
          <w:tcPr>
            <w:tcW w:w="612" w:type="dxa"/>
            <w:tcBorders>
              <w:top w:val="single" w:color="auto" w:sz="4" w:space="0"/>
              <w:left w:val="single" w:color="auto" w:sz="4" w:space="0"/>
            </w:tcBorders>
            <w:shd w:val="clear" w:color="auto" w:fill="FFFFFF"/>
            <w:vAlign w:val="center"/>
          </w:tcPr>
          <w:p w14:paraId="7FA9CE05">
            <w:pPr>
              <w:pStyle w:val="65"/>
              <w:spacing w:line="240" w:lineRule="auto"/>
              <w:ind w:firstLine="2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73" w:type="dxa"/>
            <w:gridSpan w:val="3"/>
            <w:tcBorders>
              <w:top w:val="single" w:color="auto" w:sz="4" w:space="0"/>
              <w:left w:val="single" w:color="auto" w:sz="4" w:space="0"/>
            </w:tcBorders>
            <w:shd w:val="clear" w:color="auto" w:fill="FFFFFF"/>
          </w:tcPr>
          <w:p w14:paraId="4C605825">
            <w:pP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tcPr>
          <w:p w14:paraId="6D83A65D">
            <w:pPr>
              <w:rPr>
                <w:rFonts w:hint="eastAsia" w:ascii="仿宋" w:hAnsi="仿宋" w:eastAsia="仿宋" w:cs="仿宋"/>
                <w:color w:val="auto"/>
                <w:sz w:val="24"/>
                <w:highlight w:val="none"/>
              </w:rPr>
            </w:pPr>
          </w:p>
        </w:tc>
        <w:tc>
          <w:tcPr>
            <w:tcW w:w="2326" w:type="dxa"/>
            <w:tcBorders>
              <w:top w:val="single" w:color="auto" w:sz="4" w:space="0"/>
              <w:left w:val="single" w:color="auto" w:sz="4" w:space="0"/>
              <w:right w:val="single" w:color="auto" w:sz="4" w:space="0"/>
            </w:tcBorders>
            <w:shd w:val="clear" w:color="auto" w:fill="FFFFFF"/>
          </w:tcPr>
          <w:p w14:paraId="110ECC83">
            <w:pPr>
              <w:rPr>
                <w:rFonts w:hint="eastAsia" w:ascii="仿宋" w:hAnsi="仿宋" w:eastAsia="仿宋" w:cs="仿宋"/>
                <w:color w:val="auto"/>
                <w:sz w:val="24"/>
                <w:highlight w:val="none"/>
              </w:rPr>
            </w:pPr>
          </w:p>
        </w:tc>
      </w:tr>
      <w:tr w14:paraId="16C077C8">
        <w:tblPrEx>
          <w:tblCellMar>
            <w:top w:w="0" w:type="dxa"/>
            <w:left w:w="10" w:type="dxa"/>
            <w:bottom w:w="0" w:type="dxa"/>
            <w:right w:w="10" w:type="dxa"/>
          </w:tblCellMar>
        </w:tblPrEx>
        <w:trPr>
          <w:trHeight w:val="540" w:hRule="exact"/>
          <w:jc w:val="center"/>
        </w:trPr>
        <w:tc>
          <w:tcPr>
            <w:tcW w:w="1440" w:type="dxa"/>
            <w:vMerge w:val="continue"/>
            <w:tcBorders>
              <w:left w:val="single" w:color="auto" w:sz="4" w:space="0"/>
            </w:tcBorders>
            <w:shd w:val="clear" w:color="auto" w:fill="FFFFFF"/>
            <w:textDirection w:val="tbRlV"/>
            <w:vAlign w:val="bottom"/>
          </w:tcPr>
          <w:p w14:paraId="7D19111C">
            <w:pPr>
              <w:rPr>
                <w:rFonts w:hint="eastAsia" w:ascii="仿宋" w:hAnsi="仿宋" w:eastAsia="仿宋" w:cs="仿宋"/>
                <w:color w:val="auto"/>
                <w:sz w:val="24"/>
                <w:highlight w:val="none"/>
              </w:rPr>
            </w:pPr>
          </w:p>
        </w:tc>
        <w:tc>
          <w:tcPr>
            <w:tcW w:w="612" w:type="dxa"/>
            <w:tcBorders>
              <w:top w:val="single" w:color="auto" w:sz="4" w:space="0"/>
              <w:left w:val="single" w:color="auto" w:sz="4" w:space="0"/>
            </w:tcBorders>
            <w:shd w:val="clear" w:color="auto" w:fill="FFFFFF"/>
            <w:vAlign w:val="center"/>
          </w:tcPr>
          <w:p w14:paraId="2AAE6622">
            <w:pPr>
              <w:pStyle w:val="65"/>
              <w:spacing w:line="240" w:lineRule="auto"/>
              <w:ind w:firstLine="2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73" w:type="dxa"/>
            <w:gridSpan w:val="3"/>
            <w:tcBorders>
              <w:top w:val="single" w:color="auto" w:sz="4" w:space="0"/>
              <w:left w:val="single" w:color="auto" w:sz="4" w:space="0"/>
            </w:tcBorders>
            <w:shd w:val="clear" w:color="auto" w:fill="FFFFFF"/>
          </w:tcPr>
          <w:p w14:paraId="48871F41">
            <w:pP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tcPr>
          <w:p w14:paraId="533B98EF">
            <w:pPr>
              <w:rPr>
                <w:rFonts w:hint="eastAsia" w:ascii="仿宋" w:hAnsi="仿宋" w:eastAsia="仿宋" w:cs="仿宋"/>
                <w:color w:val="auto"/>
                <w:sz w:val="24"/>
                <w:highlight w:val="none"/>
              </w:rPr>
            </w:pPr>
          </w:p>
        </w:tc>
        <w:tc>
          <w:tcPr>
            <w:tcW w:w="2326" w:type="dxa"/>
            <w:tcBorders>
              <w:top w:val="single" w:color="auto" w:sz="4" w:space="0"/>
              <w:left w:val="single" w:color="auto" w:sz="4" w:space="0"/>
              <w:right w:val="single" w:color="auto" w:sz="4" w:space="0"/>
            </w:tcBorders>
            <w:shd w:val="clear" w:color="auto" w:fill="FFFFFF"/>
          </w:tcPr>
          <w:p w14:paraId="646BD7E9">
            <w:pPr>
              <w:rPr>
                <w:rFonts w:hint="eastAsia" w:ascii="仿宋" w:hAnsi="仿宋" w:eastAsia="仿宋" w:cs="仿宋"/>
                <w:color w:val="auto"/>
                <w:sz w:val="24"/>
                <w:highlight w:val="none"/>
              </w:rPr>
            </w:pPr>
          </w:p>
        </w:tc>
      </w:tr>
      <w:tr w14:paraId="54559368">
        <w:tblPrEx>
          <w:tblCellMar>
            <w:top w:w="0" w:type="dxa"/>
            <w:left w:w="10" w:type="dxa"/>
            <w:bottom w:w="0" w:type="dxa"/>
            <w:right w:w="10" w:type="dxa"/>
          </w:tblCellMar>
        </w:tblPrEx>
        <w:trPr>
          <w:trHeight w:val="540" w:hRule="exact"/>
          <w:jc w:val="center"/>
        </w:trPr>
        <w:tc>
          <w:tcPr>
            <w:tcW w:w="1440" w:type="dxa"/>
            <w:vMerge w:val="continue"/>
            <w:tcBorders>
              <w:left w:val="single" w:color="auto" w:sz="4" w:space="0"/>
            </w:tcBorders>
            <w:shd w:val="clear" w:color="auto" w:fill="FFFFFF"/>
            <w:textDirection w:val="tbRlV"/>
            <w:vAlign w:val="bottom"/>
          </w:tcPr>
          <w:p w14:paraId="732856F9">
            <w:pPr>
              <w:rPr>
                <w:rFonts w:hint="eastAsia" w:ascii="仿宋" w:hAnsi="仿宋" w:eastAsia="仿宋" w:cs="仿宋"/>
                <w:color w:val="auto"/>
                <w:sz w:val="24"/>
                <w:highlight w:val="none"/>
              </w:rPr>
            </w:pPr>
          </w:p>
        </w:tc>
        <w:tc>
          <w:tcPr>
            <w:tcW w:w="612" w:type="dxa"/>
            <w:tcBorders>
              <w:top w:val="single" w:color="auto" w:sz="4" w:space="0"/>
              <w:left w:val="single" w:color="auto" w:sz="4" w:space="0"/>
            </w:tcBorders>
            <w:shd w:val="clear" w:color="auto" w:fill="FFFFFF"/>
            <w:vAlign w:val="center"/>
          </w:tcPr>
          <w:p w14:paraId="4FFC00D9">
            <w:pPr>
              <w:pStyle w:val="65"/>
              <w:spacing w:line="240" w:lineRule="auto"/>
              <w:ind w:firstLine="2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73" w:type="dxa"/>
            <w:gridSpan w:val="3"/>
            <w:tcBorders>
              <w:top w:val="single" w:color="auto" w:sz="4" w:space="0"/>
              <w:left w:val="single" w:color="auto" w:sz="4" w:space="0"/>
            </w:tcBorders>
            <w:shd w:val="clear" w:color="auto" w:fill="FFFFFF"/>
          </w:tcPr>
          <w:p w14:paraId="10E243B8">
            <w:pP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tcPr>
          <w:p w14:paraId="75165723">
            <w:pPr>
              <w:rPr>
                <w:rFonts w:hint="eastAsia" w:ascii="仿宋" w:hAnsi="仿宋" w:eastAsia="仿宋" w:cs="仿宋"/>
                <w:color w:val="auto"/>
                <w:sz w:val="24"/>
                <w:highlight w:val="none"/>
              </w:rPr>
            </w:pPr>
          </w:p>
        </w:tc>
        <w:tc>
          <w:tcPr>
            <w:tcW w:w="2326" w:type="dxa"/>
            <w:tcBorders>
              <w:top w:val="single" w:color="auto" w:sz="4" w:space="0"/>
              <w:left w:val="single" w:color="auto" w:sz="4" w:space="0"/>
              <w:right w:val="single" w:color="auto" w:sz="4" w:space="0"/>
            </w:tcBorders>
            <w:shd w:val="clear" w:color="auto" w:fill="FFFFFF"/>
          </w:tcPr>
          <w:p w14:paraId="56863F9E">
            <w:pPr>
              <w:rPr>
                <w:rFonts w:hint="eastAsia" w:ascii="仿宋" w:hAnsi="仿宋" w:eastAsia="仿宋" w:cs="仿宋"/>
                <w:color w:val="auto"/>
                <w:sz w:val="24"/>
                <w:highlight w:val="none"/>
              </w:rPr>
            </w:pPr>
          </w:p>
        </w:tc>
      </w:tr>
      <w:tr w14:paraId="0EF2124C">
        <w:tblPrEx>
          <w:tblCellMar>
            <w:top w:w="0" w:type="dxa"/>
            <w:left w:w="10" w:type="dxa"/>
            <w:bottom w:w="0" w:type="dxa"/>
            <w:right w:w="10" w:type="dxa"/>
          </w:tblCellMar>
        </w:tblPrEx>
        <w:trPr>
          <w:trHeight w:val="540" w:hRule="exact"/>
          <w:jc w:val="center"/>
        </w:trPr>
        <w:tc>
          <w:tcPr>
            <w:tcW w:w="1440" w:type="dxa"/>
            <w:vMerge w:val="continue"/>
            <w:tcBorders>
              <w:left w:val="single" w:color="auto" w:sz="4" w:space="0"/>
            </w:tcBorders>
            <w:shd w:val="clear" w:color="auto" w:fill="FFFFFF"/>
            <w:textDirection w:val="tbRlV"/>
            <w:vAlign w:val="bottom"/>
          </w:tcPr>
          <w:p w14:paraId="75FFABB2">
            <w:pPr>
              <w:rPr>
                <w:rFonts w:hint="eastAsia" w:ascii="仿宋" w:hAnsi="仿宋" w:eastAsia="仿宋" w:cs="仿宋"/>
                <w:color w:val="auto"/>
                <w:sz w:val="24"/>
                <w:highlight w:val="none"/>
              </w:rPr>
            </w:pPr>
          </w:p>
        </w:tc>
        <w:tc>
          <w:tcPr>
            <w:tcW w:w="612" w:type="dxa"/>
            <w:tcBorders>
              <w:top w:val="single" w:color="auto" w:sz="4" w:space="0"/>
              <w:left w:val="single" w:color="auto" w:sz="4" w:space="0"/>
            </w:tcBorders>
            <w:shd w:val="clear" w:color="auto" w:fill="FFFFFF"/>
            <w:vAlign w:val="center"/>
          </w:tcPr>
          <w:p w14:paraId="495083DC">
            <w:pPr>
              <w:pStyle w:val="65"/>
              <w:spacing w:line="240" w:lineRule="auto"/>
              <w:ind w:firstLine="2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673" w:type="dxa"/>
            <w:gridSpan w:val="3"/>
            <w:tcBorders>
              <w:top w:val="single" w:color="auto" w:sz="4" w:space="0"/>
              <w:left w:val="single" w:color="auto" w:sz="4" w:space="0"/>
            </w:tcBorders>
            <w:shd w:val="clear" w:color="auto" w:fill="FFFFFF"/>
          </w:tcPr>
          <w:p w14:paraId="14EB7361">
            <w:pP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tcPr>
          <w:p w14:paraId="5AAA9063">
            <w:pPr>
              <w:rPr>
                <w:rFonts w:hint="eastAsia" w:ascii="仿宋" w:hAnsi="仿宋" w:eastAsia="仿宋" w:cs="仿宋"/>
                <w:color w:val="auto"/>
                <w:sz w:val="24"/>
                <w:highlight w:val="none"/>
              </w:rPr>
            </w:pPr>
          </w:p>
        </w:tc>
        <w:tc>
          <w:tcPr>
            <w:tcW w:w="2326" w:type="dxa"/>
            <w:tcBorders>
              <w:top w:val="single" w:color="auto" w:sz="4" w:space="0"/>
              <w:left w:val="single" w:color="auto" w:sz="4" w:space="0"/>
              <w:right w:val="single" w:color="auto" w:sz="4" w:space="0"/>
            </w:tcBorders>
            <w:shd w:val="clear" w:color="auto" w:fill="FFFFFF"/>
          </w:tcPr>
          <w:p w14:paraId="2B538991">
            <w:pPr>
              <w:rPr>
                <w:rFonts w:hint="eastAsia" w:ascii="仿宋" w:hAnsi="仿宋" w:eastAsia="仿宋" w:cs="仿宋"/>
                <w:color w:val="auto"/>
                <w:sz w:val="24"/>
                <w:highlight w:val="none"/>
              </w:rPr>
            </w:pPr>
          </w:p>
        </w:tc>
      </w:tr>
      <w:tr w14:paraId="59CF8F53">
        <w:tblPrEx>
          <w:tblCellMar>
            <w:top w:w="0" w:type="dxa"/>
            <w:left w:w="10" w:type="dxa"/>
            <w:bottom w:w="0" w:type="dxa"/>
            <w:right w:w="10" w:type="dxa"/>
          </w:tblCellMar>
        </w:tblPrEx>
        <w:trPr>
          <w:trHeight w:val="555" w:hRule="exact"/>
          <w:jc w:val="center"/>
        </w:trPr>
        <w:tc>
          <w:tcPr>
            <w:tcW w:w="1440" w:type="dxa"/>
            <w:vMerge w:val="continue"/>
            <w:tcBorders>
              <w:left w:val="single" w:color="auto" w:sz="4" w:space="0"/>
            </w:tcBorders>
            <w:shd w:val="clear" w:color="auto" w:fill="FFFFFF"/>
            <w:textDirection w:val="tbRlV"/>
            <w:vAlign w:val="bottom"/>
          </w:tcPr>
          <w:p w14:paraId="44105148">
            <w:pPr>
              <w:rPr>
                <w:rFonts w:hint="eastAsia" w:ascii="仿宋" w:hAnsi="仿宋" w:eastAsia="仿宋" w:cs="仿宋"/>
                <w:color w:val="auto"/>
                <w:sz w:val="24"/>
                <w:highlight w:val="none"/>
              </w:rPr>
            </w:pPr>
          </w:p>
        </w:tc>
        <w:tc>
          <w:tcPr>
            <w:tcW w:w="612" w:type="dxa"/>
            <w:tcBorders>
              <w:top w:val="single" w:color="auto" w:sz="4" w:space="0"/>
              <w:left w:val="single" w:color="auto" w:sz="4" w:space="0"/>
            </w:tcBorders>
            <w:shd w:val="clear" w:color="auto" w:fill="FFFFFF"/>
            <w:vAlign w:val="center"/>
          </w:tcPr>
          <w:p w14:paraId="1953DFC9">
            <w:pPr>
              <w:pStyle w:val="65"/>
              <w:spacing w:line="240" w:lineRule="auto"/>
              <w:ind w:firstLine="2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673" w:type="dxa"/>
            <w:gridSpan w:val="3"/>
            <w:tcBorders>
              <w:top w:val="single" w:color="auto" w:sz="4" w:space="0"/>
              <w:left w:val="single" w:color="auto" w:sz="4" w:space="0"/>
            </w:tcBorders>
            <w:shd w:val="clear" w:color="auto" w:fill="FFFFFF"/>
          </w:tcPr>
          <w:p w14:paraId="4BDD160F">
            <w:pP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tcPr>
          <w:p w14:paraId="1FE22D12">
            <w:pPr>
              <w:rPr>
                <w:rFonts w:hint="eastAsia" w:ascii="仿宋" w:hAnsi="仿宋" w:eastAsia="仿宋" w:cs="仿宋"/>
                <w:color w:val="auto"/>
                <w:sz w:val="24"/>
                <w:highlight w:val="none"/>
              </w:rPr>
            </w:pPr>
          </w:p>
        </w:tc>
        <w:tc>
          <w:tcPr>
            <w:tcW w:w="2326" w:type="dxa"/>
            <w:tcBorders>
              <w:top w:val="single" w:color="auto" w:sz="4" w:space="0"/>
              <w:left w:val="single" w:color="auto" w:sz="4" w:space="0"/>
              <w:right w:val="single" w:color="auto" w:sz="4" w:space="0"/>
            </w:tcBorders>
            <w:shd w:val="clear" w:color="auto" w:fill="FFFFFF"/>
          </w:tcPr>
          <w:p w14:paraId="5E852894">
            <w:pPr>
              <w:rPr>
                <w:rFonts w:hint="eastAsia" w:ascii="仿宋" w:hAnsi="仿宋" w:eastAsia="仿宋" w:cs="仿宋"/>
                <w:color w:val="auto"/>
                <w:sz w:val="24"/>
                <w:highlight w:val="none"/>
              </w:rPr>
            </w:pPr>
          </w:p>
        </w:tc>
      </w:tr>
      <w:tr w14:paraId="54DC2468">
        <w:tblPrEx>
          <w:tblCellMar>
            <w:top w:w="0" w:type="dxa"/>
            <w:left w:w="10" w:type="dxa"/>
            <w:bottom w:w="0" w:type="dxa"/>
            <w:right w:w="10" w:type="dxa"/>
          </w:tblCellMar>
        </w:tblPrEx>
        <w:trPr>
          <w:trHeight w:val="525" w:hRule="exact"/>
          <w:jc w:val="center"/>
        </w:trPr>
        <w:tc>
          <w:tcPr>
            <w:tcW w:w="1440" w:type="dxa"/>
            <w:vMerge w:val="continue"/>
            <w:tcBorders>
              <w:left w:val="single" w:color="auto" w:sz="4" w:space="0"/>
            </w:tcBorders>
            <w:shd w:val="clear" w:color="auto" w:fill="FFFFFF"/>
            <w:textDirection w:val="tbRlV"/>
            <w:vAlign w:val="bottom"/>
          </w:tcPr>
          <w:p w14:paraId="4F588E4C">
            <w:pPr>
              <w:rPr>
                <w:rFonts w:hint="eastAsia" w:ascii="仿宋" w:hAnsi="仿宋" w:eastAsia="仿宋" w:cs="仿宋"/>
                <w:color w:val="auto"/>
                <w:sz w:val="24"/>
                <w:highlight w:val="none"/>
              </w:rPr>
            </w:pPr>
          </w:p>
        </w:tc>
        <w:tc>
          <w:tcPr>
            <w:tcW w:w="612" w:type="dxa"/>
            <w:tcBorders>
              <w:top w:val="single" w:color="auto" w:sz="4" w:space="0"/>
              <w:left w:val="single" w:color="auto" w:sz="4" w:space="0"/>
            </w:tcBorders>
            <w:shd w:val="clear" w:color="auto" w:fill="FFFFFF"/>
            <w:vAlign w:val="center"/>
          </w:tcPr>
          <w:p w14:paraId="590E4091">
            <w:pPr>
              <w:pStyle w:val="65"/>
              <w:spacing w:line="240" w:lineRule="auto"/>
              <w:ind w:firstLine="2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673" w:type="dxa"/>
            <w:gridSpan w:val="3"/>
            <w:tcBorders>
              <w:top w:val="single" w:color="auto" w:sz="4" w:space="0"/>
              <w:left w:val="single" w:color="auto" w:sz="4" w:space="0"/>
            </w:tcBorders>
            <w:shd w:val="clear" w:color="auto" w:fill="FFFFFF"/>
          </w:tcPr>
          <w:p w14:paraId="58501B82">
            <w:pPr>
              <w:rPr>
                <w:rFonts w:hint="eastAsia" w:ascii="仿宋" w:hAnsi="仿宋" w:eastAsia="仿宋" w:cs="仿宋"/>
                <w:color w:val="auto"/>
                <w:sz w:val="24"/>
                <w:highlight w:val="none"/>
              </w:rPr>
            </w:pPr>
          </w:p>
        </w:tc>
        <w:tc>
          <w:tcPr>
            <w:tcW w:w="1440" w:type="dxa"/>
            <w:tcBorders>
              <w:top w:val="single" w:color="auto" w:sz="4" w:space="0"/>
              <w:left w:val="single" w:color="auto" w:sz="4" w:space="0"/>
            </w:tcBorders>
            <w:shd w:val="clear" w:color="auto" w:fill="FFFFFF"/>
          </w:tcPr>
          <w:p w14:paraId="2DC0BF12">
            <w:pPr>
              <w:rPr>
                <w:rFonts w:hint="eastAsia" w:ascii="仿宋" w:hAnsi="仿宋" w:eastAsia="仿宋" w:cs="仿宋"/>
                <w:color w:val="auto"/>
                <w:sz w:val="24"/>
                <w:highlight w:val="none"/>
              </w:rPr>
            </w:pPr>
          </w:p>
        </w:tc>
        <w:tc>
          <w:tcPr>
            <w:tcW w:w="2326" w:type="dxa"/>
            <w:tcBorders>
              <w:top w:val="single" w:color="auto" w:sz="4" w:space="0"/>
              <w:left w:val="single" w:color="auto" w:sz="4" w:space="0"/>
              <w:right w:val="single" w:color="auto" w:sz="4" w:space="0"/>
            </w:tcBorders>
            <w:shd w:val="clear" w:color="auto" w:fill="FFFFFF"/>
          </w:tcPr>
          <w:p w14:paraId="114B12B7">
            <w:pPr>
              <w:rPr>
                <w:rFonts w:hint="eastAsia" w:ascii="仿宋" w:hAnsi="仿宋" w:eastAsia="仿宋" w:cs="仿宋"/>
                <w:color w:val="auto"/>
                <w:sz w:val="24"/>
                <w:highlight w:val="none"/>
              </w:rPr>
            </w:pPr>
          </w:p>
        </w:tc>
      </w:tr>
      <w:tr w14:paraId="60B28C48">
        <w:tblPrEx>
          <w:tblCellMar>
            <w:top w:w="0" w:type="dxa"/>
            <w:left w:w="10" w:type="dxa"/>
            <w:bottom w:w="0" w:type="dxa"/>
            <w:right w:w="10" w:type="dxa"/>
          </w:tblCellMar>
        </w:tblPrEx>
        <w:trPr>
          <w:trHeight w:val="1095" w:hRule="exact"/>
          <w:jc w:val="center"/>
        </w:trPr>
        <w:tc>
          <w:tcPr>
            <w:tcW w:w="1440" w:type="dxa"/>
            <w:tcBorders>
              <w:top w:val="single" w:color="auto" w:sz="4" w:space="0"/>
              <w:left w:val="single" w:color="auto" w:sz="4" w:space="0"/>
              <w:bottom w:val="single" w:color="auto" w:sz="4" w:space="0"/>
            </w:tcBorders>
            <w:shd w:val="clear" w:color="auto" w:fill="FFFFFF"/>
            <w:vAlign w:val="center"/>
          </w:tcPr>
          <w:p w14:paraId="0DEDA3B0">
            <w:pPr>
              <w:pStyle w:val="65"/>
              <w:spacing w:line="315"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其它需补充的情况</w:t>
            </w:r>
          </w:p>
        </w:tc>
        <w:tc>
          <w:tcPr>
            <w:tcW w:w="7051" w:type="dxa"/>
            <w:gridSpan w:val="6"/>
            <w:tcBorders>
              <w:top w:val="single" w:color="auto" w:sz="4" w:space="0"/>
              <w:left w:val="single" w:color="auto" w:sz="4" w:space="0"/>
              <w:bottom w:val="single" w:color="auto" w:sz="4" w:space="0"/>
              <w:right w:val="single" w:color="auto" w:sz="4" w:space="0"/>
            </w:tcBorders>
            <w:shd w:val="clear" w:color="auto" w:fill="FFFFFF"/>
          </w:tcPr>
          <w:p w14:paraId="3229F428">
            <w:pPr>
              <w:rPr>
                <w:rFonts w:hint="eastAsia" w:ascii="仿宋" w:hAnsi="仿宋" w:eastAsia="仿宋" w:cs="仿宋"/>
                <w:color w:val="auto"/>
                <w:sz w:val="24"/>
                <w:highlight w:val="none"/>
              </w:rPr>
            </w:pPr>
          </w:p>
        </w:tc>
      </w:tr>
    </w:tbl>
    <w:p w14:paraId="07110305">
      <w:pPr>
        <w:ind w:firstLine="240"/>
        <w:outlineLvl w:val="9"/>
        <w:rPr>
          <w:rFonts w:hint="eastAsia" w:ascii="仿宋" w:hAnsi="仿宋" w:eastAsia="仿宋" w:cs="仿宋"/>
          <w:color w:val="auto"/>
          <w:sz w:val="24"/>
          <w:szCs w:val="24"/>
          <w:highlight w:val="none"/>
        </w:rPr>
      </w:pPr>
    </w:p>
    <w:p w14:paraId="312BE8E3">
      <w:pPr>
        <w:outlineLvl w:val="9"/>
        <w:rPr>
          <w:rFonts w:hint="eastAsia" w:ascii="仿宋" w:hAnsi="仿宋" w:eastAsia="仿宋" w:cs="仿宋"/>
          <w:color w:val="auto"/>
          <w:highlight w:val="none"/>
        </w:rPr>
      </w:pPr>
    </w:p>
    <w:p w14:paraId="33BB60A0">
      <w:pPr>
        <w:ind w:firstLine="240"/>
        <w:outlineLvl w:val="9"/>
        <w:rPr>
          <w:rFonts w:hint="eastAsia" w:ascii="仿宋" w:hAnsi="仿宋" w:eastAsia="仿宋" w:cs="仿宋"/>
          <w:color w:val="auto"/>
          <w:sz w:val="24"/>
          <w:szCs w:val="24"/>
          <w:highlight w:val="none"/>
        </w:rPr>
      </w:pPr>
    </w:p>
    <w:p w14:paraId="36BBDADC">
      <w:pPr>
        <w:keepNext/>
        <w:keepLines/>
        <w:pageBreakBefore w:val="0"/>
        <w:widowControl w:val="0"/>
        <w:kinsoku/>
        <w:wordWrap/>
        <w:overflowPunct/>
        <w:topLinePunct w:val="0"/>
        <w:autoSpaceDE/>
        <w:autoSpaceDN/>
        <w:bidi w:val="0"/>
        <w:adjustRightInd w:val="0"/>
        <w:snapToGrid w:val="0"/>
        <w:jc w:val="center"/>
        <w:textAlignment w:val="auto"/>
        <w:outlineLvl w:val="9"/>
        <w:rPr>
          <w:rFonts w:hint="eastAsia" w:ascii="仿宋" w:hAnsi="仿宋" w:eastAsia="仿宋" w:cs="仿宋"/>
          <w:b/>
          <w:bCs/>
          <w:color w:val="auto"/>
          <w:kern w:val="28"/>
          <w:sz w:val="28"/>
          <w:szCs w:val="32"/>
          <w:highlight w:val="none"/>
          <w:lang w:val="en-US" w:eastAsia="zh-CN" w:bidi="ar-SA"/>
        </w:rPr>
      </w:pPr>
    </w:p>
    <w:p w14:paraId="07C48CEA">
      <w:pPr>
        <w:keepNext/>
        <w:keepLines/>
        <w:pageBreakBefore w:val="0"/>
        <w:widowControl w:val="0"/>
        <w:kinsoku/>
        <w:wordWrap/>
        <w:overflowPunct/>
        <w:topLinePunct w:val="0"/>
        <w:autoSpaceDE/>
        <w:autoSpaceDN/>
        <w:bidi w:val="0"/>
        <w:adjustRightInd w:val="0"/>
        <w:snapToGrid w:val="0"/>
        <w:jc w:val="center"/>
        <w:textAlignment w:val="auto"/>
        <w:outlineLvl w:val="9"/>
        <w:rPr>
          <w:rFonts w:hint="eastAsia" w:ascii="仿宋" w:hAnsi="仿宋" w:eastAsia="仿宋" w:cs="仿宋"/>
          <w:b/>
          <w:bCs/>
          <w:color w:val="auto"/>
          <w:kern w:val="28"/>
          <w:sz w:val="28"/>
          <w:szCs w:val="32"/>
          <w:highlight w:val="none"/>
          <w:lang w:val="en-US" w:eastAsia="zh-CN" w:bidi="ar-SA"/>
        </w:rPr>
      </w:pPr>
    </w:p>
    <w:p w14:paraId="32A503F5">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56323399">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4D6841EE">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B0BD850">
      <w:pPr>
        <w:rPr>
          <w:rFonts w:hint="eastAsia" w:ascii="仿宋" w:hAnsi="仿宋" w:eastAsia="仿宋" w:cs="仿宋"/>
          <w:b/>
          <w:bCs/>
          <w:color w:val="auto"/>
          <w:kern w:val="28"/>
          <w:sz w:val="28"/>
          <w:szCs w:val="32"/>
          <w:highlight w:val="none"/>
          <w:lang w:val="en-US" w:eastAsia="zh-CN" w:bidi="ar-SA"/>
        </w:rPr>
      </w:pPr>
      <w:r>
        <w:rPr>
          <w:rFonts w:hint="eastAsia" w:ascii="仿宋" w:hAnsi="仿宋" w:eastAsia="仿宋" w:cs="仿宋"/>
          <w:b/>
          <w:bCs/>
          <w:color w:val="auto"/>
          <w:kern w:val="28"/>
          <w:sz w:val="28"/>
          <w:szCs w:val="32"/>
          <w:highlight w:val="none"/>
          <w:lang w:val="en-US" w:eastAsia="zh-CN" w:bidi="ar-SA"/>
        </w:rPr>
        <w:br w:type="page"/>
      </w:r>
    </w:p>
    <w:p w14:paraId="0F4C4F40">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b/>
          <w:bCs/>
          <w:color w:val="auto"/>
          <w:kern w:val="28"/>
          <w:sz w:val="28"/>
          <w:szCs w:val="32"/>
          <w:highlight w:val="none"/>
          <w:lang w:val="en-US" w:eastAsia="zh-CN" w:bidi="ar-SA"/>
        </w:rPr>
      </w:pPr>
      <w:r>
        <w:rPr>
          <w:rFonts w:hint="eastAsia" w:ascii="仿宋" w:hAnsi="仿宋" w:eastAsia="仿宋" w:cs="仿宋"/>
          <w:b/>
          <w:bCs/>
          <w:color w:val="auto"/>
          <w:kern w:val="28"/>
          <w:sz w:val="28"/>
          <w:szCs w:val="32"/>
          <w:highlight w:val="none"/>
          <w:lang w:val="en-US" w:eastAsia="zh-CN" w:bidi="ar-SA"/>
        </w:rPr>
        <w:t>（5）服务质量保证、本地化服务及有关承诺</w:t>
      </w:r>
    </w:p>
    <w:p w14:paraId="5758B813">
      <w:pPr>
        <w:rPr>
          <w:rFonts w:hint="eastAsia" w:ascii="仿宋" w:hAnsi="仿宋" w:eastAsia="仿宋" w:cs="仿宋"/>
          <w:color w:val="auto"/>
          <w:sz w:val="24"/>
          <w:highlight w:val="none"/>
          <w:lang w:val="en-US" w:eastAsia="zh-CN"/>
        </w:rPr>
      </w:pPr>
    </w:p>
    <w:p w14:paraId="7E7946BE">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1.服务</w:t>
      </w:r>
      <w:r>
        <w:rPr>
          <w:rFonts w:hint="eastAsia" w:ascii="仿宋" w:hAnsi="仿宋" w:eastAsia="仿宋" w:cs="仿宋"/>
          <w:color w:val="auto"/>
          <w:sz w:val="24"/>
          <w:highlight w:val="none"/>
        </w:rPr>
        <w:t>质量承诺书</w:t>
      </w:r>
      <w:r>
        <w:rPr>
          <w:rFonts w:hint="eastAsia" w:ascii="仿宋" w:hAnsi="仿宋" w:eastAsia="仿宋" w:cs="仿宋"/>
          <w:color w:val="auto"/>
          <w:sz w:val="24"/>
          <w:highlight w:val="none"/>
          <w:lang w:eastAsia="zh-CN"/>
        </w:rPr>
        <w:t>：</w:t>
      </w:r>
    </w:p>
    <w:p w14:paraId="1E74519E">
      <w:pPr>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730AA3E">
      <w:pPr>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质量承诺内容</w:t>
      </w:r>
    </w:p>
    <w:p w14:paraId="12E8B2F7">
      <w:pPr>
        <w:spacing w:line="300" w:lineRule="auto"/>
        <w:rPr>
          <w:rFonts w:hint="eastAsia" w:ascii="仿宋" w:hAnsi="仿宋" w:eastAsia="仿宋" w:cs="仿宋"/>
          <w:color w:val="auto"/>
          <w:sz w:val="24"/>
          <w:highlight w:val="none"/>
        </w:rPr>
      </w:pPr>
    </w:p>
    <w:p w14:paraId="70303C11">
      <w:pPr>
        <w:spacing w:line="300" w:lineRule="auto"/>
        <w:rPr>
          <w:rFonts w:hint="eastAsia" w:ascii="仿宋" w:hAnsi="仿宋" w:eastAsia="仿宋" w:cs="仿宋"/>
          <w:color w:val="auto"/>
          <w:sz w:val="24"/>
          <w:highlight w:val="none"/>
        </w:rPr>
      </w:pPr>
    </w:p>
    <w:p w14:paraId="257454EB">
      <w:pPr>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其他有关内容</w:t>
      </w:r>
    </w:p>
    <w:p w14:paraId="44479926">
      <w:pPr>
        <w:spacing w:line="300" w:lineRule="auto"/>
        <w:rPr>
          <w:rFonts w:hint="eastAsia" w:ascii="仿宋" w:hAnsi="仿宋" w:eastAsia="仿宋" w:cs="仿宋"/>
          <w:color w:val="auto"/>
          <w:sz w:val="24"/>
          <w:highlight w:val="none"/>
        </w:rPr>
      </w:pPr>
    </w:p>
    <w:p w14:paraId="3971394E">
      <w:pPr>
        <w:spacing w:line="300" w:lineRule="auto"/>
        <w:rPr>
          <w:rFonts w:hint="eastAsia" w:ascii="仿宋" w:hAnsi="仿宋" w:eastAsia="仿宋" w:cs="仿宋"/>
          <w:b/>
          <w:bCs/>
          <w:color w:val="auto"/>
          <w:sz w:val="24"/>
          <w:highlight w:val="none"/>
        </w:rPr>
      </w:pPr>
    </w:p>
    <w:p w14:paraId="7B948AD5">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后期服务承诺书</w:t>
      </w:r>
      <w:r>
        <w:rPr>
          <w:rFonts w:hint="eastAsia" w:ascii="仿宋" w:hAnsi="仿宋" w:eastAsia="仿宋" w:cs="仿宋"/>
          <w:color w:val="auto"/>
          <w:sz w:val="24"/>
          <w:highlight w:val="none"/>
          <w:lang w:eastAsia="zh-CN"/>
        </w:rPr>
        <w:t>：</w:t>
      </w:r>
    </w:p>
    <w:p w14:paraId="272DECB3">
      <w:pPr>
        <w:spacing w:line="300" w:lineRule="auto"/>
        <w:ind w:firstLine="360" w:firstLineChars="150"/>
        <w:rPr>
          <w:rFonts w:hint="eastAsia" w:ascii="仿宋" w:hAnsi="仿宋" w:eastAsia="仿宋" w:cs="仿宋"/>
          <w:color w:val="auto"/>
          <w:sz w:val="24"/>
          <w:highlight w:val="none"/>
        </w:rPr>
      </w:pPr>
    </w:p>
    <w:p w14:paraId="5940862E">
      <w:pPr>
        <w:spacing w:line="300" w:lineRule="auto"/>
        <w:ind w:firstLine="360" w:firstLineChars="1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响应时间、服务措施</w:t>
      </w:r>
    </w:p>
    <w:p w14:paraId="3FF4F369">
      <w:pPr>
        <w:spacing w:line="300" w:lineRule="auto"/>
        <w:ind w:firstLine="360" w:firstLineChars="150"/>
        <w:rPr>
          <w:rFonts w:hint="eastAsia" w:ascii="仿宋" w:hAnsi="仿宋" w:eastAsia="仿宋" w:cs="仿宋"/>
          <w:color w:val="auto"/>
          <w:sz w:val="24"/>
          <w:highlight w:val="none"/>
        </w:rPr>
      </w:pPr>
    </w:p>
    <w:p w14:paraId="37F8773B">
      <w:pPr>
        <w:spacing w:line="30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后期服务方面的其他承诺</w:t>
      </w:r>
    </w:p>
    <w:p w14:paraId="5CD6BEB2">
      <w:pPr>
        <w:spacing w:line="300" w:lineRule="auto"/>
        <w:ind w:firstLine="360" w:firstLineChars="150"/>
        <w:rPr>
          <w:rFonts w:hint="eastAsia" w:ascii="仿宋" w:hAnsi="仿宋" w:eastAsia="仿宋" w:cs="仿宋"/>
          <w:color w:val="auto"/>
          <w:sz w:val="24"/>
          <w:highlight w:val="none"/>
        </w:rPr>
      </w:pPr>
    </w:p>
    <w:p w14:paraId="2E7B90DA">
      <w:pPr>
        <w:spacing w:line="30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后期服务联系方式（联系人、联系电话、服务点等）</w:t>
      </w:r>
    </w:p>
    <w:p w14:paraId="3B27F8CD">
      <w:pPr>
        <w:ind w:firstLine="241"/>
        <w:rPr>
          <w:rFonts w:hint="eastAsia" w:ascii="仿宋" w:hAnsi="仿宋" w:eastAsia="仿宋" w:cs="仿宋"/>
          <w:color w:val="auto"/>
          <w:sz w:val="24"/>
          <w:highlight w:val="none"/>
        </w:rPr>
      </w:pPr>
    </w:p>
    <w:p w14:paraId="24C6C7F3">
      <w:pPr>
        <w:ind w:firstLine="0"/>
        <w:rPr>
          <w:rFonts w:hint="eastAsia" w:ascii="仿宋" w:hAnsi="仿宋" w:eastAsia="仿宋" w:cs="仿宋"/>
          <w:color w:val="auto"/>
          <w:sz w:val="24"/>
          <w:szCs w:val="24"/>
          <w:highlight w:val="none"/>
        </w:rPr>
      </w:pPr>
    </w:p>
    <w:p w14:paraId="22D2458C">
      <w:pPr>
        <w:pStyle w:val="25"/>
        <w:rPr>
          <w:rFonts w:hint="eastAsia"/>
        </w:rPr>
      </w:pPr>
    </w:p>
    <w:p w14:paraId="71395209">
      <w:pPr>
        <w:rPr>
          <w:rFonts w:hint="eastAsia"/>
        </w:rPr>
      </w:pPr>
    </w:p>
    <w:p w14:paraId="799D005B">
      <w:pPr>
        <w:pStyle w:val="25"/>
        <w:rPr>
          <w:rFonts w:hint="eastAsia"/>
        </w:rPr>
      </w:pPr>
    </w:p>
    <w:p w14:paraId="71AD28ED">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0073F3B1">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21689B17">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1077FFC2">
      <w:pPr>
        <w:rPr>
          <w:rFonts w:hint="eastAsia"/>
        </w:rPr>
      </w:pPr>
    </w:p>
    <w:p w14:paraId="3D5D8659">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kern w:val="28"/>
          <w:sz w:val="28"/>
          <w:szCs w:val="32"/>
          <w:highlight w:val="none"/>
          <w:lang w:val="en-US" w:eastAsia="zh-CN" w:bidi="ar-SA"/>
        </w:rPr>
        <w:t>（6）实施方案</w:t>
      </w:r>
    </w:p>
    <w:p w14:paraId="4C6566D4">
      <w:pPr>
        <w:spacing w:line="360" w:lineRule="auto"/>
        <w:rPr>
          <w:rFonts w:hint="eastAsia" w:ascii="仿宋" w:hAnsi="仿宋" w:eastAsia="仿宋" w:cs="仿宋"/>
          <w:color w:val="auto"/>
          <w:sz w:val="24"/>
          <w:highlight w:val="none"/>
        </w:rPr>
      </w:pPr>
    </w:p>
    <w:p w14:paraId="1DB541D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8"/>
          <w:highlight w:val="none"/>
        </w:rPr>
        <w:t>投标人须针对本项目提供包括但不限于如下方案：</w:t>
      </w:r>
    </w:p>
    <w:p w14:paraId="4D95564B">
      <w:pPr>
        <w:pStyle w:val="3"/>
        <w:rPr>
          <w:rFonts w:hint="eastAsia" w:ascii="仿宋" w:hAnsi="仿宋" w:eastAsia="仿宋" w:cs="仿宋"/>
          <w:b/>
          <w:bCs/>
          <w:color w:val="auto"/>
          <w:sz w:val="24"/>
          <w:highlight w:val="none"/>
        </w:rPr>
      </w:pPr>
    </w:p>
    <w:p w14:paraId="33AE925F">
      <w:pPr>
        <w:numPr>
          <w:ilvl w:val="0"/>
          <w:numId w:val="9"/>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实施</w:t>
      </w:r>
      <w:r>
        <w:rPr>
          <w:rFonts w:hint="eastAsia" w:ascii="仿宋" w:hAnsi="仿宋" w:eastAsia="仿宋" w:cs="仿宋"/>
          <w:color w:val="auto"/>
          <w:sz w:val="24"/>
          <w:highlight w:val="none"/>
        </w:rPr>
        <w:t>方案；</w:t>
      </w:r>
    </w:p>
    <w:p w14:paraId="40E1C823">
      <w:pPr>
        <w:numPr>
          <w:ilvl w:val="0"/>
          <w:numId w:val="9"/>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技术方案；</w:t>
      </w:r>
    </w:p>
    <w:p w14:paraId="264C06BF">
      <w:pPr>
        <w:numPr>
          <w:ilvl w:val="0"/>
          <w:numId w:val="9"/>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应急预案；</w:t>
      </w:r>
    </w:p>
    <w:p w14:paraId="67083ECB">
      <w:pPr>
        <w:numPr>
          <w:ilvl w:val="0"/>
          <w:numId w:val="9"/>
        </w:num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保密措施；</w:t>
      </w:r>
    </w:p>
    <w:p w14:paraId="59F865B0">
      <w:pPr>
        <w:numPr>
          <w:ilvl w:val="0"/>
          <w:numId w:val="0"/>
        </w:numPr>
        <w:spacing w:line="360" w:lineRule="auto"/>
        <w:ind w:left="42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p>
    <w:p w14:paraId="4B50DCA6">
      <w:pPr>
        <w:spacing w:line="360"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投标人认为有必要提供的其它内容。</w:t>
      </w:r>
    </w:p>
    <w:p w14:paraId="0A5CB91A">
      <w:pPr>
        <w:pStyle w:val="44"/>
        <w:rPr>
          <w:rFonts w:hint="eastAsia" w:ascii="仿宋" w:hAnsi="仿宋" w:eastAsia="仿宋" w:cs="仿宋"/>
          <w:color w:val="auto"/>
          <w:spacing w:val="20"/>
          <w:sz w:val="24"/>
          <w:highlight w:val="none"/>
        </w:rPr>
      </w:pPr>
    </w:p>
    <w:p w14:paraId="42E8D957">
      <w:pPr>
        <w:pStyle w:val="44"/>
        <w:rPr>
          <w:rFonts w:hint="eastAsia" w:ascii="仿宋" w:hAnsi="仿宋" w:eastAsia="仿宋" w:cs="仿宋"/>
          <w:color w:val="auto"/>
          <w:spacing w:val="20"/>
          <w:sz w:val="24"/>
          <w:highlight w:val="none"/>
        </w:rPr>
      </w:pPr>
    </w:p>
    <w:p w14:paraId="59B0D47E">
      <w:pPr>
        <w:pStyle w:val="44"/>
        <w:rPr>
          <w:rFonts w:hint="eastAsia" w:ascii="仿宋" w:hAnsi="仿宋" w:eastAsia="仿宋" w:cs="仿宋"/>
          <w:color w:val="auto"/>
          <w:spacing w:val="20"/>
          <w:sz w:val="24"/>
          <w:highlight w:val="none"/>
        </w:rPr>
      </w:pPr>
    </w:p>
    <w:p w14:paraId="7395B1A3">
      <w:pPr>
        <w:pStyle w:val="44"/>
        <w:rPr>
          <w:rFonts w:hint="eastAsia" w:ascii="仿宋" w:hAnsi="仿宋" w:eastAsia="仿宋" w:cs="仿宋"/>
          <w:color w:val="auto"/>
          <w:spacing w:val="20"/>
          <w:sz w:val="24"/>
          <w:highlight w:val="none"/>
        </w:rPr>
      </w:pPr>
    </w:p>
    <w:p w14:paraId="05AAA810">
      <w:pPr>
        <w:pStyle w:val="44"/>
        <w:rPr>
          <w:rFonts w:hint="eastAsia" w:ascii="仿宋" w:hAnsi="仿宋" w:eastAsia="仿宋" w:cs="仿宋"/>
          <w:color w:val="auto"/>
          <w:spacing w:val="20"/>
          <w:sz w:val="24"/>
          <w:highlight w:val="none"/>
        </w:rPr>
      </w:pPr>
    </w:p>
    <w:p w14:paraId="682694B8">
      <w:pPr>
        <w:pStyle w:val="44"/>
        <w:rPr>
          <w:rFonts w:hint="eastAsia" w:ascii="仿宋" w:hAnsi="仿宋" w:eastAsia="仿宋" w:cs="仿宋"/>
          <w:color w:val="auto"/>
          <w:spacing w:val="20"/>
          <w:sz w:val="24"/>
          <w:highlight w:val="none"/>
        </w:rPr>
      </w:pPr>
    </w:p>
    <w:p w14:paraId="01C309E4">
      <w:pPr>
        <w:pStyle w:val="44"/>
        <w:rPr>
          <w:rFonts w:hint="eastAsia" w:ascii="仿宋" w:hAnsi="仿宋" w:eastAsia="仿宋" w:cs="仿宋"/>
          <w:color w:val="auto"/>
          <w:spacing w:val="20"/>
          <w:sz w:val="24"/>
          <w:highlight w:val="none"/>
        </w:rPr>
      </w:pPr>
    </w:p>
    <w:p w14:paraId="73E903C4">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150E0686">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619F50F1">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1F9A2CA0">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color w:val="auto"/>
          <w:highlight w:val="none"/>
          <w:lang w:eastAsia="zh-CN"/>
        </w:rPr>
      </w:pPr>
      <w:r>
        <w:rPr>
          <w:rFonts w:hint="eastAsia" w:ascii="仿宋" w:hAnsi="仿宋" w:eastAsia="仿宋" w:cs="仿宋"/>
          <w:color w:val="auto"/>
          <w:highlight w:val="none"/>
        </w:rPr>
        <w:br w:type="page"/>
      </w:r>
      <w:r>
        <w:rPr>
          <w:rFonts w:hint="eastAsia" w:ascii="仿宋" w:hAnsi="仿宋" w:eastAsia="仿宋" w:cs="仿宋"/>
          <w:b/>
          <w:bCs/>
          <w:color w:val="auto"/>
          <w:kern w:val="28"/>
          <w:sz w:val="28"/>
          <w:szCs w:val="32"/>
          <w:highlight w:val="none"/>
          <w:lang w:val="en-US" w:eastAsia="zh-CN" w:bidi="ar-SA"/>
        </w:rPr>
        <w:t>（7）商务响应表</w:t>
      </w:r>
    </w:p>
    <w:p w14:paraId="22B18854">
      <w:pPr>
        <w:snapToGrid w:val="0"/>
        <w:spacing w:before="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762A8396">
      <w:pPr>
        <w:snapToGrid w:val="0"/>
        <w:spacing w:before="5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bl>
      <w:tblPr>
        <w:tblStyle w:val="33"/>
        <w:tblW w:w="8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0"/>
        <w:gridCol w:w="1862"/>
        <w:gridCol w:w="1294"/>
        <w:gridCol w:w="3102"/>
      </w:tblGrid>
      <w:tr w14:paraId="551C3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500" w:type="dxa"/>
            <w:tcBorders>
              <w:top w:val="single" w:color="auto" w:sz="4" w:space="0"/>
              <w:left w:val="single" w:color="auto" w:sz="4" w:space="0"/>
              <w:bottom w:val="single" w:color="auto" w:sz="4" w:space="0"/>
              <w:right w:val="single" w:color="auto" w:sz="4" w:space="0"/>
            </w:tcBorders>
            <w:noWrap w:val="0"/>
            <w:vAlign w:val="top"/>
          </w:tcPr>
          <w:p w14:paraId="2D7B3A68">
            <w:pPr>
              <w:snapToGrid w:val="0"/>
              <w:spacing w:before="156" w:beforeLines="5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highlight w:val="none"/>
                <w:lang w:eastAsia="zh-CN"/>
              </w:rPr>
              <w:t>内容</w:t>
            </w:r>
          </w:p>
        </w:tc>
        <w:tc>
          <w:tcPr>
            <w:tcW w:w="1862" w:type="dxa"/>
            <w:tcBorders>
              <w:top w:val="single" w:color="auto" w:sz="4" w:space="0"/>
              <w:left w:val="single" w:color="auto" w:sz="4" w:space="0"/>
              <w:bottom w:val="single" w:color="auto" w:sz="4" w:space="0"/>
              <w:right w:val="single" w:color="auto" w:sz="4" w:space="0"/>
            </w:tcBorders>
            <w:noWrap w:val="0"/>
            <w:vAlign w:val="top"/>
          </w:tcPr>
          <w:p w14:paraId="02123D03">
            <w:pPr>
              <w:snapToGrid w:val="0"/>
              <w:spacing w:before="156" w:beforeLines="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招标采购文件要求</w:t>
            </w:r>
          </w:p>
        </w:tc>
        <w:tc>
          <w:tcPr>
            <w:tcW w:w="1294" w:type="dxa"/>
            <w:tcBorders>
              <w:top w:val="single" w:color="auto" w:sz="4" w:space="0"/>
              <w:left w:val="single" w:color="auto" w:sz="4" w:space="0"/>
              <w:bottom w:val="single" w:color="auto" w:sz="4" w:space="0"/>
              <w:right w:val="single" w:color="auto" w:sz="4" w:space="0"/>
            </w:tcBorders>
            <w:noWrap w:val="0"/>
            <w:vAlign w:val="top"/>
          </w:tcPr>
          <w:p w14:paraId="64F6971D">
            <w:pPr>
              <w:snapToGrid w:val="0"/>
              <w:spacing w:before="156" w:beforeLines="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是否响应</w:t>
            </w:r>
          </w:p>
        </w:tc>
        <w:tc>
          <w:tcPr>
            <w:tcW w:w="3102" w:type="dxa"/>
            <w:tcBorders>
              <w:top w:val="single" w:color="auto" w:sz="4" w:space="0"/>
              <w:left w:val="single" w:color="auto" w:sz="4" w:space="0"/>
              <w:bottom w:val="single" w:color="auto" w:sz="4" w:space="0"/>
              <w:right w:val="single" w:color="auto" w:sz="4" w:space="0"/>
            </w:tcBorders>
            <w:noWrap w:val="0"/>
            <w:vAlign w:val="top"/>
          </w:tcPr>
          <w:p w14:paraId="2A712933">
            <w:pPr>
              <w:snapToGrid w:val="0"/>
              <w:spacing w:before="156" w:beforeLines="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投标人的承诺或说明</w:t>
            </w:r>
          </w:p>
        </w:tc>
      </w:tr>
      <w:tr w14:paraId="6ED9A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500" w:type="dxa"/>
            <w:tcBorders>
              <w:top w:val="single" w:color="auto" w:sz="4" w:space="0"/>
              <w:left w:val="single" w:color="auto" w:sz="4" w:space="0"/>
              <w:bottom w:val="single" w:color="auto" w:sz="4" w:space="0"/>
              <w:right w:val="single" w:color="auto" w:sz="4" w:space="0"/>
            </w:tcBorders>
            <w:noWrap w:val="0"/>
            <w:vAlign w:val="center"/>
          </w:tcPr>
          <w:p w14:paraId="4FA86877">
            <w:pPr>
              <w:snapToGrid w:val="0"/>
              <w:spacing w:before="156" w:beforeLines="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投标有效期</w:t>
            </w:r>
          </w:p>
        </w:tc>
        <w:tc>
          <w:tcPr>
            <w:tcW w:w="1862" w:type="dxa"/>
            <w:tcBorders>
              <w:top w:val="single" w:color="auto" w:sz="4" w:space="0"/>
              <w:left w:val="single" w:color="auto" w:sz="4" w:space="0"/>
              <w:bottom w:val="single" w:color="auto" w:sz="4" w:space="0"/>
              <w:right w:val="single" w:color="auto" w:sz="4" w:space="0"/>
            </w:tcBorders>
            <w:noWrap w:val="0"/>
            <w:vAlign w:val="top"/>
          </w:tcPr>
          <w:p w14:paraId="7CCC524F">
            <w:pPr>
              <w:snapToGrid w:val="0"/>
              <w:spacing w:before="156" w:beforeLines="50"/>
              <w:rPr>
                <w:rFonts w:hint="eastAsia" w:ascii="仿宋" w:hAnsi="仿宋" w:eastAsia="仿宋" w:cs="仿宋"/>
                <w:color w:val="auto"/>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top"/>
          </w:tcPr>
          <w:p w14:paraId="216E344F">
            <w:pPr>
              <w:snapToGrid w:val="0"/>
              <w:spacing w:before="156" w:beforeLines="50"/>
              <w:rPr>
                <w:rFonts w:hint="eastAsia" w:ascii="仿宋" w:hAnsi="仿宋" w:eastAsia="仿宋" w:cs="仿宋"/>
                <w:color w:val="auto"/>
                <w:sz w:val="24"/>
                <w:highlight w:val="none"/>
              </w:rPr>
            </w:pPr>
          </w:p>
        </w:tc>
        <w:tc>
          <w:tcPr>
            <w:tcW w:w="3102" w:type="dxa"/>
            <w:tcBorders>
              <w:top w:val="single" w:color="auto" w:sz="4" w:space="0"/>
              <w:left w:val="single" w:color="auto" w:sz="4" w:space="0"/>
              <w:bottom w:val="single" w:color="auto" w:sz="4" w:space="0"/>
              <w:right w:val="single" w:color="auto" w:sz="4" w:space="0"/>
            </w:tcBorders>
            <w:noWrap w:val="0"/>
            <w:vAlign w:val="top"/>
          </w:tcPr>
          <w:p w14:paraId="14EACF82">
            <w:pPr>
              <w:snapToGrid w:val="0"/>
              <w:spacing w:before="156" w:beforeLines="50"/>
              <w:rPr>
                <w:rFonts w:hint="eastAsia" w:ascii="仿宋" w:hAnsi="仿宋" w:eastAsia="仿宋" w:cs="仿宋"/>
                <w:color w:val="auto"/>
                <w:sz w:val="24"/>
                <w:highlight w:val="none"/>
              </w:rPr>
            </w:pPr>
          </w:p>
        </w:tc>
      </w:tr>
      <w:tr w14:paraId="6162C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3DBAA">
            <w:pPr>
              <w:snapToGrid w:val="0"/>
              <w:spacing w:before="156" w:beforeLine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项目工期</w:t>
            </w:r>
          </w:p>
        </w:tc>
        <w:tc>
          <w:tcPr>
            <w:tcW w:w="1862" w:type="dxa"/>
            <w:tcBorders>
              <w:top w:val="single" w:color="auto" w:sz="4" w:space="0"/>
              <w:left w:val="single" w:color="auto" w:sz="4" w:space="0"/>
              <w:bottom w:val="single" w:color="auto" w:sz="4" w:space="0"/>
              <w:right w:val="single" w:color="auto" w:sz="4" w:space="0"/>
            </w:tcBorders>
            <w:noWrap w:val="0"/>
            <w:vAlign w:val="top"/>
          </w:tcPr>
          <w:p w14:paraId="70CF972F">
            <w:pPr>
              <w:snapToGrid w:val="0"/>
              <w:spacing w:before="156" w:beforeLines="50"/>
              <w:rPr>
                <w:rFonts w:hint="eastAsia" w:ascii="仿宋" w:hAnsi="仿宋" w:eastAsia="仿宋" w:cs="仿宋"/>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top"/>
          </w:tcPr>
          <w:p w14:paraId="3CB52EE1">
            <w:pPr>
              <w:snapToGrid w:val="0"/>
              <w:spacing w:before="156" w:beforeLines="50"/>
              <w:rPr>
                <w:rFonts w:hint="eastAsia" w:ascii="仿宋" w:hAnsi="仿宋" w:eastAsia="仿宋" w:cs="仿宋"/>
                <w:color w:val="auto"/>
                <w:sz w:val="24"/>
                <w:szCs w:val="20"/>
                <w:highlight w:val="none"/>
              </w:rPr>
            </w:pPr>
          </w:p>
        </w:tc>
        <w:tc>
          <w:tcPr>
            <w:tcW w:w="3102" w:type="dxa"/>
            <w:tcBorders>
              <w:top w:val="single" w:color="auto" w:sz="4" w:space="0"/>
              <w:left w:val="single" w:color="auto" w:sz="4" w:space="0"/>
              <w:bottom w:val="single" w:color="auto" w:sz="4" w:space="0"/>
              <w:right w:val="single" w:color="auto" w:sz="4" w:space="0"/>
            </w:tcBorders>
            <w:noWrap w:val="0"/>
            <w:vAlign w:val="top"/>
          </w:tcPr>
          <w:p w14:paraId="110ED96E">
            <w:pPr>
              <w:snapToGrid w:val="0"/>
              <w:spacing w:before="156" w:beforeLines="50"/>
              <w:rPr>
                <w:rFonts w:hint="eastAsia" w:ascii="仿宋" w:hAnsi="仿宋" w:eastAsia="仿宋" w:cs="仿宋"/>
                <w:color w:val="auto"/>
                <w:sz w:val="24"/>
                <w:szCs w:val="20"/>
                <w:highlight w:val="none"/>
              </w:rPr>
            </w:pPr>
          </w:p>
        </w:tc>
      </w:tr>
      <w:tr w14:paraId="14A9D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780EB">
            <w:pPr>
              <w:snapToGrid w:val="0"/>
              <w:spacing w:before="156" w:beforeLines="5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highlight w:val="none"/>
              </w:rPr>
              <w:t>付款</w:t>
            </w:r>
            <w:r>
              <w:rPr>
                <w:rFonts w:hint="eastAsia" w:ascii="仿宋" w:hAnsi="仿宋" w:eastAsia="仿宋" w:cs="仿宋"/>
                <w:color w:val="auto"/>
                <w:sz w:val="24"/>
                <w:highlight w:val="none"/>
                <w:lang w:eastAsia="zh-CN"/>
              </w:rPr>
              <w:t>方式</w:t>
            </w:r>
          </w:p>
        </w:tc>
        <w:tc>
          <w:tcPr>
            <w:tcW w:w="1862" w:type="dxa"/>
            <w:tcBorders>
              <w:top w:val="single" w:color="auto" w:sz="4" w:space="0"/>
              <w:left w:val="single" w:color="auto" w:sz="4" w:space="0"/>
              <w:bottom w:val="single" w:color="auto" w:sz="4" w:space="0"/>
              <w:right w:val="single" w:color="auto" w:sz="4" w:space="0"/>
            </w:tcBorders>
            <w:noWrap w:val="0"/>
            <w:vAlign w:val="top"/>
          </w:tcPr>
          <w:p w14:paraId="12D8AE17">
            <w:pPr>
              <w:snapToGrid w:val="0"/>
              <w:spacing w:before="156" w:beforeLines="50"/>
              <w:rPr>
                <w:rFonts w:hint="eastAsia" w:ascii="仿宋" w:hAnsi="仿宋" w:eastAsia="仿宋" w:cs="仿宋"/>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top"/>
          </w:tcPr>
          <w:p w14:paraId="4748AE97">
            <w:pPr>
              <w:snapToGrid w:val="0"/>
              <w:spacing w:before="156" w:beforeLines="50"/>
              <w:rPr>
                <w:rFonts w:hint="eastAsia" w:ascii="仿宋" w:hAnsi="仿宋" w:eastAsia="仿宋" w:cs="仿宋"/>
                <w:color w:val="auto"/>
                <w:sz w:val="24"/>
                <w:szCs w:val="20"/>
                <w:highlight w:val="none"/>
              </w:rPr>
            </w:pPr>
          </w:p>
        </w:tc>
        <w:tc>
          <w:tcPr>
            <w:tcW w:w="3102" w:type="dxa"/>
            <w:tcBorders>
              <w:top w:val="single" w:color="auto" w:sz="4" w:space="0"/>
              <w:left w:val="single" w:color="auto" w:sz="4" w:space="0"/>
              <w:bottom w:val="single" w:color="auto" w:sz="4" w:space="0"/>
              <w:right w:val="single" w:color="auto" w:sz="4" w:space="0"/>
            </w:tcBorders>
            <w:noWrap w:val="0"/>
            <w:vAlign w:val="top"/>
          </w:tcPr>
          <w:p w14:paraId="0D9F37EA">
            <w:pPr>
              <w:snapToGrid w:val="0"/>
              <w:spacing w:before="156" w:beforeLines="50"/>
              <w:rPr>
                <w:rFonts w:hint="eastAsia" w:ascii="仿宋" w:hAnsi="仿宋" w:eastAsia="仿宋" w:cs="仿宋"/>
                <w:color w:val="auto"/>
                <w:sz w:val="24"/>
                <w:szCs w:val="20"/>
                <w:highlight w:val="none"/>
              </w:rPr>
            </w:pPr>
          </w:p>
        </w:tc>
      </w:tr>
      <w:tr w14:paraId="3735C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2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5BCD4">
            <w:pPr>
              <w:snapToGrid w:val="0"/>
              <w:spacing w:before="156" w:beforeLine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w:t>
            </w:r>
          </w:p>
        </w:tc>
        <w:tc>
          <w:tcPr>
            <w:tcW w:w="1862" w:type="dxa"/>
            <w:tcBorders>
              <w:top w:val="single" w:color="auto" w:sz="4" w:space="0"/>
              <w:left w:val="single" w:color="auto" w:sz="4" w:space="0"/>
              <w:bottom w:val="single" w:color="auto" w:sz="4" w:space="0"/>
              <w:right w:val="single" w:color="auto" w:sz="4" w:space="0"/>
            </w:tcBorders>
            <w:noWrap w:val="0"/>
            <w:vAlign w:val="top"/>
          </w:tcPr>
          <w:p w14:paraId="426EC7C1">
            <w:pPr>
              <w:snapToGrid w:val="0"/>
              <w:spacing w:before="156" w:beforeLines="50"/>
              <w:rPr>
                <w:rFonts w:hint="eastAsia" w:ascii="仿宋" w:hAnsi="仿宋" w:eastAsia="仿宋" w:cs="仿宋"/>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top"/>
          </w:tcPr>
          <w:p w14:paraId="0CE6DE9F">
            <w:pPr>
              <w:snapToGrid w:val="0"/>
              <w:spacing w:before="156" w:beforeLines="50"/>
              <w:rPr>
                <w:rFonts w:hint="eastAsia" w:ascii="仿宋" w:hAnsi="仿宋" w:eastAsia="仿宋" w:cs="仿宋"/>
                <w:color w:val="auto"/>
                <w:sz w:val="24"/>
                <w:szCs w:val="20"/>
                <w:highlight w:val="none"/>
              </w:rPr>
            </w:pPr>
          </w:p>
        </w:tc>
        <w:tc>
          <w:tcPr>
            <w:tcW w:w="3102" w:type="dxa"/>
            <w:tcBorders>
              <w:top w:val="single" w:color="auto" w:sz="4" w:space="0"/>
              <w:left w:val="single" w:color="auto" w:sz="4" w:space="0"/>
              <w:bottom w:val="single" w:color="auto" w:sz="4" w:space="0"/>
              <w:right w:val="single" w:color="auto" w:sz="4" w:space="0"/>
            </w:tcBorders>
            <w:noWrap w:val="0"/>
            <w:vAlign w:val="top"/>
          </w:tcPr>
          <w:p w14:paraId="53CA0726">
            <w:pPr>
              <w:snapToGrid w:val="0"/>
              <w:spacing w:before="156" w:beforeLines="50"/>
              <w:rPr>
                <w:rFonts w:hint="eastAsia" w:ascii="仿宋" w:hAnsi="仿宋" w:eastAsia="仿宋" w:cs="仿宋"/>
                <w:color w:val="auto"/>
                <w:sz w:val="24"/>
                <w:szCs w:val="20"/>
                <w:highlight w:val="none"/>
              </w:rPr>
            </w:pPr>
          </w:p>
        </w:tc>
      </w:tr>
      <w:tr w14:paraId="46EE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2500" w:type="dxa"/>
            <w:tcBorders>
              <w:top w:val="single" w:color="auto" w:sz="4" w:space="0"/>
              <w:left w:val="single" w:color="auto" w:sz="4" w:space="0"/>
              <w:bottom w:val="single" w:color="auto" w:sz="4" w:space="0"/>
              <w:right w:val="single" w:color="auto" w:sz="4" w:space="0"/>
            </w:tcBorders>
            <w:noWrap w:val="0"/>
            <w:vAlign w:val="center"/>
          </w:tcPr>
          <w:p w14:paraId="7F6CAE5B">
            <w:pPr>
              <w:snapToGrid w:val="0"/>
              <w:spacing w:before="156" w:beforeLines="50"/>
              <w:rPr>
                <w:rFonts w:hint="eastAsia" w:ascii="仿宋" w:hAnsi="仿宋" w:eastAsia="仿宋" w:cs="仿宋"/>
                <w:color w:val="auto"/>
                <w:sz w:val="24"/>
                <w:szCs w:val="20"/>
                <w:highlight w:val="none"/>
              </w:rPr>
            </w:pPr>
          </w:p>
        </w:tc>
        <w:tc>
          <w:tcPr>
            <w:tcW w:w="1862" w:type="dxa"/>
            <w:tcBorders>
              <w:top w:val="single" w:color="auto" w:sz="4" w:space="0"/>
              <w:left w:val="single" w:color="auto" w:sz="4" w:space="0"/>
              <w:bottom w:val="single" w:color="auto" w:sz="4" w:space="0"/>
              <w:right w:val="single" w:color="auto" w:sz="4" w:space="0"/>
            </w:tcBorders>
            <w:noWrap w:val="0"/>
            <w:vAlign w:val="top"/>
          </w:tcPr>
          <w:p w14:paraId="20CEF073">
            <w:pPr>
              <w:snapToGrid w:val="0"/>
              <w:spacing w:before="156" w:beforeLines="50"/>
              <w:rPr>
                <w:rFonts w:hint="eastAsia" w:ascii="仿宋" w:hAnsi="仿宋" w:eastAsia="仿宋" w:cs="仿宋"/>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top"/>
          </w:tcPr>
          <w:p w14:paraId="6C1498DC">
            <w:pPr>
              <w:snapToGrid w:val="0"/>
              <w:spacing w:before="156" w:beforeLines="50"/>
              <w:rPr>
                <w:rFonts w:hint="eastAsia" w:ascii="仿宋" w:hAnsi="仿宋" w:eastAsia="仿宋" w:cs="仿宋"/>
                <w:color w:val="auto"/>
                <w:sz w:val="24"/>
                <w:szCs w:val="20"/>
                <w:highlight w:val="none"/>
              </w:rPr>
            </w:pPr>
          </w:p>
        </w:tc>
        <w:tc>
          <w:tcPr>
            <w:tcW w:w="3102" w:type="dxa"/>
            <w:tcBorders>
              <w:top w:val="single" w:color="auto" w:sz="4" w:space="0"/>
              <w:left w:val="single" w:color="auto" w:sz="4" w:space="0"/>
              <w:bottom w:val="single" w:color="auto" w:sz="4" w:space="0"/>
              <w:right w:val="single" w:color="auto" w:sz="4" w:space="0"/>
            </w:tcBorders>
            <w:noWrap w:val="0"/>
            <w:vAlign w:val="top"/>
          </w:tcPr>
          <w:p w14:paraId="5B6F54AE">
            <w:pPr>
              <w:snapToGrid w:val="0"/>
              <w:spacing w:before="156" w:beforeLines="50"/>
              <w:rPr>
                <w:rFonts w:hint="eastAsia" w:ascii="仿宋" w:hAnsi="仿宋" w:eastAsia="仿宋" w:cs="仿宋"/>
                <w:color w:val="auto"/>
                <w:sz w:val="24"/>
                <w:szCs w:val="20"/>
                <w:highlight w:val="none"/>
              </w:rPr>
            </w:pPr>
          </w:p>
        </w:tc>
      </w:tr>
    </w:tbl>
    <w:p w14:paraId="09D0404D">
      <w:pPr>
        <w:snapToGrid w:val="0"/>
        <w:spacing w:before="50" w:after="50"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注：此表在不改变表式的情况下可自行制作。</w:t>
      </w:r>
    </w:p>
    <w:p w14:paraId="7C13706A">
      <w:pPr>
        <w:pStyle w:val="2"/>
        <w:rPr>
          <w:rFonts w:hint="eastAsia" w:ascii="仿宋" w:hAnsi="仿宋" w:eastAsia="仿宋" w:cs="仿宋"/>
          <w:color w:val="auto"/>
          <w:highlight w:val="none"/>
        </w:rPr>
      </w:pPr>
    </w:p>
    <w:p w14:paraId="69BCE54B">
      <w:pPr>
        <w:pStyle w:val="2"/>
        <w:rPr>
          <w:rFonts w:hint="eastAsia" w:ascii="仿宋" w:hAnsi="仿宋" w:eastAsia="仿宋" w:cs="仿宋"/>
          <w:color w:val="auto"/>
          <w:highlight w:val="none"/>
        </w:rPr>
      </w:pPr>
    </w:p>
    <w:p w14:paraId="3DA2D75A">
      <w:pPr>
        <w:snapToGrid w:val="0"/>
        <w:spacing w:before="50" w:after="50"/>
        <w:rPr>
          <w:rFonts w:hint="eastAsia" w:ascii="仿宋" w:hAnsi="仿宋" w:eastAsia="仿宋" w:cs="仿宋"/>
          <w:color w:val="auto"/>
          <w:spacing w:val="20"/>
          <w:sz w:val="24"/>
          <w:highlight w:val="none"/>
        </w:rPr>
      </w:pPr>
    </w:p>
    <w:p w14:paraId="40AE5F81">
      <w:pPr>
        <w:spacing w:before="157" w:beforeLines="50" w:line="360" w:lineRule="auto"/>
        <w:ind w:firstLine="3600" w:firstLineChars="1500"/>
        <w:rPr>
          <w:rFonts w:hint="eastAsia" w:ascii="仿宋" w:hAnsi="仿宋" w:eastAsia="仿宋" w:cs="仿宋"/>
          <w:color w:val="auto"/>
          <w:sz w:val="24"/>
          <w:highlight w:val="none"/>
        </w:rPr>
      </w:pPr>
    </w:p>
    <w:p w14:paraId="71277914">
      <w:pPr>
        <w:spacing w:before="157" w:beforeLines="50" w:line="360" w:lineRule="auto"/>
        <w:ind w:firstLine="3600" w:firstLineChars="1500"/>
        <w:rPr>
          <w:rFonts w:hint="eastAsia" w:ascii="仿宋" w:hAnsi="仿宋" w:eastAsia="仿宋" w:cs="仿宋"/>
          <w:color w:val="auto"/>
          <w:sz w:val="24"/>
          <w:highlight w:val="none"/>
        </w:rPr>
      </w:pPr>
    </w:p>
    <w:p w14:paraId="23F143B5">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21C5F664">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211B77C5">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5AB9DEB">
      <w:pPr>
        <w:spacing w:line="300" w:lineRule="auto"/>
        <w:ind w:firstLine="4410" w:firstLineChars="210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472"/>
      <w:bookmarkEnd w:id="473"/>
      <w:bookmarkEnd w:id="475"/>
      <w:bookmarkEnd w:id="476"/>
      <w:bookmarkStart w:id="477" w:name="_Toc11210"/>
      <w:bookmarkStart w:id="478" w:name="_Toc32227_WPSOffice_Level2"/>
      <w:bookmarkStart w:id="479" w:name="_Toc30000"/>
      <w:bookmarkStart w:id="480" w:name="_Toc19040"/>
      <w:bookmarkStart w:id="481" w:name="_Toc31748"/>
      <w:bookmarkStart w:id="482" w:name="_Toc13293"/>
      <w:bookmarkStart w:id="483" w:name="_Toc18061"/>
    </w:p>
    <w:p w14:paraId="5E43D9ED">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b/>
          <w:bCs/>
          <w:color w:val="auto"/>
          <w:kern w:val="28"/>
          <w:sz w:val="28"/>
          <w:szCs w:val="32"/>
          <w:highlight w:val="none"/>
          <w:lang w:val="en-US" w:eastAsia="zh-CN" w:bidi="ar-SA"/>
        </w:rPr>
      </w:pPr>
      <w:r>
        <w:rPr>
          <w:rFonts w:hint="eastAsia" w:ascii="仿宋" w:hAnsi="仿宋" w:eastAsia="仿宋" w:cs="仿宋"/>
          <w:b/>
          <w:bCs/>
          <w:color w:val="auto"/>
          <w:kern w:val="28"/>
          <w:sz w:val="28"/>
          <w:szCs w:val="32"/>
          <w:highlight w:val="none"/>
          <w:lang w:val="en-US" w:eastAsia="zh-CN" w:bidi="ar-SA"/>
        </w:rPr>
        <w:t>（8）投标人认为需提交的其他文件和说明</w:t>
      </w:r>
      <w:bookmarkEnd w:id="477"/>
    </w:p>
    <w:bookmarkEnd w:id="478"/>
    <w:bookmarkEnd w:id="479"/>
    <w:bookmarkEnd w:id="480"/>
    <w:bookmarkEnd w:id="481"/>
    <w:bookmarkEnd w:id="482"/>
    <w:bookmarkEnd w:id="483"/>
    <w:p w14:paraId="5D92FCF2">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1"/>
        <w:rPr>
          <w:rFonts w:hint="eastAsia" w:ascii="仿宋" w:hAnsi="仿宋" w:eastAsia="仿宋" w:cs="仿宋"/>
          <w:b/>
          <w:bCs/>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highlight w:val="none"/>
        </w:rPr>
        <w:t>三、报价文件：</w:t>
      </w:r>
    </w:p>
    <w:p w14:paraId="200DA91B">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b/>
          <w:bCs/>
          <w:color w:val="auto"/>
          <w:kern w:val="28"/>
          <w:sz w:val="28"/>
          <w:szCs w:val="32"/>
          <w:highlight w:val="none"/>
          <w:lang w:val="en-US" w:eastAsia="zh-CN" w:bidi="ar-SA"/>
        </w:rPr>
      </w:pPr>
      <w:r>
        <w:rPr>
          <w:rFonts w:hint="eastAsia" w:ascii="仿宋" w:hAnsi="仿宋" w:eastAsia="仿宋" w:cs="仿宋"/>
          <w:b/>
          <w:bCs/>
          <w:color w:val="auto"/>
          <w:kern w:val="28"/>
          <w:sz w:val="28"/>
          <w:szCs w:val="32"/>
          <w:highlight w:val="none"/>
          <w:lang w:val="en-US" w:eastAsia="zh-CN" w:bidi="ar-SA"/>
        </w:rPr>
        <w:t>（1）投标函</w:t>
      </w:r>
    </w:p>
    <w:p w14:paraId="31BEE031">
      <w:pPr>
        <w:spacing w:line="360" w:lineRule="auto"/>
        <w:rPr>
          <w:rFonts w:hint="eastAsia" w:ascii="仿宋" w:hAnsi="仿宋" w:eastAsia="仿宋" w:cs="仿宋"/>
          <w:color w:val="auto"/>
          <w:sz w:val="24"/>
          <w:highlight w:val="none"/>
        </w:rPr>
      </w:pPr>
    </w:p>
    <w:p w14:paraId="1095BCF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 </w:t>
      </w:r>
    </w:p>
    <w:p w14:paraId="5352868B">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的招标采购文件，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（投标人）正式授权的（姓名）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，提交招标采购文件要求的全套投标文件，同时承诺如下：</w:t>
      </w:r>
    </w:p>
    <w:p w14:paraId="796CE831">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（一）我方已详细审核并确认全部招标采购文件，包括修改文件（如有）及有关附件。</w:t>
      </w:r>
    </w:p>
    <w:p w14:paraId="46E0E1C7">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二）一旦我方中标，我方将按照投标文件中的承诺组建项目团队人员，由投标文件所承诺的人员完成本项目的全部工作，保证在未征得采购人同意的前提下不变更主要人员，保证按承诺的工期完成并提供相应的服务。</w:t>
      </w:r>
    </w:p>
    <w:p w14:paraId="33FF6811">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（三）我方同意所提交的投标文件在招标采购文件的投标须知中规定的投标有效期限内有效，在此期间内如果中标，我方将受此约束。</w:t>
      </w:r>
    </w:p>
    <w:p w14:paraId="10BD54D5">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（四）除非另外达成协议并生效，贵方的中标通知书和本投标文件将成为约束双方的合同文件的组成部分。</w:t>
      </w:r>
    </w:p>
    <w:p w14:paraId="2B1B0FA9">
      <w:pPr>
        <w:spacing w:before="156"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（五）其他补充说明：（补充说明事项）与本投标有关的一切正式往来以书面形式为准。</w:t>
      </w:r>
    </w:p>
    <w:p w14:paraId="1DDCB1C2">
      <w:pPr>
        <w:spacing w:before="157" w:beforeLines="50" w:line="360" w:lineRule="auto"/>
        <w:ind w:firstLine="3600" w:firstLineChars="1500"/>
        <w:rPr>
          <w:rFonts w:hint="eastAsia" w:ascii="仿宋" w:hAnsi="仿宋" w:eastAsia="仿宋" w:cs="仿宋"/>
          <w:color w:val="auto"/>
          <w:sz w:val="24"/>
          <w:highlight w:val="none"/>
        </w:rPr>
      </w:pPr>
    </w:p>
    <w:p w14:paraId="6DC0F4BC">
      <w:pPr>
        <w:spacing w:before="157" w:beforeLines="50" w:line="360" w:lineRule="auto"/>
        <w:ind w:firstLine="3600" w:firstLineChars="1500"/>
        <w:rPr>
          <w:rFonts w:hint="eastAsia" w:ascii="仿宋" w:hAnsi="仿宋" w:eastAsia="仿宋" w:cs="仿宋"/>
          <w:color w:val="auto"/>
          <w:sz w:val="24"/>
          <w:highlight w:val="none"/>
        </w:rPr>
      </w:pPr>
    </w:p>
    <w:p w14:paraId="71B433BE">
      <w:pPr>
        <w:spacing w:before="157" w:beforeLines="50" w:line="360" w:lineRule="auto"/>
        <w:ind w:firstLine="3600" w:firstLineChars="1500"/>
        <w:rPr>
          <w:rFonts w:hint="eastAsia" w:ascii="仿宋" w:hAnsi="仿宋" w:eastAsia="仿宋" w:cs="仿宋"/>
          <w:color w:val="auto"/>
          <w:sz w:val="24"/>
          <w:highlight w:val="none"/>
        </w:rPr>
      </w:pPr>
    </w:p>
    <w:p w14:paraId="21471236">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4A108A35">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67109885">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0F678684">
      <w:pPr>
        <w:pStyle w:val="3"/>
        <w:rPr>
          <w:rFonts w:hint="eastAsia" w:ascii="仿宋" w:hAnsi="仿宋" w:eastAsia="仿宋" w:cs="仿宋"/>
          <w:color w:val="auto"/>
          <w:sz w:val="24"/>
          <w:highlight w:val="none"/>
          <w:u w:val="single"/>
        </w:rPr>
      </w:pPr>
    </w:p>
    <w:p w14:paraId="50E3B35D">
      <w:pPr>
        <w:rPr>
          <w:rFonts w:hint="eastAsia" w:ascii="仿宋" w:hAnsi="仿宋" w:eastAsia="仿宋" w:cs="仿宋"/>
          <w:color w:val="auto"/>
          <w:highlight w:val="none"/>
        </w:rPr>
        <w:sectPr>
          <w:headerReference r:id="rId17" w:type="default"/>
          <w:footerReference r:id="rId18" w:type="default"/>
          <w:pgSz w:w="11906" w:h="16838"/>
          <w:pgMar w:top="1020" w:right="1474" w:bottom="1020" w:left="1474" w:header="851" w:footer="992" w:gutter="0"/>
          <w:pgNumType w:fmt="decimal"/>
          <w:cols w:space="720" w:num="1"/>
          <w:docGrid w:type="lines" w:linePitch="312" w:charSpace="0"/>
        </w:sectPr>
      </w:pPr>
    </w:p>
    <w:p w14:paraId="47BCA219">
      <w:pPr>
        <w:pStyle w:val="6"/>
        <w:keepNext/>
        <w:keepLines/>
        <w:pageBreakBefore w:val="0"/>
        <w:widowControl w:val="0"/>
        <w:kinsoku/>
        <w:wordWrap/>
        <w:overflowPunct/>
        <w:topLinePunct w:val="0"/>
        <w:autoSpaceDE/>
        <w:autoSpaceDN/>
        <w:bidi w:val="0"/>
        <w:adjustRightInd w:val="0"/>
        <w:snapToGrid w:val="0"/>
        <w:jc w:val="center"/>
        <w:textAlignment w:val="auto"/>
        <w:outlineLvl w:val="2"/>
        <w:rPr>
          <w:rFonts w:hint="eastAsia" w:ascii="仿宋" w:hAnsi="仿宋" w:eastAsia="仿宋" w:cs="仿宋"/>
          <w:b/>
          <w:bCs/>
          <w:color w:val="auto"/>
          <w:kern w:val="28"/>
          <w:sz w:val="28"/>
          <w:szCs w:val="32"/>
          <w:highlight w:val="none"/>
          <w:lang w:val="en-US" w:eastAsia="zh-CN" w:bidi="ar-SA"/>
        </w:rPr>
      </w:pPr>
      <w:r>
        <w:rPr>
          <w:rFonts w:hint="eastAsia" w:ascii="仿宋" w:hAnsi="仿宋" w:eastAsia="仿宋" w:cs="仿宋"/>
          <w:b/>
          <w:bCs/>
          <w:color w:val="auto"/>
          <w:kern w:val="28"/>
          <w:sz w:val="28"/>
          <w:szCs w:val="32"/>
          <w:highlight w:val="none"/>
          <w:lang w:val="en-US" w:eastAsia="zh-CN" w:bidi="ar-SA"/>
        </w:rPr>
        <w:t>（2）报价一览表</w:t>
      </w:r>
    </w:p>
    <w:p w14:paraId="077010C3">
      <w:pPr>
        <w:pStyle w:val="42"/>
        <w:jc w:val="right"/>
        <w:rPr>
          <w:rFonts w:hint="eastAsia"/>
        </w:rPr>
      </w:pPr>
    </w:p>
    <w:tbl>
      <w:tblPr>
        <w:tblStyle w:val="33"/>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7"/>
        <w:gridCol w:w="5869"/>
      </w:tblGrid>
      <w:tr w14:paraId="0260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exact"/>
          <w:jc w:val="center"/>
        </w:trPr>
        <w:tc>
          <w:tcPr>
            <w:tcW w:w="2527" w:type="dxa"/>
            <w:vAlign w:val="center"/>
          </w:tcPr>
          <w:p w14:paraId="4B4CBDC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5869" w:type="dxa"/>
            <w:vAlign w:val="center"/>
          </w:tcPr>
          <w:p w14:paraId="1D259A0F">
            <w:pPr>
              <w:jc w:val="center"/>
              <w:rPr>
                <w:rFonts w:hint="eastAsia" w:ascii="仿宋" w:hAnsi="仿宋" w:eastAsia="仿宋" w:cs="仿宋"/>
                <w:color w:val="auto"/>
                <w:sz w:val="28"/>
                <w:szCs w:val="28"/>
                <w:highlight w:val="none"/>
              </w:rPr>
            </w:pPr>
          </w:p>
        </w:tc>
      </w:tr>
      <w:tr w14:paraId="6433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exact"/>
          <w:jc w:val="center"/>
        </w:trPr>
        <w:tc>
          <w:tcPr>
            <w:tcW w:w="2527" w:type="dxa"/>
            <w:vAlign w:val="center"/>
          </w:tcPr>
          <w:p w14:paraId="6E992E2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5869" w:type="dxa"/>
            <w:vAlign w:val="center"/>
          </w:tcPr>
          <w:p w14:paraId="4E845013">
            <w:pPr>
              <w:jc w:val="center"/>
              <w:rPr>
                <w:rFonts w:hint="eastAsia" w:ascii="仿宋" w:hAnsi="仿宋" w:eastAsia="仿宋" w:cs="仿宋"/>
                <w:color w:val="auto"/>
                <w:sz w:val="28"/>
                <w:szCs w:val="28"/>
                <w:highlight w:val="none"/>
              </w:rPr>
            </w:pPr>
          </w:p>
        </w:tc>
      </w:tr>
      <w:tr w14:paraId="0EF2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9" w:hRule="exact"/>
          <w:jc w:val="center"/>
        </w:trPr>
        <w:tc>
          <w:tcPr>
            <w:tcW w:w="2527" w:type="dxa"/>
            <w:vAlign w:val="center"/>
          </w:tcPr>
          <w:p w14:paraId="689C4CE3">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报价</w:t>
            </w:r>
          </w:p>
        </w:tc>
        <w:tc>
          <w:tcPr>
            <w:tcW w:w="5869" w:type="dxa"/>
            <w:vAlign w:val="center"/>
          </w:tcPr>
          <w:p w14:paraId="270D88D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2D472CD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p>
        </w:tc>
      </w:tr>
      <w:tr w14:paraId="6164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exact"/>
          <w:jc w:val="center"/>
        </w:trPr>
        <w:tc>
          <w:tcPr>
            <w:tcW w:w="2527" w:type="dxa"/>
            <w:vAlign w:val="center"/>
          </w:tcPr>
          <w:p w14:paraId="0A359276">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项目工期</w:t>
            </w:r>
          </w:p>
        </w:tc>
        <w:tc>
          <w:tcPr>
            <w:tcW w:w="5869" w:type="dxa"/>
            <w:vAlign w:val="center"/>
          </w:tcPr>
          <w:p w14:paraId="7714C445">
            <w:pPr>
              <w:jc w:val="center"/>
              <w:rPr>
                <w:rFonts w:hint="eastAsia" w:ascii="仿宋" w:hAnsi="仿宋" w:eastAsia="仿宋" w:cs="仿宋"/>
                <w:color w:val="auto"/>
                <w:sz w:val="28"/>
                <w:szCs w:val="28"/>
                <w:highlight w:val="none"/>
              </w:rPr>
            </w:pPr>
          </w:p>
        </w:tc>
      </w:tr>
      <w:tr w14:paraId="6E95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exact"/>
          <w:jc w:val="center"/>
        </w:trPr>
        <w:tc>
          <w:tcPr>
            <w:tcW w:w="2527" w:type="dxa"/>
            <w:vAlign w:val="center"/>
          </w:tcPr>
          <w:p w14:paraId="24C37FB0">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免费服务期</w:t>
            </w:r>
          </w:p>
        </w:tc>
        <w:tc>
          <w:tcPr>
            <w:tcW w:w="5869" w:type="dxa"/>
            <w:vAlign w:val="center"/>
          </w:tcPr>
          <w:p w14:paraId="000C4ED6">
            <w:pPr>
              <w:jc w:val="center"/>
              <w:rPr>
                <w:rFonts w:hint="eastAsia" w:ascii="仿宋" w:hAnsi="仿宋" w:eastAsia="仿宋" w:cs="仿宋"/>
                <w:color w:val="auto"/>
                <w:sz w:val="28"/>
                <w:szCs w:val="28"/>
                <w:highlight w:val="none"/>
              </w:rPr>
            </w:pPr>
          </w:p>
        </w:tc>
      </w:tr>
      <w:tr w14:paraId="3519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2527" w:type="dxa"/>
            <w:vAlign w:val="center"/>
          </w:tcPr>
          <w:p w14:paraId="01E80E6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c>
          <w:tcPr>
            <w:tcW w:w="5869" w:type="dxa"/>
            <w:vAlign w:val="center"/>
          </w:tcPr>
          <w:p w14:paraId="13ABEFF8">
            <w:pPr>
              <w:jc w:val="center"/>
              <w:rPr>
                <w:rFonts w:hint="eastAsia" w:ascii="仿宋" w:hAnsi="仿宋" w:eastAsia="仿宋" w:cs="仿宋"/>
                <w:color w:val="auto"/>
                <w:sz w:val="28"/>
                <w:szCs w:val="28"/>
                <w:highlight w:val="none"/>
              </w:rPr>
            </w:pPr>
          </w:p>
        </w:tc>
      </w:tr>
    </w:tbl>
    <w:p w14:paraId="0584E1AC">
      <w:pPr>
        <w:snapToGrid w:val="0"/>
        <w:spacing w:before="50" w:after="50"/>
        <w:ind w:left="88" w:leftChars="42" w:right="-817" w:rightChars="-389" w:firstLine="9201" w:firstLineChars="3834"/>
        <w:rPr>
          <w:rFonts w:hint="eastAsia" w:ascii="仿宋" w:hAnsi="仿宋" w:eastAsia="仿宋" w:cs="仿宋"/>
          <w:color w:val="auto"/>
          <w:sz w:val="24"/>
          <w:highlight w:val="none"/>
        </w:rPr>
      </w:pPr>
    </w:p>
    <w:p w14:paraId="7250F9C2">
      <w:pPr>
        <w:spacing w:before="157" w:beforeLines="50" w:line="360" w:lineRule="auto"/>
        <w:ind w:firstLine="4080" w:firstLineChars="1700"/>
        <w:rPr>
          <w:rFonts w:hint="eastAsia" w:ascii="仿宋" w:hAnsi="仿宋" w:eastAsia="仿宋" w:cs="仿宋"/>
          <w:color w:val="auto"/>
          <w:sz w:val="24"/>
          <w:highlight w:val="none"/>
        </w:rPr>
      </w:pPr>
    </w:p>
    <w:p w14:paraId="2068004D">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（盖章）</w:t>
      </w:r>
    </w:p>
    <w:p w14:paraId="257209DF">
      <w:pPr>
        <w:spacing w:before="157" w:beforeLines="50" w:line="360" w:lineRule="auto"/>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（签字或盖章）</w:t>
      </w:r>
    </w:p>
    <w:p w14:paraId="16F11489">
      <w:pPr>
        <w:spacing w:before="157" w:beforeLines="50"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0AEE4728">
      <w:pPr>
        <w:pStyle w:val="25"/>
        <w:rPr>
          <w:rFonts w:hint="eastAsia" w:ascii="仿宋" w:hAnsi="仿宋" w:eastAsia="仿宋" w:cs="仿宋"/>
          <w:color w:val="auto"/>
          <w:sz w:val="24"/>
          <w:highlight w:val="none"/>
        </w:rPr>
      </w:pPr>
    </w:p>
    <w:p w14:paraId="2746EE1C">
      <w:pPr>
        <w:rPr>
          <w:rFonts w:hint="eastAsia" w:ascii="仿宋" w:hAnsi="仿宋" w:eastAsia="仿宋" w:cs="仿宋"/>
          <w:color w:val="auto"/>
          <w:sz w:val="24"/>
          <w:highlight w:val="none"/>
        </w:rPr>
      </w:pPr>
    </w:p>
    <w:p w14:paraId="0CB65FA4">
      <w:pPr>
        <w:pStyle w:val="25"/>
        <w:rPr>
          <w:rFonts w:hint="eastAsia" w:ascii="仿宋" w:hAnsi="仿宋" w:eastAsia="仿宋" w:cs="仿宋"/>
          <w:color w:val="auto"/>
          <w:sz w:val="24"/>
          <w:highlight w:val="none"/>
        </w:rPr>
      </w:pPr>
    </w:p>
    <w:p w14:paraId="4B5DE4FC">
      <w:pPr>
        <w:rPr>
          <w:rFonts w:hint="eastAsia"/>
        </w:rPr>
      </w:pPr>
    </w:p>
    <w:p w14:paraId="053D87E6">
      <w:pPr>
        <w:pStyle w:val="42"/>
        <w:rPr>
          <w:rFonts w:hint="eastAsia" w:ascii="仿宋" w:hAnsi="仿宋" w:eastAsia="仿宋" w:cs="仿宋"/>
          <w:color w:val="auto"/>
          <w:highlight w:val="none"/>
        </w:rPr>
      </w:pPr>
    </w:p>
    <w:p w14:paraId="267E5171">
      <w:pPr>
        <w:autoSpaceDE w:val="0"/>
        <w:autoSpaceDN w:val="0"/>
        <w:adjustRightInd w:val="0"/>
        <w:spacing w:line="4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注：1.请在最高限价范围内作合理报价；</w:t>
      </w:r>
    </w:p>
    <w:p w14:paraId="6B409B11">
      <w:pPr>
        <w:autoSpaceDE w:val="0"/>
        <w:autoSpaceDN w:val="0"/>
        <w:adjustRightInd w:val="0"/>
        <w:spacing w:line="460" w:lineRule="exact"/>
        <w:ind w:left="834" w:leftChars="225" w:hanging="361" w:hanging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2.投标报价为投标人对此项目的最终报价，包含一切税费及相关费用；</w:t>
      </w:r>
    </w:p>
    <w:p w14:paraId="2A4C8E19">
      <w:pPr>
        <w:autoSpaceDE w:val="0"/>
        <w:autoSpaceDN w:val="0"/>
        <w:adjustRightInd w:val="0"/>
        <w:spacing w:line="460" w:lineRule="exact"/>
        <w:ind w:left="955" w:leftChars="225" w:hanging="482" w:hanging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3.小写与大写不一致的，以大写为准；</w:t>
      </w:r>
    </w:p>
    <w:p w14:paraId="0D10451D">
      <w:pPr>
        <w:autoSpaceDE w:val="0"/>
        <w:autoSpaceDN w:val="0"/>
        <w:adjustRightInd w:val="0"/>
        <w:spacing w:line="460" w:lineRule="exact"/>
        <w:ind w:left="955" w:leftChars="225" w:hanging="482" w:hangingChars="200"/>
        <w:rPr>
          <w:rFonts w:hint="eastAsia" w:ascii="仿宋" w:hAnsi="仿宋" w:eastAsia="仿宋" w:cs="仿宋"/>
          <w:b/>
          <w:color w:val="auto"/>
          <w:spacing w:val="20"/>
          <w:position w:val="2"/>
          <w:sz w:val="28"/>
          <w:szCs w:val="28"/>
          <w:highlight w:val="none"/>
        </w:rPr>
      </w:pPr>
      <w:r>
        <w:rPr>
          <w:rFonts w:hint="eastAsia" w:ascii="仿宋" w:hAnsi="仿宋" w:eastAsia="仿宋" w:cs="仿宋"/>
          <w:b/>
          <w:bCs/>
          <w:color w:val="auto"/>
          <w:sz w:val="24"/>
          <w:highlight w:val="none"/>
        </w:rPr>
        <w:t>4.对含糊不清或不确定的报价将视为无效报价。</w:t>
      </w:r>
    </w:p>
    <w:p w14:paraId="781C0C75">
      <w:pPr>
        <w:rPr>
          <w:rFonts w:hint="eastAsia" w:ascii="宋体" w:hAnsi="宋体" w:cs="Arial"/>
          <w:b/>
          <w:bCs/>
          <w:sz w:val="28"/>
          <w:szCs w:val="28"/>
          <w:highlight w:val="none"/>
        </w:rPr>
      </w:pPr>
    </w:p>
    <w:sectPr>
      <w:headerReference r:id="rId19" w:type="default"/>
      <w:footerReference r:id="rId20" w:type="default"/>
      <w:pgSz w:w="11906" w:h="16838"/>
      <w:pgMar w:top="1020" w:right="1474" w:bottom="1020" w:left="1474" w:header="851" w:footer="850"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panose1 w:val="020B0504020202030204"/>
    <w:charset w:val="00"/>
    <w:family w:val="swiss"/>
    <w:pitch w:val="default"/>
    <w:sig w:usb0="00000007" w:usb1="00000000" w:usb2="00000000" w:usb3="00000000" w:csb0="00000093"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062C">
    <w:pPr>
      <w:pStyle w:val="2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278B">
    <w:pPr>
      <w:pStyle w:val="23"/>
      <w:tabs>
        <w:tab w:val="center" w:pos="4479"/>
        <w:tab w:val="clear" w:pos="4153"/>
        <w:tab w:val="clear" w:pos="8306"/>
      </w:tabs>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6A4509">
                          <w:pPr>
                            <w:pStyle w:val="23"/>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oNksMBAACOAwAADgAAAGRycy9lMm9Eb2MueG1srVPNjtMwEL4j8Q6W&#10;79TZakF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T4rjFgZ9/fD///H3+9Y1c&#10;X2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K2g2SwwEAAI4DAAAOAAAAAAAAAAEAIAAAAB4BAABkcnMvZTJvRG9jLnhtbFBL&#10;BQYAAAAABgAGAFkBAABTBQAAAAA=&#10;">
              <v:fill on="f" focussize="0,0"/>
              <v:stroke on="f"/>
              <v:imagedata o:title=""/>
              <o:lock v:ext="edit" aspectratio="f"/>
              <v:textbox inset="0mm,0mm,0mm,0mm" style="mso-fit-shape-to-text:t;">
                <w:txbxContent>
                  <w:p w14:paraId="276A4509">
                    <w:pPr>
                      <w:pStyle w:val="2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FDED">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32B389">
                          <w:pPr>
                            <w:pStyle w:val="23"/>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B7PsMBAACOAwAADgAAAGRycy9lMm9Eb2MueG1srVPNjtMwEL4j8Q6W&#10;79TZC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A0ljlsc+Pnnj/OvP+ff38nL&#10;V1mfPkCNabcBE9Pwzg+4NbMf0JlpDyra/EVCBOOo7umirhwSEfnRarlaVRgSGJsviM/unocI6b30&#10;lmSjoRHHV1Tlx4+QxtQ5JVdz/kYbU0Zo3H8OxMwelnsfe8xWGnbDRGjn2xPy6XHyDXW46JSYDw6F&#10;zUsyG3E2dpORa0B4e0hYuPSTUUeoqRiOqTCaVirvwb/3knX3G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hUHs+wwEAAI4DAAAOAAAAAAAAAAEAIAAAAB4BAABkcnMvZTJvRG9jLnhtbFBL&#10;BQYAAAAABgAGAFkBAABTBQAAAAA=&#10;">
              <v:fill on="f" focussize="0,0"/>
              <v:stroke on="f"/>
              <v:imagedata o:title=""/>
              <o:lock v:ext="edit" aspectratio="f"/>
              <v:textbox inset="0mm,0mm,0mm,0mm" style="mso-fit-shape-to-text:t;">
                <w:txbxContent>
                  <w:p w14:paraId="6132B389">
                    <w:pPr>
                      <w:pStyle w:val="2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94FA">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3725545</wp:posOffset>
              </wp:positionH>
              <wp:positionV relativeFrom="page">
                <wp:posOffset>10023475</wp:posOffset>
              </wp:positionV>
              <wp:extent cx="85725" cy="76200"/>
              <wp:effectExtent l="0" t="0" r="0" b="0"/>
              <wp:wrapNone/>
              <wp:docPr id="60" name="Shape 60"/>
              <wp:cNvGraphicFramePr/>
              <a:graphic xmlns:a="http://schemas.openxmlformats.org/drawingml/2006/main">
                <a:graphicData uri="http://schemas.microsoft.com/office/word/2010/wordprocessingShape">
                  <wps:wsp>
                    <wps:cNvSpPr txBox="1"/>
                    <wps:spPr>
                      <a:xfrm>
                        <a:off x="0" y="0"/>
                        <a:ext cx="85725" cy="76200"/>
                      </a:xfrm>
                      <a:prstGeom prst="rect">
                        <a:avLst/>
                      </a:prstGeom>
                      <a:noFill/>
                      <a:ln>
                        <a:noFill/>
                      </a:ln>
                      <a:effectLst/>
                    </wps:spPr>
                    <wps:txbx>
                      <w:txbxContent>
                        <w:p w14:paraId="53E5DFBD">
                          <w:pPr>
                            <w:pStyle w:val="70"/>
                            <w:jc w:val="left"/>
                          </w:pPr>
                          <w:r>
                            <w:rPr>
                              <w:rFonts w:eastAsia="Times New Roman"/>
                              <w:color w:val="000000"/>
                            </w:rPr>
                            <w:t>33</w:t>
                          </w:r>
                        </w:p>
                      </w:txbxContent>
                    </wps:txbx>
                    <wps:bodyPr wrap="none" lIns="0" tIns="0" rIns="0" bIns="0">
                      <a:spAutoFit/>
                    </wps:bodyPr>
                  </wps:wsp>
                </a:graphicData>
              </a:graphic>
            </wp:anchor>
          </w:drawing>
        </mc:Choice>
        <mc:Fallback>
          <w:pict>
            <v:shape id="Shape 60" o:spid="_x0000_s1026" o:spt="202" type="#_x0000_t202" style="position:absolute;left:0pt;margin-left:293.35pt;margin-top:789.25pt;height:6pt;width:6.75pt;mso-position-horizontal-relative:page;mso-position-vertical-relative:page;mso-wrap-style:none;z-index:-251654144;mso-width-relative:page;mso-height-relative:page;" filled="f" stroked="f" coordsize="21600,21600" o:gfxdata="UEsDBAoAAAAAAIdO4kAAAAAAAAAAAAAAAAAEAAAAZHJzL1BLAwQUAAAACACHTuJAzBkV8dcAAAAN&#10;AQAADwAAAGRycy9kb3ducmV2LnhtbE2PPU/DMBCGdyT+g3VIbNRupXwQ4nSoxMJGQUhsbnyNI+xz&#10;ZLtp8u9xJxjv3kfvPdfuF2fZjCGOniRsNwIYUu/1SIOEz4/XpxpYTIq0sp5QwooR9t39Xasa7a/0&#10;jvMxDSyXUGyUBJPS1HAee4NOxY2fkHJ29sGplMcwcB3UNZc7y3dClNypkfIFoyY8GOx/jhcnoVq+&#10;PE4RD/h9nvtgxrW2b6uUjw9b8QIs4ZL+YLjpZ3XostPJX0hHZiUUdVllNAdFVRfAMlIKsQN2uq2e&#10;RQG8a/n/L7pfUEsDBBQAAAAIAIdO4kDGilHkuAEAAJUDAAAOAAAAZHJzL2Uyb0RvYy54bWytU8Fu&#10;2zAMvQ/YPwi6L04DNC2MOEWLoMOAYRvQ7QMUmY4FSKIgKrHz96NkJ926Sw+7yCRFPfI90puH0Vlx&#10;gkgGfSNvFkspwGtsjT808tfP50/3UlBSvlUWPTTyDCQfth8/bIZQwwp7tC1EwSCe6iE0sk8p1FVF&#10;ugenaIEBPF92GJ1K7MZD1UY1MLqz1Wq5XFcDxjZE1EDE0d10KWfE+B5A7DqjYYf66MCnCTWCVYkp&#10;UW8CyW3ptutAp+9dR5CEbSQzTeXkImzv81ltN6o+RBV6o+cW1HtaeMPJKeO56BVqp5ISx2j+gXJG&#10;RyTs0kKjqyYiRRFmcbN8o81LrwIULiw1havo9P9g9bfTjyhM28g1S+KV44mXsoJ9FmcIVHPOS+Cs&#10;ND7hyCtziRMHM+exiy5/mY3ge8Y5X6WFMQnNwfvbu9WtFJpv7ta8Bhmjen0aIqXPgE5ko5GR51bk&#10;VKevlKbUS0qu5PHZWFtmZ/1fAcacIlCGP7/OLKZus5XG/ThT22N7ZmYDL0AjPe+7FPaLZ33zrlyM&#10;eDH2s5ErUng8Jm6jdJdRJyhmlR2eVuE3b1Zehz/9kvX6N2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wZFfHXAAAADQEAAA8AAAAAAAAAAQAgAAAAIgAAAGRycy9kb3ducmV2LnhtbFBLAQIUABQA&#10;AAAIAIdO4kDGilHkuAEAAJUDAAAOAAAAAAAAAAEAIAAAACYBAABkcnMvZTJvRG9jLnhtbFBLBQYA&#10;AAAABgAGAFkBAABQBQAAAAA=&#10;">
              <v:fill on="f" focussize="0,0"/>
              <v:stroke on="f"/>
              <v:imagedata o:title=""/>
              <o:lock v:ext="edit" aspectratio="f"/>
              <v:textbox inset="0mm,0mm,0mm,0mm" style="mso-fit-shape-to-text:t;">
                <w:txbxContent>
                  <w:p w14:paraId="53E5DFBD">
                    <w:pPr>
                      <w:pStyle w:val="70"/>
                      <w:jc w:val="left"/>
                    </w:pPr>
                    <w:r>
                      <w:rPr>
                        <w:rFonts w:eastAsia="Times New Roman"/>
                        <w:color w:val="000000"/>
                      </w:rPr>
                      <w:t>33</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D820">
    <w:pPr>
      <w:pStyle w:val="23"/>
      <w:ind w:right="720" w:firstLine="180" w:firstLineChars="1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831247">
                          <w:pPr>
                            <w:pStyle w:val="23"/>
                          </w:pPr>
                          <w:r>
                            <w:fldChar w:fldCharType="begin"/>
                          </w:r>
                          <w:r>
                            <w:instrText xml:space="preserve"> PAGE  \* MERGEFORMAT </w:instrText>
                          </w:r>
                          <w:r>
                            <w:fldChar w:fldCharType="separate"/>
                          </w:r>
                          <w:r>
                            <w:t>57</w:t>
                          </w:r>
                          <w:r>
                            <w:fldChar w:fldCharType="end"/>
                          </w:r>
                        </w:p>
                      </w:txbxContent>
                    </wps:txbx>
                    <wps:bodyPr wrap="none" lIns="0" tIns="0" rIns="0" bIns="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6Zcc8MBAACP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koieMWJ37++eP868/593fy&#10;9joL1AeoMe8+YGYa3vkBk2c/oDPzHlS0+YuMCMYR63SRVw6JiPxotVytKgwJjM0XxGcPz0OE9F56&#10;S7LR0IjzK7Ly40dIY+qckqs5f6eNKTM07h8HYmYPy72PPWYrDbthIrTz7Qn59Dj6hjrcdErMB4fK&#10;Yn9pNuJs7CYj14Bwe0hYuPSTUUeoqRjOqTCadiovwuN7yXr4j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7plxzwwEAAI8DAAAOAAAAAAAAAAEAIAAAAB4BAABkcnMvZTJvRG9jLnhtbFBL&#10;BQYAAAAABgAGAFkBAABTBQAAAAA=&#10;">
              <v:fill on="f" focussize="0,0"/>
              <v:stroke on="f"/>
              <v:imagedata o:title=""/>
              <o:lock v:ext="edit" aspectratio="f"/>
              <v:textbox inset="0mm,0mm,0mm,0mm" style="mso-fit-shape-to-text:t;">
                <w:txbxContent>
                  <w:p w14:paraId="67831247">
                    <w:pPr>
                      <w:pStyle w:val="2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73A5">
    <w:pPr>
      <w:pStyle w:val="23"/>
      <w:ind w:right="720" w:firstLine="180" w:firstLineChars="1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78DEBC">
                          <w:pPr>
                            <w:pStyle w:val="2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gpDcIBAACP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CUljluc+OX7t8uPX5efX8nL&#10;11mgPkCNeXcBM9Pw1g+YPPsBnZn3oKLNX2REMI7ynq/yyiERkR+tV+t1hSGBsfmC+OzheYiQ3klv&#10;STYaGnF+RVZ++gBpTJ1TcjXnb7UxZYbG/eVAzOxhufexx2ylYT9MhPa+PSOfHkffUIebTol571DZ&#10;vCWzEWdjPxm5BoQ3x4SFSz8ZdYSaiuGcCqNpp/Ii/HkvWQ//0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CIKQ3CAQAAjwMAAA4AAAAAAAAAAQAgAAAAHgEAAGRycy9lMm9Eb2MueG1sUEsF&#10;BgAAAAAGAAYAWQEAAFIFAAAAAA==&#10;">
              <v:fill on="f" focussize="0,0"/>
              <v:stroke on="f"/>
              <v:imagedata o:title=""/>
              <o:lock v:ext="edit" aspectratio="f"/>
              <v:textbox inset="0mm,0mm,0mm,0mm" style="mso-fit-shape-to-text:t;">
                <w:txbxContent>
                  <w:p w14:paraId="6E78DEBC">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0F1F">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A112">
    <w:pPr>
      <w:pStyle w:val="23"/>
      <w:tabs>
        <w:tab w:val="center" w:pos="4479"/>
        <w:tab w:val="clear" w:pos="4153"/>
        <w:tab w:val="clear" w:pos="8306"/>
      </w:tabs>
      <w:ind w:right="360"/>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D5EA">
    <w:pPr>
      <w:pStyle w:val="2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024E53">
                          <w:pPr>
                            <w:pStyle w:val="23"/>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XD8cMBAACPAwAADgAAAGRycy9lMm9Eb2MueG1srVPNjtMwEL4j8Q6W&#10;79TZ8qMqaroCVYuQECAtPIDr2I0l/8njNukLwBtw4sKd5+pzMHaSLuxe9rAXZzwz/ma+bybr68Ea&#10;cpQRtHcNvVpUlEgnfKvdvqHfvt68WFECibuWG+9kQ08S6PXm+bN1H2q59J03rYwEQRzUfWhol1Ko&#10;GQPRScth4YN0GFQ+Wp7wGvesjbxHdGvYsqresN7HNkQvJAB6t2OQTojxMYBeKS3k1ouDlS6NqFEa&#10;npASdDoA3ZRulZIifVYKZCKmocg0lROLoL3LJ9useb2PPHRaTC3wx7Rwj5Pl2mHRC9SWJ04OUT+A&#10;slpED16lhfCWjUSKIsjiqrqnzW3HgyxcUGoIF9Hh6WDFp+OXSHSLm/CSEsctTvz888f515/z7+/k&#10;1essUB+gxrzbgJlpeOcHTJ79gM7Me1DR5i8yIhhHeU8XeeWQiMiPVsvVqsKQwNh8QXx29zxESO+l&#10;tyQbDY04vyIrP36ENKbOKbma8zfamDJD4/5zIGb2sNz72GO20rAbJkI7356QT4+jb6jDTafEfHCo&#10;bN6S2YizsZuMXAPC20PCwqWfjDpCTcVwToXRtFN5Ef69l6y7/2j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W1cPxwwEAAI8DAAAOAAAAAAAAAAEAIAAAAB4BAABkcnMvZTJvRG9jLnhtbFBL&#10;BQYAAAAABgAGAFkBAABTBQAAAAA=&#10;">
              <v:fill on="f" focussize="0,0"/>
              <v:stroke on="f"/>
              <v:imagedata o:title=""/>
              <o:lock v:ext="edit" aspectratio="f"/>
              <v:textbox inset="0mm,0mm,0mm,0mm" style="mso-fit-shape-to-text:t;">
                <w:txbxContent>
                  <w:p w14:paraId="1D024E53">
                    <w:pPr>
                      <w:pStyle w:val="2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DC828">
    <w:pPr>
      <w:spacing w:line="1" w:lineRule="exact"/>
    </w:pPr>
    <w:r>
      <mc:AlternateContent>
        <mc:Choice Requires="wps">
          <w:drawing>
            <wp:anchor distT="0" distB="0" distL="114300" distR="114300" simplePos="0" relativeHeight="251665408" behindDoc="1" locked="0" layoutInCell="1" allowOverlap="1">
              <wp:simplePos x="0" y="0"/>
              <wp:positionH relativeFrom="page">
                <wp:posOffset>3725545</wp:posOffset>
              </wp:positionH>
              <wp:positionV relativeFrom="page">
                <wp:posOffset>10023475</wp:posOffset>
              </wp:positionV>
              <wp:extent cx="85725" cy="76200"/>
              <wp:effectExtent l="0" t="0" r="0" b="0"/>
              <wp:wrapNone/>
              <wp:docPr id="14" name="Shape 60"/>
              <wp:cNvGraphicFramePr/>
              <a:graphic xmlns:a="http://schemas.openxmlformats.org/drawingml/2006/main">
                <a:graphicData uri="http://schemas.microsoft.com/office/word/2010/wordprocessingShape">
                  <wps:wsp>
                    <wps:cNvSpPr txBox="1"/>
                    <wps:spPr>
                      <a:xfrm>
                        <a:off x="0" y="0"/>
                        <a:ext cx="85725" cy="76200"/>
                      </a:xfrm>
                      <a:prstGeom prst="rect">
                        <a:avLst/>
                      </a:prstGeom>
                      <a:noFill/>
                      <a:ln>
                        <a:noFill/>
                      </a:ln>
                      <a:effectLst/>
                    </wps:spPr>
                    <wps:txbx>
                      <w:txbxContent>
                        <w:p w14:paraId="53FEE5EF">
                          <w:pPr>
                            <w:pStyle w:val="70"/>
                            <w:jc w:val="left"/>
                          </w:pPr>
                          <w:r>
                            <w:rPr>
                              <w:rFonts w:eastAsia="Times New Roman"/>
                              <w:color w:val="000000"/>
                            </w:rPr>
                            <w:t>33</w:t>
                          </w:r>
                        </w:p>
                      </w:txbxContent>
                    </wps:txbx>
                    <wps:bodyPr wrap="none" lIns="0" tIns="0" rIns="0" bIns="0">
                      <a:spAutoFit/>
                    </wps:bodyPr>
                  </wps:wsp>
                </a:graphicData>
              </a:graphic>
            </wp:anchor>
          </w:drawing>
        </mc:Choice>
        <mc:Fallback>
          <w:pict>
            <v:shape id="Shape 60" o:spid="_x0000_s1026" o:spt="202" type="#_x0000_t202" style="position:absolute;left:0pt;margin-left:293.35pt;margin-top:789.25pt;height:6pt;width:6.75pt;mso-position-horizontal-relative:page;mso-position-vertical-relative:page;mso-wrap-style:none;z-index:-251651072;mso-width-relative:page;mso-height-relative:page;" filled="f" stroked="f" coordsize="21600,21600" o:gfxdata="UEsDBAoAAAAAAIdO4kAAAAAAAAAAAAAAAAAEAAAAZHJzL1BLAwQUAAAACACHTuJAzBkV8dcAAAAN&#10;AQAADwAAAGRycy9kb3ducmV2LnhtbE2PPU/DMBCGdyT+g3VIbNRupXwQ4nSoxMJGQUhsbnyNI+xz&#10;ZLtp8u9xJxjv3kfvPdfuF2fZjCGOniRsNwIYUu/1SIOEz4/XpxpYTIq0sp5QwooR9t39Xasa7a/0&#10;jvMxDSyXUGyUBJPS1HAee4NOxY2fkHJ29sGplMcwcB3UNZc7y3dClNypkfIFoyY8GOx/jhcnoVq+&#10;PE4RD/h9nvtgxrW2b6uUjw9b8QIs4ZL+YLjpZ3XostPJX0hHZiUUdVllNAdFVRfAMlIKsQN2uq2e&#10;RQG8a/n/L7pfUEsDBBQAAAAIAIdO4kCdGP0BuAEAAJUDAAAOAAAAZHJzL2Uyb0RvYy54bWytU8Fu&#10;2zAMvQ/YPwi6L06DNi2MOEWLoEWBYRvQ7gMUWYoFSKIgKrHz96NkJ+m6Sw+7yBRJPfI90qv7wVl2&#10;UBEN+IZfzeacKS+hNX7X8N9vT9/uOMMkfCsseNXwo0J+v/76ZdWHWi2gA9uqyAjEY92Hhncphbqq&#10;UHbKCZxBUJ6CGqITia5xV7VR9ITubLWYz5dVD7ENEaRCJO9mDPIJMX4GELQ2Um1A7p3yaUSNyopE&#10;lLAzAfm6dKu1kumn1qgSsw0npqmcVITsbT6r9UrUuyhCZ+TUgvhMCx84OWE8FT1DbUQSbB/NP1DO&#10;yAgIOs0kuGokUhQhFlfzD9q8diKowoWkxnAWHf8frPxx+BWZaWkTrjnzwtHES1m2LOL0AWvKeQ2U&#10;lYZHGCgxi5b9SM7MedDR5S+xYRQnaY9nadWQmCTn3c3t4oYzSZHbJa1BxqguT0PE9KzAsWw0PNLc&#10;ipzi8B3TmHpKyZU8PBlry+ys/8tBmKNHleFPry/dZisN22GisIX2SMx6WoCGe9p3zuyLJ33zrpyM&#10;eDK2k5ErYnjYJ2qjdJdRRyhilS80rcJv2qy8Du/vJevyN6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wZFfHXAAAADQEAAA8AAAAAAAAAAQAgAAAAIgAAAGRycy9kb3ducmV2LnhtbFBLAQIUABQA&#10;AAAIAIdO4kCdGP0BuAEAAJUDAAAOAAAAAAAAAAEAIAAAACYBAABkcnMvZTJvRG9jLnhtbFBLBQYA&#10;AAAABgAGAFkBAABQBQAAAAA=&#10;">
              <v:fill on="f" focussize="0,0"/>
              <v:stroke on="f"/>
              <v:imagedata o:title=""/>
              <o:lock v:ext="edit" aspectratio="f"/>
              <v:textbox inset="0mm,0mm,0mm,0mm" style="mso-fit-shape-to-text:t;">
                <w:txbxContent>
                  <w:p w14:paraId="53FEE5EF">
                    <w:pPr>
                      <w:pStyle w:val="70"/>
                      <w:jc w:val="left"/>
                    </w:pPr>
                    <w:r>
                      <w:rPr>
                        <w:rFonts w:eastAsia="Times New Roman"/>
                        <w:color w:val="000000"/>
                      </w:rPr>
                      <w:t>33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3D74">
    <w:pPr>
      <w:pStyle w:val="2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E3F8B">
                          <w:pPr>
                            <w:pStyle w:val="23"/>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9bIecIBAACO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UBy74xYHfv754/zrz/n3d/L6&#10;TdanD1Bj2m3AxDS89wNuzewHdGbag4o2f5EQwTiqe7qoK4dERH60Wq5WFYYExuYL4rP75yFC+iC9&#10;JdloaMTxFVX58ROkMXVOydWcv9HGlBEa958DMbOH5d7HHrOVht0wEdr59oR8epx8Qx0uOiXmo0Nh&#10;85LMRpyN3WTkGhDeHRIWLv1k1BFqKoZjKoymlcp78O+9ZN3/Rp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vWyHnCAQAAjgMAAA4AAAAAAAAAAQAgAAAAHgEAAGRycy9lMm9Eb2MueG1sUEsF&#10;BgAAAAAGAAYAWQEAAFIFAAAAAA==&#10;">
              <v:fill on="f" focussize="0,0"/>
              <v:stroke on="f"/>
              <v:imagedata o:title=""/>
              <o:lock v:ext="edit" aspectratio="f"/>
              <v:textbox inset="0mm,0mm,0mm,0mm" style="mso-fit-shape-to-text:t;">
                <w:txbxContent>
                  <w:p w14:paraId="003E3F8B">
                    <w:pPr>
                      <w:pStyle w:val="2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6AA4">
    <w:pPr>
      <w:spacing w:line="1" w:lineRule="exact"/>
    </w:pPr>
    <w:r>
      <mc:AlternateContent>
        <mc:Choice Requires="wps">
          <w:drawing>
            <wp:anchor distT="0" distB="0" distL="114300" distR="114300" simplePos="0" relativeHeight="251665408" behindDoc="1" locked="0" layoutInCell="1" allowOverlap="1">
              <wp:simplePos x="0" y="0"/>
              <wp:positionH relativeFrom="page">
                <wp:posOffset>3725545</wp:posOffset>
              </wp:positionH>
              <wp:positionV relativeFrom="page">
                <wp:posOffset>10023475</wp:posOffset>
              </wp:positionV>
              <wp:extent cx="85725" cy="76200"/>
              <wp:effectExtent l="0" t="0" r="0" b="0"/>
              <wp:wrapNone/>
              <wp:docPr id="12" name="Shape 60"/>
              <wp:cNvGraphicFramePr/>
              <a:graphic xmlns:a="http://schemas.openxmlformats.org/drawingml/2006/main">
                <a:graphicData uri="http://schemas.microsoft.com/office/word/2010/wordprocessingShape">
                  <wps:wsp>
                    <wps:cNvSpPr txBox="1"/>
                    <wps:spPr>
                      <a:xfrm>
                        <a:off x="0" y="0"/>
                        <a:ext cx="85725" cy="76200"/>
                      </a:xfrm>
                      <a:prstGeom prst="rect">
                        <a:avLst/>
                      </a:prstGeom>
                      <a:noFill/>
                      <a:ln>
                        <a:noFill/>
                      </a:ln>
                      <a:effectLst/>
                    </wps:spPr>
                    <wps:txbx>
                      <w:txbxContent>
                        <w:p w14:paraId="7624A62A">
                          <w:pPr>
                            <w:pStyle w:val="70"/>
                            <w:jc w:val="left"/>
                          </w:pPr>
                          <w:r>
                            <w:rPr>
                              <w:rFonts w:eastAsia="Times New Roman"/>
                              <w:color w:val="000000"/>
                            </w:rPr>
                            <w:t>33</w:t>
                          </w:r>
                        </w:p>
                      </w:txbxContent>
                    </wps:txbx>
                    <wps:bodyPr wrap="none" lIns="0" tIns="0" rIns="0" bIns="0">
                      <a:spAutoFit/>
                    </wps:bodyPr>
                  </wps:wsp>
                </a:graphicData>
              </a:graphic>
            </wp:anchor>
          </w:drawing>
        </mc:Choice>
        <mc:Fallback>
          <w:pict>
            <v:shape id="Shape 60" o:spid="_x0000_s1026" o:spt="202" type="#_x0000_t202" style="position:absolute;left:0pt;margin-left:293.35pt;margin-top:789.25pt;height:6pt;width:6.75pt;mso-position-horizontal-relative:page;mso-position-vertical-relative:page;mso-wrap-style:none;z-index:-251651072;mso-width-relative:page;mso-height-relative:page;" filled="f" stroked="f" coordsize="21600,21600" o:gfxdata="UEsDBAoAAAAAAIdO4kAAAAAAAAAAAAAAAAAEAAAAZHJzL1BLAwQUAAAACACHTuJAzBkV8dcAAAAN&#10;AQAADwAAAGRycy9kb3ducmV2LnhtbE2PPU/DMBCGdyT+g3VIbNRupXwQ4nSoxMJGQUhsbnyNI+xz&#10;ZLtp8u9xJxjv3kfvPdfuF2fZjCGOniRsNwIYUu/1SIOEz4/XpxpYTIq0sp5QwooR9t39Xasa7a/0&#10;jvMxDSyXUGyUBJPS1HAee4NOxY2fkHJ29sGplMcwcB3UNZc7y3dClNypkfIFoyY8GOx/jhcnoVq+&#10;PE4RD/h9nvtgxrW2b6uUjw9b8QIs4ZL+YLjpZ3XostPJX0hHZiUUdVllNAdFVRfAMlIKsQN2uq2e&#10;RQG8a/n/L7pfUEsDBBQAAAAIAIdO4kDQISx1twEAAJUDAAAOAAAAZHJzL2Uyb0RvYy54bWytU8Fu&#10;2zAMvQ/YPwi6L04DNC2MOMWGoMOAYRvQ7QMUmY4FSKIgKrHz96NkJ9m6Sw+7yBRJPfI90pun0Vlx&#10;gkgGfSPvFkspwGtsjT808tfP5w+PUlBSvlUWPTTyDCSftu/fbYZQwwp7tC1EwSCe6iE0sk8p1FVF&#10;ugenaIEBPAc7jE4lvsZD1UY1MLqz1Wq5XFcDxjZE1EDE3t0UlDNifAsgdp3RsEN9dODThBrBqsSU&#10;qDeB5LZ023Wg0/euI0jCNpKZpnJyEbb3+ay2G1Ufogq90XML6i0tvOLklPFc9Aq1U0mJYzT/QDmj&#10;IxJ2aaHRVRORogizuFu+0ualVwEKF5aawlV0+n+w+tvpRxSm5U1YSeGV44mXsmJdxBkC1ZzzEjgr&#10;jZ9w5MQsWvYTOzPnsYsuf5mN4DhLe75KC2MSmp2P9w+reyk0Rx7WvAYZo7o9DZHSZ0AnstHIyHMr&#10;cqrTV0pT6iUlV/L4bKwts7P+LwdjTh4ow59f37rNVhr340xhj+2ZmQ28AI30vO9S2C+e9c27cjHi&#10;xdjPRq5I4eMxcRulu4w6QTGrfOFpFX7zZuV1+PNesm5/0/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BkV8dcAAAANAQAADwAAAAAAAAABACAAAAAiAAAAZHJzL2Rvd25yZXYueG1sUEsBAhQAFAAA&#10;AAgAh07iQNAhLHW3AQAAlQMAAA4AAAAAAAAAAQAgAAAAJgEAAGRycy9lMm9Eb2MueG1sUEsFBgAA&#10;AAAGAAYAWQEAAE8FAAAAAA==&#10;">
              <v:fill on="f" focussize="0,0"/>
              <v:stroke on="f"/>
              <v:imagedata o:title=""/>
              <o:lock v:ext="edit" aspectratio="f"/>
              <v:textbox inset="0mm,0mm,0mm,0mm" style="mso-fit-shape-to-text:t;">
                <w:txbxContent>
                  <w:p w14:paraId="7624A62A">
                    <w:pPr>
                      <w:pStyle w:val="70"/>
                      <w:jc w:val="left"/>
                    </w:pPr>
                    <w:r>
                      <w:rPr>
                        <w:rFonts w:eastAsia="Times New Roman"/>
                        <w:color w:val="000000"/>
                      </w:rPr>
                      <w:t>33</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E2E5">
    <w:pPr>
      <w:pStyle w:val="2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E69D0">
                          <w:pPr>
                            <w:pStyle w:val="23"/>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kfY8MBAACO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UOG5x4Ocf388/f59/fSOv&#10;32R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F+R9jwwEAAI4DAAAOAAAAAAAAAAEAIAAAAB4BAABkcnMvZTJvRG9jLnhtbFBL&#10;BQYAAAAABgAGAFkBAABTBQAAAAA=&#10;">
              <v:fill on="f" focussize="0,0"/>
              <v:stroke on="f"/>
              <v:imagedata o:title=""/>
              <o:lock v:ext="edit" aspectratio="f"/>
              <v:textbox inset="0mm,0mm,0mm,0mm" style="mso-fit-shape-to-text:t;">
                <w:txbxContent>
                  <w:p w14:paraId="6F8E69D0">
                    <w:pPr>
                      <w:pStyle w:val="2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9D4A">
    <w:pPr>
      <w:spacing w:line="1" w:lineRule="exact"/>
    </w:pPr>
    <w:r>
      <mc:AlternateContent>
        <mc:Choice Requires="wps">
          <w:drawing>
            <wp:anchor distT="0" distB="0" distL="114300" distR="114300" simplePos="0" relativeHeight="251665408" behindDoc="1" locked="0" layoutInCell="1" allowOverlap="1">
              <wp:simplePos x="0" y="0"/>
              <wp:positionH relativeFrom="page">
                <wp:posOffset>3725545</wp:posOffset>
              </wp:positionH>
              <wp:positionV relativeFrom="page">
                <wp:posOffset>10023475</wp:posOffset>
              </wp:positionV>
              <wp:extent cx="85725" cy="76200"/>
              <wp:effectExtent l="0" t="0" r="0" b="0"/>
              <wp:wrapNone/>
              <wp:docPr id="7" name="Shape 60"/>
              <wp:cNvGraphicFramePr/>
              <a:graphic xmlns:a="http://schemas.openxmlformats.org/drawingml/2006/main">
                <a:graphicData uri="http://schemas.microsoft.com/office/word/2010/wordprocessingShape">
                  <wps:wsp>
                    <wps:cNvSpPr txBox="1"/>
                    <wps:spPr>
                      <a:xfrm>
                        <a:off x="0" y="0"/>
                        <a:ext cx="85725" cy="76200"/>
                      </a:xfrm>
                      <a:prstGeom prst="rect">
                        <a:avLst/>
                      </a:prstGeom>
                      <a:noFill/>
                      <a:ln>
                        <a:noFill/>
                      </a:ln>
                      <a:effectLst/>
                    </wps:spPr>
                    <wps:txbx>
                      <w:txbxContent>
                        <w:p w14:paraId="1FE5C205">
                          <w:pPr>
                            <w:pStyle w:val="70"/>
                            <w:jc w:val="left"/>
                          </w:pPr>
                          <w:r>
                            <w:rPr>
                              <w:rFonts w:eastAsia="Times New Roman"/>
                              <w:color w:val="000000"/>
                            </w:rPr>
                            <w:t>33</w:t>
                          </w:r>
                        </w:p>
                      </w:txbxContent>
                    </wps:txbx>
                    <wps:bodyPr wrap="none" lIns="0" tIns="0" rIns="0" bIns="0">
                      <a:spAutoFit/>
                    </wps:bodyPr>
                  </wps:wsp>
                </a:graphicData>
              </a:graphic>
            </wp:anchor>
          </w:drawing>
        </mc:Choice>
        <mc:Fallback>
          <w:pict>
            <v:shape id="Shape 60" o:spid="_x0000_s1026" o:spt="202" type="#_x0000_t202" style="position:absolute;left:0pt;margin-left:293.35pt;margin-top:789.25pt;height:6pt;width:6.75pt;mso-position-horizontal-relative:page;mso-position-vertical-relative:page;mso-wrap-style:none;z-index:-251651072;mso-width-relative:page;mso-height-relative:page;" filled="f" stroked="f" coordsize="21600,21600" o:gfxdata="UEsDBAoAAAAAAIdO4kAAAAAAAAAAAAAAAAAEAAAAZHJzL1BLAwQUAAAACACHTuJAzBkV8dcAAAAN&#10;AQAADwAAAGRycy9kb3ducmV2LnhtbE2PPU/DMBCGdyT+g3VIbNRupXwQ4nSoxMJGQUhsbnyNI+xz&#10;ZLtp8u9xJxjv3kfvPdfuF2fZjCGOniRsNwIYUu/1SIOEz4/XpxpYTIq0sp5QwooR9t39Xasa7a/0&#10;jvMxDSyXUGyUBJPS1HAee4NOxY2fkHJ29sGplMcwcB3UNZc7y3dClNypkfIFoyY8GOx/jhcnoVq+&#10;PE4RD/h9nvtgxrW2b6uUjw9b8QIs4ZL+YLjpZ3XostPJX0hHZiUUdVllNAdFVRfAMlIKsQN2uq2e&#10;RQG8a/n/L7pfUEsDBBQAAAAIAIdO4kDr56J3twEAAJQDAAAOAAAAZHJzL2Uyb0RvYy54bWytU8Fu&#10;2zAMvQ/YPwi6N04DNCmMOEWLoMOAoRvQ7QMUWYoFSKIgKrHz96VkJ+m6Sw+7yBRJPfI90uuHwVl2&#10;VBEN+IbfzuacKS+hNX7f8D+/n2/uOcMkfCsseNXwk0L+sPn6Zd2HWi2gA9uqyAjEY92Hhncphbqq&#10;UHbKCZxBUJ6CGqITia5xX7VR9ITubLWYz5dVD7ENEaRCJO92DPIJMX4GELQ2Um1BHpzyaUSNyopE&#10;lLAzAfmmdKu1kumn1qgSsw0npqmcVITsXT6rzVrU+yhCZ+TUgvhMCx84OWE8Fb1AbUUS7BDNP1DO&#10;yAgIOs0kuGokUhQhFrfzD9q8diKowoWkxnARHf8frHw5/orMtA1fceaFo4GXqmxZtOkD1pTyGigp&#10;DU8w0MZkzbIfyZkpDzq6/CUyjOKk7OmirBoSk+S8v1st7jiTFFktaQsyRnV9GiKmbwocy0bDI42t&#10;qCmOPzCNqeeUXMnDs7G2jM76vxyEOXpUmf30+tptttKwGyYKO2hPxKyn+Tfc07pzZr97kjevytmI&#10;Z2M3GbkihsdDojZKdxl1hCJW+ULDKvymxcrb8P5esq4/0+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BkV8dcAAAANAQAADwAAAAAAAAABACAAAAAiAAAAZHJzL2Rvd25yZXYueG1sUEsBAhQAFAAA&#10;AAgAh07iQOvnone3AQAAlAMAAA4AAAAAAAAAAQAgAAAAJgEAAGRycy9lMm9Eb2MueG1sUEsFBgAA&#10;AAAGAAYAWQEAAE8FAAAAAA==&#10;">
              <v:fill on="f" focussize="0,0"/>
              <v:stroke on="f"/>
              <v:imagedata o:title=""/>
              <o:lock v:ext="edit" aspectratio="f"/>
              <v:textbox inset="0mm,0mm,0mm,0mm" style="mso-fit-shape-to-text:t;">
                <w:txbxContent>
                  <w:p w14:paraId="1FE5C205">
                    <w:pPr>
                      <w:pStyle w:val="70"/>
                      <w:jc w:val="left"/>
                    </w:pPr>
                    <w:r>
                      <w:rPr>
                        <w:rFonts w:eastAsia="Times New Roman"/>
                        <w:color w:val="000000"/>
                      </w:rPr>
                      <w:t>33</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8F95">
    <w:pPr>
      <w:pStyle w:val="24"/>
      <w:pBdr>
        <w:bottom w:val="none" w:color="auto" w:sz="0" w:space="1"/>
      </w:pBdr>
      <w:jc w:val="center"/>
      <w:rPr>
        <w:rFonts w:hint="default" w:eastAsia="仿宋_GB2312"/>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AD95D">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03CA">
    <w:pPr>
      <w:pBdr>
        <w:bottom w:val="none" w:color="auto" w:sz="0" w:space="0"/>
      </w:pBdr>
      <w:jc w:val="center"/>
      <w:rPr>
        <w:rFonts w:hint="eastAsia" w:ascii="仿宋" w:hAnsi="仿宋" w:eastAsia="仿宋" w:cs="仿宋"/>
        <w:sz w:val="18"/>
        <w:szCs w:val="21"/>
        <w:u w:val="none"/>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7832">
    <w:pPr>
      <w:pStyle w:val="24"/>
      <w:pBdr>
        <w:bottom w:val="none" w:color="auto" w:sz="0" w:space="1"/>
      </w:pBdr>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E2E7C"/>
    <w:multiLevelType w:val="singleLevel"/>
    <w:tmpl w:val="8FDE2E7C"/>
    <w:lvl w:ilvl="0" w:tentative="0">
      <w:start w:val="4"/>
      <w:numFmt w:val="decimal"/>
      <w:suff w:val="nothing"/>
      <w:lvlText w:val="（%1）"/>
      <w:lvlJc w:val="left"/>
    </w:lvl>
  </w:abstractNum>
  <w:abstractNum w:abstractNumId="1">
    <w:nsid w:val="A572A617"/>
    <w:multiLevelType w:val="singleLevel"/>
    <w:tmpl w:val="A572A617"/>
    <w:lvl w:ilvl="0" w:tentative="0">
      <w:start w:val="1"/>
      <w:numFmt w:val="decimal"/>
      <w:suff w:val="nothing"/>
      <w:lvlText w:val="（%1）"/>
      <w:lvlJc w:val="left"/>
    </w:lvl>
  </w:abstractNum>
  <w:abstractNum w:abstractNumId="2">
    <w:nsid w:val="B655790B"/>
    <w:multiLevelType w:val="singleLevel"/>
    <w:tmpl w:val="B655790B"/>
    <w:lvl w:ilvl="0" w:tentative="0">
      <w:start w:val="3"/>
      <w:numFmt w:val="chineseCounting"/>
      <w:suff w:val="nothing"/>
      <w:lvlText w:val="%1、"/>
      <w:lvlJc w:val="left"/>
      <w:rPr>
        <w:rFonts w:hint="eastAsia"/>
      </w:rPr>
    </w:lvl>
  </w:abstractNum>
  <w:abstractNum w:abstractNumId="3">
    <w:nsid w:val="BA2EA9AD"/>
    <w:multiLevelType w:val="singleLevel"/>
    <w:tmpl w:val="BA2EA9AD"/>
    <w:lvl w:ilvl="0" w:tentative="0">
      <w:start w:val="8"/>
      <w:numFmt w:val="decimal"/>
      <w:suff w:val="nothing"/>
      <w:lvlText w:val="（%1）"/>
      <w:lvlJc w:val="left"/>
    </w:lvl>
  </w:abstractNum>
  <w:abstractNum w:abstractNumId="4">
    <w:nsid w:val="FFFFFF7E"/>
    <w:multiLevelType w:val="singleLevel"/>
    <w:tmpl w:val="FFFFFF7E"/>
    <w:lvl w:ilvl="0" w:tentative="0">
      <w:start w:val="1"/>
      <w:numFmt w:val="decimal"/>
      <w:pStyle w:val="15"/>
      <w:lvlText w:val="%1."/>
      <w:lvlJc w:val="left"/>
      <w:pPr>
        <w:tabs>
          <w:tab w:val="left" w:pos="1200"/>
        </w:tabs>
        <w:ind w:left="1200" w:hanging="360"/>
      </w:pPr>
    </w:lvl>
  </w:abstractNum>
  <w:abstractNum w:abstractNumId="5">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2C1E60E2"/>
    <w:multiLevelType w:val="singleLevel"/>
    <w:tmpl w:val="2C1E60E2"/>
    <w:lvl w:ilvl="0" w:tentative="0">
      <w:start w:val="1"/>
      <w:numFmt w:val="ideographTraditional"/>
      <w:suff w:val="nothing"/>
      <w:lvlText w:val="%1、"/>
      <w:lvlJc w:val="left"/>
      <w:rPr>
        <w:rFonts w:hint="eastAsia"/>
      </w:rPr>
    </w:lvl>
  </w:abstractNum>
  <w:abstractNum w:abstractNumId="7">
    <w:nsid w:val="31DCF3A1"/>
    <w:multiLevelType w:val="singleLevel"/>
    <w:tmpl w:val="31DCF3A1"/>
    <w:lvl w:ilvl="0" w:tentative="0">
      <w:start w:val="4"/>
      <w:numFmt w:val="decimal"/>
      <w:suff w:val="nothing"/>
      <w:lvlText w:val="（%1）"/>
      <w:lvlJc w:val="left"/>
    </w:lvl>
  </w:abstractNum>
  <w:abstractNum w:abstractNumId="8">
    <w:nsid w:val="66760C68"/>
    <w:multiLevelType w:val="multilevel"/>
    <w:tmpl w:val="66760C68"/>
    <w:lvl w:ilvl="0" w:tentative="0">
      <w:start w:val="1"/>
      <w:numFmt w:val="decimal"/>
      <w:lvlText w:val="%1."/>
      <w:lvlJc w:val="left"/>
      <w:pPr>
        <w:tabs>
          <w:tab w:val="left" w:pos="420"/>
        </w:tabs>
        <w:ind w:left="420" w:firstLine="0"/>
      </w:pPr>
      <w:rPr>
        <w:rFonts w:hint="eastAsia" w:eastAsia="宋体"/>
        <w:b w:val="0"/>
        <w:i w:val="0"/>
        <w:sz w:val="24"/>
        <w:szCs w:val="24"/>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TBhMDBlY2RhNTA5OGRmMDY3MDMzZTk3MGEwNGMifQ=="/>
  </w:docVars>
  <w:rsids>
    <w:rsidRoot w:val="00120357"/>
    <w:rsid w:val="00061F1F"/>
    <w:rsid w:val="00120196"/>
    <w:rsid w:val="00120357"/>
    <w:rsid w:val="0017782D"/>
    <w:rsid w:val="001808B6"/>
    <w:rsid w:val="001E3149"/>
    <w:rsid w:val="00247262"/>
    <w:rsid w:val="002A4484"/>
    <w:rsid w:val="002F5812"/>
    <w:rsid w:val="003A183C"/>
    <w:rsid w:val="0040758E"/>
    <w:rsid w:val="004522AB"/>
    <w:rsid w:val="004C2471"/>
    <w:rsid w:val="0054089A"/>
    <w:rsid w:val="00625E39"/>
    <w:rsid w:val="0063002C"/>
    <w:rsid w:val="0066144D"/>
    <w:rsid w:val="006A7B05"/>
    <w:rsid w:val="006E6443"/>
    <w:rsid w:val="007D59B6"/>
    <w:rsid w:val="007E2275"/>
    <w:rsid w:val="00833ECE"/>
    <w:rsid w:val="00835F66"/>
    <w:rsid w:val="008C6302"/>
    <w:rsid w:val="00995FE0"/>
    <w:rsid w:val="009B21DB"/>
    <w:rsid w:val="009E016E"/>
    <w:rsid w:val="00A01088"/>
    <w:rsid w:val="00A733C4"/>
    <w:rsid w:val="00AE3CFF"/>
    <w:rsid w:val="00B47A49"/>
    <w:rsid w:val="00BA6DF0"/>
    <w:rsid w:val="00BC3963"/>
    <w:rsid w:val="00C60754"/>
    <w:rsid w:val="00C61297"/>
    <w:rsid w:val="00D0461B"/>
    <w:rsid w:val="00D44635"/>
    <w:rsid w:val="00D76FE9"/>
    <w:rsid w:val="00D90A44"/>
    <w:rsid w:val="00DD2B0E"/>
    <w:rsid w:val="00DF15A8"/>
    <w:rsid w:val="00E50935"/>
    <w:rsid w:val="00EB6DC3"/>
    <w:rsid w:val="00F0724C"/>
    <w:rsid w:val="00F266DC"/>
    <w:rsid w:val="010351AA"/>
    <w:rsid w:val="013E61E2"/>
    <w:rsid w:val="01436CD3"/>
    <w:rsid w:val="014440E8"/>
    <w:rsid w:val="01591059"/>
    <w:rsid w:val="01610B5E"/>
    <w:rsid w:val="016B44FB"/>
    <w:rsid w:val="01763BCE"/>
    <w:rsid w:val="01824AF3"/>
    <w:rsid w:val="01AE3368"/>
    <w:rsid w:val="01C20060"/>
    <w:rsid w:val="01C62F41"/>
    <w:rsid w:val="01D2408C"/>
    <w:rsid w:val="01E0649E"/>
    <w:rsid w:val="01EB0856"/>
    <w:rsid w:val="02331D71"/>
    <w:rsid w:val="02562DB8"/>
    <w:rsid w:val="026861FF"/>
    <w:rsid w:val="027368E2"/>
    <w:rsid w:val="028E497E"/>
    <w:rsid w:val="02952D91"/>
    <w:rsid w:val="02962913"/>
    <w:rsid w:val="02996FD8"/>
    <w:rsid w:val="02AA32A4"/>
    <w:rsid w:val="02DF5F32"/>
    <w:rsid w:val="02E912D8"/>
    <w:rsid w:val="02FF7BF3"/>
    <w:rsid w:val="03411FB9"/>
    <w:rsid w:val="03552AE4"/>
    <w:rsid w:val="035C33DB"/>
    <w:rsid w:val="038D6E90"/>
    <w:rsid w:val="039A0865"/>
    <w:rsid w:val="039E2408"/>
    <w:rsid w:val="039E3A1B"/>
    <w:rsid w:val="03DC770D"/>
    <w:rsid w:val="03DD7F33"/>
    <w:rsid w:val="04071455"/>
    <w:rsid w:val="0415210F"/>
    <w:rsid w:val="042518DB"/>
    <w:rsid w:val="04424334"/>
    <w:rsid w:val="04760C74"/>
    <w:rsid w:val="04803322"/>
    <w:rsid w:val="04A95388"/>
    <w:rsid w:val="04C5780A"/>
    <w:rsid w:val="04CD5176"/>
    <w:rsid w:val="04E00119"/>
    <w:rsid w:val="04E73F4E"/>
    <w:rsid w:val="04E91104"/>
    <w:rsid w:val="04F2065D"/>
    <w:rsid w:val="05164544"/>
    <w:rsid w:val="05791855"/>
    <w:rsid w:val="057A38F1"/>
    <w:rsid w:val="058B788C"/>
    <w:rsid w:val="059506C7"/>
    <w:rsid w:val="05A7775A"/>
    <w:rsid w:val="05A82591"/>
    <w:rsid w:val="05D57E05"/>
    <w:rsid w:val="05DF1F73"/>
    <w:rsid w:val="05F31F2B"/>
    <w:rsid w:val="05F86743"/>
    <w:rsid w:val="061532CD"/>
    <w:rsid w:val="06206C00"/>
    <w:rsid w:val="062530E5"/>
    <w:rsid w:val="064433E2"/>
    <w:rsid w:val="06490D7E"/>
    <w:rsid w:val="066922F3"/>
    <w:rsid w:val="066D0A5C"/>
    <w:rsid w:val="06713AA1"/>
    <w:rsid w:val="06965B52"/>
    <w:rsid w:val="06B84CB0"/>
    <w:rsid w:val="06BB2083"/>
    <w:rsid w:val="06C657FF"/>
    <w:rsid w:val="06C85F4B"/>
    <w:rsid w:val="070F11C2"/>
    <w:rsid w:val="07145036"/>
    <w:rsid w:val="07344807"/>
    <w:rsid w:val="074C2C4A"/>
    <w:rsid w:val="077435FC"/>
    <w:rsid w:val="077B75D8"/>
    <w:rsid w:val="077F0578"/>
    <w:rsid w:val="07817573"/>
    <w:rsid w:val="078C32AF"/>
    <w:rsid w:val="07AD6B83"/>
    <w:rsid w:val="07EE6129"/>
    <w:rsid w:val="07FF59B5"/>
    <w:rsid w:val="080236DC"/>
    <w:rsid w:val="085E0FAB"/>
    <w:rsid w:val="086215E8"/>
    <w:rsid w:val="087C4EDF"/>
    <w:rsid w:val="088B2E64"/>
    <w:rsid w:val="0896512A"/>
    <w:rsid w:val="08C41820"/>
    <w:rsid w:val="08C603BB"/>
    <w:rsid w:val="08CA47FF"/>
    <w:rsid w:val="08FD3778"/>
    <w:rsid w:val="090E5904"/>
    <w:rsid w:val="09544CB5"/>
    <w:rsid w:val="0960141B"/>
    <w:rsid w:val="09687C9A"/>
    <w:rsid w:val="09703593"/>
    <w:rsid w:val="097F5387"/>
    <w:rsid w:val="09817B58"/>
    <w:rsid w:val="0995305F"/>
    <w:rsid w:val="09A77221"/>
    <w:rsid w:val="09E05EFA"/>
    <w:rsid w:val="0A04212D"/>
    <w:rsid w:val="0A462A14"/>
    <w:rsid w:val="0A5440F6"/>
    <w:rsid w:val="0AAC68E4"/>
    <w:rsid w:val="0AFE7ED3"/>
    <w:rsid w:val="0B7A69B0"/>
    <w:rsid w:val="0B8C0133"/>
    <w:rsid w:val="0BB910BD"/>
    <w:rsid w:val="0BBD0F10"/>
    <w:rsid w:val="0BC74F7F"/>
    <w:rsid w:val="0BC97D41"/>
    <w:rsid w:val="0BD0543C"/>
    <w:rsid w:val="0BD51023"/>
    <w:rsid w:val="0BD950E5"/>
    <w:rsid w:val="0BE21DA6"/>
    <w:rsid w:val="0BEF6A57"/>
    <w:rsid w:val="0C1B606D"/>
    <w:rsid w:val="0C501156"/>
    <w:rsid w:val="0C611D30"/>
    <w:rsid w:val="0C663265"/>
    <w:rsid w:val="0CA3667E"/>
    <w:rsid w:val="0CA864AB"/>
    <w:rsid w:val="0CBF0B1F"/>
    <w:rsid w:val="0CC124AD"/>
    <w:rsid w:val="0CCE0A8A"/>
    <w:rsid w:val="0CE06855"/>
    <w:rsid w:val="0CF4009D"/>
    <w:rsid w:val="0CFB767D"/>
    <w:rsid w:val="0D265FEE"/>
    <w:rsid w:val="0D357CBF"/>
    <w:rsid w:val="0D444046"/>
    <w:rsid w:val="0D7746B2"/>
    <w:rsid w:val="0DC17088"/>
    <w:rsid w:val="0DC577C3"/>
    <w:rsid w:val="0DC74656"/>
    <w:rsid w:val="0DFB0406"/>
    <w:rsid w:val="0E097A14"/>
    <w:rsid w:val="0E36263C"/>
    <w:rsid w:val="0E4D2F01"/>
    <w:rsid w:val="0EC57270"/>
    <w:rsid w:val="0ECA7200"/>
    <w:rsid w:val="0F02471A"/>
    <w:rsid w:val="0F145B96"/>
    <w:rsid w:val="0F37594C"/>
    <w:rsid w:val="0F471515"/>
    <w:rsid w:val="0F6E5C5D"/>
    <w:rsid w:val="0F733A4E"/>
    <w:rsid w:val="0F756BCB"/>
    <w:rsid w:val="0F7633E9"/>
    <w:rsid w:val="0F901A08"/>
    <w:rsid w:val="0FA07BF0"/>
    <w:rsid w:val="0FA350C9"/>
    <w:rsid w:val="0FAB0952"/>
    <w:rsid w:val="0FC20950"/>
    <w:rsid w:val="0FDC5544"/>
    <w:rsid w:val="0FE947FC"/>
    <w:rsid w:val="10480E2B"/>
    <w:rsid w:val="1058311B"/>
    <w:rsid w:val="105A548A"/>
    <w:rsid w:val="105D2427"/>
    <w:rsid w:val="10AE33D3"/>
    <w:rsid w:val="115F49DD"/>
    <w:rsid w:val="117222E1"/>
    <w:rsid w:val="11E92165"/>
    <w:rsid w:val="11F21963"/>
    <w:rsid w:val="120A68EE"/>
    <w:rsid w:val="12365FD1"/>
    <w:rsid w:val="12A85BB1"/>
    <w:rsid w:val="12B33C7B"/>
    <w:rsid w:val="12C45C88"/>
    <w:rsid w:val="12D147F6"/>
    <w:rsid w:val="12DC139C"/>
    <w:rsid w:val="12EB5365"/>
    <w:rsid w:val="12F662E0"/>
    <w:rsid w:val="131A4DA5"/>
    <w:rsid w:val="135167E2"/>
    <w:rsid w:val="13653AA2"/>
    <w:rsid w:val="13743CE5"/>
    <w:rsid w:val="138B0A71"/>
    <w:rsid w:val="139332CB"/>
    <w:rsid w:val="13A11597"/>
    <w:rsid w:val="13B20145"/>
    <w:rsid w:val="13C66239"/>
    <w:rsid w:val="13D1738A"/>
    <w:rsid w:val="13FD3CDB"/>
    <w:rsid w:val="14071BE0"/>
    <w:rsid w:val="14080394"/>
    <w:rsid w:val="14111D6C"/>
    <w:rsid w:val="146F4E22"/>
    <w:rsid w:val="148047E1"/>
    <w:rsid w:val="1484033B"/>
    <w:rsid w:val="14867D07"/>
    <w:rsid w:val="14897B0A"/>
    <w:rsid w:val="148B578A"/>
    <w:rsid w:val="148C4E8F"/>
    <w:rsid w:val="14A8633C"/>
    <w:rsid w:val="14B67E38"/>
    <w:rsid w:val="14CF019A"/>
    <w:rsid w:val="151642E7"/>
    <w:rsid w:val="152159B1"/>
    <w:rsid w:val="15572AED"/>
    <w:rsid w:val="15674156"/>
    <w:rsid w:val="157B135B"/>
    <w:rsid w:val="158B7F0A"/>
    <w:rsid w:val="158F1F69"/>
    <w:rsid w:val="159B4AA2"/>
    <w:rsid w:val="15AB707C"/>
    <w:rsid w:val="15BF55CC"/>
    <w:rsid w:val="15CA0325"/>
    <w:rsid w:val="15D1541F"/>
    <w:rsid w:val="15E77E11"/>
    <w:rsid w:val="16185B72"/>
    <w:rsid w:val="16381F4B"/>
    <w:rsid w:val="164400B1"/>
    <w:rsid w:val="1671163D"/>
    <w:rsid w:val="16B36949"/>
    <w:rsid w:val="16BD3D30"/>
    <w:rsid w:val="16C431DD"/>
    <w:rsid w:val="16E23F43"/>
    <w:rsid w:val="16F73AEF"/>
    <w:rsid w:val="170128D1"/>
    <w:rsid w:val="170C2415"/>
    <w:rsid w:val="17130404"/>
    <w:rsid w:val="17410382"/>
    <w:rsid w:val="176C3AC6"/>
    <w:rsid w:val="176C7498"/>
    <w:rsid w:val="178F7A19"/>
    <w:rsid w:val="179452FE"/>
    <w:rsid w:val="17CA47E9"/>
    <w:rsid w:val="17CA65CA"/>
    <w:rsid w:val="17F21718"/>
    <w:rsid w:val="17F66F93"/>
    <w:rsid w:val="18016A7C"/>
    <w:rsid w:val="181D120E"/>
    <w:rsid w:val="182061EA"/>
    <w:rsid w:val="18224FB9"/>
    <w:rsid w:val="18277A75"/>
    <w:rsid w:val="182842A9"/>
    <w:rsid w:val="18310048"/>
    <w:rsid w:val="183E7655"/>
    <w:rsid w:val="18421733"/>
    <w:rsid w:val="1875473B"/>
    <w:rsid w:val="18A24E51"/>
    <w:rsid w:val="18C272A1"/>
    <w:rsid w:val="18D968C7"/>
    <w:rsid w:val="18E76A9B"/>
    <w:rsid w:val="19010E77"/>
    <w:rsid w:val="19173A91"/>
    <w:rsid w:val="192279F8"/>
    <w:rsid w:val="194159F9"/>
    <w:rsid w:val="19494D8F"/>
    <w:rsid w:val="194F3C47"/>
    <w:rsid w:val="19716F6A"/>
    <w:rsid w:val="197333CD"/>
    <w:rsid w:val="197C281C"/>
    <w:rsid w:val="198445A7"/>
    <w:rsid w:val="19A106D0"/>
    <w:rsid w:val="19ED7C7E"/>
    <w:rsid w:val="1A2503F3"/>
    <w:rsid w:val="1A612249"/>
    <w:rsid w:val="1AA730EE"/>
    <w:rsid w:val="1AB40F43"/>
    <w:rsid w:val="1ABA2C23"/>
    <w:rsid w:val="1AD46A08"/>
    <w:rsid w:val="1AE97E0A"/>
    <w:rsid w:val="1B3D7F77"/>
    <w:rsid w:val="1B3E45C7"/>
    <w:rsid w:val="1B6E4E8F"/>
    <w:rsid w:val="1B70011D"/>
    <w:rsid w:val="1B9738C3"/>
    <w:rsid w:val="1BAB244D"/>
    <w:rsid w:val="1BAC404C"/>
    <w:rsid w:val="1BCA124D"/>
    <w:rsid w:val="1BDC2DB4"/>
    <w:rsid w:val="1BE4336B"/>
    <w:rsid w:val="1BF15D06"/>
    <w:rsid w:val="1C1E543E"/>
    <w:rsid w:val="1C23202D"/>
    <w:rsid w:val="1C407E4F"/>
    <w:rsid w:val="1C5A43C0"/>
    <w:rsid w:val="1C6B4178"/>
    <w:rsid w:val="1C6D0F67"/>
    <w:rsid w:val="1CCF531E"/>
    <w:rsid w:val="1CD21BB4"/>
    <w:rsid w:val="1D291FE4"/>
    <w:rsid w:val="1D2B290F"/>
    <w:rsid w:val="1D464280"/>
    <w:rsid w:val="1D616D1C"/>
    <w:rsid w:val="1D6F1CC2"/>
    <w:rsid w:val="1D7770D2"/>
    <w:rsid w:val="1D7B00F7"/>
    <w:rsid w:val="1DA90A2F"/>
    <w:rsid w:val="1DC21FD1"/>
    <w:rsid w:val="1DC33D0C"/>
    <w:rsid w:val="1DC961C8"/>
    <w:rsid w:val="1E4B4F4F"/>
    <w:rsid w:val="1E6F6277"/>
    <w:rsid w:val="1EFC63D4"/>
    <w:rsid w:val="1F086FB3"/>
    <w:rsid w:val="1F3D7530"/>
    <w:rsid w:val="1F7A6906"/>
    <w:rsid w:val="1F7D4B6F"/>
    <w:rsid w:val="1F8F2167"/>
    <w:rsid w:val="1FAA1080"/>
    <w:rsid w:val="1FEF5A77"/>
    <w:rsid w:val="20374429"/>
    <w:rsid w:val="207B6C1E"/>
    <w:rsid w:val="209C7EC7"/>
    <w:rsid w:val="20CC642B"/>
    <w:rsid w:val="20D600B8"/>
    <w:rsid w:val="20E53FB6"/>
    <w:rsid w:val="20F67F6A"/>
    <w:rsid w:val="21291CAA"/>
    <w:rsid w:val="212E7638"/>
    <w:rsid w:val="214B0FC2"/>
    <w:rsid w:val="214F2C62"/>
    <w:rsid w:val="217A696B"/>
    <w:rsid w:val="219F7621"/>
    <w:rsid w:val="21AE0CFA"/>
    <w:rsid w:val="21AF2DBE"/>
    <w:rsid w:val="21D36747"/>
    <w:rsid w:val="21D61B42"/>
    <w:rsid w:val="21DA62E3"/>
    <w:rsid w:val="21E94232"/>
    <w:rsid w:val="21EA3CF8"/>
    <w:rsid w:val="21F57528"/>
    <w:rsid w:val="22060BB5"/>
    <w:rsid w:val="220B04C6"/>
    <w:rsid w:val="22253CB7"/>
    <w:rsid w:val="225019A1"/>
    <w:rsid w:val="226E6222"/>
    <w:rsid w:val="228935B5"/>
    <w:rsid w:val="229B3FD7"/>
    <w:rsid w:val="229F0E18"/>
    <w:rsid w:val="22A70BDB"/>
    <w:rsid w:val="22B449F7"/>
    <w:rsid w:val="22B81E40"/>
    <w:rsid w:val="22C65D13"/>
    <w:rsid w:val="22D25E25"/>
    <w:rsid w:val="23011951"/>
    <w:rsid w:val="23164C83"/>
    <w:rsid w:val="23366401"/>
    <w:rsid w:val="23657B2B"/>
    <w:rsid w:val="237D2742"/>
    <w:rsid w:val="23864BDD"/>
    <w:rsid w:val="23C61BEE"/>
    <w:rsid w:val="23EB16FF"/>
    <w:rsid w:val="23FC3FAF"/>
    <w:rsid w:val="246C5F90"/>
    <w:rsid w:val="24BD6318"/>
    <w:rsid w:val="24C17983"/>
    <w:rsid w:val="24D06A6E"/>
    <w:rsid w:val="24D540F2"/>
    <w:rsid w:val="24D65709"/>
    <w:rsid w:val="24DE27DA"/>
    <w:rsid w:val="24E118C5"/>
    <w:rsid w:val="24EB12A4"/>
    <w:rsid w:val="24F07F86"/>
    <w:rsid w:val="24F35FBB"/>
    <w:rsid w:val="24F611F0"/>
    <w:rsid w:val="250F0876"/>
    <w:rsid w:val="252A2FCC"/>
    <w:rsid w:val="254B43BE"/>
    <w:rsid w:val="25543EBF"/>
    <w:rsid w:val="256D479E"/>
    <w:rsid w:val="258906B6"/>
    <w:rsid w:val="25905AAC"/>
    <w:rsid w:val="25F74A2E"/>
    <w:rsid w:val="26272111"/>
    <w:rsid w:val="26314D99"/>
    <w:rsid w:val="26590E4B"/>
    <w:rsid w:val="26630136"/>
    <w:rsid w:val="268D0D37"/>
    <w:rsid w:val="26AC17CE"/>
    <w:rsid w:val="26B741BD"/>
    <w:rsid w:val="26BB5A5B"/>
    <w:rsid w:val="26ED1205"/>
    <w:rsid w:val="26FD5D85"/>
    <w:rsid w:val="2705557F"/>
    <w:rsid w:val="27274057"/>
    <w:rsid w:val="2727578B"/>
    <w:rsid w:val="27377F44"/>
    <w:rsid w:val="273D64B4"/>
    <w:rsid w:val="27647D82"/>
    <w:rsid w:val="27790301"/>
    <w:rsid w:val="27792A00"/>
    <w:rsid w:val="278B6B62"/>
    <w:rsid w:val="27A11A00"/>
    <w:rsid w:val="27CF78D1"/>
    <w:rsid w:val="27E86EA7"/>
    <w:rsid w:val="27E876F6"/>
    <w:rsid w:val="27FA0498"/>
    <w:rsid w:val="27FF0BAA"/>
    <w:rsid w:val="281E7492"/>
    <w:rsid w:val="283304A0"/>
    <w:rsid w:val="283446E7"/>
    <w:rsid w:val="28364337"/>
    <w:rsid w:val="28444735"/>
    <w:rsid w:val="28573148"/>
    <w:rsid w:val="288073E9"/>
    <w:rsid w:val="288B5B91"/>
    <w:rsid w:val="28C30BC3"/>
    <w:rsid w:val="29156B25"/>
    <w:rsid w:val="291B0927"/>
    <w:rsid w:val="292D0766"/>
    <w:rsid w:val="293527E5"/>
    <w:rsid w:val="293E7FD1"/>
    <w:rsid w:val="29404DFA"/>
    <w:rsid w:val="29426D42"/>
    <w:rsid w:val="2959197C"/>
    <w:rsid w:val="2976268C"/>
    <w:rsid w:val="29960C5B"/>
    <w:rsid w:val="29BF1C6E"/>
    <w:rsid w:val="29E17A76"/>
    <w:rsid w:val="29E67293"/>
    <w:rsid w:val="2A040FEF"/>
    <w:rsid w:val="2A073D6A"/>
    <w:rsid w:val="2A7B22B9"/>
    <w:rsid w:val="2B2C33CC"/>
    <w:rsid w:val="2B33462D"/>
    <w:rsid w:val="2B3D5494"/>
    <w:rsid w:val="2B6C62B4"/>
    <w:rsid w:val="2B756BD6"/>
    <w:rsid w:val="2B985060"/>
    <w:rsid w:val="2BA25718"/>
    <w:rsid w:val="2BAF15E3"/>
    <w:rsid w:val="2BD12107"/>
    <w:rsid w:val="2BEE68D3"/>
    <w:rsid w:val="2C114A77"/>
    <w:rsid w:val="2C5B7031"/>
    <w:rsid w:val="2C6A1ACE"/>
    <w:rsid w:val="2CA8155C"/>
    <w:rsid w:val="2CB36ACD"/>
    <w:rsid w:val="2CC056E2"/>
    <w:rsid w:val="2CEA3B51"/>
    <w:rsid w:val="2D0045CB"/>
    <w:rsid w:val="2D0B0DBF"/>
    <w:rsid w:val="2D112230"/>
    <w:rsid w:val="2D1A5AAE"/>
    <w:rsid w:val="2D1E0E45"/>
    <w:rsid w:val="2D2908B7"/>
    <w:rsid w:val="2D2C301A"/>
    <w:rsid w:val="2D3B3A3A"/>
    <w:rsid w:val="2D423F53"/>
    <w:rsid w:val="2D475B75"/>
    <w:rsid w:val="2D4E51DC"/>
    <w:rsid w:val="2D5704A8"/>
    <w:rsid w:val="2D7A3CDE"/>
    <w:rsid w:val="2D7D2598"/>
    <w:rsid w:val="2D970F57"/>
    <w:rsid w:val="2D9E5A94"/>
    <w:rsid w:val="2DA57465"/>
    <w:rsid w:val="2DBF0EF7"/>
    <w:rsid w:val="2DD817DF"/>
    <w:rsid w:val="2DD939E7"/>
    <w:rsid w:val="2E105DE4"/>
    <w:rsid w:val="2E174D8D"/>
    <w:rsid w:val="2E383577"/>
    <w:rsid w:val="2E403663"/>
    <w:rsid w:val="2E694682"/>
    <w:rsid w:val="2E766DD1"/>
    <w:rsid w:val="2EB23BE8"/>
    <w:rsid w:val="2EB245ED"/>
    <w:rsid w:val="2ECD5A9F"/>
    <w:rsid w:val="2EFB4C1A"/>
    <w:rsid w:val="2EFF7AC0"/>
    <w:rsid w:val="2F1407DE"/>
    <w:rsid w:val="2F177A08"/>
    <w:rsid w:val="2F214A2B"/>
    <w:rsid w:val="2F2A6C02"/>
    <w:rsid w:val="2F5048EC"/>
    <w:rsid w:val="2F6604AA"/>
    <w:rsid w:val="2F8D597C"/>
    <w:rsid w:val="2FAE6460"/>
    <w:rsid w:val="2FB36745"/>
    <w:rsid w:val="2FBD1137"/>
    <w:rsid w:val="2FBE2E17"/>
    <w:rsid w:val="2FC034B0"/>
    <w:rsid w:val="2FC43C08"/>
    <w:rsid w:val="2FF52077"/>
    <w:rsid w:val="2FF67C4A"/>
    <w:rsid w:val="30026B3F"/>
    <w:rsid w:val="300734A0"/>
    <w:rsid w:val="303E0C61"/>
    <w:rsid w:val="304802EB"/>
    <w:rsid w:val="304D69C8"/>
    <w:rsid w:val="30555425"/>
    <w:rsid w:val="306A6BED"/>
    <w:rsid w:val="306E6E59"/>
    <w:rsid w:val="30846679"/>
    <w:rsid w:val="30A92DC8"/>
    <w:rsid w:val="30CD1BBB"/>
    <w:rsid w:val="30F26946"/>
    <w:rsid w:val="30F72252"/>
    <w:rsid w:val="310A43D2"/>
    <w:rsid w:val="314237F1"/>
    <w:rsid w:val="315C0447"/>
    <w:rsid w:val="3161592D"/>
    <w:rsid w:val="316E338A"/>
    <w:rsid w:val="316F3003"/>
    <w:rsid w:val="317C21FC"/>
    <w:rsid w:val="317E1AD6"/>
    <w:rsid w:val="318B24CE"/>
    <w:rsid w:val="31A4088A"/>
    <w:rsid w:val="31B96959"/>
    <w:rsid w:val="31BF12E0"/>
    <w:rsid w:val="31E95EB8"/>
    <w:rsid w:val="3233537C"/>
    <w:rsid w:val="32361BEB"/>
    <w:rsid w:val="323D0B92"/>
    <w:rsid w:val="326B2E9B"/>
    <w:rsid w:val="326B7B57"/>
    <w:rsid w:val="32B51CD1"/>
    <w:rsid w:val="32D82A5C"/>
    <w:rsid w:val="330D17F0"/>
    <w:rsid w:val="332E1CAB"/>
    <w:rsid w:val="33465381"/>
    <w:rsid w:val="33486A26"/>
    <w:rsid w:val="335F6CDD"/>
    <w:rsid w:val="336B4CA9"/>
    <w:rsid w:val="33790FAA"/>
    <w:rsid w:val="33AB3BB2"/>
    <w:rsid w:val="33BB5290"/>
    <w:rsid w:val="33E32290"/>
    <w:rsid w:val="33F20F2A"/>
    <w:rsid w:val="3437308B"/>
    <w:rsid w:val="345F4913"/>
    <w:rsid w:val="346E5D1E"/>
    <w:rsid w:val="347A1B62"/>
    <w:rsid w:val="348A4CBF"/>
    <w:rsid w:val="34A346C9"/>
    <w:rsid w:val="350727A0"/>
    <w:rsid w:val="350C3926"/>
    <w:rsid w:val="352F5ED9"/>
    <w:rsid w:val="353115C6"/>
    <w:rsid w:val="3533180D"/>
    <w:rsid w:val="35476709"/>
    <w:rsid w:val="356879DA"/>
    <w:rsid w:val="35A0716C"/>
    <w:rsid w:val="35E92C70"/>
    <w:rsid w:val="360D36CF"/>
    <w:rsid w:val="361E2258"/>
    <w:rsid w:val="363E2C44"/>
    <w:rsid w:val="36C61124"/>
    <w:rsid w:val="36E11C70"/>
    <w:rsid w:val="36F01A33"/>
    <w:rsid w:val="36FE4167"/>
    <w:rsid w:val="372C65EF"/>
    <w:rsid w:val="3747333B"/>
    <w:rsid w:val="378B76CC"/>
    <w:rsid w:val="37BA74ED"/>
    <w:rsid w:val="37BF4094"/>
    <w:rsid w:val="37C83D33"/>
    <w:rsid w:val="37C970F7"/>
    <w:rsid w:val="37F67B50"/>
    <w:rsid w:val="383D46F5"/>
    <w:rsid w:val="386540DF"/>
    <w:rsid w:val="38682610"/>
    <w:rsid w:val="3899482F"/>
    <w:rsid w:val="38A01F68"/>
    <w:rsid w:val="38C74734"/>
    <w:rsid w:val="38D330D8"/>
    <w:rsid w:val="3902778B"/>
    <w:rsid w:val="39050DB8"/>
    <w:rsid w:val="391D6F8A"/>
    <w:rsid w:val="39382742"/>
    <w:rsid w:val="39403D0E"/>
    <w:rsid w:val="39464E76"/>
    <w:rsid w:val="3959798F"/>
    <w:rsid w:val="39A54E5E"/>
    <w:rsid w:val="39AE70A9"/>
    <w:rsid w:val="39C3557A"/>
    <w:rsid w:val="39CA065C"/>
    <w:rsid w:val="3A131DE1"/>
    <w:rsid w:val="3A1348F7"/>
    <w:rsid w:val="3A214932"/>
    <w:rsid w:val="3A2F3DE1"/>
    <w:rsid w:val="3A3C2EFF"/>
    <w:rsid w:val="3A4141FE"/>
    <w:rsid w:val="3A464B75"/>
    <w:rsid w:val="3A4C27A6"/>
    <w:rsid w:val="3A4F37FF"/>
    <w:rsid w:val="3A524929"/>
    <w:rsid w:val="3A6164C2"/>
    <w:rsid w:val="3ABD7878"/>
    <w:rsid w:val="3AD17207"/>
    <w:rsid w:val="3AF16534"/>
    <w:rsid w:val="3AF47035"/>
    <w:rsid w:val="3B043A1D"/>
    <w:rsid w:val="3B2702E0"/>
    <w:rsid w:val="3B821574"/>
    <w:rsid w:val="3BB97F60"/>
    <w:rsid w:val="3BCF2FC1"/>
    <w:rsid w:val="3C064AEC"/>
    <w:rsid w:val="3C110069"/>
    <w:rsid w:val="3C19172C"/>
    <w:rsid w:val="3C596697"/>
    <w:rsid w:val="3C627986"/>
    <w:rsid w:val="3C652594"/>
    <w:rsid w:val="3C6768AF"/>
    <w:rsid w:val="3C6F162B"/>
    <w:rsid w:val="3C761FCB"/>
    <w:rsid w:val="3C7B4B60"/>
    <w:rsid w:val="3C8A5E02"/>
    <w:rsid w:val="3C8B76AE"/>
    <w:rsid w:val="3CC87145"/>
    <w:rsid w:val="3D18106F"/>
    <w:rsid w:val="3D432642"/>
    <w:rsid w:val="3D692B7A"/>
    <w:rsid w:val="3D6D0845"/>
    <w:rsid w:val="3D737B9D"/>
    <w:rsid w:val="3D783F55"/>
    <w:rsid w:val="3D8C343F"/>
    <w:rsid w:val="3D9F67BC"/>
    <w:rsid w:val="3DA93169"/>
    <w:rsid w:val="3DC96858"/>
    <w:rsid w:val="3DCE2CF2"/>
    <w:rsid w:val="3E162C3E"/>
    <w:rsid w:val="3E213688"/>
    <w:rsid w:val="3E342887"/>
    <w:rsid w:val="3E41759E"/>
    <w:rsid w:val="3E590DA0"/>
    <w:rsid w:val="3E613D11"/>
    <w:rsid w:val="3E6E1FAB"/>
    <w:rsid w:val="3E9961CA"/>
    <w:rsid w:val="3EA77CB1"/>
    <w:rsid w:val="3EA82C6E"/>
    <w:rsid w:val="3F0F6B27"/>
    <w:rsid w:val="3F165A12"/>
    <w:rsid w:val="3F174B9A"/>
    <w:rsid w:val="3F2D2E17"/>
    <w:rsid w:val="3F35413C"/>
    <w:rsid w:val="3F4B21EC"/>
    <w:rsid w:val="3F5719A7"/>
    <w:rsid w:val="3F9814B2"/>
    <w:rsid w:val="3FA631FA"/>
    <w:rsid w:val="3FAE27BB"/>
    <w:rsid w:val="3FB25683"/>
    <w:rsid w:val="3FC31EB1"/>
    <w:rsid w:val="3FC35A86"/>
    <w:rsid w:val="3FC62F71"/>
    <w:rsid w:val="3FD85E54"/>
    <w:rsid w:val="3FE1137C"/>
    <w:rsid w:val="3FE47E96"/>
    <w:rsid w:val="3FF027C2"/>
    <w:rsid w:val="3FF22745"/>
    <w:rsid w:val="3FF550FA"/>
    <w:rsid w:val="3FFC7DF9"/>
    <w:rsid w:val="400A58C8"/>
    <w:rsid w:val="400F68AD"/>
    <w:rsid w:val="403C425A"/>
    <w:rsid w:val="407671D8"/>
    <w:rsid w:val="408B30F9"/>
    <w:rsid w:val="4091116A"/>
    <w:rsid w:val="40BE2FC3"/>
    <w:rsid w:val="40D914A8"/>
    <w:rsid w:val="40FF3CFC"/>
    <w:rsid w:val="41066FE2"/>
    <w:rsid w:val="41172E91"/>
    <w:rsid w:val="415C294F"/>
    <w:rsid w:val="41656209"/>
    <w:rsid w:val="41686488"/>
    <w:rsid w:val="417863BD"/>
    <w:rsid w:val="41BC1903"/>
    <w:rsid w:val="41F6051A"/>
    <w:rsid w:val="4246517B"/>
    <w:rsid w:val="425744C5"/>
    <w:rsid w:val="4266399B"/>
    <w:rsid w:val="426C0B65"/>
    <w:rsid w:val="429975BC"/>
    <w:rsid w:val="429F18AB"/>
    <w:rsid w:val="42A30605"/>
    <w:rsid w:val="42B47139"/>
    <w:rsid w:val="42C56F23"/>
    <w:rsid w:val="42D17F64"/>
    <w:rsid w:val="42E34AC6"/>
    <w:rsid w:val="42EB5FF0"/>
    <w:rsid w:val="43036B44"/>
    <w:rsid w:val="43307E46"/>
    <w:rsid w:val="43342FAE"/>
    <w:rsid w:val="43381829"/>
    <w:rsid w:val="433C04C9"/>
    <w:rsid w:val="435E4775"/>
    <w:rsid w:val="43624F98"/>
    <w:rsid w:val="4374173E"/>
    <w:rsid w:val="437C1034"/>
    <w:rsid w:val="437D5DB3"/>
    <w:rsid w:val="43844393"/>
    <w:rsid w:val="43903BCC"/>
    <w:rsid w:val="43A551DD"/>
    <w:rsid w:val="43C81899"/>
    <w:rsid w:val="43E85631"/>
    <w:rsid w:val="440219DA"/>
    <w:rsid w:val="44146AD4"/>
    <w:rsid w:val="44181508"/>
    <w:rsid w:val="441C6BC0"/>
    <w:rsid w:val="44261981"/>
    <w:rsid w:val="44495A03"/>
    <w:rsid w:val="44626EE9"/>
    <w:rsid w:val="448A6A7C"/>
    <w:rsid w:val="44973949"/>
    <w:rsid w:val="44D143A4"/>
    <w:rsid w:val="45012A68"/>
    <w:rsid w:val="453657E6"/>
    <w:rsid w:val="45584FA3"/>
    <w:rsid w:val="456170F8"/>
    <w:rsid w:val="45946DBA"/>
    <w:rsid w:val="459A67E2"/>
    <w:rsid w:val="45BB491C"/>
    <w:rsid w:val="45CD7CE9"/>
    <w:rsid w:val="45D808A2"/>
    <w:rsid w:val="45E03CFC"/>
    <w:rsid w:val="45F72EBF"/>
    <w:rsid w:val="46095A13"/>
    <w:rsid w:val="465978DA"/>
    <w:rsid w:val="46676A24"/>
    <w:rsid w:val="467B45BC"/>
    <w:rsid w:val="468531C2"/>
    <w:rsid w:val="46863E9D"/>
    <w:rsid w:val="46AC673A"/>
    <w:rsid w:val="46B27113"/>
    <w:rsid w:val="46DA1AD6"/>
    <w:rsid w:val="470B6A2E"/>
    <w:rsid w:val="47CB634F"/>
    <w:rsid w:val="47E77EB0"/>
    <w:rsid w:val="483460F4"/>
    <w:rsid w:val="484A50F9"/>
    <w:rsid w:val="48894852"/>
    <w:rsid w:val="488F1F0D"/>
    <w:rsid w:val="48C10CF2"/>
    <w:rsid w:val="48E21116"/>
    <w:rsid w:val="48F119C5"/>
    <w:rsid w:val="48F162A6"/>
    <w:rsid w:val="48F90AB4"/>
    <w:rsid w:val="49143462"/>
    <w:rsid w:val="494139FA"/>
    <w:rsid w:val="497370EE"/>
    <w:rsid w:val="49863202"/>
    <w:rsid w:val="499401C8"/>
    <w:rsid w:val="49BB7A68"/>
    <w:rsid w:val="49BC54C3"/>
    <w:rsid w:val="4A3A5D74"/>
    <w:rsid w:val="4A472DD9"/>
    <w:rsid w:val="4A5B3DB4"/>
    <w:rsid w:val="4A603CB8"/>
    <w:rsid w:val="4A73168D"/>
    <w:rsid w:val="4A7C69AD"/>
    <w:rsid w:val="4AAB521E"/>
    <w:rsid w:val="4AC21092"/>
    <w:rsid w:val="4ACE5C30"/>
    <w:rsid w:val="4AFA1445"/>
    <w:rsid w:val="4AFC6997"/>
    <w:rsid w:val="4B1D548C"/>
    <w:rsid w:val="4B7B7ABD"/>
    <w:rsid w:val="4BAD2697"/>
    <w:rsid w:val="4BB109D2"/>
    <w:rsid w:val="4BC35B08"/>
    <w:rsid w:val="4BD4266C"/>
    <w:rsid w:val="4BE40D01"/>
    <w:rsid w:val="4C3136AF"/>
    <w:rsid w:val="4C3B2BA7"/>
    <w:rsid w:val="4C4B48BA"/>
    <w:rsid w:val="4C51283A"/>
    <w:rsid w:val="4C681932"/>
    <w:rsid w:val="4C7B133A"/>
    <w:rsid w:val="4C9D5A7F"/>
    <w:rsid w:val="4CAC0DBF"/>
    <w:rsid w:val="4CD866E7"/>
    <w:rsid w:val="4CDA31D5"/>
    <w:rsid w:val="4CE817BC"/>
    <w:rsid w:val="4D201864"/>
    <w:rsid w:val="4D39122C"/>
    <w:rsid w:val="4D5E5FE4"/>
    <w:rsid w:val="4D8021C0"/>
    <w:rsid w:val="4D8B3CB7"/>
    <w:rsid w:val="4D8C1E4F"/>
    <w:rsid w:val="4D956757"/>
    <w:rsid w:val="4D9D1880"/>
    <w:rsid w:val="4DC87F7C"/>
    <w:rsid w:val="4DD67197"/>
    <w:rsid w:val="4DE969C9"/>
    <w:rsid w:val="4DFA3CB5"/>
    <w:rsid w:val="4E1478D6"/>
    <w:rsid w:val="4E3A77A1"/>
    <w:rsid w:val="4E525A58"/>
    <w:rsid w:val="4E7A1765"/>
    <w:rsid w:val="4E964534"/>
    <w:rsid w:val="4EB86BA1"/>
    <w:rsid w:val="4EB90223"/>
    <w:rsid w:val="4ED817CF"/>
    <w:rsid w:val="4F014119"/>
    <w:rsid w:val="4F075C65"/>
    <w:rsid w:val="4F2C6C47"/>
    <w:rsid w:val="4F370278"/>
    <w:rsid w:val="4F472EDF"/>
    <w:rsid w:val="4F4D2799"/>
    <w:rsid w:val="4F767AAA"/>
    <w:rsid w:val="4F8D5D54"/>
    <w:rsid w:val="4F8E2AB1"/>
    <w:rsid w:val="4FA113E3"/>
    <w:rsid w:val="4FA231FC"/>
    <w:rsid w:val="4FC27174"/>
    <w:rsid w:val="4FED419C"/>
    <w:rsid w:val="50145C31"/>
    <w:rsid w:val="5029398E"/>
    <w:rsid w:val="50355FCF"/>
    <w:rsid w:val="50425511"/>
    <w:rsid w:val="505A77E4"/>
    <w:rsid w:val="506A1FA8"/>
    <w:rsid w:val="50812A75"/>
    <w:rsid w:val="50812C9B"/>
    <w:rsid w:val="508A19C5"/>
    <w:rsid w:val="50AF685C"/>
    <w:rsid w:val="50CC6332"/>
    <w:rsid w:val="50E8365B"/>
    <w:rsid w:val="50FD071E"/>
    <w:rsid w:val="51006E57"/>
    <w:rsid w:val="511526B0"/>
    <w:rsid w:val="512A121B"/>
    <w:rsid w:val="51583494"/>
    <w:rsid w:val="51606F67"/>
    <w:rsid w:val="516E2453"/>
    <w:rsid w:val="51746408"/>
    <w:rsid w:val="517D147E"/>
    <w:rsid w:val="519342EF"/>
    <w:rsid w:val="51B77C7D"/>
    <w:rsid w:val="51C66E61"/>
    <w:rsid w:val="522D1649"/>
    <w:rsid w:val="523210D7"/>
    <w:rsid w:val="5248054A"/>
    <w:rsid w:val="524C2BE5"/>
    <w:rsid w:val="52501040"/>
    <w:rsid w:val="52943364"/>
    <w:rsid w:val="529A387D"/>
    <w:rsid w:val="529D2DBA"/>
    <w:rsid w:val="52B4678B"/>
    <w:rsid w:val="52DE6E6D"/>
    <w:rsid w:val="52E77C4C"/>
    <w:rsid w:val="53046B26"/>
    <w:rsid w:val="530D48B9"/>
    <w:rsid w:val="530D4FE1"/>
    <w:rsid w:val="531445C2"/>
    <w:rsid w:val="53410CAF"/>
    <w:rsid w:val="535D4156"/>
    <w:rsid w:val="536A0945"/>
    <w:rsid w:val="537B2BBB"/>
    <w:rsid w:val="538A4E47"/>
    <w:rsid w:val="53A00611"/>
    <w:rsid w:val="53B44CC8"/>
    <w:rsid w:val="53D960B8"/>
    <w:rsid w:val="53F00B42"/>
    <w:rsid w:val="53F41B45"/>
    <w:rsid w:val="54063112"/>
    <w:rsid w:val="54063778"/>
    <w:rsid w:val="543036FA"/>
    <w:rsid w:val="543D5461"/>
    <w:rsid w:val="54457622"/>
    <w:rsid w:val="545903C1"/>
    <w:rsid w:val="5461271D"/>
    <w:rsid w:val="547A18D8"/>
    <w:rsid w:val="547A40FA"/>
    <w:rsid w:val="54867B62"/>
    <w:rsid w:val="54A178A4"/>
    <w:rsid w:val="54BD28FF"/>
    <w:rsid w:val="54E8787E"/>
    <w:rsid w:val="54FC5CE6"/>
    <w:rsid w:val="55247659"/>
    <w:rsid w:val="552A6476"/>
    <w:rsid w:val="552B0709"/>
    <w:rsid w:val="552B1AC5"/>
    <w:rsid w:val="554A4D78"/>
    <w:rsid w:val="556A0C15"/>
    <w:rsid w:val="55921325"/>
    <w:rsid w:val="559669E1"/>
    <w:rsid w:val="55B145BB"/>
    <w:rsid w:val="55EC5BDA"/>
    <w:rsid w:val="56095EF1"/>
    <w:rsid w:val="562B214F"/>
    <w:rsid w:val="562C7F0B"/>
    <w:rsid w:val="562D2A6F"/>
    <w:rsid w:val="563753FD"/>
    <w:rsid w:val="569E585C"/>
    <w:rsid w:val="56AB3C03"/>
    <w:rsid w:val="56DB6220"/>
    <w:rsid w:val="56ED56B2"/>
    <w:rsid w:val="56FA5A54"/>
    <w:rsid w:val="57074D6B"/>
    <w:rsid w:val="57123A3B"/>
    <w:rsid w:val="571319BE"/>
    <w:rsid w:val="574A6804"/>
    <w:rsid w:val="57521214"/>
    <w:rsid w:val="576912F7"/>
    <w:rsid w:val="57AA44B4"/>
    <w:rsid w:val="57E44562"/>
    <w:rsid w:val="583253FE"/>
    <w:rsid w:val="586B13E0"/>
    <w:rsid w:val="58701CEC"/>
    <w:rsid w:val="58A7612A"/>
    <w:rsid w:val="58E83C54"/>
    <w:rsid w:val="593C7F85"/>
    <w:rsid w:val="597A273A"/>
    <w:rsid w:val="59981141"/>
    <w:rsid w:val="59D44D06"/>
    <w:rsid w:val="59D746CF"/>
    <w:rsid w:val="5A017EDE"/>
    <w:rsid w:val="5A07278A"/>
    <w:rsid w:val="5A0A3C71"/>
    <w:rsid w:val="5A231E03"/>
    <w:rsid w:val="5A4D1412"/>
    <w:rsid w:val="5A6D7530"/>
    <w:rsid w:val="5A772091"/>
    <w:rsid w:val="5A9F29D7"/>
    <w:rsid w:val="5AA97A04"/>
    <w:rsid w:val="5AAD0D03"/>
    <w:rsid w:val="5ADC7773"/>
    <w:rsid w:val="5B3F1217"/>
    <w:rsid w:val="5B557557"/>
    <w:rsid w:val="5B6F72D2"/>
    <w:rsid w:val="5B7061F8"/>
    <w:rsid w:val="5B820471"/>
    <w:rsid w:val="5BB13B5B"/>
    <w:rsid w:val="5BD84376"/>
    <w:rsid w:val="5C164F06"/>
    <w:rsid w:val="5C353B44"/>
    <w:rsid w:val="5C81400A"/>
    <w:rsid w:val="5CA156A6"/>
    <w:rsid w:val="5CB61C6E"/>
    <w:rsid w:val="5CC257DB"/>
    <w:rsid w:val="5CD332BF"/>
    <w:rsid w:val="5CEC03BB"/>
    <w:rsid w:val="5D041DFC"/>
    <w:rsid w:val="5D0A384B"/>
    <w:rsid w:val="5D120EE5"/>
    <w:rsid w:val="5D350075"/>
    <w:rsid w:val="5D4B7848"/>
    <w:rsid w:val="5D4D50F1"/>
    <w:rsid w:val="5DA56542"/>
    <w:rsid w:val="5DCB59F0"/>
    <w:rsid w:val="5DFA4615"/>
    <w:rsid w:val="5DFD4832"/>
    <w:rsid w:val="5E10490C"/>
    <w:rsid w:val="5E567766"/>
    <w:rsid w:val="5E7E6D93"/>
    <w:rsid w:val="5E97465E"/>
    <w:rsid w:val="5EAD72D3"/>
    <w:rsid w:val="5F0B07E7"/>
    <w:rsid w:val="5F155949"/>
    <w:rsid w:val="5F1A7C10"/>
    <w:rsid w:val="5F221DE6"/>
    <w:rsid w:val="5F3C3B05"/>
    <w:rsid w:val="5F6E6207"/>
    <w:rsid w:val="5FB60022"/>
    <w:rsid w:val="5FFE1746"/>
    <w:rsid w:val="602216EF"/>
    <w:rsid w:val="60443E7B"/>
    <w:rsid w:val="60483C96"/>
    <w:rsid w:val="607A1097"/>
    <w:rsid w:val="607D7D46"/>
    <w:rsid w:val="609B63B0"/>
    <w:rsid w:val="60B21AB3"/>
    <w:rsid w:val="60DF7FBD"/>
    <w:rsid w:val="60E106AE"/>
    <w:rsid w:val="60E51508"/>
    <w:rsid w:val="60EC6425"/>
    <w:rsid w:val="60F6314E"/>
    <w:rsid w:val="60FB2A5E"/>
    <w:rsid w:val="61017B98"/>
    <w:rsid w:val="611D32BA"/>
    <w:rsid w:val="61227EAA"/>
    <w:rsid w:val="612861BC"/>
    <w:rsid w:val="61870770"/>
    <w:rsid w:val="61E0746B"/>
    <w:rsid w:val="61E74CAA"/>
    <w:rsid w:val="61F40B05"/>
    <w:rsid w:val="61F923F0"/>
    <w:rsid w:val="62037E6C"/>
    <w:rsid w:val="620B5662"/>
    <w:rsid w:val="62111AB4"/>
    <w:rsid w:val="626145F8"/>
    <w:rsid w:val="62873997"/>
    <w:rsid w:val="628C1CAC"/>
    <w:rsid w:val="62B40CA5"/>
    <w:rsid w:val="62B65FBA"/>
    <w:rsid w:val="62CF4806"/>
    <w:rsid w:val="62EA7CFE"/>
    <w:rsid w:val="634355C9"/>
    <w:rsid w:val="63663A57"/>
    <w:rsid w:val="636B36AF"/>
    <w:rsid w:val="63D259C9"/>
    <w:rsid w:val="63DF498E"/>
    <w:rsid w:val="63EF7D12"/>
    <w:rsid w:val="640823D1"/>
    <w:rsid w:val="641F7AF5"/>
    <w:rsid w:val="64395C36"/>
    <w:rsid w:val="64437E29"/>
    <w:rsid w:val="64561895"/>
    <w:rsid w:val="64800430"/>
    <w:rsid w:val="64850E7B"/>
    <w:rsid w:val="64890783"/>
    <w:rsid w:val="64B67BC3"/>
    <w:rsid w:val="64C1578C"/>
    <w:rsid w:val="64CD2444"/>
    <w:rsid w:val="64D86CC2"/>
    <w:rsid w:val="64E421C7"/>
    <w:rsid w:val="64F72E6B"/>
    <w:rsid w:val="65010632"/>
    <w:rsid w:val="652555E7"/>
    <w:rsid w:val="65297A59"/>
    <w:rsid w:val="65573AF8"/>
    <w:rsid w:val="65A02911"/>
    <w:rsid w:val="65A657A2"/>
    <w:rsid w:val="65AF0E32"/>
    <w:rsid w:val="65BC08CD"/>
    <w:rsid w:val="65BC6B1F"/>
    <w:rsid w:val="65CE5168"/>
    <w:rsid w:val="65D37735"/>
    <w:rsid w:val="65D551B6"/>
    <w:rsid w:val="65E60204"/>
    <w:rsid w:val="6604551F"/>
    <w:rsid w:val="660B5B25"/>
    <w:rsid w:val="66203A8D"/>
    <w:rsid w:val="66265184"/>
    <w:rsid w:val="663938F9"/>
    <w:rsid w:val="665353A5"/>
    <w:rsid w:val="66702E19"/>
    <w:rsid w:val="667674CD"/>
    <w:rsid w:val="66820430"/>
    <w:rsid w:val="668F77E9"/>
    <w:rsid w:val="66AF3A6A"/>
    <w:rsid w:val="66BC5DFB"/>
    <w:rsid w:val="66D97000"/>
    <w:rsid w:val="66F6049D"/>
    <w:rsid w:val="670B5FBB"/>
    <w:rsid w:val="67141AB0"/>
    <w:rsid w:val="672E00FA"/>
    <w:rsid w:val="67395F4D"/>
    <w:rsid w:val="67436443"/>
    <w:rsid w:val="675A15AA"/>
    <w:rsid w:val="676834A9"/>
    <w:rsid w:val="678017BB"/>
    <w:rsid w:val="678501C9"/>
    <w:rsid w:val="67967F68"/>
    <w:rsid w:val="679B42DE"/>
    <w:rsid w:val="679C1F63"/>
    <w:rsid w:val="67CB3943"/>
    <w:rsid w:val="68366552"/>
    <w:rsid w:val="68383144"/>
    <w:rsid w:val="6843020D"/>
    <w:rsid w:val="685C0049"/>
    <w:rsid w:val="68664374"/>
    <w:rsid w:val="689822E0"/>
    <w:rsid w:val="68B24F66"/>
    <w:rsid w:val="68BF4B24"/>
    <w:rsid w:val="68C3318E"/>
    <w:rsid w:val="68E80B8B"/>
    <w:rsid w:val="68F75852"/>
    <w:rsid w:val="691421FF"/>
    <w:rsid w:val="693732A2"/>
    <w:rsid w:val="697B692B"/>
    <w:rsid w:val="6999449E"/>
    <w:rsid w:val="69D41F5D"/>
    <w:rsid w:val="69F0323B"/>
    <w:rsid w:val="69FC1BE0"/>
    <w:rsid w:val="6A035DDC"/>
    <w:rsid w:val="6A146246"/>
    <w:rsid w:val="6A4A39B8"/>
    <w:rsid w:val="6A4E07FF"/>
    <w:rsid w:val="6A5A7D48"/>
    <w:rsid w:val="6A8C2013"/>
    <w:rsid w:val="6AA47DF9"/>
    <w:rsid w:val="6AC9551F"/>
    <w:rsid w:val="6AD03FC0"/>
    <w:rsid w:val="6AF22D9B"/>
    <w:rsid w:val="6B084571"/>
    <w:rsid w:val="6B2E4909"/>
    <w:rsid w:val="6B58322A"/>
    <w:rsid w:val="6B86278C"/>
    <w:rsid w:val="6B870225"/>
    <w:rsid w:val="6BE17362"/>
    <w:rsid w:val="6C030708"/>
    <w:rsid w:val="6C693F2B"/>
    <w:rsid w:val="6C9F1BEC"/>
    <w:rsid w:val="6CE81FA7"/>
    <w:rsid w:val="6D0C2096"/>
    <w:rsid w:val="6D321EC3"/>
    <w:rsid w:val="6D8F2954"/>
    <w:rsid w:val="6DA44B70"/>
    <w:rsid w:val="6DC1709B"/>
    <w:rsid w:val="6DC347C2"/>
    <w:rsid w:val="6DD61D9A"/>
    <w:rsid w:val="6E3E1A22"/>
    <w:rsid w:val="6E406E20"/>
    <w:rsid w:val="6E5324A5"/>
    <w:rsid w:val="6E647D53"/>
    <w:rsid w:val="6E7435A3"/>
    <w:rsid w:val="6E7C3899"/>
    <w:rsid w:val="6EC04F0A"/>
    <w:rsid w:val="6EC627BC"/>
    <w:rsid w:val="6EDC49E4"/>
    <w:rsid w:val="6F3E145C"/>
    <w:rsid w:val="6F4B4A6F"/>
    <w:rsid w:val="6F54313C"/>
    <w:rsid w:val="6F56737F"/>
    <w:rsid w:val="6F85108C"/>
    <w:rsid w:val="6F986F33"/>
    <w:rsid w:val="6FB517B8"/>
    <w:rsid w:val="6FB72105"/>
    <w:rsid w:val="6FBB0D04"/>
    <w:rsid w:val="6FCA33E2"/>
    <w:rsid w:val="70965A9D"/>
    <w:rsid w:val="70BA0572"/>
    <w:rsid w:val="70C679EA"/>
    <w:rsid w:val="70CE1DBE"/>
    <w:rsid w:val="70CE7706"/>
    <w:rsid w:val="70F35357"/>
    <w:rsid w:val="70F50086"/>
    <w:rsid w:val="710960E8"/>
    <w:rsid w:val="710B0CF0"/>
    <w:rsid w:val="71107B36"/>
    <w:rsid w:val="71207818"/>
    <w:rsid w:val="71381129"/>
    <w:rsid w:val="714223D0"/>
    <w:rsid w:val="718B1AC8"/>
    <w:rsid w:val="719147F1"/>
    <w:rsid w:val="71A628FF"/>
    <w:rsid w:val="71A64098"/>
    <w:rsid w:val="71B338FB"/>
    <w:rsid w:val="71B634AA"/>
    <w:rsid w:val="7205184D"/>
    <w:rsid w:val="72275553"/>
    <w:rsid w:val="72346AC2"/>
    <w:rsid w:val="72503660"/>
    <w:rsid w:val="725D19EB"/>
    <w:rsid w:val="725F61DD"/>
    <w:rsid w:val="727C61B1"/>
    <w:rsid w:val="7285295D"/>
    <w:rsid w:val="72924E0A"/>
    <w:rsid w:val="72E36375"/>
    <w:rsid w:val="72FA3B66"/>
    <w:rsid w:val="73130B1A"/>
    <w:rsid w:val="735823C2"/>
    <w:rsid w:val="735C1779"/>
    <w:rsid w:val="73951B46"/>
    <w:rsid w:val="73CE45A7"/>
    <w:rsid w:val="73D212B8"/>
    <w:rsid w:val="73FD0B04"/>
    <w:rsid w:val="74007AA0"/>
    <w:rsid w:val="741840EA"/>
    <w:rsid w:val="742A49F9"/>
    <w:rsid w:val="74493399"/>
    <w:rsid w:val="74556271"/>
    <w:rsid w:val="747909C4"/>
    <w:rsid w:val="74D22D04"/>
    <w:rsid w:val="74D25D49"/>
    <w:rsid w:val="74D472B5"/>
    <w:rsid w:val="74D66918"/>
    <w:rsid w:val="74F910C0"/>
    <w:rsid w:val="74FC6F0A"/>
    <w:rsid w:val="75026F65"/>
    <w:rsid w:val="750F7C5D"/>
    <w:rsid w:val="75137DDD"/>
    <w:rsid w:val="75783842"/>
    <w:rsid w:val="758D02E4"/>
    <w:rsid w:val="75AC1784"/>
    <w:rsid w:val="75D31AE2"/>
    <w:rsid w:val="75F54F5B"/>
    <w:rsid w:val="76040271"/>
    <w:rsid w:val="760A36E1"/>
    <w:rsid w:val="7617645F"/>
    <w:rsid w:val="762304F4"/>
    <w:rsid w:val="7625071E"/>
    <w:rsid w:val="767C14BF"/>
    <w:rsid w:val="76A120DE"/>
    <w:rsid w:val="76A34C5B"/>
    <w:rsid w:val="76A74C81"/>
    <w:rsid w:val="76D8718C"/>
    <w:rsid w:val="771C566F"/>
    <w:rsid w:val="77383511"/>
    <w:rsid w:val="77435AB2"/>
    <w:rsid w:val="776341E5"/>
    <w:rsid w:val="776654FB"/>
    <w:rsid w:val="77835DA8"/>
    <w:rsid w:val="77935205"/>
    <w:rsid w:val="779401F4"/>
    <w:rsid w:val="77984B13"/>
    <w:rsid w:val="77BD3513"/>
    <w:rsid w:val="77E617D9"/>
    <w:rsid w:val="77EF104D"/>
    <w:rsid w:val="77F07796"/>
    <w:rsid w:val="783971BF"/>
    <w:rsid w:val="784529A4"/>
    <w:rsid w:val="784A77E7"/>
    <w:rsid w:val="78764845"/>
    <w:rsid w:val="78AA43E2"/>
    <w:rsid w:val="78B05B02"/>
    <w:rsid w:val="793B3DA7"/>
    <w:rsid w:val="793C4AD6"/>
    <w:rsid w:val="793F648F"/>
    <w:rsid w:val="79651278"/>
    <w:rsid w:val="7995326F"/>
    <w:rsid w:val="79CB1C37"/>
    <w:rsid w:val="79F80813"/>
    <w:rsid w:val="79FF0BE8"/>
    <w:rsid w:val="7A0B7A1A"/>
    <w:rsid w:val="7A1B44CD"/>
    <w:rsid w:val="7A2A4A0B"/>
    <w:rsid w:val="7A7048C9"/>
    <w:rsid w:val="7A786A7F"/>
    <w:rsid w:val="7A8077FF"/>
    <w:rsid w:val="7A88301C"/>
    <w:rsid w:val="7A9E4649"/>
    <w:rsid w:val="7AA51864"/>
    <w:rsid w:val="7AB17A2D"/>
    <w:rsid w:val="7AE6195B"/>
    <w:rsid w:val="7AF34520"/>
    <w:rsid w:val="7B3B4203"/>
    <w:rsid w:val="7B50571A"/>
    <w:rsid w:val="7B5F46D3"/>
    <w:rsid w:val="7BB73516"/>
    <w:rsid w:val="7BC01ABE"/>
    <w:rsid w:val="7BC9496F"/>
    <w:rsid w:val="7C046C50"/>
    <w:rsid w:val="7C4F1983"/>
    <w:rsid w:val="7C664BB7"/>
    <w:rsid w:val="7CA8335C"/>
    <w:rsid w:val="7CB258C5"/>
    <w:rsid w:val="7CBA381B"/>
    <w:rsid w:val="7CC32867"/>
    <w:rsid w:val="7CD42548"/>
    <w:rsid w:val="7CDB18EA"/>
    <w:rsid w:val="7CE84D34"/>
    <w:rsid w:val="7CF509C1"/>
    <w:rsid w:val="7D1476BD"/>
    <w:rsid w:val="7D37182F"/>
    <w:rsid w:val="7D4D430D"/>
    <w:rsid w:val="7D50688A"/>
    <w:rsid w:val="7D5E52BE"/>
    <w:rsid w:val="7D711919"/>
    <w:rsid w:val="7D750845"/>
    <w:rsid w:val="7D755603"/>
    <w:rsid w:val="7D7B6E68"/>
    <w:rsid w:val="7D9F66B2"/>
    <w:rsid w:val="7DBB3FF5"/>
    <w:rsid w:val="7DF31D12"/>
    <w:rsid w:val="7E07429F"/>
    <w:rsid w:val="7E181F9E"/>
    <w:rsid w:val="7E4D25B2"/>
    <w:rsid w:val="7E586D1E"/>
    <w:rsid w:val="7E5A7A6C"/>
    <w:rsid w:val="7E681127"/>
    <w:rsid w:val="7E6830E8"/>
    <w:rsid w:val="7E925C12"/>
    <w:rsid w:val="7EDD375C"/>
    <w:rsid w:val="7F0615EF"/>
    <w:rsid w:val="7F111040"/>
    <w:rsid w:val="7F1A541C"/>
    <w:rsid w:val="7F2353F9"/>
    <w:rsid w:val="7F333978"/>
    <w:rsid w:val="7F533BF8"/>
    <w:rsid w:val="7FB44B21"/>
    <w:rsid w:val="7FD441FF"/>
    <w:rsid w:val="7FD84A57"/>
    <w:rsid w:val="7FF6744C"/>
    <w:rsid w:val="DF7DA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9"/>
    <w:pPr>
      <w:keepNext/>
      <w:keepLines/>
      <w:adjustRightInd w:val="0"/>
      <w:snapToGrid w:val="0"/>
      <w:spacing w:line="360" w:lineRule="auto"/>
      <w:jc w:val="center"/>
      <w:outlineLvl w:val="0"/>
    </w:pPr>
    <w:rPr>
      <w:b/>
      <w:kern w:val="44"/>
      <w:sz w:val="44"/>
      <w:szCs w:val="20"/>
    </w:rPr>
  </w:style>
  <w:style w:type="paragraph" w:styleId="5">
    <w:name w:val="heading 2"/>
    <w:basedOn w:val="1"/>
    <w:next w:val="1"/>
    <w:qFormat/>
    <w:uiPriority w:val="0"/>
    <w:pPr>
      <w:keepNext/>
      <w:keepLines/>
      <w:adjustRightInd w:val="0"/>
      <w:snapToGrid w:val="0"/>
      <w:spacing w:line="360" w:lineRule="auto"/>
      <w:jc w:val="left"/>
      <w:outlineLvl w:val="1"/>
    </w:pPr>
    <w:rPr>
      <w:rFonts w:ascii="Arial" w:hAnsi="Arial"/>
      <w:b/>
      <w:bCs/>
      <w:sz w:val="28"/>
      <w:szCs w:val="32"/>
    </w:rPr>
  </w:style>
  <w:style w:type="paragraph" w:styleId="6">
    <w:name w:val="heading 3"/>
    <w:basedOn w:val="1"/>
    <w:next w:val="1"/>
    <w:qFormat/>
    <w:uiPriority w:val="0"/>
    <w:pPr>
      <w:keepNext/>
      <w:keepLines/>
      <w:adjustRightInd w:val="0"/>
      <w:snapToGrid w:val="0"/>
      <w:spacing w:line="360" w:lineRule="auto"/>
      <w:outlineLvl w:val="2"/>
    </w:pPr>
    <w:rPr>
      <w:b/>
      <w:bCs/>
      <w:sz w:val="28"/>
      <w:szCs w:val="32"/>
    </w:rPr>
  </w:style>
  <w:style w:type="paragraph" w:styleId="7">
    <w:name w:val="heading 4"/>
    <w:basedOn w:val="1"/>
    <w:next w:val="1"/>
    <w:link w:val="46"/>
    <w:qFormat/>
    <w:uiPriority w:val="0"/>
    <w:pPr>
      <w:keepNext/>
      <w:keepLines/>
      <w:spacing w:before="100" w:after="100" w:line="460" w:lineRule="exact"/>
      <w:ind w:left="420" w:leftChars="200"/>
      <w:jc w:val="left"/>
      <w:outlineLvl w:val="3"/>
    </w:pPr>
    <w:rPr>
      <w:rFonts w:ascii="Arial" w:hAnsi="Arial"/>
      <w:b/>
      <w:kern w:val="0"/>
      <w:sz w:val="24"/>
      <w:szCs w:val="20"/>
    </w:rPr>
  </w:style>
  <w:style w:type="paragraph" w:styleId="8">
    <w:name w:val="heading 6"/>
    <w:basedOn w:val="1"/>
    <w:next w:val="1"/>
    <w:qFormat/>
    <w:uiPriority w:val="1"/>
    <w:pPr>
      <w:ind w:left="1217"/>
      <w:outlineLvl w:val="5"/>
    </w:pPr>
    <w:rPr>
      <w:rFonts w:ascii="微软雅黑" w:hAnsi="微软雅黑" w:eastAsia="微软雅黑" w:cs="微软雅黑"/>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after="120" w:line="240" w:lineRule="auto"/>
      <w:ind w:left="420" w:leftChars="200" w:firstLine="420"/>
    </w:pPr>
    <w:rPr>
      <w:rFonts w:cs="宋体"/>
      <w:sz w:val="21"/>
      <w:szCs w:val="21"/>
    </w:rPr>
  </w:style>
  <w:style w:type="paragraph" w:styleId="3">
    <w:name w:val="Body Text Indent"/>
    <w:basedOn w:val="1"/>
    <w:next w:val="2"/>
    <w:qFormat/>
    <w:uiPriority w:val="0"/>
    <w:pPr>
      <w:spacing w:line="200" w:lineRule="exact"/>
      <w:ind w:firstLine="301"/>
    </w:pPr>
    <w:rPr>
      <w:rFonts w:ascii="宋体" w:hAnsi="Courier New"/>
      <w:spacing w:val="-4"/>
      <w:sz w:val="18"/>
      <w:szCs w:val="20"/>
    </w:rPr>
  </w:style>
  <w:style w:type="paragraph" w:styleId="9">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Body Text 3"/>
    <w:basedOn w:val="1"/>
    <w:qFormat/>
    <w:uiPriority w:val="0"/>
    <w:pPr>
      <w:snapToGrid w:val="0"/>
      <w:spacing w:before="50" w:after="50"/>
    </w:pPr>
    <w:rPr>
      <w:rFonts w:hAnsi="宋体" w:eastAsia="仿宋_GB2312"/>
      <w:b/>
      <w:bCs/>
      <w:sz w:val="24"/>
      <w:szCs w:val="20"/>
    </w:rPr>
  </w:style>
  <w:style w:type="paragraph" w:styleId="13">
    <w:name w:val="Body Text"/>
    <w:basedOn w:val="1"/>
    <w:next w:val="14"/>
    <w:qFormat/>
    <w:uiPriority w:val="0"/>
    <w:pPr>
      <w:spacing w:after="120"/>
    </w:pPr>
    <w:rPr>
      <w:sz w:val="28"/>
    </w:rPr>
  </w:style>
  <w:style w:type="paragraph" w:customStyle="1" w:styleId="14">
    <w:name w:val="Body Text First Indent1"/>
    <w:basedOn w:val="1"/>
    <w:next w:val="1"/>
    <w:qFormat/>
    <w:uiPriority w:val="0"/>
    <w:pPr>
      <w:spacing w:line="360" w:lineRule="auto"/>
      <w:ind w:firstLine="200" w:firstLineChars="200"/>
      <w:jc w:val="left"/>
    </w:pPr>
    <w:rPr>
      <w:bCs/>
      <w:sz w:val="24"/>
    </w:rPr>
  </w:style>
  <w:style w:type="paragraph" w:styleId="15">
    <w:name w:val="List Number 3"/>
    <w:basedOn w:val="1"/>
    <w:qFormat/>
    <w:uiPriority w:val="0"/>
    <w:pPr>
      <w:numPr>
        <w:ilvl w:val="0"/>
        <w:numId w:val="2"/>
      </w:numPr>
    </w:pPr>
  </w:style>
  <w:style w:type="paragraph" w:styleId="16">
    <w:name w:val="List 2"/>
    <w:basedOn w:val="1"/>
    <w:qFormat/>
    <w:uiPriority w:val="0"/>
    <w:pPr>
      <w:ind w:left="100" w:leftChars="200" w:hanging="200" w:hangingChars="200"/>
    </w:pPr>
    <w:rPr>
      <w:sz w:val="28"/>
    </w:rPr>
  </w:style>
  <w:style w:type="paragraph" w:styleId="17">
    <w:name w:val="toc 3"/>
    <w:basedOn w:val="1"/>
    <w:next w:val="1"/>
    <w:qFormat/>
    <w:uiPriority w:val="0"/>
    <w:pPr>
      <w:ind w:left="840" w:leftChars="400"/>
    </w:pPr>
  </w:style>
  <w:style w:type="paragraph" w:styleId="18">
    <w:name w:val="Plain Text"/>
    <w:basedOn w:val="1"/>
    <w:next w:val="19"/>
    <w:qFormat/>
    <w:uiPriority w:val="0"/>
    <w:pPr>
      <w:spacing w:before="156" w:beforeLines="50" w:after="156" w:afterLines="50" w:line="400" w:lineRule="exact"/>
    </w:pPr>
    <w:rPr>
      <w:rFonts w:ascii="宋体" w:hAnsi="Courier New"/>
      <w:sz w:val="24"/>
    </w:rPr>
  </w:style>
  <w:style w:type="paragraph" w:styleId="19">
    <w:name w:val="toc 2"/>
    <w:basedOn w:val="1"/>
    <w:next w:val="1"/>
    <w:qFormat/>
    <w:uiPriority w:val="0"/>
    <w:pPr>
      <w:tabs>
        <w:tab w:val="left" w:pos="764"/>
        <w:tab w:val="right" w:leader="dot" w:pos="8296"/>
      </w:tabs>
      <w:ind w:left="210"/>
      <w:jc w:val="left"/>
    </w:pPr>
    <w:rPr>
      <w:rFonts w:cs="Calibri"/>
      <w:smallCaps/>
      <w:sz w:val="20"/>
      <w:szCs w:val="20"/>
    </w:rPr>
  </w:style>
  <w:style w:type="paragraph" w:styleId="20">
    <w:name w:val="Date"/>
    <w:basedOn w:val="1"/>
    <w:next w:val="1"/>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link w:val="81"/>
    <w:qFormat/>
    <w:uiPriority w:val="0"/>
    <w:rPr>
      <w:sz w:val="18"/>
      <w:szCs w:val="18"/>
    </w:rPr>
  </w:style>
  <w:style w:type="paragraph" w:styleId="23">
    <w:name w:val="footer"/>
    <w:basedOn w:val="1"/>
    <w:qFormat/>
    <w:uiPriority w:val="99"/>
    <w:pPr>
      <w:tabs>
        <w:tab w:val="center" w:pos="4153"/>
        <w:tab w:val="right" w:pos="8306"/>
      </w:tabs>
      <w:snapToGrid w:val="0"/>
      <w:jc w:val="left"/>
    </w:pPr>
    <w:rPr>
      <w:rFonts w:eastAsia="黑体"/>
      <w:snapToGrid w:val="0"/>
      <w:kern w:val="0"/>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semiHidden/>
    <w:qFormat/>
    <w:uiPriority w:val="0"/>
  </w:style>
  <w:style w:type="paragraph" w:styleId="26">
    <w:name w:val="Subtitle"/>
    <w:basedOn w:val="1"/>
    <w:next w:val="1"/>
    <w:link w:val="47"/>
    <w:qFormat/>
    <w:uiPriority w:val="0"/>
    <w:pPr>
      <w:adjustRightInd w:val="0"/>
      <w:snapToGrid w:val="0"/>
      <w:spacing w:line="360" w:lineRule="auto"/>
      <w:jc w:val="center"/>
      <w:outlineLvl w:val="1"/>
    </w:pPr>
    <w:rPr>
      <w:rFonts w:ascii="Cambria" w:hAnsi="Cambria"/>
      <w:b/>
      <w:bCs/>
      <w:kern w:val="28"/>
      <w:sz w:val="28"/>
      <w:szCs w:val="3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2100" w:leftChars="1000"/>
    </w:pPr>
  </w:style>
  <w:style w:type="paragraph" w:styleId="2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0">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1">
    <w:name w:val="Normal (Web)"/>
    <w:basedOn w:val="1"/>
    <w:qFormat/>
    <w:uiPriority w:val="0"/>
    <w:pPr>
      <w:spacing w:beforeAutospacing="1" w:after="100" w:afterAutospacing="1"/>
    </w:pPr>
    <w:rPr>
      <w:sz w:val="24"/>
    </w:rPr>
  </w:style>
  <w:style w:type="paragraph" w:styleId="32">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paragraph" w:customStyle="1" w:styleId="40">
    <w:name w:val="章正文"/>
    <w:basedOn w:val="1"/>
    <w:qFormat/>
    <w:uiPriority w:val="99"/>
    <w:pPr>
      <w:spacing w:beforeLines="50" w:after="120" w:line="300" w:lineRule="auto"/>
      <w:ind w:firstLine="480"/>
    </w:pPr>
    <w:rPr>
      <w:rFonts w:ascii="Helvetica" w:hAnsi="Helvetica"/>
      <w:kern w:val="0"/>
      <w:sz w:val="24"/>
    </w:rPr>
  </w:style>
  <w:style w:type="paragraph" w:customStyle="1" w:styleId="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4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45">
    <w:name w:val="标题 1 Char"/>
    <w:link w:val="4"/>
    <w:qFormat/>
    <w:uiPriority w:val="0"/>
    <w:rPr>
      <w:rFonts w:ascii="Times New Roman" w:hAnsi="Times New Roman" w:eastAsia="宋体"/>
      <w:b/>
      <w:kern w:val="44"/>
      <w:sz w:val="44"/>
    </w:rPr>
  </w:style>
  <w:style w:type="character" w:customStyle="1" w:styleId="46">
    <w:name w:val="标题 4 Char"/>
    <w:link w:val="7"/>
    <w:qFormat/>
    <w:uiPriority w:val="0"/>
    <w:rPr>
      <w:rFonts w:ascii="Arial" w:hAnsi="Arial"/>
      <w:b/>
      <w:kern w:val="0"/>
      <w:sz w:val="24"/>
      <w:szCs w:val="20"/>
    </w:rPr>
  </w:style>
  <w:style w:type="character" w:customStyle="1" w:styleId="47">
    <w:name w:val="副标题 Char"/>
    <w:link w:val="26"/>
    <w:qFormat/>
    <w:uiPriority w:val="0"/>
    <w:rPr>
      <w:rFonts w:ascii="Cambria" w:hAnsi="Cambria" w:cs="Times New Roman"/>
      <w:b/>
      <w:bCs/>
      <w:kern w:val="28"/>
      <w:sz w:val="28"/>
      <w:szCs w:val="32"/>
    </w:rPr>
  </w:style>
  <w:style w:type="paragraph" w:customStyle="1" w:styleId="48">
    <w:name w:val="[Normal]"/>
    <w:qFormat/>
    <w:uiPriority w:val="99"/>
    <w:rPr>
      <w:rFonts w:ascii="宋体" w:hAnsi="宋体" w:eastAsia="宋体" w:cs="Times New Roman"/>
      <w:sz w:val="24"/>
      <w:szCs w:val="22"/>
      <w:lang w:val="zh-CN" w:eastAsia="zh-CN" w:bidi="ar-SA"/>
    </w:rPr>
  </w:style>
  <w:style w:type="paragraph" w:customStyle="1" w:styleId="49">
    <w:name w:val="Other|2"/>
    <w:basedOn w:val="1"/>
    <w:qFormat/>
    <w:uiPriority w:val="0"/>
    <w:pPr>
      <w:jc w:val="center"/>
    </w:pPr>
    <w:rPr>
      <w:rFonts w:ascii="宋体" w:hAnsi="宋体" w:cs="宋体"/>
      <w:sz w:val="22"/>
      <w:szCs w:val="22"/>
      <w:lang w:val="zh-TW" w:eastAsia="zh-TW" w:bidi="zh-TW"/>
    </w:rPr>
  </w:style>
  <w:style w:type="paragraph" w:customStyle="1" w:styleId="50">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51">
    <w:name w:val="_Style 1"/>
    <w:qFormat/>
    <w:uiPriority w:val="99"/>
    <w:pPr>
      <w:widowControl w:val="0"/>
      <w:jc w:val="both"/>
    </w:pPr>
    <w:rPr>
      <w:rFonts w:ascii="Times New Roman" w:hAnsi="Times New Roman" w:eastAsia="宋体" w:cs="Calibri"/>
      <w:kern w:val="2"/>
      <w:sz w:val="21"/>
      <w:szCs w:val="22"/>
      <w:lang w:val="en-US" w:eastAsia="zh-CN" w:bidi="ar-SA"/>
    </w:rPr>
  </w:style>
  <w:style w:type="paragraph" w:customStyle="1" w:styleId="52">
    <w:name w:val="Heading #3|1"/>
    <w:basedOn w:val="1"/>
    <w:qFormat/>
    <w:uiPriority w:val="0"/>
    <w:pPr>
      <w:ind w:firstLine="280"/>
      <w:outlineLvl w:val="2"/>
    </w:pPr>
    <w:rPr>
      <w:rFonts w:ascii="宋体" w:hAnsi="宋体" w:cs="宋体"/>
      <w:sz w:val="28"/>
      <w:szCs w:val="28"/>
      <w:lang w:val="zh-TW" w:eastAsia="zh-TW" w:bidi="zh-TW"/>
    </w:rPr>
  </w:style>
  <w:style w:type="paragraph" w:customStyle="1" w:styleId="53">
    <w:name w:val="样式1"/>
    <w:basedOn w:val="1"/>
    <w:qFormat/>
    <w:uiPriority w:val="0"/>
    <w:pPr>
      <w:spacing w:line="360" w:lineRule="exact"/>
      <w:ind w:firstLine="200" w:firstLineChars="200"/>
    </w:pPr>
    <w:rPr>
      <w:rFonts w:ascii="Arial" w:hAnsi="Arial"/>
    </w:rPr>
  </w:style>
  <w:style w:type="paragraph" w:customStyle="1" w:styleId="5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
    <w:name w:val="索引 11"/>
    <w:basedOn w:val="1"/>
    <w:next w:val="1"/>
    <w:qFormat/>
    <w:uiPriority w:val="0"/>
    <w:pPr>
      <w:spacing w:line="360" w:lineRule="auto"/>
    </w:pPr>
    <w:rPr>
      <w:rFonts w:ascii="仿宋_GB2312" w:eastAsia="仿宋_GB2312"/>
      <w:sz w:val="24"/>
      <w:szCs w:val="20"/>
    </w:rPr>
  </w:style>
  <w:style w:type="paragraph" w:customStyle="1" w:styleId="56">
    <w:name w:val="正文1"/>
    <w:next w:val="1"/>
    <w:qFormat/>
    <w:uiPriority w:val="0"/>
    <w:pPr>
      <w:widowControl w:val="0"/>
      <w:adjustRightInd w:val="0"/>
      <w:spacing w:line="312" w:lineRule="atLeast"/>
      <w:jc w:val="both"/>
    </w:pPr>
    <w:rPr>
      <w:rFonts w:ascii="宋体" w:hAnsi="Times New Roman" w:eastAsia="等线" w:cs="Times New Roman"/>
      <w:sz w:val="34"/>
      <w:lang w:val="en-US" w:eastAsia="zh-CN" w:bidi="ar-SA"/>
    </w:rPr>
  </w:style>
  <w:style w:type="paragraph" w:customStyle="1" w:styleId="57">
    <w:name w:val="纯文本1"/>
    <w:basedOn w:val="1"/>
    <w:qFormat/>
    <w:uiPriority w:val="0"/>
    <w:rPr>
      <w:rFonts w:ascii="宋体" w:hAnsi="Courier New"/>
      <w:kern w:val="0"/>
      <w:sz w:val="20"/>
      <w:szCs w:val="20"/>
    </w:rPr>
  </w:style>
  <w:style w:type="paragraph" w:customStyle="1" w:styleId="58">
    <w:name w:val="biao"/>
    <w:basedOn w:val="1"/>
    <w:qFormat/>
    <w:uiPriority w:val="0"/>
    <w:pPr>
      <w:tabs>
        <w:tab w:val="left" w:pos="1134"/>
      </w:tabs>
      <w:autoSpaceDE w:val="0"/>
      <w:autoSpaceDN w:val="0"/>
      <w:spacing w:line="360" w:lineRule="atLeast"/>
    </w:pPr>
    <w:rPr>
      <w:rFonts w:ascii="宋体"/>
    </w:rPr>
  </w:style>
  <w:style w:type="paragraph" w:customStyle="1" w:styleId="59">
    <w:name w:val="Table caption|1"/>
    <w:basedOn w:val="1"/>
    <w:qFormat/>
    <w:uiPriority w:val="0"/>
    <w:rPr>
      <w:rFonts w:ascii="宋体" w:hAnsi="宋体" w:cs="宋体"/>
      <w:sz w:val="20"/>
      <w:szCs w:val="20"/>
      <w:lang w:val="zh-TW" w:eastAsia="zh-TW" w:bidi="zh-TW"/>
    </w:rPr>
  </w:style>
  <w:style w:type="paragraph" w:customStyle="1" w:styleId="60">
    <w:name w:val="正文 A"/>
    <w:qFormat/>
    <w:uiPriority w:val="0"/>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61">
    <w:name w:val="BodyTextIndent"/>
    <w:basedOn w:val="1"/>
    <w:qFormat/>
    <w:uiPriority w:val="0"/>
    <w:pPr>
      <w:spacing w:line="440" w:lineRule="atLeast"/>
      <w:ind w:firstLine="465" w:firstLineChars="200"/>
    </w:pPr>
    <w:rPr>
      <w:spacing w:val="12"/>
      <w:sz w:val="24"/>
      <w:szCs w:val="20"/>
    </w:rPr>
  </w:style>
  <w:style w:type="paragraph" w:customStyle="1" w:styleId="62">
    <w:name w:val="p0"/>
    <w:basedOn w:val="1"/>
    <w:qFormat/>
    <w:uiPriority w:val="0"/>
    <w:pPr>
      <w:widowControl/>
    </w:pPr>
    <w:rPr>
      <w:rFonts w:ascii="Courier New" w:hAnsi="Courier New" w:cs="Courier New"/>
      <w:kern w:val="0"/>
      <w:szCs w:val="21"/>
    </w:rPr>
  </w:style>
  <w:style w:type="paragraph" w:customStyle="1" w:styleId="63">
    <w:name w:val="列表段落1"/>
    <w:basedOn w:val="1"/>
    <w:qFormat/>
    <w:uiPriority w:val="0"/>
    <w:pPr>
      <w:ind w:firstLine="420" w:firstLineChars="200"/>
    </w:pPr>
    <w:rPr>
      <w:rFonts w:ascii="Calibri" w:hAnsi="Calibri"/>
    </w:rPr>
  </w:style>
  <w:style w:type="paragraph" w:customStyle="1" w:styleId="64">
    <w:name w:val="表格文字"/>
    <w:basedOn w:val="1"/>
    <w:next w:val="13"/>
    <w:qFormat/>
    <w:uiPriority w:val="0"/>
    <w:pPr>
      <w:adjustRightInd w:val="0"/>
      <w:spacing w:line="420" w:lineRule="atLeast"/>
      <w:jc w:val="left"/>
      <w:textAlignment w:val="baseline"/>
    </w:pPr>
    <w:rPr>
      <w:kern w:val="0"/>
    </w:rPr>
  </w:style>
  <w:style w:type="paragraph" w:customStyle="1" w:styleId="65">
    <w:name w:val="Other|1"/>
    <w:basedOn w:val="1"/>
    <w:qFormat/>
    <w:uiPriority w:val="0"/>
    <w:pPr>
      <w:spacing w:line="480" w:lineRule="auto"/>
      <w:ind w:firstLine="400"/>
    </w:pPr>
    <w:rPr>
      <w:rFonts w:ascii="宋体" w:hAnsi="宋体" w:cs="宋体"/>
      <w:sz w:val="20"/>
      <w:szCs w:val="20"/>
      <w:lang w:val="zh-TW" w:eastAsia="zh-TW" w:bidi="zh-TW"/>
    </w:rPr>
  </w:style>
  <w:style w:type="paragraph" w:customStyle="1" w:styleId="66">
    <w:name w:val="正文段"/>
    <w:basedOn w:val="1"/>
    <w:qFormat/>
    <w:uiPriority w:val="0"/>
    <w:pPr>
      <w:widowControl/>
      <w:snapToGrid w:val="0"/>
      <w:spacing w:after="50" w:afterLines="50"/>
      <w:ind w:firstLine="200" w:firstLineChars="200"/>
    </w:pPr>
    <w:rPr>
      <w:kern w:val="0"/>
      <w:sz w:val="24"/>
      <w:szCs w:val="20"/>
    </w:rPr>
  </w:style>
  <w:style w:type="paragraph" w:customStyle="1" w:styleId="67">
    <w:name w:val="BodyText1I2"/>
    <w:basedOn w:val="61"/>
    <w:qFormat/>
    <w:uiPriority w:val="0"/>
    <w:pPr>
      <w:spacing w:after="120" w:line="240" w:lineRule="auto"/>
      <w:ind w:left="420" w:leftChars="200" w:firstLine="420"/>
    </w:pPr>
    <w:rPr>
      <w:sz w:val="28"/>
    </w:rPr>
  </w:style>
  <w:style w:type="paragraph" w:customStyle="1" w:styleId="6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9">
    <w:name w:val="Body text|1"/>
    <w:basedOn w:val="1"/>
    <w:qFormat/>
    <w:uiPriority w:val="0"/>
    <w:pPr>
      <w:spacing w:line="480" w:lineRule="auto"/>
      <w:ind w:firstLine="400"/>
    </w:pPr>
    <w:rPr>
      <w:rFonts w:ascii="宋体" w:hAnsi="宋体" w:cs="宋体"/>
      <w:sz w:val="20"/>
      <w:szCs w:val="20"/>
      <w:lang w:val="zh-TW" w:eastAsia="zh-TW" w:bidi="zh-TW"/>
    </w:rPr>
  </w:style>
  <w:style w:type="paragraph" w:customStyle="1" w:styleId="70">
    <w:name w:val="Header or footer|1"/>
    <w:basedOn w:val="1"/>
    <w:qFormat/>
    <w:uiPriority w:val="0"/>
    <w:rPr>
      <w:sz w:val="17"/>
      <w:szCs w:val="17"/>
      <w:lang w:val="zh-TW" w:eastAsia="zh-TW" w:bidi="zh-TW"/>
    </w:rPr>
  </w:style>
  <w:style w:type="paragraph" w:customStyle="1" w:styleId="71">
    <w:name w:val="默认段落字体 Para Char Char Char Char Char Char Char Char Char1 Char Char Char Char"/>
    <w:basedOn w:val="1"/>
    <w:qFormat/>
    <w:uiPriority w:val="0"/>
    <w:rPr>
      <w:rFonts w:ascii="Tahoma" w:hAnsi="Tahoma"/>
      <w:sz w:val="24"/>
      <w:szCs w:val="20"/>
    </w:rPr>
  </w:style>
  <w:style w:type="paragraph" w:customStyle="1" w:styleId="72">
    <w:name w:val="正文缩进1"/>
    <w:basedOn w:val="1"/>
    <w:next w:val="3"/>
    <w:qFormat/>
    <w:uiPriority w:val="0"/>
    <w:pPr>
      <w:autoSpaceDE w:val="0"/>
      <w:autoSpaceDN w:val="0"/>
      <w:adjustRightInd w:val="0"/>
      <w:snapToGrid w:val="0"/>
      <w:spacing w:line="360" w:lineRule="auto"/>
      <w:ind w:left="420" w:leftChars="200" w:firstLine="480" w:firstLineChars="200"/>
    </w:pPr>
    <w:rPr>
      <w:sz w:val="24"/>
      <w:szCs w:val="21"/>
    </w:rPr>
  </w:style>
  <w:style w:type="paragraph" w:customStyle="1" w:styleId="73">
    <w:name w:val="Heading #2|1"/>
    <w:basedOn w:val="1"/>
    <w:qFormat/>
    <w:uiPriority w:val="0"/>
    <w:pPr>
      <w:spacing w:line="466" w:lineRule="exact"/>
      <w:ind w:firstLine="490"/>
      <w:outlineLvl w:val="1"/>
    </w:pPr>
    <w:rPr>
      <w:rFonts w:ascii="宋体" w:hAnsi="宋体" w:cs="宋体"/>
      <w:b/>
      <w:bCs/>
      <w:sz w:val="20"/>
      <w:szCs w:val="20"/>
      <w:lang w:val="zh-TW" w:eastAsia="zh-TW" w:bidi="zh-TW"/>
    </w:rPr>
  </w:style>
  <w:style w:type="character" w:customStyle="1" w:styleId="74">
    <w:name w:val="不明显强调1"/>
    <w:basedOn w:val="35"/>
    <w:qFormat/>
    <w:uiPriority w:val="19"/>
    <w:rPr>
      <w:i/>
      <w:iCs/>
      <w:color w:val="7F7F7F"/>
    </w:rPr>
  </w:style>
  <w:style w:type="paragraph" w:customStyle="1" w:styleId="75">
    <w:name w:val="Body text|3"/>
    <w:basedOn w:val="1"/>
    <w:qFormat/>
    <w:uiPriority w:val="0"/>
    <w:pPr>
      <w:spacing w:line="610" w:lineRule="exact"/>
      <w:ind w:firstLine="560"/>
    </w:pPr>
    <w:rPr>
      <w:sz w:val="26"/>
      <w:szCs w:val="26"/>
      <w:lang w:val="zh-TW" w:eastAsia="zh-TW" w:bidi="zh-TW"/>
    </w:rPr>
  </w:style>
  <w:style w:type="paragraph" w:customStyle="1" w:styleId="76">
    <w:name w:val="Table Paragraph"/>
    <w:basedOn w:val="1"/>
    <w:qFormat/>
    <w:uiPriority w:val="1"/>
    <w:rPr>
      <w:rFonts w:ascii="宋体" w:hAnsi="宋体" w:cs="宋体"/>
      <w:lang w:val="zh-CN" w:bidi="zh-CN"/>
    </w:rPr>
  </w:style>
  <w:style w:type="character" w:customStyle="1" w:styleId="77">
    <w:name w:val="font01"/>
    <w:basedOn w:val="35"/>
    <w:qFormat/>
    <w:uiPriority w:val="0"/>
    <w:rPr>
      <w:rFonts w:hint="eastAsia" w:ascii="宋体" w:hAnsi="宋体" w:eastAsia="宋体" w:cs="宋体"/>
      <w:color w:val="000000"/>
      <w:sz w:val="20"/>
      <w:szCs w:val="20"/>
      <w:u w:val="none"/>
    </w:rPr>
  </w:style>
  <w:style w:type="character" w:customStyle="1" w:styleId="78">
    <w:name w:val="font41"/>
    <w:basedOn w:val="35"/>
    <w:qFormat/>
    <w:uiPriority w:val="0"/>
    <w:rPr>
      <w:rFonts w:hint="default" w:ascii="Calibri" w:hAnsi="Calibri" w:cs="Calibri"/>
      <w:color w:val="000000"/>
      <w:sz w:val="20"/>
      <w:szCs w:val="20"/>
      <w:u w:val="none"/>
    </w:rPr>
  </w:style>
  <w:style w:type="character" w:customStyle="1" w:styleId="79">
    <w:name w:val="font21"/>
    <w:basedOn w:val="35"/>
    <w:qFormat/>
    <w:uiPriority w:val="0"/>
    <w:rPr>
      <w:rFonts w:ascii="Segoe UI Symbol" w:hAnsi="Segoe UI Symbol" w:eastAsia="Segoe UI Symbol" w:cs="Segoe UI Symbol"/>
      <w:color w:val="000000"/>
      <w:sz w:val="20"/>
      <w:szCs w:val="20"/>
      <w:u w:val="none"/>
    </w:rPr>
  </w:style>
  <w:style w:type="paragraph" w:styleId="80">
    <w:name w:val="List Paragraph"/>
    <w:basedOn w:val="1"/>
    <w:qFormat/>
    <w:uiPriority w:val="34"/>
    <w:pPr>
      <w:ind w:firstLine="420" w:firstLineChars="200"/>
    </w:pPr>
  </w:style>
  <w:style w:type="character" w:customStyle="1" w:styleId="81">
    <w:name w:val="批注框文本 Char"/>
    <w:basedOn w:val="35"/>
    <w:link w:val="22"/>
    <w:qFormat/>
    <w:uiPriority w:val="0"/>
    <w:rPr>
      <w:kern w:val="2"/>
      <w:sz w:val="18"/>
      <w:szCs w:val="18"/>
    </w:rPr>
  </w:style>
  <w:style w:type="table" w:customStyle="1" w:styleId="82">
    <w:name w:val="Table Normal"/>
    <w:qFormat/>
    <w:uiPriority w:val="0"/>
    <w:rPr>
      <w:lang w:val="en-US" w:eastAsia="zh-CN" w:bidi="ar-SA"/>
    </w:rPr>
    <w:tblPr>
      <w:tblCellMar>
        <w:top w:w="0" w:type="dxa"/>
        <w:left w:w="0" w:type="dxa"/>
        <w:bottom w:w="0" w:type="dxa"/>
        <w:right w:w="0" w:type="dxa"/>
      </w:tblCellMar>
    </w:tblPr>
  </w:style>
  <w:style w:type="paragraph" w:customStyle="1" w:styleId="83">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84">
    <w:name w:val="F-正文"/>
    <w:autoRedefine/>
    <w:qFormat/>
    <w:uiPriority w:val="0"/>
    <w:pPr>
      <w:spacing w:line="560" w:lineRule="exact"/>
      <w:jc w:val="both"/>
    </w:pPr>
    <w:rPr>
      <w:rFonts w:ascii="Times" w:hAnsi="Times" w:eastAsia="仿宋"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59</Pages>
  <Words>26716</Words>
  <Characters>28088</Characters>
  <Lines>258</Lines>
  <Paragraphs>72</Paragraphs>
  <TotalTime>50</TotalTime>
  <ScaleCrop>false</ScaleCrop>
  <LinksUpToDate>false</LinksUpToDate>
  <CharactersWithSpaces>29461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2023-12-26T02:58:00Z</dcterms:created>
  <dc:creator>YlmF</dc:creator>
  <cp:lastModifiedBy>Chen . L</cp:lastModifiedBy>
  <cp:lastPrinted>2025-07-11T07:12:00Z</cp:lastPrinted>
  <dcterms:modified xsi:type="dcterms:W3CDTF">2025-07-15T03:06:57Z</dcterms:modified>
  <dc:title>恒基管理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C048C87433A3497CB40CC4D49EA627BB_13</vt:lpwstr>
  </property>
  <property fmtid="{D5CDD505-2E9C-101B-9397-08002B2CF9AE}" pid="4" name="KSOSaveFontToCloudKey">
    <vt:lpwstr>696494694_btnclosed</vt:lpwstr>
  </property>
  <property fmtid="{D5CDD505-2E9C-101B-9397-08002B2CF9AE}" pid="5" name="KSOTemplateDocerSaveRecord">
    <vt:lpwstr>eyJoZGlkIjoiMDNkY2YzNjAwYzk1YTBiMTJmOGFlMmEyNGY4YWU2MTMiLCJ1c2VySWQiOiI0NTExNjY3MDQifQ==</vt:lpwstr>
  </property>
</Properties>
</file>