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873CD">
      <w:pPr>
        <w:adjustRightInd/>
        <w:spacing w:line="360" w:lineRule="auto"/>
        <w:jc w:val="center"/>
        <w:rPr>
          <w:rFonts w:hint="eastAsia" w:ascii="宋体" w:hAnsi="宋体" w:eastAsia="宋体" w:cs="宋体"/>
          <w:b w:val="0"/>
          <w:bCs/>
          <w:color w:val="auto"/>
          <w:sz w:val="48"/>
          <w:szCs w:val="48"/>
          <w:highlight w:val="none"/>
          <w:lang w:eastAsia="zh-CN"/>
        </w:rPr>
      </w:pPr>
      <w:r>
        <w:rPr>
          <w:rFonts w:hint="eastAsia" w:ascii="宋体" w:hAnsi="宋体" w:eastAsia="宋体" w:cs="宋体"/>
          <w:b w:val="0"/>
          <w:bCs/>
          <w:color w:val="auto"/>
          <w:sz w:val="48"/>
          <w:szCs w:val="48"/>
          <w:highlight w:val="none"/>
          <w:lang w:eastAsia="zh-CN"/>
        </w:rPr>
        <w:drawing>
          <wp:inline distT="0" distB="0" distL="114300" distR="114300">
            <wp:extent cx="6469380" cy="8372475"/>
            <wp:effectExtent l="0" t="0" r="7620" b="9525"/>
            <wp:docPr id="7" name="图片 7" descr="2025年电动装载机采购项目招标文件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5年电动装载机采购项目招标文件_00"/>
                    <pic:cNvPicPr>
                      <a:picLocks noChangeAspect="1"/>
                    </pic:cNvPicPr>
                  </pic:nvPicPr>
                  <pic:blipFill>
                    <a:blip r:embed="rId20"/>
                    <a:stretch>
                      <a:fillRect/>
                    </a:stretch>
                  </pic:blipFill>
                  <pic:spPr>
                    <a:xfrm>
                      <a:off x="0" y="0"/>
                      <a:ext cx="6469380" cy="8372475"/>
                    </a:xfrm>
                    <a:prstGeom prst="rect">
                      <a:avLst/>
                    </a:prstGeom>
                  </pic:spPr>
                </pic:pic>
              </a:graphicData>
            </a:graphic>
          </wp:inline>
        </w:drawing>
      </w:r>
    </w:p>
    <w:p w14:paraId="071CAA63">
      <w:pPr>
        <w:pStyle w:val="80"/>
        <w:rPr>
          <w:rFonts w:hint="eastAsia" w:ascii="宋体" w:hAnsi="宋体" w:eastAsia="宋体" w:cs="宋体"/>
        </w:rPr>
      </w:pPr>
    </w:p>
    <w:p w14:paraId="15BD9F2D">
      <w:pPr>
        <w:spacing w:line="360" w:lineRule="auto"/>
        <w:jc w:val="center"/>
        <w:rPr>
          <w:rFonts w:hint="eastAsia" w:ascii="宋体" w:hAnsi="宋体" w:eastAsia="宋体" w:cs="宋体"/>
          <w:color w:val="auto"/>
          <w:sz w:val="24"/>
          <w:highlight w:val="none"/>
        </w:rPr>
        <w:sectPr>
          <w:headerReference r:id="rId4" w:type="first"/>
          <w:headerReference r:id="rId3" w:type="default"/>
          <w:pgSz w:w="11905" w:h="16838"/>
          <w:pgMar w:top="1417" w:right="1417" w:bottom="1417" w:left="1417" w:header="850" w:footer="850"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7C5387A3">
      <w:pPr>
        <w:pStyle w:val="2"/>
        <w:rPr>
          <w:rFonts w:hint="eastAsia" w:ascii="宋体" w:hAnsi="宋体" w:eastAsia="宋体" w:cs="宋体"/>
        </w:rPr>
      </w:pPr>
    </w:p>
    <w:p w14:paraId="60A0FC50">
      <w:pPr>
        <w:spacing w:line="360" w:lineRule="auto"/>
        <w:jc w:val="center"/>
        <w:rPr>
          <w:rFonts w:hint="eastAsia" w:ascii="宋体" w:hAnsi="宋体" w:eastAsia="宋体" w:cs="宋体"/>
          <w:b/>
          <w:color w:val="auto"/>
          <w:sz w:val="48"/>
          <w:szCs w:val="48"/>
          <w:highlight w:val="none"/>
        </w:rPr>
      </w:pPr>
    </w:p>
    <w:p w14:paraId="18F2583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4EFFF7D">
      <w:pPr>
        <w:spacing w:line="360" w:lineRule="auto"/>
        <w:rPr>
          <w:rFonts w:hint="eastAsia" w:ascii="宋体" w:hAnsi="宋体" w:eastAsia="宋体" w:cs="宋体"/>
          <w:color w:val="auto"/>
          <w:sz w:val="32"/>
          <w:szCs w:val="32"/>
          <w:highlight w:val="none"/>
        </w:rPr>
      </w:pPr>
    </w:p>
    <w:p w14:paraId="312680E9">
      <w:pPr>
        <w:spacing w:line="360" w:lineRule="auto"/>
        <w:rPr>
          <w:rFonts w:hint="eastAsia" w:ascii="宋体" w:hAnsi="宋体" w:eastAsia="宋体" w:cs="宋体"/>
          <w:color w:val="auto"/>
          <w:sz w:val="32"/>
          <w:szCs w:val="32"/>
          <w:highlight w:val="none"/>
        </w:rPr>
      </w:pPr>
    </w:p>
    <w:p w14:paraId="1E21C3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FD671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7E519C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B2E6B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AE958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E3BBBC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19670F5">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AC1AB30">
      <w:pPr>
        <w:spacing w:line="360" w:lineRule="auto"/>
        <w:ind w:firstLine="549" w:firstLineChars="229"/>
        <w:rPr>
          <w:rFonts w:hint="eastAsia" w:ascii="宋体" w:hAnsi="宋体" w:eastAsia="宋体" w:cs="宋体"/>
          <w:color w:val="auto"/>
          <w:sz w:val="24"/>
          <w:highlight w:val="none"/>
        </w:rPr>
      </w:pPr>
    </w:p>
    <w:p w14:paraId="59FED536">
      <w:pPr>
        <w:spacing w:line="360" w:lineRule="auto"/>
        <w:ind w:firstLine="549" w:firstLineChars="229"/>
        <w:rPr>
          <w:rFonts w:hint="eastAsia" w:ascii="宋体" w:hAnsi="宋体" w:eastAsia="宋体" w:cs="宋体"/>
          <w:color w:val="auto"/>
          <w:sz w:val="24"/>
          <w:highlight w:val="none"/>
        </w:rPr>
      </w:pPr>
    </w:p>
    <w:p w14:paraId="4749C611">
      <w:pPr>
        <w:spacing w:line="360" w:lineRule="auto"/>
        <w:ind w:firstLine="549" w:firstLineChars="229"/>
        <w:rPr>
          <w:rFonts w:hint="eastAsia" w:ascii="宋体" w:hAnsi="宋体" w:eastAsia="宋体" w:cs="宋体"/>
          <w:color w:val="auto"/>
          <w:sz w:val="24"/>
          <w:highlight w:val="none"/>
        </w:rPr>
      </w:pPr>
    </w:p>
    <w:p w14:paraId="46A01F1E">
      <w:pPr>
        <w:spacing w:line="360" w:lineRule="auto"/>
        <w:ind w:firstLine="549" w:firstLineChars="229"/>
        <w:rPr>
          <w:rFonts w:hint="eastAsia" w:ascii="宋体" w:hAnsi="宋体" w:eastAsia="宋体" w:cs="宋体"/>
          <w:color w:val="auto"/>
          <w:sz w:val="24"/>
          <w:highlight w:val="none"/>
        </w:rPr>
      </w:pPr>
    </w:p>
    <w:p w14:paraId="421B1AAA">
      <w:pPr>
        <w:spacing w:line="360" w:lineRule="auto"/>
        <w:ind w:firstLine="549" w:firstLineChars="229"/>
        <w:rPr>
          <w:rFonts w:hint="eastAsia" w:ascii="宋体" w:hAnsi="宋体" w:eastAsia="宋体" w:cs="宋体"/>
          <w:color w:val="auto"/>
          <w:sz w:val="24"/>
          <w:highlight w:val="none"/>
        </w:rPr>
      </w:pPr>
    </w:p>
    <w:p w14:paraId="2481D9A0">
      <w:pPr>
        <w:spacing w:line="360" w:lineRule="auto"/>
        <w:ind w:firstLine="549" w:firstLineChars="229"/>
        <w:rPr>
          <w:rFonts w:hint="eastAsia" w:ascii="宋体" w:hAnsi="宋体" w:eastAsia="宋体" w:cs="宋体"/>
          <w:color w:val="auto"/>
          <w:sz w:val="24"/>
          <w:highlight w:val="none"/>
        </w:rPr>
      </w:pPr>
    </w:p>
    <w:p w14:paraId="3F3AC749">
      <w:pPr>
        <w:spacing w:line="360" w:lineRule="auto"/>
        <w:ind w:firstLine="549" w:firstLineChars="229"/>
        <w:rPr>
          <w:rFonts w:hint="eastAsia" w:ascii="宋体" w:hAnsi="宋体" w:eastAsia="宋体" w:cs="宋体"/>
          <w:color w:val="auto"/>
          <w:sz w:val="24"/>
          <w:highlight w:val="none"/>
        </w:rPr>
      </w:pPr>
    </w:p>
    <w:p w14:paraId="063CFE38">
      <w:pPr>
        <w:spacing w:line="360" w:lineRule="auto"/>
        <w:ind w:firstLine="549" w:firstLineChars="229"/>
        <w:rPr>
          <w:rFonts w:hint="eastAsia" w:ascii="宋体" w:hAnsi="宋体" w:eastAsia="宋体" w:cs="宋体"/>
          <w:color w:val="auto"/>
          <w:sz w:val="24"/>
          <w:highlight w:val="none"/>
        </w:rPr>
      </w:pPr>
    </w:p>
    <w:p w14:paraId="18CC40A5">
      <w:pPr>
        <w:spacing w:line="360" w:lineRule="auto"/>
        <w:ind w:firstLine="549" w:firstLineChars="229"/>
        <w:rPr>
          <w:rFonts w:hint="eastAsia" w:ascii="宋体" w:hAnsi="宋体" w:eastAsia="宋体" w:cs="宋体"/>
          <w:color w:val="auto"/>
          <w:sz w:val="24"/>
          <w:highlight w:val="none"/>
        </w:rPr>
      </w:pPr>
    </w:p>
    <w:p w14:paraId="47DEE166">
      <w:pPr>
        <w:spacing w:line="360" w:lineRule="auto"/>
        <w:ind w:firstLine="549" w:firstLineChars="229"/>
        <w:rPr>
          <w:rFonts w:hint="eastAsia" w:ascii="宋体" w:hAnsi="宋体" w:eastAsia="宋体" w:cs="宋体"/>
          <w:color w:val="auto"/>
          <w:sz w:val="24"/>
          <w:highlight w:val="none"/>
        </w:rPr>
      </w:pPr>
    </w:p>
    <w:p w14:paraId="302EEAB7">
      <w:pPr>
        <w:spacing w:line="360" w:lineRule="auto"/>
        <w:ind w:firstLine="549" w:firstLineChars="229"/>
        <w:rPr>
          <w:rFonts w:hint="eastAsia" w:ascii="宋体" w:hAnsi="宋体" w:eastAsia="宋体" w:cs="宋体"/>
          <w:color w:val="auto"/>
          <w:sz w:val="24"/>
          <w:highlight w:val="none"/>
        </w:rPr>
      </w:pPr>
    </w:p>
    <w:p w14:paraId="245DD3E3">
      <w:pPr>
        <w:spacing w:line="360" w:lineRule="auto"/>
        <w:ind w:firstLine="549" w:firstLineChars="229"/>
        <w:rPr>
          <w:rFonts w:hint="eastAsia" w:ascii="宋体" w:hAnsi="宋体" w:eastAsia="宋体" w:cs="宋体"/>
          <w:color w:val="auto"/>
          <w:sz w:val="24"/>
          <w:highlight w:val="none"/>
        </w:rPr>
      </w:pPr>
    </w:p>
    <w:p w14:paraId="3025548C">
      <w:pPr>
        <w:spacing w:line="360" w:lineRule="auto"/>
        <w:rPr>
          <w:rFonts w:hint="eastAsia" w:ascii="宋体" w:hAnsi="宋体" w:eastAsia="宋体" w:cs="宋体"/>
          <w:color w:val="auto"/>
          <w:sz w:val="24"/>
          <w:highlight w:val="none"/>
        </w:rPr>
      </w:pPr>
    </w:p>
    <w:bookmarkEnd w:id="1"/>
    <w:p w14:paraId="0C414A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bookmarkStart w:id="2" w:name="_Hlt74707423"/>
      <w:bookmarkEnd w:id="2"/>
      <w:bookmarkStart w:id="3" w:name="_Hlt74728647"/>
      <w:bookmarkEnd w:id="3"/>
      <w:bookmarkStart w:id="4" w:name="_Hlt74649545"/>
      <w:bookmarkEnd w:id="4"/>
      <w:bookmarkStart w:id="5" w:name="_Hlt74729822"/>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1DD7E743">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0236ABD">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建德市十里埠港发展有限公司2025年电动装载机采购项目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kern w:val="2"/>
          <w:sz w:val="24"/>
          <w:szCs w:val="24"/>
          <w:highlight w:val="none"/>
          <w:lang w:eastAsia="zh-CN"/>
        </w:rPr>
        <w:t>http://cg.zjhzjtjt.com/</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lang w:eastAsia="zh-CN"/>
        </w:rPr>
        <w:t>2025年7月15日10点00分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45110388">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AADEEC8">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JT-XM-A-2025-0047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p>
    <w:p w14:paraId="7B39E262">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lang w:eastAsia="zh-CN"/>
        </w:rPr>
        <w:t>建德市十里埠港发展有限公司2025年电动装载机采购项目</w:t>
      </w:r>
    </w:p>
    <w:p w14:paraId="454B8B0D">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采购方式：</w:t>
      </w:r>
      <w:r>
        <w:rPr>
          <w:rFonts w:hint="eastAsia" w:ascii="宋体" w:hAnsi="宋体" w:eastAsia="宋体" w:cs="宋体"/>
          <w:b w:val="0"/>
          <w:bCs/>
          <w:color w:val="auto"/>
          <w:sz w:val="24"/>
          <w:szCs w:val="24"/>
          <w:highlight w:val="none"/>
          <w:lang w:val="en-US" w:eastAsia="zh-CN"/>
        </w:rPr>
        <w:t>公开招标</w:t>
      </w:r>
    </w:p>
    <w:p w14:paraId="4DDCB74F">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预算</w:t>
      </w:r>
      <w:r>
        <w:rPr>
          <w:rFonts w:hint="eastAsia" w:ascii="宋体" w:hAnsi="宋体" w:eastAsia="宋体" w:cs="宋体"/>
          <w:b/>
          <w:color w:val="auto"/>
          <w:sz w:val="24"/>
          <w:szCs w:val="24"/>
          <w:highlight w:val="none"/>
        </w:rPr>
        <w:t>价（元）：</w:t>
      </w:r>
      <w:r>
        <w:rPr>
          <w:rFonts w:hint="eastAsia" w:ascii="宋体" w:hAnsi="宋体" w:eastAsia="宋体" w:cs="宋体"/>
          <w:b w:val="0"/>
          <w:bCs/>
          <w:color w:val="auto"/>
          <w:sz w:val="24"/>
          <w:szCs w:val="24"/>
          <w:highlight w:val="none"/>
          <w:lang w:eastAsia="zh-CN"/>
        </w:rPr>
        <w:t>750000</w:t>
      </w:r>
      <w:r>
        <w:rPr>
          <w:rFonts w:hint="eastAsia" w:ascii="宋体" w:hAnsi="宋体" w:eastAsia="宋体" w:cs="宋体"/>
          <w:b w:val="0"/>
          <w:bCs/>
          <w:color w:val="auto"/>
          <w:sz w:val="24"/>
          <w:szCs w:val="24"/>
          <w:highlight w:val="none"/>
          <w:lang w:val="en-US" w:eastAsia="zh-CN"/>
        </w:rPr>
        <w:t>.00</w:t>
      </w:r>
    </w:p>
    <w:p w14:paraId="567B23E9">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最高限价（元）：750000.00</w:t>
      </w:r>
    </w:p>
    <w:p w14:paraId="124528FE">
      <w:pPr>
        <w:keepNext w:val="0"/>
        <w:keepLines w:val="0"/>
        <w:pageBreakBefore w:val="0"/>
        <w:kinsoku/>
        <w:wordWrap/>
        <w:overflowPunct/>
        <w:topLinePunct w:val="0"/>
        <w:autoSpaceDE/>
        <w:autoSpaceDN/>
        <w:bidi w:val="0"/>
        <w:adjustRightInd/>
        <w:spacing w:line="420" w:lineRule="exact"/>
        <w:ind w:firstLine="482" w:firstLineChars="200"/>
        <w:jc w:val="both"/>
        <w:textAlignment w:val="auto"/>
        <w:rPr>
          <w:rFonts w:hint="eastAsia" w:ascii="宋体" w:hAnsi="宋体" w:eastAsia="宋体" w:cs="宋体"/>
          <w:b w:val="0"/>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lang w:val="en-US" w:eastAsia="zh-CN"/>
        </w:rPr>
        <w:t>选择一家合格的供应商为建德市十里埠港发展有限公司采购电动装载机，本次招标范围为1辆电动装载机的深化设计、制造、运输（含项目现场的卸货、吊装）、安装、调试、现场试运转、技术培训、验收和售后服务等工作。</w:t>
      </w:r>
      <w:r>
        <w:rPr>
          <w:rFonts w:hint="eastAsia" w:ascii="宋体" w:hAnsi="宋体" w:eastAsia="宋体" w:cs="宋体"/>
          <w:b w:val="0"/>
          <w:bCs/>
          <w:snapToGrid/>
          <w:color w:val="auto"/>
          <w:kern w:val="2"/>
          <w:sz w:val="24"/>
          <w:szCs w:val="24"/>
          <w:highlight w:val="none"/>
        </w:rPr>
        <w:t>具体以招标文件第三部分采购需求为准，供应商可点击本公告下方“浏览采购文件”查看采购需求。</w:t>
      </w:r>
    </w:p>
    <w:p w14:paraId="77EAFC7E">
      <w:pPr>
        <w:pStyle w:val="54"/>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合同签订生效之日起</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0天内完成交货、安装、调试、验收并交付使用</w:t>
      </w:r>
      <w:r>
        <w:rPr>
          <w:rFonts w:hint="eastAsia" w:ascii="宋体" w:hAnsi="宋体" w:eastAsia="宋体" w:cs="宋体"/>
          <w:b w:val="0"/>
          <w:bCs/>
          <w:color w:val="auto"/>
          <w:sz w:val="24"/>
          <w:szCs w:val="24"/>
          <w:highlight w:val="none"/>
          <w:lang w:eastAsia="zh-CN"/>
        </w:rPr>
        <w:t>。</w:t>
      </w:r>
    </w:p>
    <w:p w14:paraId="637FBE1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9" w:name="_Hlk101132948"/>
      <w:r>
        <w:rPr>
          <w:rFonts w:hint="eastAsia" w:ascii="宋体" w:hAnsi="宋体" w:eastAsia="宋体" w:cs="宋体"/>
          <w:b/>
          <w:color w:val="auto"/>
          <w:sz w:val="24"/>
          <w:szCs w:val="24"/>
          <w:highlight w:val="none"/>
        </w:rPr>
        <w:t>申请人的资格要求</w:t>
      </w:r>
      <w:bookmarkEnd w:id="9"/>
      <w:r>
        <w:rPr>
          <w:rFonts w:hint="eastAsia" w:ascii="宋体" w:hAnsi="宋体" w:eastAsia="宋体" w:cs="宋体"/>
          <w:b/>
          <w:color w:val="auto"/>
          <w:sz w:val="24"/>
          <w:szCs w:val="24"/>
          <w:highlight w:val="none"/>
        </w:rPr>
        <w:t>：</w:t>
      </w:r>
    </w:p>
    <w:p w14:paraId="7378C583">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eastAsia="zh-CN"/>
        </w:rPr>
        <w:t>、在中华人民共和国境内（不含港、澳、台地区）注册， 具有独立法人资格</w:t>
      </w:r>
      <w:r>
        <w:rPr>
          <w:rFonts w:hint="eastAsia" w:ascii="宋体" w:hAnsi="宋体" w:cs="宋体"/>
          <w:snapToGrid w:val="0"/>
          <w:color w:val="auto"/>
          <w:kern w:val="28"/>
          <w:sz w:val="24"/>
          <w:szCs w:val="24"/>
          <w:highlight w:val="none"/>
          <w:lang w:val="en-US" w:eastAsia="zh-CN"/>
        </w:rPr>
        <w:t>/</w:t>
      </w:r>
      <w:r>
        <w:rPr>
          <w:rFonts w:hint="eastAsia" w:ascii="宋体" w:hAnsi="宋体" w:eastAsia="宋体" w:cs="宋体"/>
          <w:snapToGrid w:val="0"/>
          <w:color w:val="auto"/>
          <w:kern w:val="28"/>
          <w:sz w:val="24"/>
          <w:szCs w:val="24"/>
          <w:highlight w:val="none"/>
          <w:lang w:eastAsia="zh-CN"/>
        </w:rPr>
        <w:t>具有独立承担民事责任的能力（提供营业执照（或者事业单位法人证书、社会团体法人登记证书、其他组织登记证明文件，下同）副本复印件（加盖公章），保险、金融、电信、通信特殊行业可视行业实际情况提供非独立法人的分公司登记证书及上级总公司唯一授权相关证明材料的复印件（加盖公章））</w:t>
      </w:r>
      <w:r>
        <w:rPr>
          <w:rFonts w:hint="eastAsia" w:ascii="宋体" w:hAnsi="宋体" w:eastAsia="宋体" w:cs="宋体"/>
          <w:snapToGrid w:val="0"/>
          <w:color w:val="auto"/>
          <w:kern w:val="28"/>
          <w:sz w:val="24"/>
          <w:szCs w:val="24"/>
          <w:highlight w:val="none"/>
        </w:rPr>
        <w:t>；</w:t>
      </w:r>
    </w:p>
    <w:p w14:paraId="6E0CAA2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snapToGrid w:val="0"/>
          <w:color w:val="auto"/>
          <w:kern w:val="28"/>
          <w:sz w:val="24"/>
          <w:szCs w:val="24"/>
          <w:highlight w:val="none"/>
          <w:lang w:eastAsia="zh-CN"/>
        </w:rPr>
        <w:t>、与招标人存在利害关系可能影响招标公正性的单位，不得参加本项目投标。单位负责人为同一人或者存在控股、管理关系的不同单位，不得同时参加本招标项目投标</w:t>
      </w:r>
      <w:r>
        <w:rPr>
          <w:rFonts w:hint="eastAsia" w:ascii="宋体" w:hAnsi="宋体" w:cs="宋体"/>
          <w:snapToGrid w:val="0"/>
          <w:color w:val="auto"/>
          <w:kern w:val="28"/>
          <w:sz w:val="24"/>
          <w:szCs w:val="24"/>
          <w:highlight w:val="none"/>
          <w:lang w:val="en-US" w:eastAsia="zh-CN"/>
        </w:rPr>
        <w:t>/</w:t>
      </w:r>
      <w:r>
        <w:rPr>
          <w:rFonts w:hint="eastAsia" w:ascii="宋体" w:hAnsi="宋体" w:eastAsia="宋体" w:cs="宋体"/>
          <w:snapToGrid w:val="0"/>
          <w:color w:val="auto"/>
          <w:kern w:val="28"/>
          <w:sz w:val="24"/>
          <w:szCs w:val="24"/>
          <w:highlight w:val="none"/>
          <w:lang w:eastAsia="zh-CN"/>
        </w:rPr>
        <w:t>不得参加本招标项目同一标段投标</w:t>
      </w:r>
      <w:r>
        <w:rPr>
          <w:rFonts w:hint="eastAsia" w:ascii="宋体" w:hAnsi="宋体" w:eastAsia="宋体" w:cs="宋体"/>
          <w:snapToGrid w:val="0"/>
          <w:color w:val="auto"/>
          <w:kern w:val="28"/>
          <w:sz w:val="24"/>
          <w:szCs w:val="24"/>
          <w:highlight w:val="none"/>
        </w:rPr>
        <w:t>；</w:t>
      </w:r>
    </w:p>
    <w:p w14:paraId="4E8B087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snapToGrid w:val="0"/>
          <w:color w:val="auto"/>
          <w:kern w:val="28"/>
          <w:sz w:val="24"/>
          <w:szCs w:val="24"/>
          <w:highlight w:val="none"/>
        </w:rPr>
        <w:t>3</w:t>
      </w:r>
      <w:r>
        <w:rPr>
          <w:rFonts w:hint="eastAsia" w:ascii="宋体" w:hAnsi="宋体" w:eastAsia="宋体" w:cs="宋体"/>
          <w:snapToGrid w:val="0"/>
          <w:color w:val="auto"/>
          <w:kern w:val="28"/>
          <w:sz w:val="24"/>
          <w:szCs w:val="24"/>
          <w:highlight w:val="none"/>
          <w:lang w:eastAsia="zh-CN"/>
        </w:rPr>
        <w:t>、</w:t>
      </w:r>
      <w:r>
        <w:rPr>
          <w:rFonts w:hint="eastAsia" w:ascii="宋体" w:hAnsi="宋体" w:cs="宋体"/>
          <w:bCs/>
          <w:color w:val="auto"/>
          <w:sz w:val="24"/>
          <w:szCs w:val="24"/>
          <w:highlight w:val="none"/>
          <w:lang w:val="en-US" w:eastAsia="zh-CN"/>
        </w:rPr>
        <w:t>集团公司与其全资子公司或控股子公司，</w:t>
      </w:r>
      <w:r>
        <w:rPr>
          <w:rFonts w:hint="eastAsia" w:ascii="宋体" w:hAnsi="宋体" w:eastAsia="宋体" w:cs="宋体"/>
          <w:snapToGrid w:val="0"/>
          <w:color w:val="auto"/>
          <w:kern w:val="28"/>
          <w:sz w:val="24"/>
          <w:szCs w:val="24"/>
          <w:highlight w:val="none"/>
          <w:lang w:eastAsia="zh-CN"/>
        </w:rPr>
        <w:t>不得同时参加本招标项目投标</w:t>
      </w:r>
      <w:r>
        <w:rPr>
          <w:rFonts w:hint="eastAsia" w:ascii="宋体" w:hAnsi="宋体" w:cs="宋体"/>
          <w:snapToGrid w:val="0"/>
          <w:color w:val="auto"/>
          <w:kern w:val="28"/>
          <w:sz w:val="24"/>
          <w:szCs w:val="24"/>
          <w:highlight w:val="none"/>
          <w:lang w:val="en-US" w:eastAsia="zh-CN"/>
        </w:rPr>
        <w:t>/</w:t>
      </w:r>
      <w:r>
        <w:rPr>
          <w:rFonts w:hint="eastAsia" w:ascii="宋体" w:hAnsi="宋体" w:eastAsia="宋体" w:cs="宋体"/>
          <w:snapToGrid w:val="0"/>
          <w:color w:val="auto"/>
          <w:kern w:val="28"/>
          <w:sz w:val="24"/>
          <w:szCs w:val="24"/>
          <w:highlight w:val="none"/>
          <w:lang w:eastAsia="zh-CN"/>
        </w:rPr>
        <w:t>不得参加本招标项目同一标段投标</w:t>
      </w:r>
      <w:r>
        <w:rPr>
          <w:rFonts w:hint="eastAsia" w:ascii="宋体" w:hAnsi="宋体" w:cs="宋体"/>
          <w:bCs/>
          <w:color w:val="auto"/>
          <w:sz w:val="24"/>
          <w:szCs w:val="24"/>
          <w:highlight w:val="none"/>
          <w:lang w:eastAsia="zh-CN"/>
        </w:rPr>
        <w:t>；</w:t>
      </w:r>
    </w:p>
    <w:p w14:paraId="407CC6C4">
      <w:pPr>
        <w:keepNext w:val="0"/>
        <w:keepLines w:val="0"/>
        <w:pageBreakBefore w:val="0"/>
        <w:kinsoku/>
        <w:wordWrap/>
        <w:overflowPunct/>
        <w:topLinePunct w:val="0"/>
        <w:autoSpaceDE/>
        <w:autoSpaceDN/>
        <w:bidi w:val="0"/>
        <w:spacing w:line="42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未被“信用中国”（www.creditchina.gov.cn)、中国政府采购网（www.ccgp.gov.cn）列入失信被执行人、重大税收违法失信主体、政府采购严重违法失信行为记录名单</w:t>
      </w:r>
      <w:r>
        <w:rPr>
          <w:rFonts w:hint="eastAsia" w:ascii="宋体" w:hAnsi="宋体" w:cs="宋体"/>
          <w:bCs/>
          <w:color w:val="auto"/>
          <w:sz w:val="24"/>
          <w:szCs w:val="24"/>
          <w:highlight w:val="none"/>
          <w:lang w:val="en-US" w:eastAsia="zh-CN"/>
        </w:rPr>
        <w:t>；</w:t>
      </w:r>
    </w:p>
    <w:p w14:paraId="48E01BD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w:t>
      </w:r>
    </w:p>
    <w:p w14:paraId="1A40A009">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5F8D6827">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2025年7月15日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4A7648A8">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lang w:eastAsia="zh-CN"/>
        </w:rPr>
        <w:t>杭州交投集中采购平台（http://cg.zjhzjtjt.com/）</w:t>
      </w:r>
      <w:r>
        <w:rPr>
          <w:rFonts w:hint="eastAsia" w:ascii="宋体" w:hAnsi="宋体" w:eastAsia="宋体" w:cs="宋体"/>
          <w:color w:val="auto"/>
          <w:sz w:val="24"/>
          <w:szCs w:val="24"/>
          <w:highlight w:val="none"/>
        </w:rPr>
        <w:t xml:space="preserve"> </w:t>
      </w:r>
    </w:p>
    <w:p w14:paraId="31C52F00">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w:t>
      </w:r>
      <w:r>
        <w:rPr>
          <w:rFonts w:hint="eastAsia" w:ascii="宋体" w:hAnsi="宋体" w:eastAsia="宋体" w:cs="宋体"/>
          <w:color w:val="auto"/>
          <w:sz w:val="24"/>
          <w:szCs w:val="24"/>
          <w:highlight w:val="none"/>
          <w:lang w:eastAsia="zh-CN"/>
        </w:rPr>
        <w:t>杭州交投集中采购平台http://cg.zjhzjtjt.com/</w:t>
      </w:r>
      <w:r>
        <w:rPr>
          <w:rFonts w:hint="eastAsia" w:ascii="宋体" w:hAnsi="宋体" w:eastAsia="宋体" w:cs="宋体"/>
          <w:color w:val="auto"/>
          <w:sz w:val="24"/>
          <w:szCs w:val="24"/>
          <w:highlight w:val="none"/>
        </w:rPr>
        <w:t>在线申请获取采购文件（进入“项目采购”应用，在获取采购文件菜单中选择项目，申请获取采购文件），招标文件请至公告附件处下载</w:t>
      </w:r>
      <w:r>
        <w:rPr>
          <w:rFonts w:hint="eastAsia" w:ascii="宋体" w:hAnsi="宋体" w:eastAsia="宋体" w:cs="宋体"/>
          <w:color w:val="auto"/>
          <w:sz w:val="24"/>
          <w:szCs w:val="24"/>
          <w:highlight w:val="none"/>
          <w:lang w:eastAsia="zh-CN"/>
        </w:rPr>
        <w:t>。</w:t>
      </w:r>
    </w:p>
    <w:p w14:paraId="4386A1F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 xml:space="preserve">”系统内完成相关流程，或未完成报名手续，引起的投标无效责任自负。 </w:t>
      </w:r>
    </w:p>
    <w:p w14:paraId="7F5DE891">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A683E2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2FA1600">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2025年7月15日10点00分</w:t>
      </w:r>
      <w:r>
        <w:rPr>
          <w:rFonts w:hint="eastAsia" w:ascii="宋体" w:hAnsi="宋体" w:eastAsia="宋体" w:cs="宋体"/>
          <w:color w:val="auto"/>
          <w:sz w:val="24"/>
          <w:szCs w:val="24"/>
          <w:highlight w:val="none"/>
          <w:u w:val="single"/>
        </w:rPr>
        <w:t>00秒</w:t>
      </w:r>
      <w:r>
        <w:rPr>
          <w:rFonts w:hint="eastAsia" w:ascii="宋体" w:hAnsi="宋体" w:eastAsia="宋体" w:cs="宋体"/>
          <w:color w:val="auto"/>
          <w:sz w:val="24"/>
          <w:szCs w:val="24"/>
          <w:highlight w:val="none"/>
        </w:rPr>
        <w:t>（北京时间）</w:t>
      </w:r>
    </w:p>
    <w:p w14:paraId="31E3F624">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lang w:eastAsia="zh-CN"/>
        </w:rPr>
        <w:t>杭州交投集中采购平台（http://cg.zjhzjtjt.com/）</w:t>
      </w:r>
      <w:r>
        <w:rPr>
          <w:rFonts w:hint="eastAsia" w:ascii="宋体" w:hAnsi="宋体" w:eastAsia="宋体" w:cs="宋体"/>
          <w:color w:val="auto"/>
          <w:sz w:val="24"/>
          <w:szCs w:val="24"/>
          <w:highlight w:val="none"/>
        </w:rPr>
        <w:t xml:space="preserve"> 实行在线投标响应</w:t>
      </w:r>
      <w:r>
        <w:rPr>
          <w:rFonts w:hint="eastAsia" w:ascii="宋体" w:hAnsi="宋体" w:eastAsia="宋体" w:cs="宋体"/>
          <w:color w:val="auto"/>
          <w:sz w:val="24"/>
          <w:szCs w:val="24"/>
          <w:highlight w:val="none"/>
          <w:lang w:eastAsia="zh-CN"/>
        </w:rPr>
        <w:t>。</w:t>
      </w:r>
    </w:p>
    <w:p w14:paraId="2A3BA125">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2025年7月15日10点00分</w:t>
      </w:r>
      <w:r>
        <w:rPr>
          <w:rFonts w:hint="eastAsia" w:ascii="宋体" w:hAnsi="宋体" w:eastAsia="宋体" w:cs="宋体"/>
          <w:color w:val="auto"/>
          <w:sz w:val="24"/>
          <w:szCs w:val="24"/>
          <w:highlight w:val="none"/>
          <w:u w:val="single"/>
        </w:rPr>
        <w:t>00秒</w:t>
      </w:r>
    </w:p>
    <w:p w14:paraId="438DB8DC">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lang w:eastAsia="zh-CN"/>
        </w:rPr>
        <w:t>杭州交投集中采购平台（http://cg.zjhzjtjt.com/）进行在线开标。</w:t>
      </w:r>
    </w:p>
    <w:p w14:paraId="37BCB935">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5D6D27F7">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002B182">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44942FB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eastAsia="zh-CN"/>
        </w:rPr>
        <w:t>、投标人如认为招标文件表述不清晰、存在歧视性或者其他违法内容的，应当于</w:t>
      </w:r>
      <w:r>
        <w:rPr>
          <w:rFonts w:hint="eastAsia" w:ascii="宋体" w:hAnsi="宋体" w:eastAsia="宋体" w:cs="宋体"/>
          <w:b/>
          <w:bCs/>
          <w:color w:val="auto"/>
          <w:sz w:val="24"/>
          <w:szCs w:val="24"/>
          <w:highlight w:val="none"/>
          <w:lang w:eastAsia="zh-CN"/>
        </w:rPr>
        <w:t>2025年7月2日17：00</w:t>
      </w:r>
      <w:r>
        <w:rPr>
          <w:rFonts w:hint="eastAsia" w:ascii="宋体" w:hAnsi="宋体" w:eastAsia="宋体" w:cs="宋体"/>
          <w:color w:val="auto"/>
          <w:sz w:val="24"/>
          <w:szCs w:val="24"/>
          <w:highlight w:val="none"/>
          <w:lang w:eastAsia="zh-CN"/>
        </w:rPr>
        <w:t>前，以书面形式要求</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作出书面解释、澄清或者向</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提出书面质疑；如有投标人提出质疑的，</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将于</w:t>
      </w:r>
      <w:r>
        <w:rPr>
          <w:rFonts w:hint="eastAsia" w:ascii="宋体" w:hAnsi="宋体" w:eastAsia="宋体" w:cs="宋体"/>
          <w:b/>
          <w:bCs/>
          <w:color w:val="auto"/>
          <w:sz w:val="24"/>
          <w:szCs w:val="24"/>
          <w:highlight w:val="none"/>
          <w:lang w:eastAsia="zh-CN"/>
        </w:rPr>
        <w:t>2025年7月7日17:00</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color w:val="auto"/>
          <w:sz w:val="24"/>
          <w:szCs w:val="24"/>
          <w:highlight w:val="none"/>
          <w:lang w:eastAsia="zh-CN"/>
        </w:rPr>
        <w:t>统一组织答疑；答疑内容是招标文件的组成部分，将在招标文件发售的网站进行发布</w:t>
      </w:r>
      <w:r>
        <w:rPr>
          <w:rFonts w:hint="eastAsia" w:ascii="宋体" w:hAnsi="宋体" w:eastAsia="宋体" w:cs="宋体"/>
          <w:color w:val="auto"/>
          <w:sz w:val="24"/>
          <w:szCs w:val="24"/>
          <w:highlight w:val="none"/>
        </w:rPr>
        <w:t>。质疑函范本、投诉书范本</w:t>
      </w:r>
      <w:r>
        <w:rPr>
          <w:rFonts w:hint="eastAsia" w:ascii="宋体" w:hAnsi="宋体" w:eastAsia="宋体" w:cs="宋体"/>
          <w:color w:val="auto"/>
          <w:sz w:val="24"/>
          <w:szCs w:val="24"/>
          <w:highlight w:val="none"/>
          <w:lang w:val="en-US" w:eastAsia="zh-CN"/>
        </w:rPr>
        <w:t>后附</w:t>
      </w:r>
      <w:r>
        <w:rPr>
          <w:rFonts w:hint="eastAsia" w:ascii="宋体" w:hAnsi="宋体" w:eastAsia="宋体" w:cs="宋体"/>
          <w:color w:val="auto"/>
          <w:sz w:val="24"/>
          <w:szCs w:val="24"/>
          <w:highlight w:val="none"/>
        </w:rPr>
        <w:t>。</w:t>
      </w:r>
    </w:p>
    <w:p w14:paraId="3DDD8D7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电子招投标的说明：①电子招投标：本项目以数据电文形式，依托“</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）”进行招投标活动，各投标人应按照本项目采购文件和</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的要求编制、加密并递交投标文件，不接受纸质投标文件；②投标准备：投标人应为</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供应商，注册地址：</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（http://cg.zjhzjtjt.com/），进行</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供应商资料填写，通过平台审核后成为</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p>
    <w:p w14:paraId="4490AC60">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通过“杭州交投集中采购平台”实行在线投标响应（电子投标），供应商应先安装“电子投标客户端”，并按照本招标文件和“杭州交投集中采购平台”的要求，通过“电子投标客户端”编制并加密投标响应文件。供应商未按规定加密的投标响应文件，“杭州交投集中采购平台”将予以拒收。</w:t>
      </w:r>
    </w:p>
    <w:p w14:paraId="4139A095">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投标客户端”请自行前往“杭州交投集中采购平台-帮助中心-帮助文档”进行下载；电子投标具体操作流程详见《供应商操作手册》；通过“杭州交投集中采购平台”参与在线投标时如遇平台技术问题详询客服热线95763。</w:t>
      </w:r>
    </w:p>
    <w:p w14:paraId="544A2EB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确保网上操作合法、有效和安全，投标供应商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投标人应在开标前完成CA数字证书办理，完成CA数字证书办理预计1-2周左右，各投标人应充分考虑办理时间等因素。办理流程详见:CA管理操作指南https://lecaiyun.com/helpcenter/document#/document/detail?siteCode=lecaiyun&amp;manualId=2185&amp;topicId=12851</w:t>
      </w:r>
      <w:r>
        <w:rPr>
          <w:rFonts w:hint="eastAsia" w:ascii="宋体" w:hAnsi="宋体" w:eastAsia="宋体" w:cs="宋体"/>
          <w:color w:val="auto"/>
          <w:sz w:val="24"/>
          <w:szCs w:val="24"/>
          <w:highlight w:val="none"/>
        </w:rPr>
        <w:t>；③招标文件的获取：使用账号登录或者使用CA登录</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进入“项目采购”应用，在获取采购文件菜单中选择项目，获取招标文件；④投标文件的制作：投标文件的制作：在“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，还可以在投标截止时间前</w:t>
      </w:r>
      <w:r>
        <w:rPr>
          <w:rFonts w:hint="eastAsia" w:ascii="宋体" w:hAnsi="宋体" w:eastAsia="宋体" w:cs="宋体"/>
          <w:b w:val="0"/>
          <w:bCs w:val="0"/>
          <w:color w:val="auto"/>
          <w:sz w:val="24"/>
          <w:szCs w:val="24"/>
          <w:highlight w:val="none"/>
          <w:lang w:eastAsia="zh-CN"/>
        </w:rPr>
        <w:t>发至指定邮箱（849937109@qq.com）</w:t>
      </w:r>
      <w:r>
        <w:rPr>
          <w:rFonts w:hint="eastAsia" w:ascii="宋体" w:hAnsi="宋体" w:eastAsia="宋体" w:cs="宋体"/>
          <w:b w:val="0"/>
          <w:bCs w:val="0"/>
          <w:color w:val="auto"/>
          <w:sz w:val="24"/>
          <w:szCs w:val="24"/>
          <w:highlight w:val="none"/>
        </w:rPr>
        <w:t>方式</w:t>
      </w:r>
      <w:r>
        <w:rPr>
          <w:rFonts w:hint="eastAsia" w:ascii="宋体" w:hAnsi="宋体" w:eastAsia="宋体" w:cs="宋体"/>
          <w:color w:val="auto"/>
          <w:sz w:val="24"/>
          <w:szCs w:val="24"/>
          <w:highlight w:val="none"/>
        </w:rPr>
        <w:t>递交备份投标文件1份。备份投标文件的制作、存储、注明详见招标文件第二部分第1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点—“备份投标文件”；⑨投标文件的解密：投标人按照平台提示和招标文件的规定在半小时内完成在线解密。通过“</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”上传递交的投标文件无法按时解密，投标供应商递交了备份投标文件的，以备份投标文件为依据，否则视为投标文件撤回。通过“</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”上传递交的投标文件已按时解密的，备份投标文件自动失效。投标人仅提交备份投标文件，未在电子交易平台传输递交投标文件的，投标无效。（3）招标文件公告期限与招标公告的公告期限一致。</w:t>
      </w:r>
    </w:p>
    <w:p w14:paraId="751FEA2E">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3954916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03FDA5CC">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建德市十里埠港发展有限公司</w:t>
      </w:r>
      <w:r>
        <w:rPr>
          <w:rFonts w:hint="eastAsia" w:ascii="宋体" w:hAnsi="宋体" w:eastAsia="宋体" w:cs="宋体"/>
          <w:color w:val="auto"/>
          <w:sz w:val="24"/>
          <w:szCs w:val="24"/>
          <w:highlight w:val="none"/>
        </w:rPr>
        <w:t xml:space="preserve"> </w:t>
      </w:r>
    </w:p>
    <w:p w14:paraId="1D4083C1">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址：建德市杨村桥镇梅城大道567号  </w:t>
      </w:r>
    </w:p>
    <w:p w14:paraId="72F241E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01AB978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黄坚</w:t>
      </w:r>
    </w:p>
    <w:p w14:paraId="734EFFF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项目联系方式（询问）：15988129787</w:t>
      </w:r>
    </w:p>
    <w:p w14:paraId="6BBE931A">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728DB3AD">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杭州天恒投资建设管理有限公司</w:t>
      </w:r>
    </w:p>
    <w:p w14:paraId="368C359E">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建德市严州大道同鑫商厦二幢102室内二楼</w:t>
      </w:r>
    </w:p>
    <w:p w14:paraId="4AAF2B2B">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15A1D830">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章佳美</w:t>
      </w:r>
    </w:p>
    <w:p w14:paraId="6A65338D">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18368192733</w:t>
      </w:r>
      <w:r>
        <w:rPr>
          <w:rFonts w:hint="eastAsia" w:ascii="宋体" w:hAnsi="宋体" w:eastAsia="宋体" w:cs="宋体"/>
          <w:color w:val="auto"/>
          <w:sz w:val="24"/>
          <w:szCs w:val="24"/>
          <w:highlight w:val="none"/>
          <w:lang w:val="en-US" w:eastAsia="zh-CN"/>
        </w:rPr>
        <w:t xml:space="preserve"> </w:t>
      </w:r>
    </w:p>
    <w:p w14:paraId="768A367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同级采购监督管理部门            </w:t>
      </w:r>
    </w:p>
    <w:p w14:paraId="1FD3C9C5">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称：建德市十里埠港发展有限公司综合办公室</w:t>
      </w:r>
    </w:p>
    <w:p w14:paraId="40AD1839">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址：建德市杨村桥镇梅城大道567号 </w:t>
      </w:r>
    </w:p>
    <w:p w14:paraId="79D2A7B7">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28ADEF24">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：张静雅</w:t>
      </w:r>
    </w:p>
    <w:p w14:paraId="7ACCC87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监督投诉电话：15306581118</w:t>
      </w:r>
    </w:p>
    <w:p w14:paraId="6EC7A24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），获取智能服务管家帮助，或拨打服务热线95763获取热线服务帮助。</w:t>
      </w:r>
    </w:p>
    <w:p w14:paraId="6245B00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7C1CCFB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6A39F8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5332E5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343D51C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36C5F88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73BCAC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C7A46F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D060DB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23F3BE70">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093344A1">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09F274E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2CE20B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E4FB30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EC3C16E">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1475B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3F51F8B6">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85"/>
        <w:gridCol w:w="6570"/>
      </w:tblGrid>
      <w:tr w14:paraId="4D22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top"/>
          </w:tcPr>
          <w:p w14:paraId="42B0F19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785" w:type="dxa"/>
            <w:vAlign w:val="center"/>
          </w:tcPr>
          <w:p w14:paraId="4757FEA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事项</w:t>
            </w:r>
          </w:p>
        </w:tc>
        <w:tc>
          <w:tcPr>
            <w:tcW w:w="6570" w:type="dxa"/>
            <w:vAlign w:val="center"/>
          </w:tcPr>
          <w:p w14:paraId="7AE0B34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本项目的特别规定</w:t>
            </w:r>
          </w:p>
        </w:tc>
      </w:tr>
      <w:tr w14:paraId="4FB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2C1344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785" w:type="dxa"/>
            <w:vAlign w:val="center"/>
          </w:tcPr>
          <w:p w14:paraId="6A71378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项目名称</w:t>
            </w:r>
          </w:p>
        </w:tc>
        <w:tc>
          <w:tcPr>
            <w:tcW w:w="6570" w:type="dxa"/>
            <w:vAlign w:val="center"/>
          </w:tcPr>
          <w:p w14:paraId="1EF45AA1">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建德市十里埠港发展有限公司2025年电动装载机采购项目</w:t>
            </w:r>
          </w:p>
        </w:tc>
      </w:tr>
      <w:tr w14:paraId="56E7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3CC4D30">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785" w:type="dxa"/>
            <w:vAlign w:val="center"/>
          </w:tcPr>
          <w:p w14:paraId="2731253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项目实施地点</w:t>
            </w:r>
          </w:p>
        </w:tc>
        <w:tc>
          <w:tcPr>
            <w:tcW w:w="6570" w:type="dxa"/>
            <w:vAlign w:val="center"/>
          </w:tcPr>
          <w:p w14:paraId="67E2238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生产经营场所（含外部仓库、码头）</w:t>
            </w:r>
          </w:p>
        </w:tc>
      </w:tr>
      <w:tr w14:paraId="28D9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D56D69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1785" w:type="dxa"/>
            <w:vAlign w:val="center"/>
          </w:tcPr>
          <w:p w14:paraId="0918286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投标保证金</w:t>
            </w:r>
          </w:p>
        </w:tc>
        <w:tc>
          <w:tcPr>
            <w:tcW w:w="6570" w:type="dxa"/>
            <w:vAlign w:val="center"/>
          </w:tcPr>
          <w:p w14:paraId="2A7A3FD8">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r w14:paraId="227F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37712629">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785" w:type="dxa"/>
            <w:vAlign w:val="center"/>
          </w:tcPr>
          <w:p w14:paraId="2BD4C1F4">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履约保证金</w:t>
            </w:r>
          </w:p>
        </w:tc>
        <w:tc>
          <w:tcPr>
            <w:tcW w:w="6570" w:type="dxa"/>
            <w:vAlign w:val="center"/>
          </w:tcPr>
          <w:p w14:paraId="525785E0">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中标人在领取中标通知书后签订合同之前向采购人缴纳合同价的2%作为履约保证金；合同期满经结算后退还履约保证金，不计息。合同期未满，中标人无正当理由中途退出的，不退还履约保证金。</w:t>
            </w:r>
          </w:p>
        </w:tc>
      </w:tr>
      <w:tr w14:paraId="0108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C2026D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1785" w:type="dxa"/>
            <w:vAlign w:val="center"/>
          </w:tcPr>
          <w:p w14:paraId="3E24087F">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质量保证金</w:t>
            </w:r>
          </w:p>
        </w:tc>
        <w:tc>
          <w:tcPr>
            <w:tcW w:w="6570" w:type="dxa"/>
            <w:vAlign w:val="center"/>
          </w:tcPr>
          <w:p w14:paraId="6F1F969F">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r w14:paraId="0E8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E12E3B9">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785" w:type="dxa"/>
            <w:shd w:val="clear" w:color="auto" w:fill="auto"/>
            <w:vAlign w:val="center"/>
          </w:tcPr>
          <w:p w14:paraId="401863A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现场勘探</w:t>
            </w:r>
          </w:p>
        </w:tc>
        <w:tc>
          <w:tcPr>
            <w:tcW w:w="6570" w:type="dxa"/>
            <w:shd w:val="clear" w:color="auto" w:fill="auto"/>
            <w:vAlign w:val="center"/>
          </w:tcPr>
          <w:p w14:paraId="213AA09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sz w:val="24"/>
                <w:szCs w:val="24"/>
                <w:highlight w:val="none"/>
              </w:rPr>
              <w:t>不组织</w:t>
            </w:r>
          </w:p>
        </w:tc>
      </w:tr>
      <w:tr w14:paraId="1F58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E5B6CA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785" w:type="dxa"/>
            <w:shd w:val="clear" w:color="auto" w:fill="auto"/>
            <w:vAlign w:val="center"/>
          </w:tcPr>
          <w:p w14:paraId="71C20E1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演示</w:t>
            </w:r>
          </w:p>
        </w:tc>
        <w:tc>
          <w:tcPr>
            <w:tcW w:w="6570" w:type="dxa"/>
            <w:shd w:val="clear" w:color="auto" w:fill="auto"/>
            <w:vAlign w:val="center"/>
          </w:tcPr>
          <w:p w14:paraId="21FC9AD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无</w:t>
            </w:r>
          </w:p>
        </w:tc>
      </w:tr>
      <w:tr w14:paraId="331D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F1A906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785" w:type="dxa"/>
            <w:shd w:val="clear" w:color="auto" w:fill="auto"/>
            <w:vAlign w:val="center"/>
          </w:tcPr>
          <w:p w14:paraId="5B3F466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投标人应当提供的资格、资信证明文件</w:t>
            </w:r>
          </w:p>
        </w:tc>
        <w:tc>
          <w:tcPr>
            <w:tcW w:w="6570" w:type="dxa"/>
            <w:shd w:val="clear" w:color="auto" w:fill="auto"/>
            <w:vAlign w:val="center"/>
          </w:tcPr>
          <w:p w14:paraId="78365C5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（1）资格证明文件：见招标文件第二部分10.1。投标人未提供有效的资格证明文件的，视为投标人不具备招标文件中规定的资格要求，投标无效。</w:t>
            </w:r>
          </w:p>
          <w:p w14:paraId="2022ACF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（2）资信技术文件：根据招标文件第四部分评标标准提供。</w:t>
            </w:r>
          </w:p>
        </w:tc>
      </w:tr>
      <w:tr w14:paraId="5396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A93717B">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785" w:type="dxa"/>
            <w:shd w:val="clear" w:color="auto" w:fill="auto"/>
            <w:vAlign w:val="center"/>
          </w:tcPr>
          <w:p w14:paraId="5497725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报价要求</w:t>
            </w:r>
          </w:p>
        </w:tc>
        <w:tc>
          <w:tcPr>
            <w:tcW w:w="6570" w:type="dxa"/>
            <w:shd w:val="clear" w:color="auto" w:fill="auto"/>
            <w:vAlign w:val="center"/>
          </w:tcPr>
          <w:p w14:paraId="19A1960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本项目最高限价为</w:t>
            </w:r>
            <w:r>
              <w:rPr>
                <w:rFonts w:hint="eastAsia" w:ascii="宋体" w:hAnsi="宋体" w:eastAsia="宋体" w:cs="宋体"/>
                <w:b/>
                <w:bCs/>
                <w:color w:val="auto"/>
                <w:kern w:val="0"/>
                <w:sz w:val="24"/>
                <w:szCs w:val="24"/>
                <w:highlight w:val="none"/>
                <w:lang w:val="en-US" w:eastAsia="zh-CN"/>
              </w:rPr>
              <w:t>750000</w:t>
            </w:r>
            <w:r>
              <w:rPr>
                <w:rFonts w:hint="eastAsia" w:ascii="宋体" w:hAnsi="宋体" w:eastAsia="宋体" w:cs="宋体"/>
                <w:b/>
                <w:bCs/>
                <w:color w:val="auto"/>
                <w:kern w:val="0"/>
                <w:sz w:val="24"/>
                <w:szCs w:val="24"/>
                <w:highlight w:val="none"/>
                <w:lang w:val="zh-CN"/>
              </w:rPr>
              <w:t>元。投标报价超过最高限价的，按无效标处理。</w:t>
            </w: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kern w:val="0"/>
                <w:sz w:val="24"/>
                <w:szCs w:val="24"/>
                <w:highlight w:val="none"/>
                <w:lang w:val="zh-CN"/>
              </w:rPr>
              <w:t>文件</w:t>
            </w:r>
            <w:r>
              <w:rPr>
                <w:rFonts w:hint="eastAsia" w:ascii="宋体" w:hAnsi="宋体" w:eastAsia="宋体" w:cs="宋体"/>
                <w:b/>
                <w:bCs/>
                <w:color w:val="auto"/>
                <w:sz w:val="24"/>
                <w:szCs w:val="24"/>
                <w:highlight w:val="none"/>
              </w:rPr>
              <w:t>是报价的唯一载体，如投标人在</w:t>
            </w:r>
            <w:r>
              <w:rPr>
                <w:rFonts w:hint="eastAsia" w:ascii="宋体" w:hAnsi="宋体" w:eastAsia="宋体" w:cs="宋体"/>
                <w:b/>
                <w:bCs/>
                <w:color w:val="auto"/>
                <w:sz w:val="24"/>
                <w:szCs w:val="24"/>
                <w:highlight w:val="none"/>
                <w:lang w:eastAsia="zh-CN"/>
              </w:rPr>
              <w:t>杭州交投集中采购平台</w:t>
            </w:r>
            <w:r>
              <w:rPr>
                <w:rFonts w:hint="eastAsia" w:ascii="宋体" w:hAnsi="宋体" w:eastAsia="宋体" w:cs="宋体"/>
                <w:b/>
                <w:bCs/>
                <w:color w:val="auto"/>
                <w:sz w:val="24"/>
                <w:szCs w:val="24"/>
                <w:highlight w:val="none"/>
              </w:rPr>
              <w:t>填写的投标报价与投标文件报价文件中不一致的，以报价文件为准。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5388C77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zh-CN"/>
              </w:rPr>
              <w:t>提醒：</w:t>
            </w:r>
            <w:r>
              <w:rPr>
                <w:rFonts w:hint="eastAsia" w:ascii="宋体" w:hAnsi="宋体" w:eastAsia="宋体" w:cs="宋体"/>
                <w:b/>
                <w:color w:val="auto"/>
                <w:sz w:val="24"/>
                <w:szCs w:val="24"/>
                <w:highlight w:val="none"/>
              </w:rPr>
              <w:t>投标报价出现下列情形的，投标无效：</w:t>
            </w:r>
          </w:p>
          <w:p w14:paraId="1F3365C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投标文件出现不是唯一的、有选择性投标报价的；</w:t>
            </w:r>
          </w:p>
          <w:p w14:paraId="0B9CF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投标报价超过招标文件中规定的预算金额或者最高限价的</w:t>
            </w:r>
            <w:r>
              <w:rPr>
                <w:rFonts w:hint="eastAsia" w:ascii="宋体" w:hAnsi="宋体" w:eastAsia="宋体" w:cs="宋体"/>
                <w:b/>
                <w:color w:val="auto"/>
                <w:sz w:val="24"/>
                <w:szCs w:val="24"/>
                <w:highlight w:val="none"/>
                <w:lang w:eastAsia="zh-CN"/>
              </w:rPr>
              <w:t>；</w:t>
            </w:r>
          </w:p>
          <w:p w14:paraId="7F068B8C">
            <w:pPr>
              <w:keepNext w:val="0"/>
              <w:keepLines w:val="0"/>
              <w:pageBreakBefore w:val="0"/>
              <w:widowControl w:val="0"/>
              <w:kinsoku/>
              <w:wordWrap/>
              <w:overflowPunct/>
              <w:topLinePunct w:val="0"/>
              <w:autoSpaceDE/>
              <w:autoSpaceDN/>
              <w:bidi w:val="0"/>
              <w:adjustRightInd w:val="0"/>
              <w:spacing w:line="40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为避免出现恶意低价竞争的情况，低于报价文件满足招标文件全部实质性要求的供应商平均报价的</w:t>
            </w:r>
            <w:r>
              <w:rPr>
                <w:rFonts w:hint="eastAsia" w:ascii="宋体" w:hAnsi="宋体" w:eastAsia="宋体" w:cs="宋体"/>
                <w:b/>
                <w:color w:val="auto"/>
                <w:sz w:val="24"/>
                <w:szCs w:val="24"/>
                <w:highlight w:val="none"/>
                <w:u w:val="single"/>
              </w:rPr>
              <w:t xml:space="preserve"> 85 %</w:t>
            </w:r>
            <w:r>
              <w:rPr>
                <w:rFonts w:hint="eastAsia" w:ascii="宋体" w:hAnsi="宋体" w:eastAsia="宋体" w:cs="宋体"/>
                <w:b/>
                <w:color w:val="auto"/>
                <w:sz w:val="24"/>
                <w:szCs w:val="24"/>
                <w:highlight w:val="none"/>
              </w:rPr>
              <w:t>作否决投标处理。</w:t>
            </w:r>
          </w:p>
          <w:p w14:paraId="0731308E">
            <w:pPr>
              <w:keepNext w:val="0"/>
              <w:keepLines w:val="0"/>
              <w:pageBreakBefore w:val="0"/>
              <w:widowControl w:val="0"/>
              <w:kinsoku/>
              <w:wordWrap/>
              <w:overflowPunct/>
              <w:topLinePunct w:val="0"/>
              <w:autoSpaceDE/>
              <w:autoSpaceDN/>
              <w:bidi w:val="0"/>
              <w:adjustRightInd w:val="0"/>
              <w:spacing w:line="400" w:lineRule="exact"/>
              <w:ind w:left="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6BE469C8">
            <w:pPr>
              <w:keepNext w:val="0"/>
              <w:keepLines w:val="0"/>
              <w:pageBreakBefore w:val="0"/>
              <w:widowControl w:val="0"/>
              <w:kinsoku/>
              <w:wordWrap/>
              <w:overflowPunct/>
              <w:topLinePunct w:val="0"/>
              <w:autoSpaceDE/>
              <w:autoSpaceDN/>
              <w:bidi w:val="0"/>
              <w:adjustRightInd w:val="0"/>
              <w:spacing w:line="400" w:lineRule="exact"/>
              <w:ind w:left="0" w:leftChars="0"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投标人对根据修正原则修正后的报价不确认的。</w:t>
            </w:r>
          </w:p>
        </w:tc>
      </w:tr>
      <w:tr w14:paraId="33D6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381F9AA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785" w:type="dxa"/>
            <w:shd w:val="clear" w:color="auto" w:fill="auto"/>
            <w:vAlign w:val="center"/>
          </w:tcPr>
          <w:p w14:paraId="29C670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澄清及修改</w:t>
            </w:r>
          </w:p>
        </w:tc>
        <w:tc>
          <w:tcPr>
            <w:tcW w:w="6570" w:type="dxa"/>
            <w:shd w:val="clear" w:color="auto" w:fill="auto"/>
            <w:vAlign w:val="center"/>
          </w:tcPr>
          <w:p w14:paraId="668DC51B">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rPr>
              <w:t>投标人如认为招标文件表述不清晰、存在歧视性或者其他违法内容的，应当于</w:t>
            </w:r>
            <w:r>
              <w:rPr>
                <w:rFonts w:hint="eastAsia" w:ascii="宋体" w:hAnsi="宋体" w:eastAsia="宋体" w:cs="宋体"/>
                <w:b/>
                <w:bCs/>
                <w:snapToGrid w:val="0"/>
                <w:color w:val="auto"/>
                <w:kern w:val="28"/>
                <w:sz w:val="24"/>
                <w:szCs w:val="24"/>
                <w:highlight w:val="none"/>
                <w:lang w:eastAsia="zh-CN"/>
              </w:rPr>
              <w:t>2025年7月2日</w:t>
            </w:r>
            <w:r>
              <w:rPr>
                <w:rFonts w:hint="eastAsia" w:ascii="宋体" w:hAnsi="宋体" w:eastAsia="宋体" w:cs="宋体"/>
                <w:b/>
                <w:bCs/>
                <w:snapToGrid w:val="0"/>
                <w:color w:val="auto"/>
                <w:kern w:val="28"/>
                <w:sz w:val="24"/>
                <w:szCs w:val="24"/>
                <w:highlight w:val="none"/>
              </w:rPr>
              <w:t>17：00</w:t>
            </w:r>
            <w:r>
              <w:rPr>
                <w:rFonts w:hint="eastAsia" w:ascii="宋体" w:hAnsi="宋体" w:eastAsia="宋体" w:cs="宋体"/>
                <w:snapToGrid w:val="0"/>
                <w:color w:val="auto"/>
                <w:kern w:val="28"/>
                <w:sz w:val="24"/>
                <w:szCs w:val="24"/>
                <w:highlight w:val="none"/>
              </w:rPr>
              <w:t>前，以书面形式要求采购人或采购代理机构作出书面解释、澄清或者向采购人或采购代理机构提出书面质疑；如有投标人提出质疑的，采购人或采购代理机构将于</w:t>
            </w:r>
            <w:r>
              <w:rPr>
                <w:rFonts w:hint="eastAsia" w:ascii="宋体" w:hAnsi="宋体" w:eastAsia="宋体" w:cs="宋体"/>
                <w:b/>
                <w:bCs/>
                <w:snapToGrid w:val="0"/>
                <w:color w:val="auto"/>
                <w:kern w:val="28"/>
                <w:sz w:val="24"/>
                <w:szCs w:val="24"/>
                <w:highlight w:val="none"/>
                <w:lang w:eastAsia="zh-CN"/>
              </w:rPr>
              <w:t>2025年7月7日</w:t>
            </w:r>
            <w:r>
              <w:rPr>
                <w:rFonts w:hint="eastAsia" w:ascii="宋体" w:hAnsi="宋体" w:eastAsia="宋体" w:cs="宋体"/>
                <w:b/>
                <w:bCs/>
                <w:snapToGrid w:val="0"/>
                <w:color w:val="auto"/>
                <w:kern w:val="28"/>
                <w:sz w:val="24"/>
                <w:szCs w:val="24"/>
                <w:highlight w:val="none"/>
              </w:rPr>
              <w:t>17:00</w:t>
            </w:r>
            <w:r>
              <w:rPr>
                <w:rFonts w:hint="eastAsia" w:ascii="宋体" w:hAnsi="宋体" w:eastAsia="宋体" w:cs="宋体"/>
                <w:snapToGrid w:val="0"/>
                <w:color w:val="auto"/>
                <w:kern w:val="28"/>
                <w:sz w:val="24"/>
                <w:szCs w:val="24"/>
                <w:highlight w:val="none"/>
              </w:rPr>
              <w:t>前统一组织答疑；答疑内容是招标文件的组成部分，将在招标文件发售的网站进行发布。质疑函范本、投诉书范本后附。</w:t>
            </w:r>
          </w:p>
        </w:tc>
      </w:tr>
      <w:tr w14:paraId="5830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ADC40B3">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785" w:type="dxa"/>
            <w:shd w:val="clear" w:color="auto" w:fill="auto"/>
            <w:vAlign w:val="center"/>
          </w:tcPr>
          <w:p w14:paraId="05EC60A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 xml:space="preserve">备份投标文件送达地点和签收人员 </w:t>
            </w:r>
          </w:p>
        </w:tc>
        <w:tc>
          <w:tcPr>
            <w:tcW w:w="6570" w:type="dxa"/>
            <w:shd w:val="clear" w:color="auto" w:fill="auto"/>
            <w:vAlign w:val="center"/>
          </w:tcPr>
          <w:p w14:paraId="72CB72FA">
            <w:pPr>
              <w:pStyle w:val="33"/>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rPr>
              <w:t>响应截止时间前，供应商应将</w:t>
            </w:r>
            <w:r>
              <w:rPr>
                <w:rFonts w:hint="eastAsia" w:ascii="宋体" w:hAnsi="宋体" w:eastAsia="宋体" w:cs="宋体"/>
                <w:color w:val="auto"/>
                <w:kern w:val="28"/>
                <w:sz w:val="24"/>
                <w:szCs w:val="24"/>
                <w:highlight w:val="none"/>
              </w:rPr>
              <w:t>备份投标文件发至指定邮箱（849937109@qq.com）</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以便电子加密响应文件解密异常时应急备用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备份投标文件</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不强制</w:t>
            </w:r>
            <w:r>
              <w:rPr>
                <w:rFonts w:hint="eastAsia" w:ascii="宋体" w:hAnsi="宋体" w:eastAsia="宋体" w:cs="宋体"/>
                <w:b/>
                <w:color w:val="auto"/>
                <w:sz w:val="24"/>
                <w:szCs w:val="24"/>
                <w:highlight w:val="none"/>
                <w:lang w:val="en-US" w:eastAsia="zh-CN"/>
              </w:rPr>
              <w:t>要求提供</w:t>
            </w:r>
            <w:r>
              <w:rPr>
                <w:rFonts w:hint="eastAsia" w:ascii="宋体" w:hAnsi="宋体" w:eastAsia="宋体" w:cs="宋体"/>
                <w:b/>
                <w:color w:val="auto"/>
                <w:sz w:val="24"/>
                <w:szCs w:val="24"/>
                <w:highlight w:val="none"/>
              </w:rPr>
              <w:t>。</w:t>
            </w:r>
          </w:p>
        </w:tc>
      </w:tr>
      <w:tr w14:paraId="59E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1997AA5">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785" w:type="dxa"/>
            <w:shd w:val="clear" w:color="auto" w:fill="auto"/>
            <w:vAlign w:val="center"/>
          </w:tcPr>
          <w:p w14:paraId="757CF98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采购代理机构</w:t>
            </w:r>
          </w:p>
          <w:p w14:paraId="5C54765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代理费用</w:t>
            </w:r>
          </w:p>
        </w:tc>
        <w:tc>
          <w:tcPr>
            <w:tcW w:w="6570" w:type="dxa"/>
            <w:shd w:val="clear" w:color="auto" w:fill="auto"/>
            <w:vAlign w:val="center"/>
          </w:tcPr>
          <w:p w14:paraId="14A183FE">
            <w:pPr>
              <w:keepNext w:val="0"/>
              <w:keepLines w:val="0"/>
              <w:pageBreakBefore w:val="0"/>
              <w:widowControl w:val="0"/>
              <w:kinsoku/>
              <w:wordWrap/>
              <w:overflowPunct/>
              <w:topLinePunct w:val="0"/>
              <w:autoSpaceDE/>
              <w:autoSpaceDN/>
              <w:bidi w:val="0"/>
              <w:adjustRightInd w:val="0"/>
              <w:spacing w:line="400" w:lineRule="exact"/>
              <w:ind w:left="0" w:firstLine="0" w:firstLineChars="0"/>
              <w:jc w:val="lef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投标总报价应含采购服务费，采购服务费按照国家发展计划委员会计价格[2002]1980 号文《招标代理服务费管理暂行办法》及发改办价格[2003]857号文的收费标准（</w:t>
            </w:r>
            <w:r>
              <w:rPr>
                <w:rFonts w:hint="eastAsia" w:ascii="宋体" w:hAnsi="宋体" w:eastAsia="宋体" w:cs="宋体"/>
                <w:snapToGrid w:val="0"/>
                <w:color w:val="auto"/>
                <w:kern w:val="28"/>
                <w:sz w:val="24"/>
                <w:szCs w:val="24"/>
                <w:highlight w:val="none"/>
                <w:lang w:val="en-US" w:eastAsia="zh-CN"/>
              </w:rPr>
              <w:t>货物类</w:t>
            </w:r>
            <w:r>
              <w:rPr>
                <w:rFonts w:hint="eastAsia" w:ascii="宋体" w:hAnsi="宋体" w:eastAsia="宋体" w:cs="宋体"/>
                <w:snapToGrid w:val="0"/>
                <w:color w:val="auto"/>
                <w:kern w:val="28"/>
                <w:sz w:val="24"/>
                <w:szCs w:val="24"/>
                <w:highlight w:val="none"/>
              </w:rPr>
              <w:t>）计取，为</w:t>
            </w:r>
            <w:r>
              <w:rPr>
                <w:rFonts w:hint="eastAsia" w:ascii="宋体" w:hAnsi="宋体" w:eastAsia="宋体" w:cs="宋体"/>
                <w:snapToGrid w:val="0"/>
                <w:color w:val="auto"/>
                <w:kern w:val="28"/>
                <w:sz w:val="24"/>
                <w:szCs w:val="24"/>
                <w:highlight w:val="none"/>
              </w:rPr>
              <w:fldChar w:fldCharType="begin"/>
            </w:r>
            <w:r>
              <w:rPr>
                <w:rFonts w:hint="eastAsia" w:ascii="宋体" w:hAnsi="宋体" w:eastAsia="宋体" w:cs="宋体"/>
                <w:snapToGrid w:val="0"/>
                <w:color w:val="auto"/>
                <w:kern w:val="28"/>
                <w:sz w:val="24"/>
                <w:szCs w:val="24"/>
                <w:highlight w:val="none"/>
              </w:rPr>
              <w:instrText xml:space="preserve"> = 10500 \* CHINESENUM4 \* MERGEFORMAT </w:instrText>
            </w:r>
            <w:r>
              <w:rPr>
                <w:rFonts w:hint="eastAsia" w:ascii="宋体" w:hAnsi="宋体" w:eastAsia="宋体" w:cs="宋体"/>
                <w:snapToGrid w:val="0"/>
                <w:color w:val="auto"/>
                <w:kern w:val="28"/>
                <w:sz w:val="24"/>
                <w:szCs w:val="24"/>
                <w:highlight w:val="none"/>
              </w:rPr>
              <w:fldChar w:fldCharType="separate"/>
            </w:r>
            <w:r>
              <w:rPr>
                <w:rFonts w:hint="eastAsia" w:ascii="宋体" w:hAnsi="宋体" w:eastAsia="宋体" w:cs="宋体"/>
                <w:snapToGrid w:val="0"/>
                <w:color w:val="auto"/>
                <w:kern w:val="28"/>
                <w:sz w:val="24"/>
                <w:szCs w:val="24"/>
                <w:highlight w:val="none"/>
                <w:lang w:eastAsia="zh-CN"/>
              </w:rPr>
              <w:t>人民币</w:t>
            </w:r>
            <w:r>
              <w:rPr>
                <w:rFonts w:hint="eastAsia" w:ascii="宋体" w:hAnsi="宋体" w:eastAsia="宋体" w:cs="宋体"/>
                <w:snapToGrid w:val="0"/>
                <w:color w:val="auto"/>
                <w:kern w:val="28"/>
                <w:sz w:val="24"/>
                <w:szCs w:val="24"/>
                <w:highlight w:val="none"/>
                <w:lang w:val="en-US" w:eastAsia="zh-CN"/>
              </w:rPr>
              <w:fldChar w:fldCharType="begin"/>
            </w:r>
            <w:r>
              <w:rPr>
                <w:rFonts w:hint="eastAsia" w:ascii="宋体" w:hAnsi="宋体" w:eastAsia="宋体" w:cs="宋体"/>
                <w:snapToGrid w:val="0"/>
                <w:color w:val="auto"/>
                <w:kern w:val="28"/>
                <w:sz w:val="24"/>
                <w:szCs w:val="24"/>
                <w:highlight w:val="none"/>
                <w:lang w:val="en-US" w:eastAsia="zh-CN"/>
              </w:rPr>
              <w:instrText xml:space="preserve"> = 12900 \* CHINESENUM4 \* MERGEFORMAT </w:instrText>
            </w:r>
            <w:r>
              <w:rPr>
                <w:rFonts w:hint="eastAsia" w:ascii="宋体" w:hAnsi="宋体" w:eastAsia="宋体" w:cs="宋体"/>
                <w:snapToGrid w:val="0"/>
                <w:color w:val="auto"/>
                <w:kern w:val="28"/>
                <w:sz w:val="24"/>
                <w:szCs w:val="24"/>
                <w:highlight w:val="none"/>
                <w:lang w:val="en-US" w:eastAsia="zh-CN"/>
              </w:rPr>
              <w:fldChar w:fldCharType="separate"/>
            </w:r>
            <w:r>
              <w:rPr>
                <w:rFonts w:hint="eastAsia" w:ascii="宋体" w:hAnsi="宋体" w:eastAsia="宋体" w:cs="宋体"/>
                <w:snapToGrid w:val="0"/>
                <w:color w:val="auto"/>
                <w:kern w:val="28"/>
                <w:sz w:val="24"/>
                <w:szCs w:val="24"/>
                <w:highlight w:val="none"/>
                <w:lang w:val="en-US" w:eastAsia="zh-CN"/>
              </w:rPr>
              <w:t>陆仟柒佰伍拾</w:t>
            </w:r>
            <w:r>
              <w:rPr>
                <w:rFonts w:hint="eastAsia" w:ascii="宋体" w:hAnsi="宋体" w:eastAsia="宋体" w:cs="宋体"/>
                <w:snapToGrid w:val="0"/>
                <w:color w:val="auto"/>
                <w:kern w:val="28"/>
                <w:sz w:val="24"/>
                <w:szCs w:val="24"/>
                <w:highlight w:val="none"/>
                <w:lang w:eastAsia="zh-CN"/>
              </w:rPr>
              <w:t>元整</w:t>
            </w:r>
            <w:r>
              <w:rPr>
                <w:rFonts w:hint="eastAsia" w:ascii="宋体" w:hAnsi="宋体" w:eastAsia="宋体" w:cs="宋体"/>
                <w:snapToGrid w:val="0"/>
                <w:color w:val="auto"/>
                <w:kern w:val="28"/>
                <w:sz w:val="24"/>
                <w:szCs w:val="24"/>
                <w:highlight w:val="none"/>
                <w:lang w:val="en-US" w:eastAsia="zh-CN"/>
              </w:rPr>
              <w:fldChar w:fldCharType="end"/>
            </w:r>
            <w:r>
              <w:rPr>
                <w:rFonts w:hint="eastAsia" w:ascii="宋体" w:hAnsi="宋体" w:eastAsia="宋体" w:cs="宋体"/>
                <w:snapToGrid w:val="0"/>
                <w:color w:val="auto"/>
                <w:kern w:val="28"/>
                <w:sz w:val="24"/>
                <w:szCs w:val="24"/>
                <w:highlight w:val="none"/>
                <w:lang w:val="en-US" w:eastAsia="zh-CN"/>
              </w:rPr>
              <w:t>（</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eastAsia="zh-CN"/>
              </w:rPr>
              <w:t>6750</w:t>
            </w:r>
            <w:r>
              <w:rPr>
                <w:rFonts w:hint="eastAsia" w:ascii="宋体" w:hAnsi="宋体" w:eastAsia="宋体" w:cs="宋体"/>
                <w:snapToGrid w:val="0"/>
                <w:color w:val="auto"/>
                <w:kern w:val="28"/>
                <w:sz w:val="24"/>
                <w:szCs w:val="24"/>
                <w:highlight w:val="none"/>
                <w:lang w:val="en-US" w:eastAsia="zh-CN"/>
              </w:rPr>
              <w:t xml:space="preserve">.00 </w:t>
            </w:r>
            <w:r>
              <w:rPr>
                <w:rFonts w:hint="eastAsia" w:ascii="宋体" w:hAnsi="宋体" w:eastAsia="宋体" w:cs="宋体"/>
                <w:snapToGrid w:val="0"/>
                <w:color w:val="auto"/>
                <w:kern w:val="28"/>
                <w:sz w:val="24"/>
                <w:szCs w:val="24"/>
                <w:highlight w:val="none"/>
              </w:rPr>
              <w:t>元）</w:t>
            </w:r>
            <w:r>
              <w:rPr>
                <w:rFonts w:hint="eastAsia" w:ascii="宋体" w:hAnsi="宋体" w:eastAsia="宋体" w:cs="宋体"/>
                <w:snapToGrid w:val="0"/>
                <w:color w:val="auto"/>
                <w:kern w:val="28"/>
                <w:sz w:val="24"/>
                <w:szCs w:val="24"/>
                <w:highlight w:val="none"/>
              </w:rPr>
              <w:fldChar w:fldCharType="end"/>
            </w:r>
            <w:r>
              <w:rPr>
                <w:rFonts w:hint="eastAsia" w:ascii="宋体" w:hAnsi="宋体" w:eastAsia="宋体" w:cs="宋体"/>
                <w:snapToGrid w:val="0"/>
                <w:color w:val="auto"/>
                <w:kern w:val="28"/>
                <w:sz w:val="24"/>
                <w:szCs w:val="24"/>
                <w:highlight w:val="none"/>
              </w:rPr>
              <w:t>。由中标单位在领取中标通知书时支付给采购代理公司。</w:t>
            </w:r>
          </w:p>
          <w:p w14:paraId="6282C545">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供应商在采购活动中违反政府采购相关规定放弃中标（成交）资格的，采购组织机构有权要求其承担采购服务费和专家评审费等费用。</w:t>
            </w:r>
          </w:p>
        </w:tc>
      </w:tr>
      <w:tr w14:paraId="2442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0F6AD13">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785" w:type="dxa"/>
            <w:shd w:val="clear" w:color="auto" w:fill="auto"/>
            <w:vAlign w:val="center"/>
          </w:tcPr>
          <w:p w14:paraId="5C8B71C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特别说明</w:t>
            </w:r>
          </w:p>
        </w:tc>
        <w:tc>
          <w:tcPr>
            <w:tcW w:w="6570" w:type="dxa"/>
            <w:shd w:val="clear" w:color="auto" w:fill="auto"/>
            <w:vAlign w:val="center"/>
          </w:tcPr>
          <w:p w14:paraId="18339F18">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1、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14:paraId="14826277">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2、与招标单位存在利害关系可能影响招标公正性的法人、其他组织或者个人，不得参加投标。违反规定的投标无效。</w:t>
            </w:r>
          </w:p>
          <w:p w14:paraId="7936B58C">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3、单位负责人为同一人或者存在直接控股、管理关系的不同单位，不得同时参加本招标项目投标。违反规定的投标无效。</w:t>
            </w:r>
          </w:p>
          <w:p w14:paraId="7EAE8B61">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4、本招标文件由招标单位负责解释。</w:t>
            </w:r>
          </w:p>
        </w:tc>
      </w:tr>
      <w:bookmarkEnd w:id="8"/>
    </w:tbl>
    <w:p w14:paraId="1E7FC7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2"/>
          <w:szCs w:val="20"/>
          <w:highlight w:val="none"/>
        </w:rPr>
      </w:pPr>
      <w:bookmarkStart w:id="10" w:name="_Toc164416483"/>
      <w:bookmarkStart w:id="11" w:name="第三部分"/>
    </w:p>
    <w:p w14:paraId="7A8BFB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BBFAA4A">
      <w:pPr>
        <w:keepNext w:val="0"/>
        <w:keepLines w:val="0"/>
        <w:pageBreakBefore w:val="0"/>
        <w:kinsoku/>
        <w:wordWrap/>
        <w:overflowPunct/>
        <w:topLinePunct w:val="0"/>
        <w:bidi w:val="0"/>
        <w:snapToGrid w:val="0"/>
        <w:spacing w:beforeAutospacing="0" w:line="440" w:lineRule="exact"/>
        <w:ind w:left="0" w:lef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6004A82B">
      <w:pPr>
        <w:keepNext w:val="0"/>
        <w:keepLines w:val="0"/>
        <w:pageBreakBefore w:val="0"/>
        <w:kinsoku/>
        <w:wordWrap/>
        <w:overflowPunct/>
        <w:topLinePunct w:val="0"/>
        <w:bidi w:val="0"/>
        <w:snapToGrid w:val="0"/>
        <w:spacing w:beforeAutospacing="0"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本招标文件适用于该项目的招标、投标、开标、资格审查及信用信息查询、评标、定标、合同等行为（法律、法规另有规定的，从其规定）。</w:t>
      </w:r>
    </w:p>
    <w:p w14:paraId="1B719DC8">
      <w:pPr>
        <w:keepNext w:val="0"/>
        <w:keepLines w:val="0"/>
        <w:pageBreakBefore w:val="0"/>
        <w:kinsoku/>
        <w:wordWrap/>
        <w:overflowPunct/>
        <w:topLinePunct w:val="0"/>
        <w:bidi w:val="0"/>
        <w:adjustRightInd/>
        <w:spacing w:beforeAutospacing="0" w:line="440" w:lineRule="exact"/>
        <w:ind w:left="0" w:lef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729F9B9D">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3F9FD61F">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16F9750A">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4601EF05">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73E7F4AD">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071697">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指本项目采购活动所依托的</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w:t>
      </w:r>
    </w:p>
    <w:p w14:paraId="3749216C">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系指不适用本项目的要求。</w:t>
      </w:r>
    </w:p>
    <w:p w14:paraId="1BCCBBA5">
      <w:pPr>
        <w:keepNext w:val="0"/>
        <w:keepLines w:val="0"/>
        <w:pageBreakBefore w:val="0"/>
        <w:kinsoku/>
        <w:wordWrap/>
        <w:overflowPunct/>
        <w:topLinePunct w:val="0"/>
        <w:bidi w:val="0"/>
        <w:spacing w:beforeAutospacing="0"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询问、质疑、投诉</w:t>
      </w:r>
    </w:p>
    <w:p w14:paraId="5BCD91CF">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.1供应商询问</w:t>
      </w:r>
    </w:p>
    <w:p w14:paraId="4C82E8D1">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C1F4B9">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供应商质疑</w:t>
      </w:r>
    </w:p>
    <w:p w14:paraId="0FCA9E70">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E253E81">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.2投标人如认为招标文件表述不清晰、存在歧视性或者其他违法内容的，应当于</w:t>
      </w:r>
      <w:r>
        <w:rPr>
          <w:rFonts w:hint="eastAsia" w:ascii="宋体" w:hAnsi="宋体" w:eastAsia="宋体" w:cs="宋体"/>
          <w:b/>
          <w:bCs/>
          <w:color w:val="auto"/>
          <w:sz w:val="24"/>
          <w:szCs w:val="24"/>
          <w:highlight w:val="none"/>
          <w:lang w:eastAsia="zh-CN"/>
        </w:rPr>
        <w:t>2025年7月2日</w:t>
      </w:r>
      <w:r>
        <w:rPr>
          <w:rFonts w:hint="eastAsia" w:ascii="宋体" w:hAnsi="宋体" w:eastAsia="宋体" w:cs="宋体"/>
          <w:b/>
          <w:bCs/>
          <w:color w:val="auto"/>
          <w:sz w:val="24"/>
          <w:szCs w:val="24"/>
          <w:highlight w:val="none"/>
        </w:rPr>
        <w:t>17：00</w:t>
      </w:r>
      <w:r>
        <w:rPr>
          <w:rFonts w:hint="eastAsia" w:ascii="宋体" w:hAnsi="宋体" w:eastAsia="宋体" w:cs="宋体"/>
          <w:color w:val="auto"/>
          <w:sz w:val="24"/>
          <w:szCs w:val="24"/>
          <w:highlight w:val="none"/>
        </w:rPr>
        <w:t>前，以书面形式要求采购人或采购代理机构作出书面解释、澄清或者向采购人或采购代理机构提出书面质疑；如有投标人提出质疑的，采购人或采购代理机构将于</w:t>
      </w:r>
      <w:r>
        <w:rPr>
          <w:rFonts w:hint="eastAsia" w:ascii="宋体" w:hAnsi="宋体" w:eastAsia="宋体" w:cs="宋体"/>
          <w:b/>
          <w:bCs/>
          <w:color w:val="auto"/>
          <w:sz w:val="24"/>
          <w:szCs w:val="24"/>
          <w:highlight w:val="none"/>
          <w:lang w:eastAsia="zh-CN"/>
        </w:rPr>
        <w:t>2025年7月7日</w:t>
      </w:r>
      <w:r>
        <w:rPr>
          <w:rFonts w:hint="eastAsia" w:ascii="宋体" w:hAnsi="宋体" w:eastAsia="宋体" w:cs="宋体"/>
          <w:b/>
          <w:bCs/>
          <w:color w:val="auto"/>
          <w:sz w:val="24"/>
          <w:szCs w:val="24"/>
          <w:highlight w:val="none"/>
        </w:rPr>
        <w:t>17:00</w:t>
      </w:r>
      <w:r>
        <w:rPr>
          <w:rFonts w:hint="eastAsia" w:ascii="宋体" w:hAnsi="宋体" w:eastAsia="宋体" w:cs="宋体"/>
          <w:color w:val="auto"/>
          <w:sz w:val="24"/>
          <w:szCs w:val="24"/>
          <w:highlight w:val="none"/>
        </w:rPr>
        <w:t>前统一组织答疑；答疑内容是招标文件的组成部分，将在招标文件发售的网站进行发布。质疑函范本、投诉书范本后附</w:t>
      </w:r>
      <w:r>
        <w:rPr>
          <w:rFonts w:hint="eastAsia" w:ascii="宋体" w:hAnsi="宋体" w:eastAsia="宋体" w:cs="宋体"/>
          <w:color w:val="auto"/>
          <w:sz w:val="24"/>
          <w:szCs w:val="24"/>
          <w:highlight w:val="none"/>
          <w:lang w:eastAsia="zh-CN"/>
        </w:rPr>
        <w:t>。</w:t>
      </w:r>
    </w:p>
    <w:p w14:paraId="4EBBFE2F">
      <w:pPr>
        <w:keepNext w:val="0"/>
        <w:keepLines w:val="0"/>
        <w:pageBreakBefore w:val="0"/>
        <w:kinsoku/>
        <w:wordWrap/>
        <w:overflowPunct/>
        <w:topLinePunct w:val="0"/>
        <w:bidi w:val="0"/>
        <w:spacing w:beforeAutospacing="0" w:line="440" w:lineRule="exact"/>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.2.1对采购过程提出质疑的，质疑期限为各采购程序环节结束之日起计算。</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对采购结果提出质疑的，质疑期限自采购结果公告期限届满之日起计算。</w:t>
      </w:r>
    </w:p>
    <w:p w14:paraId="0FE1F076">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sz w:val="24"/>
          <w:szCs w:val="24"/>
          <w:highlight w:val="none"/>
        </w:rPr>
        <w:t>供应商提出质疑应当提交质疑函和必要的证明材料。质疑函应当包括下列内容：</w:t>
      </w:r>
    </w:p>
    <w:p w14:paraId="3751F34B">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.3.1供应商的姓名或者名称、地址、邮编、联系人及联系电话；</w:t>
      </w:r>
    </w:p>
    <w:p w14:paraId="006D01F5">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.3.2质疑项目的名称、编号；</w:t>
      </w:r>
    </w:p>
    <w:p w14:paraId="185B76F9">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.3.3具体、明确的质疑事项和与质疑事项相关的请求；</w:t>
      </w:r>
    </w:p>
    <w:p w14:paraId="4C9909B4">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.3.4事实依据；</w:t>
      </w:r>
    </w:p>
    <w:p w14:paraId="54450830">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.3.5必要的法律依据；</w:t>
      </w:r>
    </w:p>
    <w:p w14:paraId="59C49CFA">
      <w:pPr>
        <w:pStyle w:val="33"/>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.3.6提出质疑的日期。</w:t>
      </w:r>
    </w:p>
    <w:p w14:paraId="784183FB">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82818CE">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w:t>
      </w:r>
    </w:p>
    <w:p w14:paraId="566856B9">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.4对同一采购程序环节的质疑，供应商须在法定质疑期内一次性提出。</w:t>
      </w:r>
    </w:p>
    <w:p w14:paraId="7112FF6E">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.5询问或者质疑事项可能影响采购结果的，采购人应当暂停签订合同，已经签订合同的，应当中止履行合同。</w:t>
      </w:r>
    </w:p>
    <w:p w14:paraId="78FBEC85">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rPr>
        <w:t>供应商投诉</w:t>
      </w:r>
    </w:p>
    <w:p w14:paraId="26D009DD">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未在规定的时间内作出答复的，可以在答复期满后十五个工作日内向同级采购监督管理部门提出投诉。</w:t>
      </w:r>
    </w:p>
    <w:p w14:paraId="103B88B5">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6E38C514">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.3供应商投诉应当有明确的请求和必要的证明材料。</w:t>
      </w:r>
    </w:p>
    <w:p w14:paraId="55FE80AC">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.4 以联合体形式参加采购活动的，其投诉应当由组成联合体的所有供应商共同提出。</w:t>
      </w:r>
    </w:p>
    <w:p w14:paraId="587DDCB9">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w:t>
      </w:r>
    </w:p>
    <w:p w14:paraId="15A642D4">
      <w:pPr>
        <w:pStyle w:val="130"/>
        <w:keepNext w:val="0"/>
        <w:keepLines w:val="0"/>
        <w:pageBreakBefore w:val="0"/>
        <w:kinsoku/>
        <w:wordWrap/>
        <w:overflowPunct/>
        <w:topLinePunct w:val="0"/>
        <w:bidi w:val="0"/>
        <w:snapToGrid w:val="0"/>
        <w:spacing w:before="0" w:beforeAutospacing="0" w:line="440" w:lineRule="exact"/>
        <w:ind w:left="0" w:leftChars="0" w:firstLine="480" w:firstLineChars="200"/>
        <w:textAlignment w:val="auto"/>
        <w:rPr>
          <w:rFonts w:hint="eastAsia" w:ascii="宋体" w:hAnsi="宋体" w:eastAsia="宋体" w:cs="宋体"/>
          <w:color w:val="auto"/>
          <w:sz w:val="24"/>
          <w:szCs w:val="24"/>
          <w:highlight w:val="none"/>
        </w:rPr>
      </w:pPr>
    </w:p>
    <w:p w14:paraId="6EF4FA69">
      <w:pPr>
        <w:adjustRightInd/>
        <w:spacing w:line="24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BB04224">
      <w:pPr>
        <w:pStyle w:val="33"/>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．招标文件的构成</w:t>
      </w:r>
    </w:p>
    <w:p w14:paraId="059908D0">
      <w:pPr>
        <w:pStyle w:val="33"/>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招标文件包括下列文件及附件：</w:t>
      </w:r>
    </w:p>
    <w:p w14:paraId="658F7C0D">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.1.1招标公告；</w:t>
      </w:r>
    </w:p>
    <w:p w14:paraId="1B8AC85E">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.1.2投标人须知；</w:t>
      </w:r>
    </w:p>
    <w:p w14:paraId="368C0DF8">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14:paraId="7D053A72">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.1.4评标办法；</w:t>
      </w:r>
    </w:p>
    <w:p w14:paraId="39F81F85">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4EEA2EC0">
      <w:pPr>
        <w:pStyle w:val="33"/>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.1.6应提交的有关格式范例。</w:t>
      </w:r>
    </w:p>
    <w:p w14:paraId="2B2B6F22">
      <w:pPr>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64D9E285">
      <w:pPr>
        <w:pStyle w:val="33"/>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招标文件的澄清、修改</w:t>
      </w:r>
    </w:p>
    <w:p w14:paraId="582E4D4A">
      <w:pPr>
        <w:pStyle w:val="130"/>
        <w:keepNext w:val="0"/>
        <w:keepLines w:val="0"/>
        <w:pageBreakBefore w:val="0"/>
        <w:widowControl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5AB597C8">
      <w:pPr>
        <w:pStyle w:val="130"/>
        <w:keepNext w:val="0"/>
        <w:keepLines w:val="0"/>
        <w:pageBreakBefore w:val="0"/>
        <w:widowControl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DA2705">
      <w:pPr>
        <w:pStyle w:val="3"/>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4E3D0A94">
      <w:pPr>
        <w:adjustRightInd/>
        <w:spacing w:line="24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0C9B26C">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招标文件的获取</w:t>
      </w:r>
    </w:p>
    <w:p w14:paraId="307B489C">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5D15182E">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.开标前答疑会或现场考察</w:t>
      </w:r>
    </w:p>
    <w:p w14:paraId="1C596369">
      <w:pPr>
        <w:pStyle w:val="33"/>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0B7E416">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.投标保证金</w:t>
      </w:r>
    </w:p>
    <w:p w14:paraId="2B6C8684">
      <w:pPr>
        <w:pStyle w:val="17"/>
        <w:keepNext w:val="0"/>
        <w:keepLines w:val="0"/>
        <w:pageBreakBefore w:val="0"/>
        <w:kinsoku/>
        <w:wordWrap/>
        <w:overflowPunct/>
        <w:topLinePunct w:val="0"/>
        <w:bidi w:val="0"/>
        <w:adjustRightInd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799140B0">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投标文件的语言</w:t>
      </w:r>
    </w:p>
    <w:p w14:paraId="2D09E18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BD3DEE8">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 投标文件的组成</w:t>
      </w:r>
    </w:p>
    <w:p w14:paraId="0CA00DB9">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.1资格文件：</w:t>
      </w:r>
    </w:p>
    <w:p w14:paraId="61659AE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.1.1强制性资格条件表</w:t>
      </w:r>
      <w:r>
        <w:rPr>
          <w:rFonts w:hint="eastAsia" w:ascii="宋体" w:hAnsi="宋体" w:eastAsia="宋体" w:cs="宋体"/>
          <w:color w:val="auto"/>
          <w:sz w:val="24"/>
          <w:szCs w:val="24"/>
          <w:highlight w:val="none"/>
          <w:lang w:eastAsia="zh-CN"/>
        </w:rPr>
        <w:t>；</w:t>
      </w:r>
    </w:p>
    <w:p w14:paraId="4F4A23D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.1.2符合参加采购活动应当具备的一般条件的承诺函</w:t>
      </w:r>
      <w:r>
        <w:rPr>
          <w:rFonts w:hint="eastAsia" w:ascii="宋体" w:hAnsi="宋体" w:eastAsia="宋体" w:cs="宋体"/>
          <w:color w:val="auto"/>
          <w:sz w:val="24"/>
          <w:szCs w:val="24"/>
          <w:highlight w:val="none"/>
          <w:lang w:eastAsia="zh-CN"/>
        </w:rPr>
        <w:t>；</w:t>
      </w:r>
    </w:p>
    <w:p w14:paraId="7159D676">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.1.3授权委托书或法定代表人（单位负责人、自然人本人）身份证明。</w:t>
      </w:r>
    </w:p>
    <w:p w14:paraId="4C798681">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lang w:eastAsia="zh-CN"/>
        </w:rPr>
        <w:t>资信技术文件</w:t>
      </w:r>
      <w:r>
        <w:rPr>
          <w:rFonts w:hint="eastAsia" w:ascii="宋体" w:hAnsi="宋体" w:eastAsia="宋体" w:cs="宋体"/>
          <w:b/>
          <w:bCs/>
          <w:color w:val="auto"/>
          <w:sz w:val="24"/>
          <w:szCs w:val="24"/>
          <w:highlight w:val="none"/>
          <w:lang w:val="zh-CN"/>
        </w:rPr>
        <w:t>：</w:t>
      </w:r>
    </w:p>
    <w:p w14:paraId="4B45DC8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.2.1投标函</w:t>
      </w:r>
      <w:r>
        <w:rPr>
          <w:rFonts w:hint="eastAsia" w:ascii="宋体" w:hAnsi="宋体" w:eastAsia="宋体" w:cs="宋体"/>
          <w:color w:val="auto"/>
          <w:sz w:val="24"/>
          <w:szCs w:val="24"/>
          <w:highlight w:val="none"/>
          <w:lang w:eastAsia="zh-CN"/>
        </w:rPr>
        <w:t>；</w:t>
      </w:r>
    </w:p>
    <w:p w14:paraId="41925EEB">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.2.2符合性审查资料</w:t>
      </w:r>
      <w:r>
        <w:rPr>
          <w:rFonts w:hint="eastAsia" w:ascii="宋体" w:hAnsi="宋体" w:eastAsia="宋体" w:cs="宋体"/>
          <w:color w:val="auto"/>
          <w:sz w:val="24"/>
          <w:szCs w:val="24"/>
          <w:highlight w:val="none"/>
          <w:lang w:eastAsia="zh-CN"/>
        </w:rPr>
        <w:t>；</w:t>
      </w:r>
    </w:p>
    <w:p w14:paraId="7F0960B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.2.3投标人基本情况表</w:t>
      </w:r>
      <w:r>
        <w:rPr>
          <w:rFonts w:hint="eastAsia" w:ascii="宋体" w:hAnsi="宋体" w:eastAsia="宋体" w:cs="宋体"/>
          <w:color w:val="auto"/>
          <w:sz w:val="24"/>
          <w:szCs w:val="24"/>
          <w:highlight w:val="none"/>
          <w:lang w:eastAsia="zh-CN"/>
        </w:rPr>
        <w:t>；</w:t>
      </w:r>
    </w:p>
    <w:p w14:paraId="597B7D5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.2.4评标标准相应的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w:t>
      </w:r>
    </w:p>
    <w:p w14:paraId="304F0E28">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w:t>
      </w:r>
      <w:r>
        <w:rPr>
          <w:rFonts w:hint="eastAsia" w:ascii="宋体" w:hAnsi="宋体" w:eastAsia="宋体" w:cs="宋体"/>
          <w:color w:val="auto"/>
          <w:sz w:val="24"/>
          <w:szCs w:val="24"/>
          <w:highlight w:val="none"/>
          <w:lang w:eastAsia="zh-CN"/>
        </w:rPr>
        <w:t>；</w:t>
      </w:r>
    </w:p>
    <w:p w14:paraId="25C3A672">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采购供应商廉洁自律承诺书</w:t>
      </w:r>
      <w:r>
        <w:rPr>
          <w:rFonts w:hint="eastAsia" w:ascii="宋体" w:hAnsi="宋体" w:eastAsia="宋体" w:cs="宋体"/>
          <w:color w:val="auto"/>
          <w:sz w:val="24"/>
          <w:szCs w:val="24"/>
          <w:highlight w:val="none"/>
          <w:lang w:eastAsia="zh-CN"/>
        </w:rPr>
        <w:t>。</w:t>
      </w:r>
    </w:p>
    <w:p w14:paraId="04A32D4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15CD7CA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.3.1报价函</w:t>
      </w:r>
      <w:r>
        <w:rPr>
          <w:rFonts w:hint="eastAsia" w:ascii="宋体" w:hAnsi="宋体" w:eastAsia="宋体" w:cs="宋体"/>
          <w:color w:val="auto"/>
          <w:sz w:val="24"/>
          <w:szCs w:val="24"/>
          <w:highlight w:val="none"/>
          <w:lang w:eastAsia="zh-CN"/>
        </w:rPr>
        <w:t>；</w:t>
      </w:r>
    </w:p>
    <w:p w14:paraId="2E74676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.3.2开标一览表</w:t>
      </w:r>
      <w:r>
        <w:rPr>
          <w:rFonts w:hint="eastAsia" w:ascii="宋体" w:hAnsi="宋体" w:eastAsia="宋体" w:cs="宋体"/>
          <w:color w:val="auto"/>
          <w:sz w:val="24"/>
          <w:szCs w:val="24"/>
          <w:highlight w:val="none"/>
          <w:lang w:eastAsia="zh-CN"/>
        </w:rPr>
        <w:t>。</w:t>
      </w:r>
    </w:p>
    <w:p w14:paraId="52970218">
      <w:pPr>
        <w:keepNext w:val="0"/>
        <w:keepLines w:val="0"/>
        <w:pageBreakBefore w:val="0"/>
        <w:kinsoku/>
        <w:wordWrap/>
        <w:overflowPunct/>
        <w:topLinePunct w:val="0"/>
        <w:bidi w:val="0"/>
        <w:adjustRightInd w:val="0"/>
        <w:spacing w:line="44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6E647B70">
      <w:pPr>
        <w:keepNext w:val="0"/>
        <w:keepLines w:val="0"/>
        <w:pageBreakBefore w:val="0"/>
        <w:kinsoku/>
        <w:wordWrap/>
        <w:overflowPunct/>
        <w:topLinePunct w:val="0"/>
        <w:bidi w:val="0"/>
        <w:adjustRightInd w:val="0"/>
        <w:spacing w:line="44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24CEF025">
      <w:pPr>
        <w:pStyle w:val="130"/>
        <w:keepNext w:val="0"/>
        <w:keepLines w:val="0"/>
        <w:pageBreakBefore w:val="0"/>
        <w:kinsoku/>
        <w:wordWrap/>
        <w:overflowPunct/>
        <w:topLinePunct w:val="0"/>
        <w:bidi w:val="0"/>
        <w:adjustRightInd w:val="0"/>
        <w:snapToGrid w:val="0"/>
        <w:spacing w:before="0" w:line="44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0C4D6847">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07F170A0">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.2投标人进行电子投标应安装客户端软件—“电子交易客户端”，并按照招标文件和电子交易平台的要求编制并加密投标文件。投标人未按规定加密的投标文件，电子交易平台将拒收并提示。</w:t>
      </w:r>
    </w:p>
    <w:p w14:paraId="6E7B565B">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.3使用“电子交易客户端”需要提前申领CA数字证书，申领流程请自行前往“杭州交投集中采购平台-下载专区-电子交易客户端-CA驱动和申领流程”进行查阅。</w:t>
      </w:r>
    </w:p>
    <w:p w14:paraId="6EF1BC94">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.投标文件的签署、盖章</w:t>
      </w:r>
    </w:p>
    <w:p w14:paraId="3E99C126">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670CFA28">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.2为确保网上操作合法、有效和安全，投标人应当在投标截止时间前完成在“</w:t>
      </w:r>
      <w:r>
        <w:rPr>
          <w:rFonts w:hint="eastAsia" w:ascii="宋体" w:hAnsi="宋体" w:eastAsia="宋体" w:cs="宋体"/>
          <w:color w:val="auto"/>
          <w:sz w:val="24"/>
          <w:szCs w:val="24"/>
          <w:highlight w:val="none"/>
          <w:lang w:eastAsia="zh-CN"/>
        </w:rPr>
        <w:t>杭州交投集中采购平台</w:t>
      </w:r>
      <w:r>
        <w:rPr>
          <w:rFonts w:hint="eastAsia" w:ascii="宋体" w:hAnsi="宋体" w:eastAsia="宋体" w:cs="宋体"/>
          <w:color w:val="auto"/>
          <w:sz w:val="24"/>
          <w:szCs w:val="24"/>
          <w:highlight w:val="none"/>
        </w:rPr>
        <w:t>”的身份认证，确保在电子投标过程中能够对相关数据电文进行加密和使用电子签名。</w:t>
      </w:r>
    </w:p>
    <w:p w14:paraId="2FD80879">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.3招标文件对投标文件签署、盖章的要求适用于电子签名。</w:t>
      </w:r>
    </w:p>
    <w:p w14:paraId="660E439E">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投标文件的提交、补充、修改、撤回</w:t>
      </w:r>
    </w:p>
    <w:p w14:paraId="7434D34F">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98DC4A">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348F2B65">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51FDA187">
      <w:pPr>
        <w:pStyle w:val="33"/>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.备份投标文件</w:t>
      </w:r>
    </w:p>
    <w:p w14:paraId="79C26007">
      <w:pPr>
        <w:pStyle w:val="33"/>
        <w:keepNext w:val="0"/>
        <w:keepLines w:val="0"/>
        <w:pageBreakBefore w:val="0"/>
        <w:kinsoku/>
        <w:wordWrap/>
        <w:overflowPunct/>
        <w:topLinePunct w:val="0"/>
        <w:bidi w:val="0"/>
        <w:adjustRightInd w:val="0"/>
        <w:spacing w:line="44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.1投标人在电子交易平台传输递交投标文件后，还可以在投标截止时间前</w:t>
      </w:r>
      <w:r>
        <w:rPr>
          <w:rFonts w:hint="eastAsia" w:ascii="宋体" w:hAnsi="宋体" w:eastAsia="宋体" w:cs="宋体"/>
          <w:color w:val="auto"/>
          <w:sz w:val="24"/>
          <w:szCs w:val="24"/>
          <w:highlight w:val="none"/>
          <w:lang w:eastAsia="zh-CN"/>
        </w:rPr>
        <w:t>发至指定邮箱（849937109@qq.com）</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82EBCF4">
      <w:pPr>
        <w:pStyle w:val="33"/>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备份投标文件须在“投标客户端”制作生成。备份投标文件应当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不符合上述制作、存储、注明规定的备份投标文件将被视为无效或者被拒绝接收。</w:t>
      </w:r>
    </w:p>
    <w:p w14:paraId="1C35C047">
      <w:pPr>
        <w:pStyle w:val="33"/>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.3递交备份投标文件的，投标人应先将备份投标文件按要求制作和注明，再发至指定邮箱。备份投标文件须在投标截止时间之前送达</w:t>
      </w:r>
      <w:r>
        <w:rPr>
          <w:rFonts w:hint="eastAsia" w:ascii="宋体" w:hAnsi="宋体" w:eastAsia="宋体" w:cs="宋体"/>
          <w:snapToGrid/>
          <w:color w:val="auto"/>
          <w:sz w:val="24"/>
          <w:szCs w:val="24"/>
          <w:highlight w:val="none"/>
        </w:rPr>
        <w:t>邮箱；</w:t>
      </w:r>
      <w:r>
        <w:rPr>
          <w:rFonts w:hint="eastAsia" w:ascii="宋体" w:hAnsi="宋体" w:eastAsia="宋体" w:cs="宋体"/>
          <w:color w:val="auto"/>
          <w:sz w:val="24"/>
          <w:szCs w:val="24"/>
          <w:highlight w:val="none"/>
        </w:rPr>
        <w:t>送达时间以</w:t>
      </w:r>
      <w:r>
        <w:rPr>
          <w:rFonts w:hint="eastAsia" w:ascii="宋体" w:hAnsi="宋体" w:eastAsia="宋体" w:cs="宋体"/>
          <w:color w:val="auto"/>
          <w:sz w:val="24"/>
          <w:szCs w:val="24"/>
          <w:highlight w:val="none"/>
          <w:lang w:val="en-US" w:eastAsia="zh-CN"/>
        </w:rPr>
        <w:t>邮箱收件</w:t>
      </w:r>
      <w:r>
        <w:rPr>
          <w:rFonts w:hint="eastAsia" w:ascii="宋体" w:hAnsi="宋体" w:eastAsia="宋体" w:cs="宋体"/>
          <w:color w:val="auto"/>
          <w:sz w:val="24"/>
          <w:szCs w:val="24"/>
          <w:highlight w:val="none"/>
        </w:rPr>
        <w:t>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5F03B9F8">
      <w:pPr>
        <w:pStyle w:val="33"/>
        <w:keepNext w:val="0"/>
        <w:keepLines w:val="0"/>
        <w:pageBreakBefore w:val="0"/>
        <w:kinsoku/>
        <w:wordWrap/>
        <w:overflowPunct/>
        <w:topLinePunct w:val="0"/>
        <w:bidi w:val="0"/>
        <w:adjustRightInd w:val="0"/>
        <w:spacing w:line="44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投标人仅提交备份投标文件，未在电子交易平台传输递交投标文件的，投标无效。</w:t>
      </w:r>
    </w:p>
    <w:p w14:paraId="62824AC5">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.投标文件的无效处理</w:t>
      </w:r>
    </w:p>
    <w:p w14:paraId="6E32BCF3">
      <w:pPr>
        <w:pStyle w:val="18"/>
        <w:keepNext w:val="0"/>
        <w:keepLines w:val="0"/>
        <w:pageBreakBefore w:val="0"/>
        <w:kinsoku/>
        <w:wordWrap/>
        <w:overflowPunct/>
        <w:topLinePunct w:val="0"/>
        <w:bidi w:val="0"/>
        <w:adjustRightIn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5C001202">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.投标有效期</w:t>
      </w:r>
    </w:p>
    <w:p w14:paraId="1573ADF0">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38ADBC55">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.2投标文件合格投递后，自投标截止日期起，在投标有效期内有效。</w:t>
      </w:r>
    </w:p>
    <w:p w14:paraId="3FC5C854">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30D61264">
      <w:pPr>
        <w:pStyle w:val="130"/>
        <w:keepNext w:val="0"/>
        <w:keepLines w:val="0"/>
        <w:pageBreakBefore w:val="0"/>
        <w:kinsoku/>
        <w:wordWrap/>
        <w:overflowPunct/>
        <w:topLinePunct w:val="0"/>
        <w:bidi w:val="0"/>
        <w:adjustRightInd w:val="0"/>
        <w:spacing w:before="0" w:line="440" w:lineRule="exact"/>
        <w:ind w:firstLine="643"/>
        <w:textAlignment w:val="auto"/>
        <w:rPr>
          <w:rFonts w:hint="eastAsia" w:ascii="宋体" w:hAnsi="宋体" w:eastAsia="宋体" w:cs="宋体"/>
          <w:b/>
          <w:color w:val="auto"/>
          <w:sz w:val="24"/>
          <w:szCs w:val="24"/>
          <w:highlight w:val="none"/>
        </w:rPr>
      </w:pPr>
    </w:p>
    <w:p w14:paraId="47BC0319">
      <w:pPr>
        <w:pStyle w:val="130"/>
        <w:spacing w:before="0" w:line="240" w:lineRule="auto"/>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44392BD">
      <w:pPr>
        <w:pStyle w:val="557"/>
        <w:keepNext w:val="0"/>
        <w:keepLines w:val="0"/>
        <w:pageBreakBefore w:val="0"/>
        <w:kinsoku/>
        <w:wordWrap/>
        <w:overflowPunct/>
        <w:topLinePunct w:val="0"/>
        <w:bidi w:val="0"/>
        <w:adjustRightInd w:val="0"/>
        <w:spacing w:before="0" w:beforeAutospacing="0" w:line="44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140FDB2D">
      <w:pPr>
        <w:pStyle w:val="557"/>
        <w:keepNext w:val="0"/>
        <w:keepLines w:val="0"/>
        <w:pageBreakBefore w:val="0"/>
        <w:kinsoku/>
        <w:wordWrap/>
        <w:overflowPunct/>
        <w:topLinePunct w:val="0"/>
        <w:bidi w:val="0"/>
        <w:adjustRightInd w:val="0"/>
        <w:spacing w:before="0" w:beforeAutospacing="0" w:line="44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7EC8583">
      <w:pPr>
        <w:pStyle w:val="557"/>
        <w:keepNext w:val="0"/>
        <w:keepLines w:val="0"/>
        <w:pageBreakBefore w:val="0"/>
        <w:kinsoku/>
        <w:wordWrap/>
        <w:overflowPunct/>
        <w:topLinePunct w:val="0"/>
        <w:bidi w:val="0"/>
        <w:adjustRightInd w:val="0"/>
        <w:spacing w:before="0" w:beforeAutospacing="0" w:line="44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7DC4E625">
      <w:pPr>
        <w:pStyle w:val="557"/>
        <w:keepNext w:val="0"/>
        <w:keepLines w:val="0"/>
        <w:pageBreakBefore w:val="0"/>
        <w:kinsoku/>
        <w:wordWrap/>
        <w:overflowPunct/>
        <w:topLinePunct w:val="0"/>
        <w:bidi w:val="0"/>
        <w:adjustRightInd w:val="0"/>
        <w:spacing w:before="0" w:beforeAutospacing="0" w:line="44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3A3C20">
      <w:pPr>
        <w:keepNext w:val="0"/>
        <w:keepLines w:val="0"/>
        <w:pageBreakBefore w:val="0"/>
        <w:widowControl/>
        <w:kinsoku/>
        <w:wordWrap/>
        <w:overflowPunct/>
        <w:topLinePunct w:val="0"/>
        <w:bidi w:val="0"/>
        <w:adjustRightInd w:val="0"/>
        <w:spacing w:beforeAutospacing="0" w:line="44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14:paraId="502B0B1B">
      <w:pPr>
        <w:keepNext w:val="0"/>
        <w:keepLines w:val="0"/>
        <w:pageBreakBefore w:val="0"/>
        <w:kinsoku/>
        <w:wordWrap/>
        <w:overflowPunct/>
        <w:topLinePunct w:val="0"/>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依据法律法规和招标文件的规定，对投标人的资格进行审查。</w:t>
      </w:r>
    </w:p>
    <w:p w14:paraId="493210A3">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51C88B3">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56F3828">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FCB2F52">
      <w:pPr>
        <w:pStyle w:val="130"/>
        <w:keepNext w:val="0"/>
        <w:keepLines w:val="0"/>
        <w:pageBreakBefore w:val="0"/>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14:paraId="260F40E5">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29E574B2">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.2信用信息查询记录和证据留存的具体方式：现场查询的投标人的信用记录、查询结果经确认后将与采购文件一起存档。</w:t>
      </w:r>
    </w:p>
    <w:p w14:paraId="12331ADC">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、政府采购严重违法失信行为记录名单的投标人将被拒绝参与采购活动。</w:t>
      </w:r>
    </w:p>
    <w:p w14:paraId="026C8FCA">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CCB1B9C">
      <w:pPr>
        <w:pStyle w:val="130"/>
        <w:keepNext w:val="0"/>
        <w:keepLines w:val="0"/>
        <w:pageBreakBefore w:val="0"/>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color w:val="auto"/>
          <w:kern w:val="0"/>
          <w:szCs w:val="24"/>
          <w:highlight w:val="none"/>
        </w:rPr>
      </w:pPr>
    </w:p>
    <w:p w14:paraId="5FA26292">
      <w:pPr>
        <w:snapToGrid w:val="0"/>
        <w:spacing w:line="24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7E65E6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4"/>
          <w:szCs w:val="24"/>
          <w:highlight w:val="none"/>
        </w:rPr>
      </w:pPr>
      <w:bookmarkStart w:id="12" w:name="_Toc91899903"/>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64DFB7C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4"/>
          <w:szCs w:val="24"/>
          <w:highlight w:val="none"/>
        </w:rPr>
      </w:pPr>
    </w:p>
    <w:p w14:paraId="65BC3477">
      <w:pPr>
        <w:snapToGrid w:val="0"/>
        <w:spacing w:line="24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02A934D">
      <w:pPr>
        <w:pStyle w:val="18"/>
        <w:keepNext w:val="0"/>
        <w:keepLines w:val="0"/>
        <w:pageBreakBefore w:val="0"/>
        <w:kinsoku/>
        <w:wordWrap/>
        <w:overflowPunct/>
        <w:topLinePunct w:val="0"/>
        <w:autoSpaceDE/>
        <w:autoSpaceDN/>
        <w:bidi w:val="0"/>
        <w:adjustRightInd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确定中标供应商</w:t>
      </w:r>
    </w:p>
    <w:p w14:paraId="0847B6E3">
      <w:pPr>
        <w:pStyle w:val="130"/>
        <w:keepNext w:val="0"/>
        <w:keepLines w:val="0"/>
        <w:pageBreakBefore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采购项目实行全流程电子化，评审报告送交、采购结果确定和结果公告均在线完成。为进一步提升采购结果确定效率，采购代理机构应当依法及时将评审报告在线送交采购人。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应当自收到评审报告之日起2个工作日内在线确定中标或者成交供应商。中标、成交通知书和中标、成交结果公告应当在规定时间内同时发出。</w:t>
      </w:r>
    </w:p>
    <w:p w14:paraId="03637FD8">
      <w:pPr>
        <w:pStyle w:val="130"/>
        <w:keepNext w:val="0"/>
        <w:keepLines w:val="0"/>
        <w:pageBreakBefore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中标通知与中标结果公告</w:t>
      </w:r>
    </w:p>
    <w:p w14:paraId="25ED70CA">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.1自中标人确定之日起2个工作日内，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通过电子交易平台向中标人发出中标通知书，同时编制发布采购结果公告。</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也可以以纸质形式进行中标通知。</w:t>
      </w:r>
    </w:p>
    <w:p w14:paraId="3854DA27">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.2中标结果公告内容包括采购人及其委托的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名称、地址、联系方式，项目名称和项目编号，中标人名称和中标金额，主要中标标的的名称、规格型号、数量、单价、服务要求，开标记录、资格审查情况、评审专家抽取规则、符合性审查情况、中标公告期限以及评分汇总及明细。</w:t>
      </w:r>
    </w:p>
    <w:p w14:paraId="023515F7">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.3公告期限为1个工作日。</w:t>
      </w:r>
    </w:p>
    <w:p w14:paraId="0F63E703">
      <w:pPr>
        <w:keepNext w:val="0"/>
        <w:keepLines w:val="0"/>
        <w:pageBreakBefore w:val="0"/>
        <w:kinsoku/>
        <w:wordWrap/>
        <w:overflowPunct/>
        <w:topLinePunct w:val="0"/>
        <w:autoSpaceDE/>
        <w:autoSpaceDN/>
        <w:bidi w:val="0"/>
        <w:adjustRightInd w:val="0"/>
        <w:snapToGrid w:val="0"/>
        <w:spacing w:line="440" w:lineRule="exact"/>
        <w:ind w:left="120" w:leftChars="57" w:firstLine="361" w:firstLineChars="150"/>
        <w:jc w:val="center"/>
        <w:textAlignment w:val="auto"/>
        <w:rPr>
          <w:rFonts w:hint="eastAsia" w:ascii="宋体" w:hAnsi="宋体" w:eastAsia="宋体" w:cs="宋体"/>
          <w:b/>
          <w:color w:val="auto"/>
          <w:sz w:val="24"/>
          <w:szCs w:val="24"/>
          <w:highlight w:val="none"/>
        </w:rPr>
      </w:pPr>
    </w:p>
    <w:p w14:paraId="26347FFA">
      <w:pPr>
        <w:snapToGrid w:val="0"/>
        <w:spacing w:line="24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26EED6F">
      <w:pPr>
        <w:pStyle w:val="18"/>
        <w:pageBreakBefore w:val="0"/>
        <w:kinsoku/>
        <w:wordWrap/>
        <w:overflowPunct/>
        <w:topLinePunct w:val="0"/>
        <w:autoSpaceDE/>
        <w:autoSpaceDN/>
        <w:bidi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0EEF1DD0">
      <w:pPr>
        <w:pStyle w:val="18"/>
        <w:pageBreakBefore w:val="0"/>
        <w:kinsoku/>
        <w:wordWrap/>
        <w:overflowPunct/>
        <w:topLinePunct w:val="0"/>
        <w:autoSpaceDE/>
        <w:autoSpaceDN/>
        <w:bidi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合同的签订</w:t>
      </w:r>
    </w:p>
    <w:p w14:paraId="7BF55462">
      <w:pPr>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eastAsia="宋体" w:cs="宋体"/>
          <w:color w:val="auto"/>
          <w:kern w:val="0"/>
          <w:sz w:val="24"/>
          <w:szCs w:val="24"/>
          <w:highlight w:val="none"/>
          <w:lang w:eastAsia="zh-CN"/>
        </w:rPr>
        <w:t>杭州交投集中采购平台</w:t>
      </w:r>
      <w:r>
        <w:rPr>
          <w:rFonts w:hint="eastAsia" w:ascii="宋体" w:hAnsi="宋体" w:eastAsia="宋体" w:cs="宋体"/>
          <w:color w:val="auto"/>
          <w:kern w:val="0"/>
          <w:sz w:val="24"/>
          <w:szCs w:val="24"/>
          <w:highlight w:val="none"/>
        </w:rPr>
        <w:t>上公告。鼓励有条件的采购人视情缩减采购合同签订时限，提高采购效率，杜绝“冷、硬、横、推”等不当行为。</w:t>
      </w:r>
    </w:p>
    <w:p w14:paraId="0AAFDB8D">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6A86FB">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3FDDF9E0">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.4中标供应商拒绝与采购人签订合同的，采购人可以按照评审报告推荐的中标或者成交候选人名单排序，确定下一候选人为中标供应商，也可以重新开展采购活动。</w:t>
      </w:r>
    </w:p>
    <w:p w14:paraId="6064B514">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.5采购合同由采购人与中标供应商根据招标文件、投标文件等内容通过采购电子交易平台在线签订，自动备案。</w:t>
      </w:r>
    </w:p>
    <w:p w14:paraId="3EB1AE98">
      <w:pPr>
        <w:pStyle w:val="18"/>
        <w:pageBreakBefore w:val="0"/>
        <w:kinsoku/>
        <w:wordWrap/>
        <w:overflowPunct/>
        <w:topLinePunct w:val="0"/>
        <w:autoSpaceDE/>
        <w:autoSpaceDN/>
        <w:bidi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履约保证金</w:t>
      </w:r>
    </w:p>
    <w:p w14:paraId="1695B0D8">
      <w:pPr>
        <w:pStyle w:val="5"/>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val="0"/>
          <w:bCs w:val="0"/>
          <w:snapToGrid w:val="0"/>
          <w:color w:val="auto"/>
          <w:kern w:val="28"/>
          <w:sz w:val="24"/>
          <w:szCs w:val="24"/>
          <w:highlight w:val="none"/>
          <w:lang w:eastAsia="zh-CN"/>
        </w:rPr>
      </w:pPr>
      <w:r>
        <w:rPr>
          <w:rFonts w:hint="eastAsia" w:ascii="宋体" w:hAnsi="宋体" w:eastAsia="宋体" w:cs="宋体"/>
          <w:b w:val="0"/>
          <w:bCs w:val="0"/>
          <w:snapToGrid w:val="0"/>
          <w:color w:val="auto"/>
          <w:kern w:val="28"/>
          <w:sz w:val="24"/>
          <w:szCs w:val="24"/>
          <w:highlight w:val="none"/>
          <w:lang w:eastAsia="zh-CN"/>
        </w:rPr>
        <w:t>中标供应商在领取中标通知书后签订合同之前向采购人缴纳合同价的2%作为履约保证金；合同期满经结算后退还履约保证金，不计息。合同期未满，中标供应商无正当理由中途退出的，不退还履约保证金。</w:t>
      </w:r>
    </w:p>
    <w:p w14:paraId="00F1CED8">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4C15FDDE">
      <w:pPr>
        <w:snapToGrid w:val="0"/>
        <w:spacing w:line="24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9C7D4C0">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3DAC1E3">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.1电子交易平台发生故障而无法登录访问的； </w:t>
      </w:r>
    </w:p>
    <w:p w14:paraId="0297F9D7">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.2电子交易平台应用或数据库出现错误，不能进行正常操作的；</w:t>
      </w:r>
    </w:p>
    <w:p w14:paraId="038F7BA8">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.3电子交易平台发现严重安全漏洞，有潜在泄密危险的；</w:t>
      </w:r>
    </w:p>
    <w:p w14:paraId="351C761E">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.4病毒发作导致不能进行正常操作的； </w:t>
      </w:r>
    </w:p>
    <w:p w14:paraId="1610C189">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.5其他无法保证电子交易的公平、公正和安全的情况。</w:t>
      </w:r>
    </w:p>
    <w:p w14:paraId="2F61419C">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284A61F">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p>
    <w:p w14:paraId="3C607631">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p>
    <w:bookmarkEnd w:id="12"/>
    <w:p w14:paraId="51563D5C">
      <w:pPr>
        <w:keepNext w:val="0"/>
        <w:keepLines w:val="0"/>
        <w:pageBreakBefore w:val="0"/>
        <w:widowControl w:val="0"/>
        <w:tabs>
          <w:tab w:val="left" w:pos="0"/>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kern w:val="0"/>
          <w:sz w:val="24"/>
          <w:szCs w:val="24"/>
          <w:highlight w:val="none"/>
        </w:rPr>
        <w:sectPr>
          <w:footerReference r:id="rId6" w:type="first"/>
          <w:footerReference r:id="rId5" w:type="default"/>
          <w:pgSz w:w="11905" w:h="16838"/>
          <w:pgMar w:top="1417" w:right="1417" w:bottom="1417" w:left="1417"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3" w:name="_Hlt68057669"/>
      <w:bookmarkEnd w:id="13"/>
      <w:bookmarkStart w:id="14" w:name="_Hlt75236290"/>
      <w:bookmarkEnd w:id="14"/>
      <w:bookmarkStart w:id="15" w:name="_Hlt68072990"/>
      <w:bookmarkEnd w:id="15"/>
      <w:bookmarkStart w:id="16" w:name="_Hlt74707468"/>
      <w:bookmarkEnd w:id="16"/>
      <w:bookmarkStart w:id="17" w:name="_Hlt68072998"/>
      <w:bookmarkEnd w:id="17"/>
      <w:bookmarkStart w:id="18" w:name="_Hlt74714665"/>
      <w:bookmarkEnd w:id="18"/>
      <w:bookmarkStart w:id="19" w:name="_Hlt75236101"/>
      <w:bookmarkEnd w:id="19"/>
      <w:bookmarkStart w:id="20" w:name="_Hlt68403820"/>
      <w:bookmarkEnd w:id="20"/>
      <w:bookmarkStart w:id="21" w:name="_Hlt68073093"/>
      <w:bookmarkEnd w:id="21"/>
      <w:bookmarkStart w:id="22" w:name="_Hlt74729768"/>
      <w:bookmarkEnd w:id="22"/>
      <w:bookmarkStart w:id="23" w:name="_Hlt75236011"/>
      <w:bookmarkEnd w:id="23"/>
      <w:bookmarkStart w:id="24" w:name="_Hlt74730295"/>
      <w:bookmarkEnd w:id="24"/>
    </w:p>
    <w:bookmarkEnd w:id="10"/>
    <w:bookmarkEnd w:id="11"/>
    <w:p w14:paraId="77298A06">
      <w:pPr>
        <w:numPr>
          <w:ilvl w:val="0"/>
          <w:numId w:val="0"/>
        </w:numPr>
        <w:spacing w:line="480" w:lineRule="exact"/>
        <w:ind w:right="-178" w:rightChars="-85"/>
        <w:jc w:val="center"/>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lang w:val="en-US" w:eastAsia="zh-CN"/>
        </w:rPr>
        <w:t xml:space="preserve">第三部分 </w:t>
      </w:r>
      <w:r>
        <w:rPr>
          <w:rFonts w:hint="eastAsia" w:ascii="宋体" w:hAnsi="宋体" w:eastAsia="宋体" w:cs="宋体"/>
          <w:b/>
          <w:color w:val="auto"/>
          <w:sz w:val="36"/>
          <w:szCs w:val="36"/>
          <w:highlight w:val="none"/>
        </w:rPr>
        <w:t>采购需求</w:t>
      </w:r>
    </w:p>
    <w:p w14:paraId="6C668DE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一、采购内容</w:t>
      </w:r>
    </w:p>
    <w:tbl>
      <w:tblPr>
        <w:tblStyle w:val="64"/>
        <w:tblW w:w="904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05"/>
        <w:gridCol w:w="1546"/>
        <w:gridCol w:w="720"/>
        <w:gridCol w:w="765"/>
        <w:gridCol w:w="1710"/>
        <w:gridCol w:w="794"/>
      </w:tblGrid>
      <w:tr w14:paraId="298A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92DC549">
            <w:pPr>
              <w:keepNext w:val="0"/>
              <w:keepLines w:val="0"/>
              <w:pageBreakBefore w:val="0"/>
              <w:widowControl/>
              <w:tabs>
                <w:tab w:val="left" w:pos="3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805" w:type="dxa"/>
            <w:shd w:val="clear" w:color="auto" w:fill="auto"/>
            <w:vAlign w:val="center"/>
          </w:tcPr>
          <w:p w14:paraId="34FBB13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1546" w:type="dxa"/>
            <w:shd w:val="clear" w:color="auto" w:fill="auto"/>
            <w:vAlign w:val="center"/>
          </w:tcPr>
          <w:p w14:paraId="1BE379C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技术参数</w:t>
            </w:r>
          </w:p>
        </w:tc>
        <w:tc>
          <w:tcPr>
            <w:tcW w:w="720" w:type="dxa"/>
            <w:shd w:val="clear" w:color="auto" w:fill="auto"/>
            <w:vAlign w:val="center"/>
          </w:tcPr>
          <w:p w14:paraId="714BAE0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数量</w:t>
            </w:r>
          </w:p>
        </w:tc>
        <w:tc>
          <w:tcPr>
            <w:tcW w:w="765" w:type="dxa"/>
            <w:shd w:val="clear" w:color="auto" w:fill="auto"/>
            <w:vAlign w:val="center"/>
          </w:tcPr>
          <w:p w14:paraId="288F23C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w:t>
            </w:r>
          </w:p>
        </w:tc>
        <w:tc>
          <w:tcPr>
            <w:tcW w:w="1710" w:type="dxa"/>
            <w:shd w:val="clear" w:color="auto" w:fill="auto"/>
            <w:vAlign w:val="center"/>
          </w:tcPr>
          <w:p w14:paraId="0145637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预算价（元）</w:t>
            </w:r>
          </w:p>
        </w:tc>
        <w:tc>
          <w:tcPr>
            <w:tcW w:w="794" w:type="dxa"/>
            <w:shd w:val="clear" w:color="auto" w:fill="auto"/>
            <w:vAlign w:val="center"/>
          </w:tcPr>
          <w:p w14:paraId="5E23ED3A">
            <w:pPr>
              <w:keepNext w:val="0"/>
              <w:keepLines w:val="0"/>
              <w:pageBreakBefore w:val="0"/>
              <w:widowControl/>
              <w:tabs>
                <w:tab w:val="left" w:pos="3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备注</w:t>
            </w:r>
          </w:p>
        </w:tc>
      </w:tr>
      <w:tr w14:paraId="4F08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09" w:type="dxa"/>
            <w:vAlign w:val="center"/>
          </w:tcPr>
          <w:p w14:paraId="021B01B7">
            <w:pPr>
              <w:keepNext w:val="0"/>
              <w:keepLines w:val="0"/>
              <w:pageBreakBefore w:val="0"/>
              <w:widowControl/>
              <w:tabs>
                <w:tab w:val="left" w:pos="3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805" w:type="dxa"/>
            <w:shd w:val="clear" w:color="auto" w:fill="auto"/>
            <w:vAlign w:val="center"/>
          </w:tcPr>
          <w:p w14:paraId="50BF8B5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建德市十里埠港发展有限公司2025年电动装载机采购项目</w:t>
            </w:r>
          </w:p>
        </w:tc>
        <w:tc>
          <w:tcPr>
            <w:tcW w:w="1546" w:type="dxa"/>
            <w:shd w:val="clear" w:color="auto" w:fill="auto"/>
            <w:vAlign w:val="center"/>
          </w:tcPr>
          <w:p w14:paraId="1C2BC02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详见“二、采购需求”</w:t>
            </w:r>
            <w:r>
              <w:rPr>
                <w:rFonts w:hint="eastAsia" w:ascii="宋体" w:hAnsi="宋体" w:eastAsia="宋体" w:cs="宋体"/>
                <w:color w:val="auto"/>
                <w:sz w:val="24"/>
                <w:szCs w:val="24"/>
                <w:highlight w:val="none"/>
                <w:lang w:val="en-US" w:eastAsia="zh-CN"/>
              </w:rPr>
              <w:t xml:space="preserve"> </w:t>
            </w:r>
          </w:p>
        </w:tc>
        <w:tc>
          <w:tcPr>
            <w:tcW w:w="720" w:type="dxa"/>
            <w:shd w:val="clear" w:color="auto" w:fill="auto"/>
            <w:vAlign w:val="center"/>
          </w:tcPr>
          <w:p w14:paraId="6D6CAB1A">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w:t>
            </w:r>
          </w:p>
        </w:tc>
        <w:tc>
          <w:tcPr>
            <w:tcW w:w="765" w:type="dxa"/>
            <w:shd w:val="clear" w:color="auto" w:fill="auto"/>
            <w:vAlign w:val="center"/>
          </w:tcPr>
          <w:p w14:paraId="3DD2B4AE">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项</w:t>
            </w:r>
          </w:p>
        </w:tc>
        <w:tc>
          <w:tcPr>
            <w:tcW w:w="1710" w:type="dxa"/>
            <w:shd w:val="clear" w:color="auto" w:fill="auto"/>
            <w:vAlign w:val="center"/>
          </w:tcPr>
          <w:p w14:paraId="15BBEDD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750000</w:t>
            </w:r>
          </w:p>
        </w:tc>
        <w:tc>
          <w:tcPr>
            <w:tcW w:w="794" w:type="dxa"/>
            <w:shd w:val="clear" w:color="auto" w:fill="auto"/>
            <w:vAlign w:val="center"/>
          </w:tcPr>
          <w:p w14:paraId="55371ABB">
            <w:pPr>
              <w:keepNext w:val="0"/>
              <w:keepLines w:val="0"/>
              <w:pageBreakBefore w:val="0"/>
              <w:widowControl/>
              <w:tabs>
                <w:tab w:val="left" w:pos="3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r>
      <w:tr w14:paraId="367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9" w:type="dxa"/>
            <w:gridSpan w:val="7"/>
            <w:vAlign w:val="center"/>
          </w:tcPr>
          <w:p w14:paraId="716E37A2">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预算总价</w:t>
            </w:r>
            <w:r>
              <w:rPr>
                <w:rFonts w:hint="eastAsia" w:ascii="宋体" w:hAnsi="宋体" w:eastAsia="宋体" w:cs="宋体"/>
                <w:b/>
                <w:bCs/>
                <w:sz w:val="24"/>
                <w:szCs w:val="24"/>
                <w:lang w:eastAsia="zh-CN"/>
              </w:rPr>
              <w:t>：</w:t>
            </w:r>
            <w:r>
              <w:rPr>
                <w:rFonts w:hint="eastAsia" w:ascii="宋体" w:hAnsi="宋体" w:eastAsia="宋体" w:cs="宋体"/>
                <w:b/>
                <w:bCs/>
                <w:sz w:val="24"/>
                <w:szCs w:val="24"/>
              </w:rPr>
              <w:t>人民币（大写）</w:t>
            </w:r>
            <w:r>
              <w:rPr>
                <w:rFonts w:hint="eastAsia" w:ascii="宋体" w:hAnsi="宋体" w:eastAsia="宋体" w:cs="宋体"/>
                <w:b/>
                <w:bCs/>
                <w:sz w:val="24"/>
                <w:szCs w:val="24"/>
                <w:lang w:val="en-US" w:eastAsia="zh-CN"/>
              </w:rPr>
              <w:t>柒拾伍万元整</w:t>
            </w:r>
          </w:p>
        </w:tc>
      </w:tr>
    </w:tbl>
    <w:p w14:paraId="2DF04C7E">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82" w:firstLineChars="200"/>
        <w:textAlignment w:val="auto"/>
        <w:rPr>
          <w:rFonts w:hint="eastAsia" w:ascii="宋体" w:hAnsi="宋体" w:eastAsia="宋体" w:cs="宋体"/>
          <w:b/>
          <w:bCs w:val="0"/>
        </w:rPr>
      </w:pPr>
      <w:r>
        <w:rPr>
          <w:rFonts w:hint="eastAsia" w:ascii="宋体" w:hAnsi="宋体" w:eastAsia="宋体" w:cs="宋体"/>
          <w:b/>
          <w:bCs w:val="0"/>
        </w:rPr>
        <w:t>注：以上金额包括设备的设计、制作、供货、包装、装卸运输、安装调试、备品备件、专用工具、保险、培训、税金、验收、辅助工作及售后服务等完成该项目的所有费用。</w:t>
      </w:r>
    </w:p>
    <w:p w14:paraId="7E357A0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二、采购需求</w:t>
      </w:r>
    </w:p>
    <w:p w14:paraId="69098281">
      <w:pPr>
        <w:keepNext w:val="0"/>
        <w:keepLines w:val="0"/>
        <w:pageBreakBefore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）主要技术要求</w:t>
      </w:r>
    </w:p>
    <w:tbl>
      <w:tblPr>
        <w:tblStyle w:val="63"/>
        <w:tblW w:w="90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9"/>
        <w:gridCol w:w="7124"/>
      </w:tblGrid>
      <w:tr w14:paraId="1EF3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5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主要技术参数</w:t>
            </w:r>
          </w:p>
        </w:tc>
      </w:tr>
      <w:tr w14:paraId="4917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restart"/>
            <w:tcBorders>
              <w:top w:val="single" w:color="000000" w:sz="4" w:space="0"/>
              <w:left w:val="single" w:color="000000" w:sz="4" w:space="0"/>
              <w:bottom w:val="single" w:color="000000" w:sz="4" w:space="0"/>
              <w:right w:val="single" w:color="000000" w:sz="4" w:space="0"/>
            </w:tcBorders>
            <w:noWrap/>
            <w:vAlign w:val="center"/>
          </w:tcPr>
          <w:p w14:paraId="16649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整机参数</w:t>
            </w: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44D21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额定载重量（kg)5600+</w:t>
            </w:r>
          </w:p>
        </w:tc>
      </w:tr>
      <w:tr w14:paraId="27D6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continue"/>
            <w:tcBorders>
              <w:top w:val="single" w:color="000000" w:sz="4" w:space="0"/>
              <w:left w:val="single" w:color="000000" w:sz="4" w:space="0"/>
              <w:bottom w:val="single" w:color="000000" w:sz="4" w:space="0"/>
              <w:right w:val="single" w:color="000000" w:sz="4" w:space="0"/>
            </w:tcBorders>
            <w:noWrap/>
            <w:vAlign w:val="center"/>
          </w:tcPr>
          <w:p w14:paraId="4B632AEC">
            <w:pPr>
              <w:jc w:val="center"/>
              <w:rPr>
                <w:rFonts w:hint="eastAsia" w:ascii="宋体" w:hAnsi="宋体" w:eastAsia="宋体" w:cs="宋体"/>
                <w:i w:val="0"/>
                <w:iCs w:val="0"/>
                <w:color w:val="000000"/>
                <w:sz w:val="24"/>
                <w:szCs w:val="24"/>
                <w:u w:val="none"/>
              </w:rPr>
            </w:pP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133A9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斗容（4方+）</w:t>
            </w:r>
          </w:p>
        </w:tc>
      </w:tr>
      <w:tr w14:paraId="4042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continue"/>
            <w:tcBorders>
              <w:top w:val="single" w:color="000000" w:sz="4" w:space="0"/>
              <w:left w:val="single" w:color="000000" w:sz="4" w:space="0"/>
              <w:bottom w:val="single" w:color="000000" w:sz="4" w:space="0"/>
              <w:right w:val="single" w:color="000000" w:sz="4" w:space="0"/>
            </w:tcBorders>
            <w:noWrap/>
            <w:vAlign w:val="center"/>
          </w:tcPr>
          <w:p w14:paraId="39466BAF">
            <w:pPr>
              <w:jc w:val="center"/>
              <w:rPr>
                <w:rFonts w:hint="eastAsia" w:ascii="宋体" w:hAnsi="宋体" w:eastAsia="宋体" w:cs="宋体"/>
                <w:i w:val="0"/>
                <w:iCs w:val="0"/>
                <w:color w:val="000000"/>
                <w:sz w:val="24"/>
                <w:szCs w:val="24"/>
                <w:u w:val="none"/>
              </w:rPr>
            </w:pP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420F4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卸载高度（mm)（大于3380）</w:t>
            </w:r>
          </w:p>
        </w:tc>
      </w:tr>
      <w:tr w14:paraId="794B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continue"/>
            <w:tcBorders>
              <w:top w:val="single" w:color="000000" w:sz="4" w:space="0"/>
              <w:left w:val="single" w:color="000000" w:sz="4" w:space="0"/>
              <w:bottom w:val="single" w:color="000000" w:sz="4" w:space="0"/>
              <w:right w:val="single" w:color="000000" w:sz="4" w:space="0"/>
            </w:tcBorders>
            <w:noWrap/>
            <w:vAlign w:val="center"/>
          </w:tcPr>
          <w:p w14:paraId="3571A033">
            <w:pPr>
              <w:jc w:val="center"/>
              <w:rPr>
                <w:rFonts w:hint="eastAsia" w:ascii="宋体" w:hAnsi="宋体" w:eastAsia="宋体" w:cs="宋体"/>
                <w:i w:val="0"/>
                <w:iCs w:val="0"/>
                <w:color w:val="000000"/>
                <w:sz w:val="24"/>
                <w:szCs w:val="24"/>
                <w:u w:val="none"/>
              </w:rPr>
            </w:pP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204FD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三项和（s）（小于9.7）</w:t>
            </w:r>
          </w:p>
        </w:tc>
      </w:tr>
      <w:tr w14:paraId="35A7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AC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动力电池</w:t>
            </w: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43D59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电池（推荐品牌1.宁德时代2.比亚迪3.亿纬锂能）</w:t>
            </w:r>
          </w:p>
        </w:tc>
      </w:tr>
      <w:tr w14:paraId="14DF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E1E76">
            <w:pPr>
              <w:jc w:val="center"/>
              <w:rPr>
                <w:rFonts w:hint="eastAsia" w:ascii="宋体" w:hAnsi="宋体" w:eastAsia="宋体" w:cs="宋体"/>
                <w:i w:val="0"/>
                <w:iCs w:val="0"/>
                <w:color w:val="000000"/>
                <w:sz w:val="24"/>
                <w:szCs w:val="24"/>
                <w:u w:val="none"/>
              </w:rPr>
            </w:pP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3F303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额定存储能量（kWh）350+</w:t>
            </w:r>
          </w:p>
        </w:tc>
      </w:tr>
      <w:tr w14:paraId="56E1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7B189">
            <w:pPr>
              <w:jc w:val="center"/>
              <w:rPr>
                <w:rFonts w:hint="eastAsia" w:ascii="宋体" w:hAnsi="宋体" w:eastAsia="宋体" w:cs="宋体"/>
                <w:i w:val="0"/>
                <w:iCs w:val="0"/>
                <w:color w:val="000000"/>
                <w:sz w:val="24"/>
                <w:szCs w:val="24"/>
                <w:u w:val="none"/>
              </w:rPr>
            </w:pPr>
          </w:p>
        </w:tc>
        <w:tc>
          <w:tcPr>
            <w:tcW w:w="7124" w:type="dxa"/>
            <w:tcBorders>
              <w:top w:val="single" w:color="000000" w:sz="4" w:space="0"/>
              <w:left w:val="single" w:color="000000" w:sz="4" w:space="0"/>
              <w:bottom w:val="single" w:color="000000" w:sz="4" w:space="0"/>
              <w:right w:val="single" w:color="000000" w:sz="4" w:space="0"/>
            </w:tcBorders>
            <w:noWrap/>
            <w:vAlign w:val="center"/>
          </w:tcPr>
          <w:p w14:paraId="238E5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可选充电桩规格（kW）300+，配套相应线缆长度</w:t>
            </w:r>
          </w:p>
        </w:tc>
      </w:tr>
      <w:tr w14:paraId="3911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tcBorders>
              <w:top w:val="single" w:color="000000" w:sz="4" w:space="0"/>
              <w:left w:val="single" w:color="000000" w:sz="4" w:space="0"/>
              <w:bottom w:val="single" w:color="000000" w:sz="4" w:space="0"/>
              <w:right w:val="single" w:color="000000" w:sz="4" w:space="0"/>
            </w:tcBorders>
            <w:noWrap/>
            <w:vAlign w:val="center"/>
          </w:tcPr>
          <w:p w14:paraId="6E208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14:paraId="683D9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整机3年，电系统电机电池电控</w:t>
            </w:r>
          </w:p>
        </w:tc>
      </w:tr>
      <w:tr w14:paraId="1B51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49" w:type="dxa"/>
            <w:tcBorders>
              <w:top w:val="single" w:color="000000" w:sz="4" w:space="0"/>
              <w:left w:val="single" w:color="000000" w:sz="4" w:space="0"/>
              <w:bottom w:val="single" w:color="000000" w:sz="4" w:space="0"/>
              <w:right w:val="single" w:color="000000" w:sz="4" w:space="0"/>
            </w:tcBorders>
            <w:noWrap/>
            <w:vAlign w:val="center"/>
          </w:tcPr>
          <w:p w14:paraId="649983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轴距</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14:paraId="2E25F9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3.36m+</w:t>
            </w:r>
          </w:p>
        </w:tc>
      </w:tr>
      <w:tr w14:paraId="1F2A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3" w:type="dxa"/>
            <w:gridSpan w:val="2"/>
            <w:tcBorders>
              <w:top w:val="single" w:color="000000" w:sz="4" w:space="0"/>
              <w:left w:val="single" w:color="000000" w:sz="4" w:space="0"/>
              <w:bottom w:val="single" w:color="000000" w:sz="4" w:space="0"/>
              <w:right w:val="single" w:color="000000" w:sz="4" w:space="0"/>
            </w:tcBorders>
            <w:noWrap/>
            <w:vAlign w:val="center"/>
          </w:tcPr>
          <w:p w14:paraId="2C956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整机质保期内保险（产品责任险）3年</w:t>
            </w:r>
          </w:p>
        </w:tc>
      </w:tr>
      <w:tr w14:paraId="7188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1949" w:type="dxa"/>
            <w:tcBorders>
              <w:top w:val="single" w:color="000000" w:sz="4" w:space="0"/>
              <w:left w:val="single" w:color="000000" w:sz="4" w:space="0"/>
              <w:bottom w:val="single" w:color="000000" w:sz="4" w:space="0"/>
              <w:right w:val="single" w:color="000000" w:sz="4" w:space="0"/>
            </w:tcBorders>
            <w:noWrap/>
            <w:vAlign w:val="center"/>
          </w:tcPr>
          <w:p w14:paraId="55E0D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保养和售后</w:t>
            </w:r>
          </w:p>
        </w:tc>
        <w:tc>
          <w:tcPr>
            <w:tcW w:w="7124" w:type="dxa"/>
            <w:tcBorders>
              <w:top w:val="single" w:color="000000" w:sz="4" w:space="0"/>
              <w:left w:val="single" w:color="000000" w:sz="4" w:space="0"/>
              <w:bottom w:val="single" w:color="000000" w:sz="4" w:space="0"/>
              <w:right w:val="single" w:color="000000" w:sz="4" w:space="0"/>
            </w:tcBorders>
            <w:noWrap w:val="0"/>
            <w:vAlign w:val="center"/>
          </w:tcPr>
          <w:p w14:paraId="73BCA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质保期内，保养维修所需的所有费用（含工时、油品、材料等）由厂家负责</w:t>
            </w:r>
          </w:p>
        </w:tc>
      </w:tr>
    </w:tbl>
    <w:p w14:paraId="1D5CD562">
      <w:pPr>
        <w:keepNext w:val="0"/>
        <w:keepLines w:val="0"/>
        <w:pageBreakBefore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lang w:eastAsia="zh-CN"/>
        </w:rPr>
      </w:pPr>
    </w:p>
    <w:p w14:paraId="40F8212A">
      <w:pPr>
        <w:keepNext w:val="0"/>
        <w:keepLines w:val="0"/>
        <w:pageBreakBefore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lang w:eastAsia="zh-CN"/>
        </w:rPr>
      </w:pPr>
    </w:p>
    <w:p w14:paraId="4A4C5E1B">
      <w:pPr>
        <w:keepNext w:val="0"/>
        <w:keepLines w:val="0"/>
        <w:pageBreakBefore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lang w:eastAsia="zh-CN"/>
        </w:rPr>
      </w:pPr>
    </w:p>
    <w:p w14:paraId="73BB878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商务条款</w:t>
      </w:r>
    </w:p>
    <w:p w14:paraId="5C17E1B6">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采购的总体要求：</w:t>
      </w:r>
    </w:p>
    <w:p w14:paraId="2E8285A8">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1、必须符合招标文件(包括补充更正，如有)的技术要求和配置；必须是国内外相应制造厂商生产并提供的原装合格正品；必须是202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月1日以后生产的、符合国家质量技术标准的设备。</w:t>
      </w:r>
    </w:p>
    <w:p w14:paraId="466E184D">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2、售后服务按国家市场监督管理总局和国家其他有关规定执行，国家没有规定的按厂商规定执行。国家规定标准低于厂商标准的按厂商标准执行，但最低免费质保服务期≥3年。</w:t>
      </w:r>
    </w:p>
    <w:p w14:paraId="503FCB97">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）安装调试</w:t>
      </w:r>
      <w:r>
        <w:rPr>
          <w:rFonts w:hint="eastAsia" w:ascii="宋体" w:hAnsi="宋体" w:eastAsia="宋体" w:cs="宋体"/>
          <w:b/>
          <w:bCs/>
          <w:sz w:val="24"/>
          <w:szCs w:val="24"/>
          <w:highlight w:val="none"/>
          <w:lang w:val="en-US" w:eastAsia="zh-CN"/>
        </w:rPr>
        <w:t>要求</w:t>
      </w:r>
    </w:p>
    <w:p w14:paraId="2943B153">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合同签订生效之日起30天内完成交货、安装、调试、验收并交付使用</w:t>
      </w:r>
      <w:r>
        <w:rPr>
          <w:rFonts w:hint="eastAsia" w:ascii="宋体" w:hAnsi="宋体" w:eastAsia="宋体" w:cs="宋体"/>
          <w:sz w:val="24"/>
          <w:szCs w:val="24"/>
          <w:highlight w:val="none"/>
        </w:rPr>
        <w:t>。</w:t>
      </w:r>
    </w:p>
    <w:p w14:paraId="6057BD7A">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2、供货地点：由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w:t>
      </w:r>
    </w:p>
    <w:p w14:paraId="7BC11C5C">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3、供货标准：符合我国国家有关技术规范要求和技术标准。</w:t>
      </w:r>
    </w:p>
    <w:p w14:paraId="0DEAB703">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4、中标人免费提供中标设备的供货、调试服务。</w:t>
      </w:r>
    </w:p>
    <w:p w14:paraId="5005E48A">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5、投标人应在投标文件中提供供货计划、对供货场地和环境的要求。</w:t>
      </w:r>
    </w:p>
    <w:p w14:paraId="08A55364">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）售后服务</w:t>
      </w:r>
    </w:p>
    <w:p w14:paraId="725A3009">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1、设备的质量保修期3年。</w:t>
      </w:r>
    </w:p>
    <w:p w14:paraId="54977D3D">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2、在设备（或系统）整个使用期内，</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应确保正常使用，在接到用户维修要求后在2小时内响应并提出解决方案，24小时内到达现场对故障进行处理，维修过程中所需材料</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在接到通知后应及时提供，最长不超过72小时必须送达</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。若48小时内无法修复的，应及时提供相应备用设备并负责安装调试，为此，中标人应提供相应承诺书。</w:t>
      </w:r>
    </w:p>
    <w:p w14:paraId="542B60F1">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3、保质期内因不能排除的故障而影响工作的情况每发生一次，其质保期相应延长30天，保质期内因设备本身缺陷造成各种故障应由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免费技术服务和维修。</w:t>
      </w:r>
    </w:p>
    <w:p w14:paraId="0E6F8FD9">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）验收</w:t>
      </w:r>
    </w:p>
    <w:p w14:paraId="4C9C4223">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1、中标人应提供系统设备的有效检验材料（包括</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现场随机抽检）和检测报告，经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认可后，与合同的技术指标一起作为验收标准。最终验收指合同设备按照合同技术附件的要求，完成调试、检验/试验等工作内容后，移交所有合同设备完工资料。</w:t>
      </w:r>
    </w:p>
    <w:p w14:paraId="6952CBE4">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对系统设备最终验收合格后，在《建德市政府采购验收反馈表》上签署意见并加盖单位公章。验收中发现系统设备达不到验收标准或合同规定的技术指标，中标人必须更换，并负担由此给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造成的损失，直到验收合格为止。</w:t>
      </w:r>
    </w:p>
    <w:p w14:paraId="57288D6F">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2、投标人应于投标书中提供系统设备的验收标准和检测办法，并在验收中提供</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认可的相应检测手段，验收标准应符合中国有关的国家、地方、行业的标准，如若中标，经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确认后作为验收的依据。</w:t>
      </w:r>
    </w:p>
    <w:p w14:paraId="45E640FF">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3、验收费用由中标人承担。</w:t>
      </w:r>
    </w:p>
    <w:p w14:paraId="51324DB3">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提供免费首保。</w:t>
      </w:r>
    </w:p>
    <w:p w14:paraId="286EEDAB">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资金支付的方式、时间和条件</w:t>
      </w:r>
    </w:p>
    <w:p w14:paraId="21895267">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根据合同、投标文件、招标文件等资料进行验收。</w:t>
      </w:r>
    </w:p>
    <w:p w14:paraId="04B6F431">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采购总金额分三次支付，验收合格通过后，中标人向采购人提交相关资料后，由采购人在10日历天内向中标人支付40%货款，剩余60%每半年支付30%货款。</w:t>
      </w:r>
    </w:p>
    <w:p w14:paraId="7546BE7E">
      <w:pPr>
        <w:pStyle w:val="52"/>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履约保证金</w:t>
      </w:r>
    </w:p>
    <w:p w14:paraId="033AFFB7">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中标人在领取中标通知书后签订合同之前向采购人缴纳合同价的2%作为履约保证金；合同期满经结算后退还履约保证金，不计息。合同期未满，中标人无正当理由中途退出的，不退还履约保证金。</w:t>
      </w:r>
    </w:p>
    <w:p w14:paraId="4037CC92">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0CD366D3">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6242362F">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46C09426">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31AD94F1">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1BE6985E">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687AD24A">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6222E7A8">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0599B49B">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0A70380A">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26F4CA00">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3A0B1A91">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4D146ECA">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2F7EC9B0">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764190C1">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52DE0EDA">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22C8A924">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78B15C1E">
      <w:pPr>
        <w:pStyle w:val="2"/>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2DCB401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13255"/>
      <w:bookmarkEnd w:id="26"/>
      <w:bookmarkStart w:id="27" w:name="_Toc184313268"/>
      <w:bookmarkEnd w:id="27"/>
      <w:bookmarkStart w:id="28" w:name="_Toc184312091"/>
      <w:bookmarkEnd w:id="28"/>
      <w:bookmarkStart w:id="29" w:name="_Toc184312067"/>
      <w:bookmarkEnd w:id="29"/>
      <w:bookmarkStart w:id="30" w:name="_Toc184308092"/>
      <w:bookmarkEnd w:id="30"/>
      <w:bookmarkStart w:id="31" w:name="_Toc184314459"/>
      <w:bookmarkEnd w:id="31"/>
      <w:bookmarkStart w:id="32" w:name="_Toc184313283"/>
      <w:bookmarkEnd w:id="32"/>
      <w:bookmarkStart w:id="33" w:name="_Toc184312092"/>
      <w:bookmarkEnd w:id="33"/>
      <w:bookmarkStart w:id="34" w:name="_Toc184313285"/>
      <w:bookmarkEnd w:id="34"/>
      <w:bookmarkStart w:id="35" w:name="_Toc184312096"/>
      <w:bookmarkEnd w:id="35"/>
      <w:bookmarkStart w:id="36" w:name="_Toc184310295"/>
      <w:bookmarkEnd w:id="36"/>
      <w:bookmarkStart w:id="37" w:name="_Toc184310308"/>
      <w:bookmarkEnd w:id="37"/>
      <w:bookmarkStart w:id="38" w:name="_Toc184314434"/>
      <w:bookmarkEnd w:id="38"/>
      <w:bookmarkStart w:id="39" w:name="_Toc184312098"/>
      <w:bookmarkEnd w:id="39"/>
      <w:bookmarkStart w:id="40" w:name="_Toc184308059"/>
      <w:bookmarkEnd w:id="40"/>
      <w:bookmarkStart w:id="41" w:name="_Toc184310297"/>
      <w:bookmarkEnd w:id="41"/>
      <w:bookmarkStart w:id="42" w:name="_Toc184308097"/>
      <w:bookmarkEnd w:id="42"/>
      <w:bookmarkStart w:id="43" w:name="_Toc184308087"/>
      <w:bookmarkEnd w:id="43"/>
      <w:bookmarkStart w:id="44" w:name="_Toc184314428"/>
      <w:bookmarkEnd w:id="44"/>
      <w:bookmarkStart w:id="45" w:name="_Toc184314482"/>
      <w:bookmarkEnd w:id="45"/>
      <w:bookmarkStart w:id="46" w:name="_Toc184310288"/>
      <w:bookmarkEnd w:id="46"/>
      <w:bookmarkStart w:id="47" w:name="_Toc184312072"/>
      <w:bookmarkEnd w:id="47"/>
      <w:bookmarkStart w:id="48" w:name="_Toc184310319"/>
      <w:bookmarkEnd w:id="48"/>
      <w:bookmarkStart w:id="49" w:name="_Toc184308105"/>
      <w:bookmarkEnd w:id="49"/>
      <w:bookmarkStart w:id="50" w:name="_Toc184312125"/>
      <w:bookmarkEnd w:id="50"/>
      <w:bookmarkStart w:id="51" w:name="_Toc184312136"/>
      <w:bookmarkEnd w:id="51"/>
      <w:bookmarkStart w:id="52" w:name="_Toc184308069"/>
      <w:bookmarkEnd w:id="52"/>
      <w:bookmarkStart w:id="53" w:name="_Toc184312101"/>
      <w:bookmarkEnd w:id="53"/>
      <w:bookmarkStart w:id="54" w:name="_Toc184314474"/>
      <w:bookmarkEnd w:id="54"/>
      <w:bookmarkStart w:id="55" w:name="_Toc184314419"/>
      <w:bookmarkEnd w:id="55"/>
      <w:bookmarkStart w:id="56" w:name="_Toc184308081"/>
      <w:bookmarkEnd w:id="56"/>
      <w:bookmarkStart w:id="57" w:name="_Toc184312113"/>
      <w:bookmarkEnd w:id="57"/>
      <w:bookmarkStart w:id="58" w:name="_Toc184314477"/>
      <w:bookmarkEnd w:id="58"/>
      <w:bookmarkStart w:id="59" w:name="_Toc184313273"/>
      <w:bookmarkEnd w:id="59"/>
      <w:bookmarkStart w:id="60" w:name="_Toc184313284"/>
      <w:bookmarkEnd w:id="60"/>
      <w:bookmarkStart w:id="61" w:name="_Toc184312094"/>
      <w:bookmarkEnd w:id="61"/>
      <w:bookmarkStart w:id="62" w:name="_Toc184310302"/>
      <w:bookmarkEnd w:id="62"/>
      <w:bookmarkStart w:id="63" w:name="_Toc184310283"/>
      <w:bookmarkEnd w:id="63"/>
      <w:bookmarkStart w:id="64" w:name="_Toc184313267"/>
      <w:bookmarkEnd w:id="64"/>
      <w:bookmarkStart w:id="65" w:name="_Toc184308076"/>
      <w:bookmarkEnd w:id="65"/>
      <w:bookmarkStart w:id="66" w:name="_Toc184310327"/>
      <w:bookmarkEnd w:id="66"/>
      <w:bookmarkStart w:id="67" w:name="_Toc184313286"/>
      <w:bookmarkEnd w:id="67"/>
      <w:bookmarkStart w:id="68" w:name="_Toc184310281"/>
      <w:bookmarkEnd w:id="68"/>
      <w:bookmarkStart w:id="69" w:name="_Toc184313288"/>
      <w:bookmarkEnd w:id="69"/>
      <w:bookmarkStart w:id="70" w:name="_Toc184313298"/>
      <w:bookmarkEnd w:id="70"/>
      <w:bookmarkStart w:id="71" w:name="_Toc184312116"/>
      <w:bookmarkEnd w:id="71"/>
      <w:bookmarkStart w:id="72" w:name="_Toc184312084"/>
      <w:bookmarkEnd w:id="72"/>
      <w:bookmarkStart w:id="73" w:name="_Toc184310333"/>
      <w:bookmarkEnd w:id="73"/>
      <w:bookmarkStart w:id="74" w:name="_Toc184312085"/>
      <w:bookmarkEnd w:id="74"/>
      <w:bookmarkStart w:id="75" w:name="_Toc184308045"/>
      <w:bookmarkEnd w:id="75"/>
      <w:bookmarkStart w:id="76" w:name="_Toc184313258"/>
      <w:bookmarkEnd w:id="76"/>
      <w:bookmarkStart w:id="77" w:name="_Toc184314472"/>
      <w:bookmarkEnd w:id="77"/>
      <w:bookmarkStart w:id="78" w:name="_Toc184314464"/>
      <w:bookmarkEnd w:id="78"/>
      <w:bookmarkStart w:id="79" w:name="_Toc184312097"/>
      <w:bookmarkEnd w:id="79"/>
      <w:bookmarkStart w:id="80" w:name="_Toc184308049"/>
      <w:bookmarkEnd w:id="80"/>
      <w:bookmarkStart w:id="81" w:name="_Toc184313274"/>
      <w:bookmarkEnd w:id="81"/>
      <w:bookmarkStart w:id="82" w:name="_Toc184310282"/>
      <w:bookmarkEnd w:id="82"/>
      <w:bookmarkStart w:id="83" w:name="_Toc184312108"/>
      <w:bookmarkEnd w:id="83"/>
      <w:bookmarkStart w:id="84" w:name="_Toc184308082"/>
      <w:bookmarkEnd w:id="84"/>
      <w:bookmarkStart w:id="85" w:name="_Toc184308044"/>
      <w:bookmarkEnd w:id="85"/>
      <w:bookmarkStart w:id="86" w:name="_Toc184308051"/>
      <w:bookmarkEnd w:id="86"/>
      <w:bookmarkStart w:id="87" w:name="_Toc184308095"/>
      <w:bookmarkEnd w:id="87"/>
      <w:bookmarkStart w:id="88" w:name="_Toc184314433"/>
      <w:bookmarkEnd w:id="88"/>
      <w:bookmarkStart w:id="89" w:name="_Toc184312129"/>
      <w:bookmarkEnd w:id="89"/>
      <w:bookmarkStart w:id="90" w:name="_Toc184314445"/>
      <w:bookmarkEnd w:id="90"/>
      <w:bookmarkStart w:id="91" w:name="_Toc184314415"/>
      <w:bookmarkEnd w:id="91"/>
      <w:bookmarkStart w:id="92" w:name="_Toc184313243"/>
      <w:bookmarkEnd w:id="92"/>
      <w:bookmarkStart w:id="93" w:name="_Toc184308107"/>
      <w:bookmarkEnd w:id="93"/>
      <w:bookmarkStart w:id="94" w:name="_Toc184314462"/>
      <w:bookmarkEnd w:id="94"/>
      <w:bookmarkStart w:id="95" w:name="_Toc184310296"/>
      <w:bookmarkEnd w:id="95"/>
      <w:bookmarkStart w:id="96" w:name="_Toc184308108"/>
      <w:bookmarkEnd w:id="96"/>
      <w:bookmarkStart w:id="97" w:name="_Toc184312123"/>
      <w:bookmarkEnd w:id="97"/>
      <w:bookmarkStart w:id="98" w:name="_Toc184308079"/>
      <w:bookmarkEnd w:id="98"/>
      <w:bookmarkStart w:id="99" w:name="_Toc184314450"/>
      <w:bookmarkEnd w:id="99"/>
      <w:bookmarkStart w:id="100" w:name="_Toc184313278"/>
      <w:bookmarkEnd w:id="100"/>
      <w:bookmarkStart w:id="101" w:name="_Toc184314410"/>
      <w:bookmarkEnd w:id="101"/>
      <w:bookmarkStart w:id="102" w:name="_Toc184312090"/>
      <w:bookmarkEnd w:id="102"/>
      <w:bookmarkStart w:id="103" w:name="_Toc184308067"/>
      <w:bookmarkEnd w:id="103"/>
      <w:bookmarkStart w:id="104" w:name="_Toc184314413"/>
      <w:bookmarkEnd w:id="104"/>
      <w:bookmarkStart w:id="105" w:name="_Toc184312093"/>
      <w:bookmarkEnd w:id="105"/>
      <w:bookmarkStart w:id="106" w:name="_Toc184312089"/>
      <w:bookmarkEnd w:id="106"/>
      <w:bookmarkStart w:id="107" w:name="_Toc184312127"/>
      <w:bookmarkEnd w:id="107"/>
      <w:bookmarkStart w:id="108" w:name="_Toc184314456"/>
      <w:bookmarkEnd w:id="108"/>
      <w:bookmarkStart w:id="109" w:name="_Toc184310289"/>
      <w:bookmarkEnd w:id="109"/>
      <w:bookmarkStart w:id="110" w:name="_Toc184308054"/>
      <w:bookmarkEnd w:id="110"/>
      <w:bookmarkStart w:id="111" w:name="_Toc184308055"/>
      <w:bookmarkEnd w:id="111"/>
      <w:bookmarkStart w:id="112" w:name="_Toc184308089"/>
      <w:bookmarkEnd w:id="112"/>
      <w:bookmarkStart w:id="113" w:name="_Toc184313299"/>
      <w:bookmarkEnd w:id="113"/>
      <w:bookmarkStart w:id="114" w:name="_Toc184313275"/>
      <w:bookmarkEnd w:id="114"/>
      <w:bookmarkStart w:id="115" w:name="_Toc184308102"/>
      <w:bookmarkEnd w:id="115"/>
      <w:bookmarkStart w:id="116" w:name="_Toc184308070"/>
      <w:bookmarkEnd w:id="116"/>
      <w:bookmarkStart w:id="117" w:name="_Toc184314411"/>
      <w:bookmarkEnd w:id="117"/>
      <w:bookmarkStart w:id="118" w:name="_Toc184314431"/>
      <w:bookmarkEnd w:id="118"/>
      <w:bookmarkStart w:id="119" w:name="_Toc184312068"/>
      <w:bookmarkEnd w:id="119"/>
      <w:bookmarkStart w:id="120" w:name="_Toc184313280"/>
      <w:bookmarkEnd w:id="120"/>
      <w:bookmarkStart w:id="121" w:name="_Toc184314436"/>
      <w:bookmarkEnd w:id="121"/>
      <w:bookmarkStart w:id="122" w:name="_Toc184312112"/>
      <w:bookmarkEnd w:id="122"/>
      <w:bookmarkStart w:id="123" w:name="_Toc184310290"/>
      <w:bookmarkEnd w:id="123"/>
      <w:bookmarkStart w:id="124" w:name="_Toc184314423"/>
      <w:bookmarkEnd w:id="124"/>
      <w:bookmarkStart w:id="125" w:name="_Toc184314443"/>
      <w:bookmarkEnd w:id="125"/>
      <w:bookmarkStart w:id="126" w:name="_Toc184314421"/>
      <w:bookmarkEnd w:id="126"/>
      <w:bookmarkStart w:id="127" w:name="_Toc184314432"/>
      <w:bookmarkEnd w:id="127"/>
      <w:bookmarkStart w:id="128" w:name="_Toc184310344"/>
      <w:bookmarkEnd w:id="128"/>
      <w:bookmarkStart w:id="129" w:name="_Toc184314437"/>
      <w:bookmarkEnd w:id="129"/>
      <w:bookmarkStart w:id="130" w:name="_Toc184313251"/>
      <w:bookmarkEnd w:id="130"/>
      <w:bookmarkStart w:id="131" w:name="_Toc184314471"/>
      <w:bookmarkEnd w:id="131"/>
      <w:bookmarkStart w:id="132" w:name="_Toc184312100"/>
      <w:bookmarkEnd w:id="132"/>
      <w:bookmarkStart w:id="133" w:name="_Toc184310272"/>
      <w:bookmarkEnd w:id="133"/>
      <w:bookmarkStart w:id="134" w:name="_Toc184308091"/>
      <w:bookmarkEnd w:id="134"/>
      <w:bookmarkStart w:id="135" w:name="_Toc184314438"/>
      <w:bookmarkEnd w:id="135"/>
      <w:bookmarkStart w:id="136" w:name="_Toc184313242"/>
      <w:bookmarkEnd w:id="136"/>
      <w:bookmarkStart w:id="137" w:name="_Toc184312119"/>
      <w:bookmarkEnd w:id="137"/>
      <w:bookmarkStart w:id="138" w:name="_Toc184313294"/>
      <w:bookmarkEnd w:id="138"/>
      <w:bookmarkStart w:id="139" w:name="_Toc184310329"/>
      <w:bookmarkEnd w:id="139"/>
      <w:bookmarkStart w:id="140" w:name="_Toc184313308"/>
      <w:bookmarkEnd w:id="140"/>
      <w:bookmarkStart w:id="141" w:name="_Toc184310328"/>
      <w:bookmarkEnd w:id="141"/>
      <w:bookmarkStart w:id="142" w:name="_Toc184312138"/>
      <w:bookmarkEnd w:id="142"/>
      <w:bookmarkStart w:id="143" w:name="_Toc184308073"/>
      <w:bookmarkEnd w:id="143"/>
      <w:bookmarkStart w:id="144" w:name="_Toc184310313"/>
      <w:bookmarkEnd w:id="144"/>
      <w:bookmarkStart w:id="145" w:name="_Toc184314422"/>
      <w:bookmarkEnd w:id="145"/>
      <w:bookmarkStart w:id="146" w:name="_Toc184310314"/>
      <w:bookmarkEnd w:id="146"/>
      <w:bookmarkStart w:id="147" w:name="_Toc184314473"/>
      <w:bookmarkEnd w:id="147"/>
      <w:bookmarkStart w:id="148" w:name="_Toc184314465"/>
      <w:bookmarkEnd w:id="148"/>
      <w:bookmarkStart w:id="149" w:name="_Toc184310311"/>
      <w:bookmarkEnd w:id="149"/>
      <w:bookmarkStart w:id="150" w:name="_Toc184308080"/>
      <w:bookmarkEnd w:id="150"/>
      <w:bookmarkStart w:id="151" w:name="_Toc184312077"/>
      <w:bookmarkEnd w:id="151"/>
      <w:bookmarkStart w:id="152" w:name="_Toc184312082"/>
      <w:bookmarkEnd w:id="152"/>
      <w:bookmarkStart w:id="153" w:name="_Toc184308046"/>
      <w:bookmarkEnd w:id="153"/>
      <w:bookmarkStart w:id="154" w:name="_Toc184312105"/>
      <w:bookmarkEnd w:id="154"/>
      <w:bookmarkStart w:id="155" w:name="_Toc184312128"/>
      <w:bookmarkEnd w:id="155"/>
      <w:bookmarkStart w:id="156" w:name="_Toc184313265"/>
      <w:bookmarkEnd w:id="156"/>
      <w:bookmarkStart w:id="157" w:name="_Toc184308047"/>
      <w:bookmarkEnd w:id="157"/>
      <w:bookmarkStart w:id="158" w:name="_Toc184310331"/>
      <w:bookmarkEnd w:id="158"/>
      <w:bookmarkStart w:id="159" w:name="_Toc184312104"/>
      <w:bookmarkEnd w:id="159"/>
      <w:bookmarkStart w:id="160" w:name="_Toc184314481"/>
      <w:bookmarkEnd w:id="160"/>
      <w:bookmarkStart w:id="161" w:name="_Toc184308078"/>
      <w:bookmarkEnd w:id="161"/>
      <w:bookmarkStart w:id="162" w:name="_Toc184312109"/>
      <w:bookmarkEnd w:id="162"/>
      <w:bookmarkStart w:id="163" w:name="_Toc184313241"/>
      <w:bookmarkEnd w:id="163"/>
      <w:bookmarkStart w:id="164" w:name="_Toc184313297"/>
      <w:bookmarkEnd w:id="164"/>
      <w:bookmarkStart w:id="165" w:name="_Toc184310292"/>
      <w:bookmarkEnd w:id="165"/>
      <w:bookmarkStart w:id="166" w:name="_Toc184313249"/>
      <w:bookmarkEnd w:id="166"/>
      <w:bookmarkStart w:id="167" w:name="_Toc184314418"/>
      <w:bookmarkEnd w:id="167"/>
      <w:bookmarkStart w:id="168" w:name="_Toc184312110"/>
      <w:bookmarkEnd w:id="168"/>
      <w:bookmarkStart w:id="169" w:name="_Toc184314478"/>
      <w:bookmarkEnd w:id="169"/>
      <w:bookmarkStart w:id="170" w:name="_Toc184308061"/>
      <w:bookmarkEnd w:id="170"/>
      <w:bookmarkStart w:id="171" w:name="_Toc184314479"/>
      <w:bookmarkEnd w:id="171"/>
      <w:bookmarkStart w:id="172" w:name="_Toc184310332"/>
      <w:bookmarkEnd w:id="172"/>
      <w:bookmarkStart w:id="173" w:name="_Toc184314452"/>
      <w:bookmarkEnd w:id="173"/>
      <w:bookmarkStart w:id="174" w:name="_Toc184314424"/>
      <w:bookmarkEnd w:id="174"/>
      <w:bookmarkStart w:id="175" w:name="_Toc184310291"/>
      <w:bookmarkEnd w:id="175"/>
      <w:bookmarkStart w:id="176" w:name="_Toc184313264"/>
      <w:bookmarkEnd w:id="176"/>
      <w:bookmarkStart w:id="177" w:name="_Toc184313240"/>
      <w:bookmarkEnd w:id="177"/>
      <w:bookmarkStart w:id="178" w:name="_Toc184314442"/>
      <w:bookmarkEnd w:id="178"/>
      <w:bookmarkStart w:id="179" w:name="_Toc184312139"/>
      <w:bookmarkEnd w:id="179"/>
      <w:bookmarkStart w:id="180" w:name="_Toc184308084"/>
      <w:bookmarkEnd w:id="180"/>
      <w:bookmarkStart w:id="181" w:name="_Toc184314427"/>
      <w:bookmarkEnd w:id="181"/>
      <w:bookmarkStart w:id="182" w:name="_Toc184314429"/>
      <w:bookmarkEnd w:id="182"/>
      <w:bookmarkStart w:id="183" w:name="_Toc184312117"/>
      <w:bookmarkEnd w:id="183"/>
      <w:bookmarkStart w:id="184" w:name="_Toc184313245"/>
      <w:bookmarkEnd w:id="184"/>
      <w:bookmarkStart w:id="185" w:name="_Toc184310318"/>
      <w:bookmarkEnd w:id="185"/>
      <w:bookmarkStart w:id="186" w:name="_Toc184310326"/>
      <w:bookmarkEnd w:id="186"/>
      <w:bookmarkStart w:id="187" w:name="_Toc184312074"/>
      <w:bookmarkEnd w:id="187"/>
      <w:bookmarkStart w:id="188" w:name="_Toc184308093"/>
      <w:bookmarkEnd w:id="188"/>
      <w:bookmarkStart w:id="189" w:name="_Toc184308104"/>
      <w:bookmarkEnd w:id="189"/>
      <w:bookmarkStart w:id="190" w:name="_Toc184310307"/>
      <w:bookmarkEnd w:id="190"/>
      <w:bookmarkStart w:id="191" w:name="_Toc184313309"/>
      <w:bookmarkEnd w:id="191"/>
      <w:bookmarkStart w:id="192" w:name="_Toc184313252"/>
      <w:bookmarkEnd w:id="192"/>
      <w:bookmarkStart w:id="193" w:name="_Toc184308036"/>
      <w:bookmarkEnd w:id="193"/>
      <w:bookmarkStart w:id="194" w:name="_Toc184310337"/>
      <w:bookmarkEnd w:id="194"/>
      <w:bookmarkStart w:id="195" w:name="_Toc184312135"/>
      <w:bookmarkEnd w:id="195"/>
      <w:bookmarkStart w:id="196" w:name="_Toc184313293"/>
      <w:bookmarkEnd w:id="196"/>
      <w:bookmarkStart w:id="197" w:name="_Toc184312122"/>
      <w:bookmarkEnd w:id="197"/>
      <w:bookmarkStart w:id="198" w:name="_Toc184310285"/>
      <w:bookmarkEnd w:id="198"/>
      <w:bookmarkStart w:id="199" w:name="_Toc184314425"/>
      <w:bookmarkEnd w:id="199"/>
      <w:bookmarkStart w:id="200" w:name="_Toc184314469"/>
      <w:bookmarkEnd w:id="200"/>
      <w:bookmarkStart w:id="201" w:name="_Toc184313246"/>
      <w:bookmarkEnd w:id="201"/>
      <w:bookmarkStart w:id="202" w:name="_Toc184308098"/>
      <w:bookmarkEnd w:id="202"/>
      <w:bookmarkStart w:id="203" w:name="_Toc184313248"/>
      <w:bookmarkEnd w:id="203"/>
      <w:bookmarkStart w:id="204" w:name="_Toc184312070"/>
      <w:bookmarkEnd w:id="204"/>
      <w:bookmarkStart w:id="205" w:name="_Toc184313269"/>
      <w:bookmarkEnd w:id="205"/>
      <w:bookmarkStart w:id="206" w:name="_Toc184310303"/>
      <w:bookmarkEnd w:id="206"/>
      <w:bookmarkStart w:id="207" w:name="_Toc184310339"/>
      <w:bookmarkEnd w:id="207"/>
      <w:bookmarkStart w:id="208" w:name="_Toc184310287"/>
      <w:bookmarkEnd w:id="208"/>
      <w:bookmarkStart w:id="209" w:name="_Toc184314435"/>
      <w:bookmarkEnd w:id="209"/>
      <w:bookmarkStart w:id="210" w:name="_Toc184312134"/>
      <w:bookmarkEnd w:id="210"/>
      <w:bookmarkStart w:id="211" w:name="_Toc184308074"/>
      <w:bookmarkEnd w:id="211"/>
      <w:bookmarkStart w:id="212" w:name="_Toc184308048"/>
      <w:bookmarkEnd w:id="212"/>
      <w:bookmarkStart w:id="213" w:name="_Toc184314451"/>
      <w:bookmarkEnd w:id="213"/>
      <w:bookmarkStart w:id="214" w:name="_Toc184312114"/>
      <w:bookmarkEnd w:id="214"/>
      <w:bookmarkStart w:id="215" w:name="_Toc184312087"/>
      <w:bookmarkEnd w:id="215"/>
      <w:bookmarkStart w:id="216" w:name="_Toc184312115"/>
      <w:bookmarkEnd w:id="216"/>
      <w:bookmarkStart w:id="217" w:name="_Toc184308077"/>
      <w:bookmarkEnd w:id="217"/>
      <w:bookmarkStart w:id="218" w:name="_Toc184314480"/>
      <w:bookmarkEnd w:id="218"/>
      <w:bookmarkStart w:id="219" w:name="_Toc184314420"/>
      <w:bookmarkEnd w:id="219"/>
      <w:bookmarkStart w:id="220" w:name="_Toc184308072"/>
      <w:bookmarkEnd w:id="220"/>
      <w:bookmarkStart w:id="221" w:name="_Toc184313256"/>
      <w:bookmarkEnd w:id="221"/>
      <w:bookmarkStart w:id="222" w:name="_Toc184314453"/>
      <w:bookmarkEnd w:id="222"/>
      <w:bookmarkStart w:id="223" w:name="_Toc184314463"/>
      <w:bookmarkEnd w:id="223"/>
      <w:bookmarkStart w:id="224" w:name="_Toc184310320"/>
      <w:bookmarkEnd w:id="224"/>
      <w:bookmarkStart w:id="225" w:name="_Toc184313287"/>
      <w:bookmarkEnd w:id="225"/>
      <w:bookmarkStart w:id="226" w:name="_Toc184313260"/>
      <w:bookmarkEnd w:id="226"/>
      <w:bookmarkStart w:id="227" w:name="_Toc184308039"/>
      <w:bookmarkEnd w:id="227"/>
      <w:bookmarkStart w:id="228" w:name="_Toc184310310"/>
      <w:bookmarkEnd w:id="228"/>
      <w:bookmarkStart w:id="229" w:name="_Toc184308068"/>
      <w:bookmarkEnd w:id="229"/>
      <w:bookmarkStart w:id="230" w:name="_Toc184312099"/>
      <w:bookmarkEnd w:id="230"/>
      <w:bookmarkStart w:id="231" w:name="_Toc184314460"/>
      <w:bookmarkEnd w:id="231"/>
      <w:bookmarkStart w:id="232" w:name="_Toc184310317"/>
      <w:bookmarkEnd w:id="232"/>
      <w:bookmarkStart w:id="233" w:name="_Toc184313250"/>
      <w:bookmarkEnd w:id="233"/>
      <w:bookmarkStart w:id="234" w:name="_Toc184308040"/>
      <w:bookmarkEnd w:id="234"/>
      <w:bookmarkStart w:id="235" w:name="_Toc184310309"/>
      <w:bookmarkEnd w:id="235"/>
      <w:bookmarkStart w:id="236" w:name="_Toc184310316"/>
      <w:bookmarkEnd w:id="236"/>
      <w:bookmarkStart w:id="237" w:name="_Toc184310341"/>
      <w:bookmarkEnd w:id="237"/>
      <w:bookmarkStart w:id="238" w:name="_Toc184312069"/>
      <w:bookmarkEnd w:id="238"/>
      <w:bookmarkStart w:id="239" w:name="_Toc184312078"/>
      <w:bookmarkEnd w:id="239"/>
      <w:bookmarkStart w:id="240" w:name="_Toc184308053"/>
      <w:bookmarkEnd w:id="240"/>
      <w:bookmarkStart w:id="241" w:name="_Toc184310298"/>
      <w:bookmarkEnd w:id="241"/>
      <w:bookmarkStart w:id="242" w:name="_Toc184312086"/>
      <w:bookmarkEnd w:id="242"/>
      <w:bookmarkStart w:id="243" w:name="_Toc184313302"/>
      <w:bookmarkEnd w:id="243"/>
      <w:bookmarkStart w:id="244" w:name="_Toc184308083"/>
      <w:bookmarkEnd w:id="244"/>
      <w:bookmarkStart w:id="245" w:name="_Toc184312133"/>
      <w:bookmarkEnd w:id="245"/>
      <w:bookmarkStart w:id="246" w:name="_Toc184308058"/>
      <w:bookmarkEnd w:id="246"/>
      <w:bookmarkStart w:id="247" w:name="_Toc184308062"/>
      <w:bookmarkEnd w:id="247"/>
      <w:bookmarkStart w:id="248" w:name="_Toc184308101"/>
      <w:bookmarkEnd w:id="248"/>
      <w:bookmarkStart w:id="249" w:name="_Toc184312131"/>
      <w:bookmarkEnd w:id="249"/>
      <w:bookmarkStart w:id="250" w:name="_Toc184308106"/>
      <w:bookmarkEnd w:id="250"/>
      <w:bookmarkStart w:id="251" w:name="_Toc184314441"/>
      <w:bookmarkEnd w:id="251"/>
      <w:bookmarkStart w:id="252" w:name="_Toc184312080"/>
      <w:bookmarkEnd w:id="252"/>
      <w:bookmarkStart w:id="253" w:name="_Toc184313304"/>
      <w:bookmarkEnd w:id="253"/>
      <w:bookmarkStart w:id="254" w:name="_Toc184314467"/>
      <w:bookmarkEnd w:id="254"/>
      <w:bookmarkStart w:id="255" w:name="_Toc184313261"/>
      <w:bookmarkEnd w:id="255"/>
      <w:bookmarkStart w:id="256" w:name="_Toc184313281"/>
      <w:bookmarkEnd w:id="256"/>
      <w:bookmarkStart w:id="257" w:name="_Toc184314457"/>
      <w:bookmarkEnd w:id="257"/>
      <w:bookmarkStart w:id="258" w:name="_Toc184314455"/>
      <w:bookmarkEnd w:id="258"/>
      <w:bookmarkStart w:id="259" w:name="_Toc184313254"/>
      <w:bookmarkEnd w:id="259"/>
      <w:bookmarkStart w:id="260" w:name="_Toc184308088"/>
      <w:bookmarkEnd w:id="260"/>
      <w:bookmarkStart w:id="261" w:name="_Toc184310299"/>
      <w:bookmarkEnd w:id="261"/>
      <w:bookmarkStart w:id="262" w:name="_Toc184310340"/>
      <w:bookmarkEnd w:id="262"/>
      <w:bookmarkStart w:id="263" w:name="_Toc184313279"/>
      <w:bookmarkEnd w:id="263"/>
      <w:bookmarkStart w:id="264" w:name="_Toc184312126"/>
      <w:bookmarkEnd w:id="264"/>
      <w:bookmarkStart w:id="265" w:name="_Toc184313307"/>
      <w:bookmarkEnd w:id="265"/>
      <w:bookmarkStart w:id="266" w:name="_Toc184314461"/>
      <w:bookmarkEnd w:id="266"/>
      <w:bookmarkStart w:id="267" w:name="_Toc184308086"/>
      <w:bookmarkEnd w:id="267"/>
      <w:bookmarkStart w:id="268" w:name="_Toc184310325"/>
      <w:bookmarkEnd w:id="268"/>
      <w:bookmarkStart w:id="269" w:name="_Toc184308050"/>
      <w:bookmarkEnd w:id="269"/>
      <w:bookmarkStart w:id="270" w:name="_Toc184308090"/>
      <w:bookmarkEnd w:id="270"/>
      <w:bookmarkStart w:id="271" w:name="_Toc184314470"/>
      <w:bookmarkEnd w:id="271"/>
      <w:bookmarkStart w:id="272" w:name="_Toc184313301"/>
      <w:bookmarkEnd w:id="272"/>
      <w:bookmarkStart w:id="273" w:name="_Toc184314444"/>
      <w:bookmarkEnd w:id="273"/>
      <w:bookmarkStart w:id="274" w:name="_Toc184310301"/>
      <w:bookmarkEnd w:id="274"/>
      <w:bookmarkStart w:id="275" w:name="_Toc184310335"/>
      <w:bookmarkEnd w:id="275"/>
      <w:bookmarkStart w:id="276" w:name="_Toc184313300"/>
      <w:bookmarkEnd w:id="276"/>
      <w:bookmarkStart w:id="277" w:name="_Toc184314476"/>
      <w:bookmarkEnd w:id="277"/>
      <w:bookmarkStart w:id="278" w:name="_Toc184310334"/>
      <w:bookmarkEnd w:id="278"/>
      <w:bookmarkStart w:id="279" w:name="_Toc184310304"/>
      <w:bookmarkEnd w:id="279"/>
      <w:bookmarkStart w:id="280" w:name="_Toc184310277"/>
      <w:bookmarkEnd w:id="280"/>
      <w:bookmarkStart w:id="281" w:name="_Toc184314414"/>
      <w:bookmarkEnd w:id="281"/>
      <w:bookmarkStart w:id="282" w:name="_Toc184314412"/>
      <w:bookmarkEnd w:id="282"/>
      <w:bookmarkStart w:id="283" w:name="_Toc184310322"/>
      <w:bookmarkEnd w:id="283"/>
      <w:bookmarkStart w:id="284" w:name="_Toc184313263"/>
      <w:bookmarkEnd w:id="284"/>
      <w:bookmarkStart w:id="285" w:name="_Toc184314446"/>
      <w:bookmarkEnd w:id="285"/>
      <w:bookmarkStart w:id="286" w:name="_Toc184308052"/>
      <w:bookmarkEnd w:id="286"/>
      <w:bookmarkStart w:id="287" w:name="_Toc184308094"/>
      <w:bookmarkEnd w:id="287"/>
      <w:bookmarkStart w:id="288" w:name="_Toc184314454"/>
      <w:bookmarkEnd w:id="288"/>
      <w:bookmarkStart w:id="289" w:name="_Toc184310293"/>
      <w:bookmarkEnd w:id="289"/>
      <w:bookmarkStart w:id="290" w:name="_Toc184314475"/>
      <w:bookmarkEnd w:id="290"/>
      <w:bookmarkStart w:id="291" w:name="_Toc184310300"/>
      <w:bookmarkEnd w:id="291"/>
      <w:bookmarkStart w:id="292" w:name="_Toc184308057"/>
      <w:bookmarkEnd w:id="292"/>
      <w:bookmarkStart w:id="293" w:name="_Toc184308042"/>
      <w:bookmarkEnd w:id="293"/>
      <w:bookmarkStart w:id="294" w:name="_Toc184308071"/>
      <w:bookmarkEnd w:id="294"/>
      <w:bookmarkStart w:id="295" w:name="_Toc184313282"/>
      <w:bookmarkEnd w:id="295"/>
      <w:bookmarkStart w:id="296" w:name="_Toc184313270"/>
      <w:bookmarkEnd w:id="296"/>
      <w:bookmarkStart w:id="297" w:name="_Toc184314416"/>
      <w:bookmarkEnd w:id="297"/>
      <w:bookmarkStart w:id="298" w:name="_Toc184308064"/>
      <w:bookmarkEnd w:id="298"/>
      <w:bookmarkStart w:id="299" w:name="_Toc184308060"/>
      <w:bookmarkEnd w:id="299"/>
      <w:bookmarkStart w:id="300" w:name="_Toc184314447"/>
      <w:bookmarkEnd w:id="300"/>
      <w:bookmarkStart w:id="301" w:name="_Toc184313238"/>
      <w:bookmarkEnd w:id="301"/>
      <w:bookmarkStart w:id="302" w:name="_Toc184313271"/>
      <w:bookmarkEnd w:id="302"/>
      <w:bookmarkStart w:id="303" w:name="_Toc184310306"/>
      <w:bookmarkEnd w:id="303"/>
      <w:bookmarkStart w:id="304" w:name="_Toc184314439"/>
      <w:bookmarkEnd w:id="304"/>
      <w:bookmarkStart w:id="305" w:name="_Toc184313296"/>
      <w:bookmarkEnd w:id="305"/>
      <w:bookmarkStart w:id="306" w:name="_Toc184308100"/>
      <w:bookmarkEnd w:id="306"/>
      <w:bookmarkStart w:id="307" w:name="_Toc184310343"/>
      <w:bookmarkEnd w:id="307"/>
      <w:bookmarkStart w:id="308" w:name="_Toc184312120"/>
      <w:bookmarkEnd w:id="308"/>
      <w:bookmarkStart w:id="309" w:name="_Toc184313305"/>
      <w:bookmarkEnd w:id="309"/>
      <w:bookmarkStart w:id="310" w:name="_Toc184313253"/>
      <w:bookmarkEnd w:id="310"/>
      <w:bookmarkStart w:id="311" w:name="_Toc184310324"/>
      <w:bookmarkEnd w:id="311"/>
      <w:bookmarkStart w:id="312" w:name="_Toc184313259"/>
      <w:bookmarkEnd w:id="312"/>
      <w:bookmarkStart w:id="313" w:name="_Toc184310276"/>
      <w:bookmarkEnd w:id="313"/>
      <w:bookmarkStart w:id="314" w:name="_Toc184313247"/>
      <w:bookmarkEnd w:id="314"/>
      <w:bookmarkStart w:id="315" w:name="_Toc184313272"/>
      <w:bookmarkEnd w:id="315"/>
      <w:bookmarkStart w:id="316" w:name="_Toc184313290"/>
      <w:bookmarkEnd w:id="316"/>
      <w:bookmarkStart w:id="317" w:name="_Toc184312081"/>
      <w:bookmarkEnd w:id="317"/>
      <w:bookmarkStart w:id="318" w:name="_Toc184312132"/>
      <w:bookmarkEnd w:id="318"/>
      <w:bookmarkStart w:id="319" w:name="_Toc184313244"/>
      <w:bookmarkEnd w:id="319"/>
      <w:bookmarkStart w:id="320" w:name="_Toc184310321"/>
      <w:bookmarkEnd w:id="320"/>
      <w:bookmarkStart w:id="321" w:name="_Toc184312121"/>
      <w:bookmarkEnd w:id="321"/>
      <w:bookmarkStart w:id="322" w:name="_Toc184313289"/>
      <w:bookmarkEnd w:id="322"/>
      <w:bookmarkStart w:id="323" w:name="_Toc184313262"/>
      <w:bookmarkEnd w:id="323"/>
      <w:bookmarkStart w:id="324" w:name="_Toc184313257"/>
      <w:bookmarkEnd w:id="324"/>
      <w:bookmarkStart w:id="325" w:name="_Toc184312095"/>
      <w:bookmarkEnd w:id="325"/>
      <w:bookmarkStart w:id="326" w:name="_Toc184312130"/>
      <w:bookmarkEnd w:id="326"/>
      <w:bookmarkStart w:id="327" w:name="_Toc184308038"/>
      <w:bookmarkEnd w:id="327"/>
      <w:bookmarkStart w:id="328" w:name="_Toc184312083"/>
      <w:bookmarkEnd w:id="328"/>
      <w:bookmarkStart w:id="329" w:name="_Toc184313306"/>
      <w:bookmarkEnd w:id="329"/>
      <w:bookmarkStart w:id="330" w:name="_Toc184308103"/>
      <w:bookmarkEnd w:id="330"/>
      <w:bookmarkStart w:id="331" w:name="_Toc184313276"/>
      <w:bookmarkEnd w:id="331"/>
      <w:bookmarkStart w:id="332" w:name="_Toc184310280"/>
      <w:bookmarkEnd w:id="332"/>
      <w:bookmarkStart w:id="333" w:name="_Toc184312118"/>
      <w:bookmarkEnd w:id="333"/>
      <w:bookmarkStart w:id="334" w:name="_Toc184310305"/>
      <w:bookmarkEnd w:id="334"/>
      <w:bookmarkStart w:id="335" w:name="_Toc184312107"/>
      <w:bookmarkEnd w:id="335"/>
      <w:bookmarkStart w:id="336" w:name="_Toc184308085"/>
      <w:bookmarkEnd w:id="336"/>
      <w:bookmarkStart w:id="337" w:name="_Toc184310294"/>
      <w:bookmarkEnd w:id="337"/>
      <w:bookmarkStart w:id="338" w:name="_Toc184313295"/>
      <w:bookmarkEnd w:id="338"/>
      <w:bookmarkStart w:id="339" w:name="_Toc184308066"/>
      <w:bookmarkEnd w:id="339"/>
      <w:bookmarkStart w:id="340" w:name="_Toc184312111"/>
      <w:bookmarkEnd w:id="340"/>
      <w:bookmarkStart w:id="341" w:name="_Toc184312073"/>
      <w:bookmarkEnd w:id="341"/>
      <w:bookmarkStart w:id="342" w:name="_Toc184312106"/>
      <w:bookmarkEnd w:id="342"/>
      <w:bookmarkStart w:id="343" w:name="_Toc184308065"/>
      <w:bookmarkEnd w:id="343"/>
      <w:bookmarkStart w:id="344" w:name="_Toc184310330"/>
      <w:bookmarkEnd w:id="344"/>
      <w:bookmarkStart w:id="345" w:name="_Toc184312079"/>
      <w:bookmarkEnd w:id="345"/>
      <w:bookmarkStart w:id="346" w:name="_Toc184314466"/>
      <w:bookmarkEnd w:id="346"/>
      <w:bookmarkStart w:id="347" w:name="_Toc184314426"/>
      <w:bookmarkEnd w:id="347"/>
      <w:bookmarkStart w:id="348" w:name="_Toc184312124"/>
      <w:bookmarkEnd w:id="348"/>
      <w:bookmarkStart w:id="349" w:name="_Toc184310284"/>
      <w:bookmarkEnd w:id="349"/>
      <w:bookmarkStart w:id="350" w:name="_Toc184308075"/>
      <w:bookmarkEnd w:id="350"/>
      <w:bookmarkStart w:id="351" w:name="_Toc184310342"/>
      <w:bookmarkEnd w:id="351"/>
      <w:bookmarkStart w:id="352" w:name="_Toc184312137"/>
      <w:bookmarkEnd w:id="352"/>
      <w:bookmarkStart w:id="353" w:name="_Toc184310312"/>
      <w:bookmarkEnd w:id="353"/>
      <w:bookmarkStart w:id="354" w:name="_Toc184312103"/>
      <w:bookmarkEnd w:id="354"/>
      <w:bookmarkStart w:id="355" w:name="_Toc184314430"/>
      <w:bookmarkEnd w:id="355"/>
      <w:bookmarkStart w:id="356" w:name="_Toc184310323"/>
      <w:bookmarkEnd w:id="356"/>
      <w:bookmarkStart w:id="357" w:name="_Toc184310315"/>
      <w:bookmarkEnd w:id="357"/>
      <w:bookmarkStart w:id="358" w:name="_Toc184313239"/>
      <w:bookmarkEnd w:id="358"/>
      <w:bookmarkStart w:id="359" w:name="_Toc184313291"/>
      <w:bookmarkEnd w:id="359"/>
      <w:bookmarkStart w:id="360" w:name="_Toc184308037"/>
      <w:bookmarkEnd w:id="360"/>
      <w:bookmarkStart w:id="361" w:name="_Toc184312088"/>
      <w:bookmarkEnd w:id="361"/>
      <w:bookmarkStart w:id="362" w:name="_Toc184308056"/>
      <w:bookmarkEnd w:id="362"/>
      <w:bookmarkStart w:id="363" w:name="_Toc184314458"/>
      <w:bookmarkEnd w:id="363"/>
      <w:bookmarkStart w:id="364" w:name="_Toc184314440"/>
      <w:bookmarkEnd w:id="364"/>
      <w:bookmarkStart w:id="365" w:name="_Toc184313303"/>
      <w:bookmarkEnd w:id="365"/>
      <w:bookmarkStart w:id="366" w:name="_Toc184314468"/>
      <w:bookmarkEnd w:id="366"/>
      <w:bookmarkStart w:id="367" w:name="_Toc184308063"/>
      <w:bookmarkEnd w:id="367"/>
      <w:bookmarkStart w:id="368" w:name="_Toc184314448"/>
      <w:bookmarkEnd w:id="368"/>
      <w:bookmarkStart w:id="369" w:name="_Toc184308041"/>
      <w:bookmarkEnd w:id="369"/>
      <w:bookmarkStart w:id="370" w:name="_Toc184308096"/>
      <w:bookmarkEnd w:id="370"/>
      <w:bookmarkStart w:id="371" w:name="_Toc184310279"/>
      <w:bookmarkEnd w:id="371"/>
      <w:bookmarkStart w:id="372" w:name="_Toc184313310"/>
      <w:bookmarkEnd w:id="372"/>
      <w:bookmarkStart w:id="373" w:name="_Toc184312075"/>
      <w:bookmarkEnd w:id="373"/>
      <w:bookmarkStart w:id="374" w:name="_Toc184313292"/>
      <w:bookmarkEnd w:id="374"/>
      <w:bookmarkStart w:id="375" w:name="_Toc184312076"/>
      <w:bookmarkEnd w:id="375"/>
      <w:bookmarkStart w:id="376" w:name="_Toc184310275"/>
      <w:bookmarkEnd w:id="376"/>
      <w:bookmarkStart w:id="377" w:name="_Toc184313266"/>
      <w:bookmarkEnd w:id="377"/>
      <w:bookmarkStart w:id="378" w:name="_Toc184310273"/>
      <w:bookmarkEnd w:id="378"/>
      <w:bookmarkStart w:id="379" w:name="_Toc184308099"/>
      <w:bookmarkEnd w:id="379"/>
      <w:bookmarkStart w:id="380" w:name="_Toc184314417"/>
      <w:bookmarkEnd w:id="380"/>
      <w:bookmarkStart w:id="381" w:name="_Toc184312071"/>
      <w:bookmarkEnd w:id="381"/>
      <w:bookmarkStart w:id="382" w:name="_Toc184313277"/>
      <w:bookmarkEnd w:id="382"/>
      <w:bookmarkStart w:id="383" w:name="_Toc184310286"/>
      <w:bookmarkEnd w:id="383"/>
      <w:bookmarkStart w:id="384" w:name="_Toc184310278"/>
      <w:bookmarkEnd w:id="384"/>
      <w:bookmarkStart w:id="385" w:name="_Toc184310338"/>
      <w:bookmarkEnd w:id="385"/>
      <w:bookmarkStart w:id="386" w:name="_Toc184312102"/>
      <w:bookmarkEnd w:id="386"/>
      <w:bookmarkStart w:id="387" w:name="_Toc184310274"/>
      <w:bookmarkEnd w:id="387"/>
      <w:bookmarkStart w:id="388" w:name="_Toc184308043"/>
      <w:bookmarkEnd w:id="388"/>
      <w:bookmarkStart w:id="389" w:name="_Toc184310336"/>
      <w:bookmarkEnd w:id="389"/>
      <w:bookmarkStart w:id="390" w:name="_Toc184314449"/>
      <w:bookmarkEnd w:id="390"/>
      <w:r>
        <w:rPr>
          <w:rFonts w:hint="eastAsia" w:ascii="宋体" w:hAnsi="宋体" w:eastAsia="宋体" w:cs="宋体"/>
          <w:b/>
          <w:color w:val="auto"/>
          <w:sz w:val="36"/>
          <w:szCs w:val="36"/>
          <w:highlight w:val="none"/>
        </w:rPr>
        <w:t>评标办法</w:t>
      </w:r>
    </w:p>
    <w:p w14:paraId="38FB8BF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0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50"/>
        <w:gridCol w:w="7125"/>
      </w:tblGrid>
      <w:tr w14:paraId="3CE3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15" w:type="dxa"/>
            <w:noWrap w:val="0"/>
            <w:vAlign w:val="center"/>
          </w:tcPr>
          <w:p w14:paraId="4DF25F7C">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750" w:type="dxa"/>
            <w:noWrap w:val="0"/>
            <w:vAlign w:val="center"/>
          </w:tcPr>
          <w:p w14:paraId="011E8B98">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7125" w:type="dxa"/>
            <w:noWrap w:val="0"/>
            <w:vAlign w:val="center"/>
          </w:tcPr>
          <w:p w14:paraId="0D814773">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评标要点及说明</w:t>
            </w:r>
          </w:p>
        </w:tc>
      </w:tr>
      <w:tr w14:paraId="0265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noWrap w:val="0"/>
            <w:vAlign w:val="center"/>
          </w:tcPr>
          <w:p w14:paraId="40DE340B">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分</w:t>
            </w:r>
          </w:p>
          <w:p w14:paraId="631D02D4">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750" w:type="dxa"/>
            <w:noWrap w:val="0"/>
            <w:vAlign w:val="center"/>
          </w:tcPr>
          <w:p w14:paraId="1AB5A2EE">
            <w:pPr>
              <w:pageBreakBefore w:val="0"/>
              <w:widowControl w:val="0"/>
              <w:kinsoku/>
              <w:wordWrap/>
              <w:overflowPunct/>
              <w:topLinePunct w:val="0"/>
              <w:bidi w:val="0"/>
              <w:snapToGrid/>
              <w:spacing w:line="24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30</w:t>
            </w:r>
          </w:p>
        </w:tc>
        <w:tc>
          <w:tcPr>
            <w:tcW w:w="7125" w:type="dxa"/>
            <w:noWrap w:val="0"/>
            <w:vAlign w:val="center"/>
          </w:tcPr>
          <w:p w14:paraId="133BF6A8">
            <w:pPr>
              <w:pageBreakBefore w:val="0"/>
              <w:widowControl w:val="0"/>
              <w:kinsoku/>
              <w:wordWrap/>
              <w:overflowPunct/>
              <w:topLinePunct w:val="0"/>
              <w:bidi w:val="0"/>
              <w:snapToGrid/>
              <w:spacing w:line="24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4"/>
                <w:szCs w:val="24"/>
                <w:highlight w:val="none"/>
                <w:lang w:val="en-US" w:eastAsia="zh-CN"/>
              </w:rPr>
              <w:t>30</w:t>
            </w:r>
          </w:p>
        </w:tc>
      </w:tr>
      <w:tr w14:paraId="7A77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15" w:type="dxa"/>
            <w:vMerge w:val="restart"/>
            <w:noWrap w:val="0"/>
            <w:vAlign w:val="center"/>
          </w:tcPr>
          <w:p w14:paraId="0B84A2ED">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技术分</w:t>
            </w:r>
          </w:p>
          <w:p w14:paraId="098D6966">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58</w:t>
            </w:r>
            <w:r>
              <w:rPr>
                <w:rFonts w:hint="eastAsia" w:ascii="宋体" w:hAnsi="宋体" w:eastAsia="宋体" w:cs="宋体"/>
                <w:sz w:val="24"/>
                <w:szCs w:val="24"/>
              </w:rPr>
              <w:t>分）</w:t>
            </w:r>
          </w:p>
        </w:tc>
        <w:tc>
          <w:tcPr>
            <w:tcW w:w="750" w:type="dxa"/>
            <w:noWrap w:val="0"/>
            <w:vAlign w:val="center"/>
          </w:tcPr>
          <w:p w14:paraId="40DC4CC9">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125" w:type="dxa"/>
            <w:noWrap w:val="0"/>
            <w:vAlign w:val="center"/>
          </w:tcPr>
          <w:p w14:paraId="6D31DFED">
            <w:pPr>
              <w:pageBreakBefore w:val="0"/>
              <w:widowControl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符合主要功能</w:t>
            </w:r>
            <w:r>
              <w:rPr>
                <w:rFonts w:hint="eastAsia" w:ascii="宋体" w:hAnsi="宋体" w:eastAsia="宋体" w:cs="宋体"/>
                <w:sz w:val="24"/>
                <w:szCs w:val="24"/>
                <w:lang w:eastAsia="zh-CN"/>
              </w:rPr>
              <w:t>、</w:t>
            </w:r>
            <w:r>
              <w:rPr>
                <w:rFonts w:hint="eastAsia" w:ascii="宋体" w:hAnsi="宋体" w:eastAsia="宋体" w:cs="宋体"/>
                <w:sz w:val="24"/>
                <w:szCs w:val="24"/>
              </w:rPr>
              <w:t>技术参数</w:t>
            </w:r>
            <w:r>
              <w:rPr>
                <w:rFonts w:hint="eastAsia" w:ascii="宋体" w:hAnsi="宋体" w:eastAsia="宋体" w:cs="宋体"/>
                <w:sz w:val="24"/>
                <w:szCs w:val="24"/>
                <w:lang w:val="en-US" w:eastAsia="zh-CN"/>
              </w:rPr>
              <w:t>和外购件配置要求的</w:t>
            </w:r>
            <w:r>
              <w:rPr>
                <w:rFonts w:hint="eastAsia" w:ascii="宋体" w:hAnsi="宋体" w:eastAsia="宋体" w:cs="宋体"/>
                <w:sz w:val="24"/>
                <w:szCs w:val="24"/>
              </w:rPr>
              <w:t>得</w:t>
            </w:r>
            <w:r>
              <w:rPr>
                <w:rFonts w:hint="eastAsia" w:ascii="宋体" w:hAnsi="宋体" w:eastAsia="宋体" w:cs="宋体"/>
                <w:sz w:val="24"/>
                <w:szCs w:val="24"/>
                <w:lang w:val="en-US" w:eastAsia="zh-CN"/>
              </w:rPr>
              <w:t>10</w:t>
            </w:r>
            <w:r>
              <w:rPr>
                <w:rFonts w:hint="eastAsia" w:ascii="宋体" w:hAnsi="宋体" w:eastAsia="宋体" w:cs="宋体"/>
                <w:sz w:val="24"/>
                <w:szCs w:val="24"/>
              </w:rPr>
              <w:t>分。对主要功能</w:t>
            </w:r>
            <w:r>
              <w:rPr>
                <w:rFonts w:hint="eastAsia" w:ascii="宋体" w:hAnsi="宋体" w:eastAsia="宋体" w:cs="宋体"/>
                <w:sz w:val="24"/>
                <w:szCs w:val="24"/>
                <w:lang w:eastAsia="zh-CN"/>
              </w:rPr>
              <w:t>、</w:t>
            </w:r>
            <w:r>
              <w:rPr>
                <w:rFonts w:hint="eastAsia" w:ascii="宋体" w:hAnsi="宋体" w:eastAsia="宋体" w:cs="宋体"/>
                <w:sz w:val="24"/>
                <w:szCs w:val="24"/>
              </w:rPr>
              <w:t>技术参数</w:t>
            </w:r>
            <w:r>
              <w:rPr>
                <w:rFonts w:hint="eastAsia" w:ascii="宋体" w:hAnsi="宋体" w:eastAsia="宋体" w:cs="宋体"/>
                <w:sz w:val="24"/>
                <w:szCs w:val="24"/>
                <w:lang w:val="en-US" w:eastAsia="zh-CN"/>
              </w:rPr>
              <w:t>和外购件配置</w:t>
            </w:r>
            <w:r>
              <w:rPr>
                <w:rFonts w:hint="eastAsia" w:ascii="宋体" w:hAnsi="宋体" w:eastAsia="宋体" w:cs="宋体"/>
                <w:sz w:val="24"/>
                <w:szCs w:val="24"/>
              </w:rPr>
              <w:t>属负偏离或缺漏项的每项扣</w:t>
            </w:r>
            <w:r>
              <w:rPr>
                <w:rFonts w:hint="eastAsia" w:ascii="宋体" w:hAnsi="宋体" w:eastAsia="宋体" w:cs="宋体"/>
                <w:sz w:val="24"/>
                <w:szCs w:val="24"/>
                <w:lang w:val="en-US" w:eastAsia="zh-CN"/>
              </w:rPr>
              <w:t>1-3</w:t>
            </w:r>
            <w:r>
              <w:rPr>
                <w:rFonts w:hint="eastAsia" w:ascii="宋体" w:hAnsi="宋体" w:eastAsia="宋体" w:cs="宋体"/>
                <w:sz w:val="24"/>
                <w:szCs w:val="24"/>
              </w:rPr>
              <w:t>分，扣完为止。</w:t>
            </w:r>
          </w:p>
        </w:tc>
      </w:tr>
      <w:tr w14:paraId="5B33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15" w:type="dxa"/>
            <w:vMerge w:val="continue"/>
            <w:noWrap w:val="0"/>
            <w:vAlign w:val="center"/>
          </w:tcPr>
          <w:p w14:paraId="19F95BAD">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p>
        </w:tc>
        <w:tc>
          <w:tcPr>
            <w:tcW w:w="750" w:type="dxa"/>
            <w:noWrap w:val="0"/>
            <w:vAlign w:val="center"/>
          </w:tcPr>
          <w:p w14:paraId="351D465A">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125" w:type="dxa"/>
            <w:noWrap w:val="0"/>
            <w:vAlign w:val="center"/>
          </w:tcPr>
          <w:p w14:paraId="151430B7">
            <w:pPr>
              <w:pageBreakBefore w:val="0"/>
              <w:widowControl w:val="0"/>
              <w:kinsoku/>
              <w:wordWrap/>
              <w:overflowPunct/>
              <w:topLinePunct w:val="0"/>
              <w:bidi w:val="0"/>
              <w:snapToGri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对投标产品性能指标、技术参数属正偏或高配的、有先进程度的每项加1-2分，最高得8分，无实质性意义的正偏离不加分。</w:t>
            </w:r>
          </w:p>
        </w:tc>
      </w:tr>
      <w:tr w14:paraId="6C21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15" w:type="dxa"/>
            <w:vMerge w:val="continue"/>
            <w:noWrap w:val="0"/>
            <w:vAlign w:val="center"/>
          </w:tcPr>
          <w:p w14:paraId="42A0B284">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p>
        </w:tc>
        <w:tc>
          <w:tcPr>
            <w:tcW w:w="750" w:type="dxa"/>
            <w:noWrap w:val="0"/>
            <w:vAlign w:val="center"/>
          </w:tcPr>
          <w:p w14:paraId="35979CC6">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14:paraId="498B011E">
            <w:pPr>
              <w:pageBreakBefore w:val="0"/>
              <w:widowControl w:val="0"/>
              <w:kinsoku/>
              <w:wordWrap/>
              <w:overflowPunct/>
              <w:topLinePunct w:val="0"/>
              <w:bidi w:val="0"/>
              <w:snapToGri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对所投产品主要部件的配置、性能的先进性、合理性、科学性进行打分，最高为5分。</w:t>
            </w:r>
          </w:p>
        </w:tc>
      </w:tr>
      <w:tr w14:paraId="505D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15" w:type="dxa"/>
            <w:vMerge w:val="continue"/>
            <w:noWrap w:val="0"/>
            <w:vAlign w:val="center"/>
          </w:tcPr>
          <w:p w14:paraId="67AB22CC">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p>
        </w:tc>
        <w:tc>
          <w:tcPr>
            <w:tcW w:w="750" w:type="dxa"/>
            <w:noWrap w:val="0"/>
            <w:vAlign w:val="center"/>
          </w:tcPr>
          <w:p w14:paraId="359A3A70">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noWrap w:val="0"/>
            <w:vAlign w:val="center"/>
          </w:tcPr>
          <w:p w14:paraId="28E005C4">
            <w:pPr>
              <w:pageBreakBefore w:val="0"/>
              <w:widowControl w:val="0"/>
              <w:kinsoku/>
              <w:wordWrap/>
              <w:overflowPunct/>
              <w:topLinePunct w:val="0"/>
              <w:bidi w:val="0"/>
              <w:snapToGrid/>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对</w:t>
            </w:r>
            <w:r>
              <w:rPr>
                <w:rFonts w:hint="eastAsia" w:ascii="宋体" w:hAnsi="宋体" w:eastAsia="宋体" w:cs="宋体"/>
                <w:sz w:val="24"/>
                <w:szCs w:val="24"/>
              </w:rPr>
              <w:t>生产厂家的生产规模、加工能力、制造水平</w:t>
            </w:r>
            <w:r>
              <w:rPr>
                <w:rFonts w:hint="eastAsia" w:ascii="宋体" w:hAnsi="宋体" w:eastAsia="宋体" w:cs="宋体"/>
                <w:sz w:val="24"/>
                <w:szCs w:val="24"/>
                <w:lang w:val="en-US" w:eastAsia="zh-CN"/>
              </w:rPr>
              <w:t>进行横向比较酌情打分，最高为4分。</w:t>
            </w:r>
          </w:p>
        </w:tc>
      </w:tr>
      <w:tr w14:paraId="5A57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15" w:type="dxa"/>
            <w:vMerge w:val="continue"/>
            <w:noWrap w:val="0"/>
            <w:vAlign w:val="center"/>
          </w:tcPr>
          <w:p w14:paraId="745ED3A6">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p>
        </w:tc>
        <w:tc>
          <w:tcPr>
            <w:tcW w:w="750" w:type="dxa"/>
            <w:noWrap w:val="0"/>
            <w:vAlign w:val="center"/>
          </w:tcPr>
          <w:p w14:paraId="196A65E9">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noWrap w:val="0"/>
            <w:vAlign w:val="center"/>
          </w:tcPr>
          <w:p w14:paraId="74EA9010">
            <w:pPr>
              <w:pageBreakBefore w:val="0"/>
              <w:widowControl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对于本项目</w:t>
            </w:r>
            <w:r>
              <w:rPr>
                <w:rFonts w:hint="eastAsia" w:ascii="宋体" w:hAnsi="宋体" w:eastAsia="宋体" w:cs="宋体"/>
                <w:sz w:val="24"/>
                <w:szCs w:val="24"/>
                <w:lang w:eastAsia="zh-CN"/>
              </w:rPr>
              <w:t>电动装载机</w:t>
            </w:r>
            <w:r>
              <w:rPr>
                <w:rFonts w:hint="eastAsia" w:ascii="宋体" w:hAnsi="宋体" w:eastAsia="宋体" w:cs="宋体"/>
                <w:sz w:val="24"/>
                <w:szCs w:val="24"/>
              </w:rPr>
              <w:t>的优化设计和建议是否详细明确、合理等情况进行打分，最高为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14:paraId="6F3E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15" w:type="dxa"/>
            <w:vMerge w:val="continue"/>
            <w:noWrap w:val="0"/>
            <w:vAlign w:val="center"/>
          </w:tcPr>
          <w:p w14:paraId="326E5CAD">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5F70D0A6">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noWrap w:val="0"/>
            <w:vAlign w:val="center"/>
          </w:tcPr>
          <w:p w14:paraId="564CD82A">
            <w:pPr>
              <w:pageBreakBefore w:val="0"/>
              <w:widowControl w:val="0"/>
              <w:kinsoku/>
              <w:wordWrap/>
              <w:overflowPunct/>
              <w:topLinePunct w:val="0"/>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投标货物制造的质量、安全保证措施是否具有针对性、科学合理酌情打分，最高分</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37C7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15" w:type="dxa"/>
            <w:vMerge w:val="continue"/>
            <w:noWrap w:val="0"/>
            <w:vAlign w:val="center"/>
          </w:tcPr>
          <w:p w14:paraId="2940D602">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4C7993D5">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125" w:type="dxa"/>
            <w:noWrap w:val="0"/>
            <w:vAlign w:val="center"/>
          </w:tcPr>
          <w:p w14:paraId="5168951C">
            <w:pPr>
              <w:pageBreakBefore w:val="0"/>
              <w:widowControl w:val="0"/>
              <w:kinsoku/>
              <w:wordWrap/>
              <w:overflowPunct/>
              <w:topLinePunct w:val="0"/>
              <w:bidi w:val="0"/>
              <w:snapToGrid/>
              <w:spacing w:line="240" w:lineRule="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lang w:val="en-US" w:eastAsia="zh-CN" w:bidi="ar-SA"/>
              </w:rPr>
              <w:t>根据投标人提供的</w:t>
            </w:r>
            <w:r>
              <w:rPr>
                <w:rFonts w:hint="eastAsia" w:ascii="宋体" w:hAnsi="宋体" w:eastAsia="宋体" w:cs="宋体"/>
                <w:sz w:val="24"/>
                <w:szCs w:val="24"/>
              </w:rPr>
              <w:t>组织实施方案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工期控制方案及保证措施</w:t>
            </w:r>
            <w:r>
              <w:rPr>
                <w:rFonts w:hint="eastAsia" w:ascii="宋体" w:hAnsi="宋体" w:eastAsia="宋体" w:cs="宋体"/>
                <w:b w:val="0"/>
                <w:bCs w:val="0"/>
                <w:color w:val="auto"/>
                <w:kern w:val="2"/>
                <w:sz w:val="24"/>
                <w:szCs w:val="24"/>
                <w:lang w:val="en-US" w:eastAsia="zh-CN" w:bidi="ar-SA"/>
              </w:rPr>
              <w:t>等情况，由评委综合打分，最高得4分。</w:t>
            </w:r>
          </w:p>
        </w:tc>
      </w:tr>
      <w:tr w14:paraId="7FF3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5" w:type="dxa"/>
            <w:vMerge w:val="continue"/>
            <w:noWrap w:val="0"/>
            <w:vAlign w:val="center"/>
          </w:tcPr>
          <w:p w14:paraId="549E26D0">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07EFB90A">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14:paraId="538E3C02">
            <w:pPr>
              <w:pageBreakBefore w:val="0"/>
              <w:widowControl w:val="0"/>
              <w:kinsoku/>
              <w:wordWrap/>
              <w:overflowPunct/>
              <w:topLinePunct w:val="0"/>
              <w:bidi w:val="0"/>
              <w:snapToGrid/>
              <w:spacing w:line="240" w:lineRule="auto"/>
              <w:rPr>
                <w:rFonts w:hint="eastAsia" w:ascii="宋体" w:hAnsi="宋体" w:eastAsia="宋体" w:cs="宋体"/>
                <w:sz w:val="24"/>
                <w:szCs w:val="24"/>
                <w:lang w:eastAsia="zh-CN"/>
              </w:rPr>
            </w:pPr>
            <w:r>
              <w:rPr>
                <w:rFonts w:hint="eastAsia" w:ascii="宋体" w:hAnsi="宋体" w:eastAsia="宋体" w:cs="宋体"/>
                <w:b w:val="0"/>
                <w:bCs w:val="0"/>
                <w:color w:val="auto"/>
                <w:kern w:val="2"/>
                <w:sz w:val="24"/>
                <w:szCs w:val="24"/>
                <w:lang w:val="en-US" w:eastAsia="zh-CN" w:bidi="ar-SA"/>
              </w:rPr>
              <w:t>根据投标人提供的</w:t>
            </w:r>
            <w:r>
              <w:rPr>
                <w:rFonts w:hint="eastAsia" w:ascii="宋体" w:hAnsi="宋体" w:eastAsia="宋体" w:cs="宋体"/>
                <w:sz w:val="24"/>
                <w:szCs w:val="24"/>
                <w:lang w:val="en-US" w:eastAsia="zh-CN"/>
              </w:rPr>
              <w:t>交货、安装、调试、验收的方案和措施</w:t>
            </w:r>
            <w:r>
              <w:rPr>
                <w:rFonts w:hint="eastAsia" w:ascii="宋体" w:hAnsi="宋体" w:eastAsia="宋体" w:cs="宋体"/>
                <w:b w:val="0"/>
                <w:bCs w:val="0"/>
                <w:color w:val="auto"/>
                <w:kern w:val="2"/>
                <w:sz w:val="24"/>
                <w:szCs w:val="24"/>
                <w:lang w:val="en-US" w:eastAsia="zh-CN" w:bidi="ar-SA"/>
              </w:rPr>
              <w:t>等情况，由评委综合打分，最高得5分。</w:t>
            </w:r>
          </w:p>
        </w:tc>
      </w:tr>
      <w:tr w14:paraId="5843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15" w:type="dxa"/>
            <w:vMerge w:val="continue"/>
            <w:noWrap w:val="0"/>
            <w:vAlign w:val="center"/>
          </w:tcPr>
          <w:p w14:paraId="4798AFFE">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3743B2ED">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14:paraId="7E9061A7">
            <w:pPr>
              <w:pStyle w:val="4"/>
              <w:keepNext/>
              <w:keepLines/>
              <w:pageBreakBefore w:val="0"/>
              <w:widowControl w:val="0"/>
              <w:numPr>
                <w:ilvl w:val="0"/>
                <w:numId w:val="0"/>
              </w:numPr>
              <w:tabs>
                <w:tab w:val="clear" w:pos="432"/>
              </w:tabs>
              <w:kinsoku/>
              <w:wordWrap/>
              <w:overflowPunct/>
              <w:topLinePunct w:val="0"/>
              <w:autoSpaceDE w:val="0"/>
              <w:autoSpaceDN w:val="0"/>
              <w:bidi w:val="0"/>
              <w:adjustRightInd w:val="0"/>
              <w:snapToGrid/>
              <w:spacing w:before="0" w:after="0" w:line="240" w:lineRule="auto"/>
              <w:ind w:leftChars="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根据投标人提供的售后服务承诺，服务响应时间等情况，由评委综合打分，最高得5分。</w:t>
            </w:r>
          </w:p>
        </w:tc>
      </w:tr>
      <w:tr w14:paraId="2EFE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5" w:type="dxa"/>
            <w:vMerge w:val="continue"/>
            <w:noWrap w:val="0"/>
            <w:vAlign w:val="center"/>
          </w:tcPr>
          <w:p w14:paraId="653A82E4">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1B827A77">
            <w:pPr>
              <w:pageBreakBefore w:val="0"/>
              <w:widowControl w:val="0"/>
              <w:kinsoku/>
              <w:wordWrap/>
              <w:overflowPunct/>
              <w:topLinePunct w:val="0"/>
              <w:bidi w:val="0"/>
              <w:snapToGrid/>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7125" w:type="dxa"/>
            <w:noWrap w:val="0"/>
            <w:vAlign w:val="center"/>
          </w:tcPr>
          <w:p w14:paraId="3733EA6A">
            <w:pPr>
              <w:pStyle w:val="4"/>
              <w:keepNext/>
              <w:keepLines/>
              <w:pageBreakBefore w:val="0"/>
              <w:widowControl w:val="0"/>
              <w:numPr>
                <w:ilvl w:val="0"/>
                <w:numId w:val="0"/>
              </w:numPr>
              <w:tabs>
                <w:tab w:val="clear" w:pos="432"/>
              </w:tabs>
              <w:kinsoku/>
              <w:wordWrap/>
              <w:overflowPunct/>
              <w:topLinePunct w:val="0"/>
              <w:autoSpaceDE w:val="0"/>
              <w:autoSpaceDN w:val="0"/>
              <w:bidi w:val="0"/>
              <w:adjustRightInd w:val="0"/>
              <w:snapToGrid/>
              <w:spacing w:before="0" w:after="0" w:line="240" w:lineRule="auto"/>
              <w:ind w:leftChars="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整机质保期每延长一年增加1分（3年不得分），最高得3分。</w:t>
            </w:r>
          </w:p>
        </w:tc>
      </w:tr>
      <w:tr w14:paraId="5442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5" w:type="dxa"/>
            <w:vMerge w:val="continue"/>
            <w:noWrap w:val="0"/>
            <w:vAlign w:val="center"/>
          </w:tcPr>
          <w:p w14:paraId="188AEE3E">
            <w:pPr>
              <w:pageBreakBefore w:val="0"/>
              <w:widowControl w:val="0"/>
              <w:kinsoku/>
              <w:wordWrap/>
              <w:overflowPunct/>
              <w:topLinePunct w:val="0"/>
              <w:bidi w:val="0"/>
              <w:snapToGrid/>
              <w:spacing w:line="240" w:lineRule="auto"/>
              <w:ind w:firstLine="480" w:firstLineChars="200"/>
              <w:jc w:val="center"/>
              <w:rPr>
                <w:rFonts w:hint="eastAsia" w:ascii="宋体" w:hAnsi="宋体" w:eastAsia="宋体" w:cs="宋体"/>
                <w:sz w:val="24"/>
                <w:szCs w:val="24"/>
              </w:rPr>
            </w:pPr>
          </w:p>
        </w:tc>
        <w:tc>
          <w:tcPr>
            <w:tcW w:w="750" w:type="dxa"/>
            <w:noWrap w:val="0"/>
            <w:vAlign w:val="center"/>
          </w:tcPr>
          <w:p w14:paraId="30CDF198">
            <w:pPr>
              <w:pageBreakBefore w:val="0"/>
              <w:widowControl w:val="0"/>
              <w:kinsoku/>
              <w:wordWrap/>
              <w:overflowPunct/>
              <w:topLinePunct w:val="0"/>
              <w:bidi w:val="0"/>
              <w:snapToGrid/>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7125" w:type="dxa"/>
            <w:noWrap w:val="0"/>
            <w:vAlign w:val="center"/>
          </w:tcPr>
          <w:p w14:paraId="616DD7D2">
            <w:pPr>
              <w:pStyle w:val="4"/>
              <w:keepNext/>
              <w:keepLines/>
              <w:pageBreakBefore w:val="0"/>
              <w:widowControl w:val="0"/>
              <w:numPr>
                <w:ilvl w:val="0"/>
                <w:numId w:val="0"/>
              </w:numPr>
              <w:tabs>
                <w:tab w:val="clear" w:pos="432"/>
              </w:tabs>
              <w:kinsoku/>
              <w:wordWrap/>
              <w:overflowPunct/>
              <w:topLinePunct w:val="0"/>
              <w:autoSpaceDE w:val="0"/>
              <w:autoSpaceDN w:val="0"/>
              <w:bidi w:val="0"/>
              <w:adjustRightInd w:val="0"/>
              <w:snapToGrid/>
              <w:spacing w:before="0" w:after="0" w:line="240" w:lineRule="auto"/>
              <w:ind w:leftChars="0"/>
              <w:textAlignment w:val="baseline"/>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除常规随机配置的全套工具、易损零配件外，每提供一类备品备件可得1分，本项最高得分5分。</w:t>
            </w:r>
          </w:p>
        </w:tc>
      </w:tr>
      <w:tr w14:paraId="2D8B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15" w:type="dxa"/>
            <w:vMerge w:val="restart"/>
            <w:noWrap w:val="0"/>
            <w:vAlign w:val="center"/>
          </w:tcPr>
          <w:p w14:paraId="2694D63A">
            <w:pPr>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资信</w:t>
            </w:r>
            <w:r>
              <w:rPr>
                <w:rFonts w:hint="eastAsia" w:ascii="宋体" w:hAnsi="宋体" w:eastAsia="宋体" w:cs="宋体"/>
                <w:sz w:val="24"/>
                <w:szCs w:val="24"/>
              </w:rPr>
              <w:t>分</w:t>
            </w:r>
          </w:p>
          <w:p w14:paraId="519D83D4">
            <w:pPr>
              <w:pageBreakBefore w:val="0"/>
              <w:widowControl w:val="0"/>
              <w:kinsoku/>
              <w:wordWrap/>
              <w:overflowPunct/>
              <w:topLinePunct w:val="0"/>
              <w:bidi w:val="0"/>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750" w:type="dxa"/>
            <w:noWrap w:val="0"/>
            <w:vAlign w:val="center"/>
          </w:tcPr>
          <w:p w14:paraId="46AF7D52">
            <w:pPr>
              <w:pageBreakBefore w:val="0"/>
              <w:widowControl w:val="0"/>
              <w:kinsoku/>
              <w:wordWrap/>
              <w:overflowPunct/>
              <w:topLinePunct w:val="0"/>
              <w:bidi w:val="0"/>
              <w:snapToGri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7125" w:type="dxa"/>
            <w:noWrap w:val="0"/>
            <w:vAlign w:val="center"/>
          </w:tcPr>
          <w:p w14:paraId="46B230A9">
            <w:pPr>
              <w:pageBreakBefore w:val="0"/>
              <w:widowControl w:val="0"/>
              <w:kinsoku/>
              <w:wordWrap/>
              <w:overflowPunct/>
              <w:topLinePunct w:val="0"/>
              <w:bidi w:val="0"/>
              <w:snapToGrid/>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月1日以来投标人累计完成过的业绩：</w:t>
            </w:r>
            <w:r>
              <w:rPr>
                <w:rFonts w:hint="eastAsia" w:ascii="宋体" w:hAnsi="宋体" w:eastAsia="宋体" w:cs="宋体"/>
                <w:sz w:val="24"/>
                <w:szCs w:val="24"/>
                <w:highlight w:val="none"/>
                <w:lang w:val="en-US" w:eastAsia="zh-CN"/>
              </w:rPr>
              <w:t>每提供一份电动装载机</w:t>
            </w: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val="en-US" w:eastAsia="zh-CN"/>
              </w:rPr>
              <w:t>业绩的得1分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最高</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业绩证明材料：同时提供合同和验收报告复印件，时间以验收时间为准。以上业绩证明材料缺一不可，否则业绩不予认可</w:t>
            </w:r>
            <w:r>
              <w:rPr>
                <w:rFonts w:hint="eastAsia" w:ascii="宋体" w:hAnsi="宋体" w:eastAsia="宋体" w:cs="宋体"/>
                <w:b/>
                <w:bCs/>
                <w:sz w:val="24"/>
                <w:szCs w:val="24"/>
                <w:highlight w:val="none"/>
                <w:lang w:eastAsia="zh-CN"/>
              </w:rPr>
              <w:t>）</w:t>
            </w:r>
          </w:p>
        </w:tc>
      </w:tr>
      <w:tr w14:paraId="2CDD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15" w:type="dxa"/>
            <w:vMerge w:val="continue"/>
            <w:noWrap w:val="0"/>
            <w:vAlign w:val="center"/>
          </w:tcPr>
          <w:p w14:paraId="347EFC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750" w:type="dxa"/>
            <w:noWrap w:val="0"/>
            <w:vAlign w:val="center"/>
          </w:tcPr>
          <w:p w14:paraId="33C2629C">
            <w:pPr>
              <w:pageBreakBefore w:val="0"/>
              <w:widowControl w:val="0"/>
              <w:kinsoku/>
              <w:wordWrap/>
              <w:overflowPunct/>
              <w:topLinePunct w:val="0"/>
              <w:bidi w:val="0"/>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25" w:type="dxa"/>
            <w:noWrap w:val="0"/>
            <w:vAlign w:val="center"/>
          </w:tcPr>
          <w:p w14:paraId="737B71D1">
            <w:pPr>
              <w:pageBreakBefore w:val="0"/>
              <w:widowControl w:val="0"/>
              <w:kinsoku/>
              <w:wordWrap/>
              <w:overflowPunct/>
              <w:topLinePunct w:val="0"/>
              <w:bidi w:val="0"/>
              <w:snapToGrid/>
              <w:spacing w:line="240" w:lineRule="auto"/>
              <w:rPr>
                <w:rFonts w:hint="eastAsia" w:ascii="宋体" w:hAnsi="宋体" w:eastAsia="宋体" w:cs="宋体"/>
                <w:sz w:val="24"/>
                <w:szCs w:val="24"/>
                <w:highlight w:val="none"/>
                <w:lang w:val="en-US"/>
              </w:rPr>
            </w:pPr>
            <w:r>
              <w:rPr>
                <w:rFonts w:hint="eastAsia" w:ascii="宋体" w:hAnsi="宋体" w:eastAsia="宋体" w:cs="宋体"/>
                <w:color w:val="auto"/>
                <w:sz w:val="24"/>
                <w:szCs w:val="24"/>
                <w:highlight w:val="none"/>
                <w:lang w:val="en-US" w:eastAsia="zh-CN"/>
              </w:rPr>
              <w:t>投标人具有质量管理体系证书、环境管理体系证书、职业健康安全管理体系证书</w:t>
            </w:r>
            <w:r>
              <w:rPr>
                <w:rFonts w:hint="eastAsia" w:ascii="宋体" w:hAnsi="宋体" w:eastAsia="宋体" w:cs="宋体"/>
                <w:b w:val="0"/>
                <w:bCs w:val="0"/>
                <w:sz w:val="24"/>
                <w:szCs w:val="24"/>
                <w:lang w:val="en-US" w:eastAsia="zh-CN"/>
              </w:rPr>
              <w:t>的，每个得1分，最高3分。</w:t>
            </w:r>
            <w:r>
              <w:rPr>
                <w:rFonts w:hint="eastAsia" w:ascii="宋体" w:hAnsi="宋体" w:eastAsia="宋体" w:cs="宋体"/>
                <w:b/>
                <w:bCs/>
                <w:sz w:val="24"/>
                <w:szCs w:val="24"/>
                <w:lang w:val="en-US" w:eastAsia="zh-CN"/>
              </w:rPr>
              <w:t>（以上须提供有效相关证书复印件并加盖公章）</w:t>
            </w:r>
          </w:p>
        </w:tc>
      </w:tr>
      <w:tr w14:paraId="1D4A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15" w:type="dxa"/>
            <w:vMerge w:val="continue"/>
            <w:noWrap w:val="0"/>
            <w:vAlign w:val="center"/>
          </w:tcPr>
          <w:p w14:paraId="0317AA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p>
        </w:tc>
        <w:tc>
          <w:tcPr>
            <w:tcW w:w="750" w:type="dxa"/>
            <w:noWrap w:val="0"/>
            <w:vAlign w:val="center"/>
          </w:tcPr>
          <w:p w14:paraId="48AD2D2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125" w:type="dxa"/>
            <w:noWrap w:val="0"/>
            <w:vAlign w:val="center"/>
          </w:tcPr>
          <w:p w14:paraId="1D16BC1B">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投标书按招标文件规定的格式、顺序编制，有目录、编页码，装订成册，书面整洁无涂改，没有缺漏项，价格数量等计算准确的，计2分，不符合要求的，每处扣0.5分，扣完为止。</w:t>
            </w:r>
          </w:p>
        </w:tc>
      </w:tr>
    </w:tbl>
    <w:p w14:paraId="0BC05E55">
      <w:pPr>
        <w:rPr>
          <w:rFonts w:hint="eastAsia" w:ascii="宋体" w:hAnsi="宋体" w:eastAsia="宋体" w:cs="宋体"/>
          <w:color w:val="auto"/>
          <w:highlight w:val="none"/>
        </w:rPr>
      </w:pPr>
    </w:p>
    <w:p w14:paraId="5341D43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部分）时，建议按此目录（序号和内容）提供评标标准相应的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 </w:t>
      </w:r>
    </w:p>
    <w:p w14:paraId="59D6C98C">
      <w:pPr>
        <w:keepNext w:val="0"/>
        <w:keepLines w:val="0"/>
        <w:pageBreakBefore w:val="0"/>
        <w:kinsoku/>
        <w:wordWrap/>
        <w:overflowPunct/>
        <w:topLinePunct w:val="0"/>
        <w:autoSpaceDE/>
        <w:autoSpaceDN/>
        <w:bidi w:val="0"/>
        <w:snapToGrid w:val="0"/>
        <w:spacing w:line="60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14:paraId="445EB3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23F870E">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sz w:val="30"/>
          <w:szCs w:val="30"/>
          <w:highlight w:val="none"/>
        </w:rPr>
        <w:t>二、评标标准</w:t>
      </w:r>
    </w:p>
    <w:p w14:paraId="52CD0758">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F2ECF3F">
      <w:pPr>
        <w:keepNext w:val="0"/>
        <w:keepLines w:val="0"/>
        <w:pageBreakBefore w:val="0"/>
        <w:kinsoku/>
        <w:wordWrap/>
        <w:overflowPunct/>
        <w:topLinePunct w:val="0"/>
        <w:autoSpaceDE/>
        <w:autoSpaceDN/>
        <w:bidi w:val="0"/>
        <w:spacing w:line="600" w:lineRule="exact"/>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三、评标程序</w:t>
      </w:r>
    </w:p>
    <w:p w14:paraId="3685AFD5">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9A52C1">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3ED0706">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w:t>
      </w:r>
      <w:r>
        <w:rPr>
          <w:rFonts w:hint="eastAsia" w:ascii="宋体" w:hAnsi="宋体" w:eastAsia="宋体" w:cs="宋体"/>
          <w:b/>
          <w:color w:val="auto"/>
          <w:kern w:val="0"/>
          <w:sz w:val="24"/>
          <w:highlight w:val="none"/>
          <w:lang w:eastAsia="zh-CN"/>
        </w:rPr>
        <w:t>资信技术</w:t>
      </w:r>
      <w:r>
        <w:rPr>
          <w:rFonts w:hint="eastAsia" w:ascii="宋体" w:hAnsi="宋体" w:eastAsia="宋体" w:cs="宋体"/>
          <w:b/>
          <w:color w:val="auto"/>
          <w:kern w:val="0"/>
          <w:sz w:val="24"/>
          <w:highlight w:val="none"/>
        </w:rPr>
        <w:t>得分。</w:t>
      </w:r>
      <w:r>
        <w:rPr>
          <w:rFonts w:hint="eastAsia" w:ascii="宋体" w:hAnsi="宋体" w:eastAsia="宋体" w:cs="宋体"/>
          <w:color w:val="auto"/>
          <w:kern w:val="0"/>
          <w:sz w:val="24"/>
          <w:highlight w:val="none"/>
        </w:rPr>
        <w:t>评标委员会各成员应当独立对每个投标人的商务和技术文件进行评价，并汇总</w:t>
      </w:r>
      <w:r>
        <w:rPr>
          <w:rFonts w:hint="eastAsia" w:ascii="宋体" w:hAnsi="宋体" w:eastAsia="宋体" w:cs="宋体"/>
          <w:color w:val="auto"/>
          <w:kern w:val="0"/>
          <w:sz w:val="24"/>
          <w:highlight w:val="none"/>
          <w:lang w:eastAsia="zh-CN"/>
        </w:rPr>
        <w:t>资信技术</w:t>
      </w:r>
      <w:r>
        <w:rPr>
          <w:rFonts w:hint="eastAsia" w:ascii="宋体" w:hAnsi="宋体" w:eastAsia="宋体" w:cs="宋体"/>
          <w:color w:val="auto"/>
          <w:kern w:val="0"/>
          <w:sz w:val="24"/>
          <w:highlight w:val="none"/>
        </w:rPr>
        <w:t>得分情况。</w:t>
      </w:r>
    </w:p>
    <w:p w14:paraId="1BCDB271">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0C55BBB">
      <w:pPr>
        <w:pStyle w:val="130"/>
        <w:keepNext w:val="0"/>
        <w:keepLines w:val="0"/>
        <w:pageBreakBefore w:val="0"/>
        <w:widowControl w:val="0"/>
        <w:kinsoku/>
        <w:wordWrap/>
        <w:overflowPunct/>
        <w:topLinePunct w:val="0"/>
        <w:autoSpaceDE/>
        <w:autoSpaceDN/>
        <w:bidi w:val="0"/>
        <w:adjustRightInd w:val="0"/>
        <w:spacing w:before="0" w:line="44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5C04C9F">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D4A5A25">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8A92B48">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5F22D86">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4AF8FF7">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C34A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00E95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94DF672">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97B016">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2DC70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62AC7C">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5EE7A1">
      <w:pPr>
        <w:keepNext w:val="0"/>
        <w:keepLines w:val="0"/>
        <w:pageBreakBefore w:val="0"/>
        <w:widowControl/>
        <w:shd w:val="clear" w:color="auto" w:fill="FFFFFF"/>
        <w:kinsoku/>
        <w:wordWrap/>
        <w:overflowPunct/>
        <w:topLinePunct w:val="0"/>
        <w:autoSpaceDE/>
        <w:autoSpaceDN/>
        <w:bidi w:val="0"/>
        <w:adjustRightInd/>
        <w:spacing w:line="600" w:lineRule="exact"/>
        <w:jc w:val="lef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四、评标中的其他事项</w:t>
      </w:r>
    </w:p>
    <w:p w14:paraId="69C514EA">
      <w:pPr>
        <w:pStyle w:val="130"/>
        <w:pageBreakBefore w:val="0"/>
        <w:widowControl w:val="0"/>
        <w:kinsoku/>
        <w:wordWrap/>
        <w:overflowPunct/>
        <w:topLinePunct w:val="0"/>
        <w:autoSpaceDE/>
        <w:autoSpaceDN/>
        <w:bidi w:val="0"/>
        <w:spacing w:before="0" w:line="44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8BCE38">
      <w:pPr>
        <w:pStyle w:val="18"/>
        <w:pageBreakBefore w:val="0"/>
        <w:widowControl w:val="0"/>
        <w:kinsoku/>
        <w:wordWrap/>
        <w:overflowPunct/>
        <w:topLinePunct w:val="0"/>
        <w:autoSpaceDE/>
        <w:autoSpaceDN/>
        <w:bidi w:val="0"/>
        <w:spacing w:line="44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0CA452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2D26A1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FBFF41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3D1E436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投标文件中承诺的投标有效期少于招标文件中载明的投标有效期的；</w:t>
      </w:r>
    </w:p>
    <w:p w14:paraId="3E22176D">
      <w:pPr>
        <w:pageBreakBefore w:val="0"/>
        <w:widowControl w:val="0"/>
        <w:kinsoku/>
        <w:wordWrap/>
        <w:overflowPunct/>
        <w:topLinePunct w:val="0"/>
        <w:autoSpaceDE/>
        <w:autoSpaceDN/>
        <w:bidi w:val="0"/>
        <w:snapToGrid w:val="0"/>
        <w:spacing w:line="44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投标文件出现不是唯一的、有选择性投标报价的</w:t>
      </w:r>
      <w:r>
        <w:rPr>
          <w:rFonts w:hint="eastAsia" w:ascii="宋体" w:hAnsi="宋体" w:eastAsia="宋体" w:cs="宋体"/>
          <w:color w:val="auto"/>
          <w:kern w:val="0"/>
          <w:sz w:val="24"/>
          <w:highlight w:val="none"/>
          <w:lang w:eastAsia="zh-CN"/>
        </w:rPr>
        <w:t>；</w:t>
      </w:r>
    </w:p>
    <w:p w14:paraId="402816E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投标报价超过招标文件中规定的预算金额或者最高限价的</w:t>
      </w:r>
      <w:r>
        <w:rPr>
          <w:rFonts w:hint="eastAsia" w:ascii="宋体" w:hAnsi="宋体" w:eastAsia="宋体" w:cs="宋体"/>
          <w:color w:val="auto"/>
          <w:kern w:val="0"/>
          <w:sz w:val="24"/>
          <w:highlight w:val="none"/>
          <w:lang w:eastAsia="zh-CN"/>
        </w:rPr>
        <w:t>；</w:t>
      </w:r>
    </w:p>
    <w:p w14:paraId="3F49D132">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bCs/>
          <w:color w:val="auto"/>
          <w:kern w:val="0"/>
          <w:sz w:val="24"/>
          <w:highlight w:val="none"/>
        </w:rPr>
        <w:t>该项目设有招标风险控制价，</w:t>
      </w:r>
      <w:r>
        <w:rPr>
          <w:rFonts w:hint="eastAsia" w:ascii="宋体" w:hAnsi="宋体" w:eastAsia="宋体" w:cs="宋体"/>
          <w:b/>
          <w:bCs/>
          <w:color w:val="auto"/>
          <w:kern w:val="0"/>
          <w:sz w:val="24"/>
          <w:highlight w:val="none"/>
          <w:lang w:val="en-US" w:eastAsia="zh-CN"/>
        </w:rPr>
        <w:t>低</w:t>
      </w:r>
      <w:r>
        <w:rPr>
          <w:rFonts w:hint="eastAsia" w:ascii="宋体" w:hAnsi="宋体" w:eastAsia="宋体" w:cs="宋体"/>
          <w:b/>
          <w:bCs/>
          <w:color w:val="auto"/>
          <w:kern w:val="0"/>
          <w:sz w:val="24"/>
          <w:highlight w:val="none"/>
        </w:rPr>
        <w:t>于报价文件满足招标文件全部实质性要求的供应商平均报价的85%作无效投标处理</w:t>
      </w:r>
      <w:r>
        <w:rPr>
          <w:rFonts w:hint="eastAsia" w:ascii="宋体" w:hAnsi="宋体" w:eastAsia="宋体" w:cs="宋体"/>
          <w:b/>
          <w:bCs/>
          <w:color w:val="auto"/>
          <w:kern w:val="0"/>
          <w:sz w:val="24"/>
          <w:highlight w:val="none"/>
          <w:lang w:eastAsia="zh-CN"/>
        </w:rPr>
        <w:t>；</w:t>
      </w:r>
    </w:p>
    <w:p w14:paraId="22384F1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08A5B3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7DEEB39F">
      <w:pPr>
        <w:pageBreakBefore w:val="0"/>
        <w:widowControl w:val="0"/>
        <w:kinsoku/>
        <w:wordWrap/>
        <w:overflowPunct/>
        <w:topLinePunct w:val="0"/>
        <w:autoSpaceDE/>
        <w:autoSpaceDN/>
        <w:bidi w:val="0"/>
        <w:spacing w:line="44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3543250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投标人仅提交备份投标文件，未在电子交易平台传输递交投标文件的，投标无效；</w:t>
      </w:r>
    </w:p>
    <w:p w14:paraId="0B80DBA1">
      <w:pPr>
        <w:pStyle w:val="5"/>
        <w:pageBreakBefore w:val="0"/>
        <w:widowControl w:val="0"/>
        <w:kinsoku/>
        <w:wordWrap/>
        <w:overflowPunct/>
        <w:topLinePunct w:val="0"/>
        <w:autoSpaceDE/>
        <w:autoSpaceDN/>
        <w:bidi w:val="0"/>
        <w:spacing w:line="44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A543F9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1735F2B">
      <w:pPr>
        <w:pStyle w:val="18"/>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80E582">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9A9606D">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A468A14">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8EEE83A">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14B8F84">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67632764">
      <w:pPr>
        <w:pStyle w:val="18"/>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38C3F8ED">
      <w:pPr>
        <w:pStyle w:val="18"/>
        <w:pageBreakBefore w:val="0"/>
        <w:widowControl w:val="0"/>
        <w:kinsoku/>
        <w:wordWrap/>
        <w:overflowPunct/>
        <w:topLinePunct w:val="0"/>
        <w:autoSpaceDE/>
        <w:autoSpaceDN/>
        <w:bidi w:val="0"/>
        <w:snapToGrid w:val="0"/>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1901610">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1A875287">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76314E06">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7.3采购合同已签订但尚未履行的，撤销合同，从合格的中标候选人中另行确定中标供应商；没有合格的中标候选人的，重新开展采购活动。</w:t>
      </w:r>
    </w:p>
    <w:p w14:paraId="3A3A0F6E">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41F60AF9">
      <w:pPr>
        <w:pStyle w:val="18"/>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p>
    <w:bookmarkEnd w:id="25"/>
    <w:p w14:paraId="16E4D28D">
      <w:pPr>
        <w:spacing w:line="360" w:lineRule="auto"/>
        <w:jc w:val="center"/>
        <w:outlineLvl w:val="0"/>
        <w:rPr>
          <w:rFonts w:hint="eastAsia" w:ascii="宋体" w:hAnsi="宋体" w:eastAsia="宋体" w:cs="宋体"/>
          <w:b/>
          <w:color w:val="auto"/>
          <w:sz w:val="36"/>
          <w:szCs w:val="36"/>
          <w:highlight w:val="none"/>
        </w:rPr>
      </w:pPr>
      <w:bookmarkStart w:id="391" w:name="第五部分"/>
      <w:bookmarkStart w:id="392" w:name="_Toc86217003"/>
      <w:r>
        <w:rPr>
          <w:rFonts w:hint="eastAsia" w:ascii="宋体" w:hAnsi="宋体" w:eastAsia="宋体" w:cs="宋体"/>
          <w:b/>
          <w:color w:val="auto"/>
          <w:sz w:val="36"/>
          <w:szCs w:val="36"/>
          <w:highlight w:val="none"/>
        </w:rPr>
        <w:t>第五部分 拟签订的合同文本</w:t>
      </w:r>
    </w:p>
    <w:p w14:paraId="1C5B736C">
      <w:pPr>
        <w:pStyle w:val="33"/>
        <w:widowControl/>
        <w:overflowPunct w:val="0"/>
        <w:autoSpaceDE w:val="0"/>
        <w:autoSpaceDN w:val="0"/>
        <w:adjustRightInd w:val="0"/>
        <w:snapToGrid w:val="0"/>
        <w:spacing w:line="336" w:lineRule="auto"/>
        <w:jc w:val="center"/>
        <w:textAlignment w:val="baselin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（本合同为合同样稿，最终稿由双方协商后确定）</w:t>
      </w:r>
    </w:p>
    <w:p w14:paraId="3C8A5514">
      <w:pPr>
        <w:pStyle w:val="968"/>
        <w:keepNext w:val="0"/>
        <w:keepLines w:val="0"/>
        <w:pageBreakBefore w:val="0"/>
        <w:kinsoku/>
        <w:wordWrap/>
        <w:topLinePunct w:val="0"/>
        <w:bidi w:val="0"/>
        <w:spacing w:line="440" w:lineRule="exact"/>
        <w:ind w:firstLine="240"/>
        <w:jc w:val="center"/>
        <w:rPr>
          <w:rFonts w:hint="eastAsia" w:ascii="宋体" w:hAnsi="宋体" w:eastAsia="宋体" w:cs="宋体"/>
          <w:color w:val="auto"/>
          <w:sz w:val="24"/>
          <w:szCs w:val="24"/>
          <w:highlight w:val="none"/>
          <w:vertAlign w:val="superscript"/>
        </w:rPr>
      </w:pPr>
      <w:r>
        <w:rPr>
          <w:rFonts w:hint="eastAsia" w:ascii="宋体" w:hAnsi="宋体" w:eastAsia="宋体" w:cs="宋体"/>
          <w:color w:val="auto"/>
          <w:sz w:val="24"/>
          <w:szCs w:val="24"/>
          <w:highlight w:val="none"/>
          <w:u w:val="single"/>
        </w:rPr>
        <w:t>（货物名称）</w:t>
      </w:r>
      <w:r>
        <w:rPr>
          <w:rFonts w:hint="eastAsia" w:ascii="宋体" w:hAnsi="宋体" w:eastAsia="宋体" w:cs="宋体"/>
          <w:color w:val="auto"/>
          <w:sz w:val="24"/>
          <w:szCs w:val="24"/>
          <w:highlight w:val="none"/>
        </w:rPr>
        <w:t>采购供货合同</w:t>
      </w:r>
    </w:p>
    <w:p w14:paraId="610AB78C">
      <w:pPr>
        <w:pStyle w:val="968"/>
        <w:keepNext w:val="0"/>
        <w:keepLines w:val="0"/>
        <w:pageBreakBefore w:val="0"/>
        <w:kinsoku/>
        <w:wordWrap/>
        <w:topLinePunct w:val="0"/>
        <w:bidi w:val="0"/>
        <w:spacing w:line="44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CDC33F">
      <w:pPr>
        <w:pStyle w:val="33"/>
        <w:keepNext w:val="0"/>
        <w:keepLines w:val="0"/>
        <w:pageBreakBefore w:val="0"/>
        <w:kinsoku/>
        <w:wordWrap/>
        <w:topLinePunct w:val="0"/>
        <w:bidi w:val="0"/>
        <w:snapToGrid w:val="0"/>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  方（使用方）：建德市十里埠港发展有限公司</w:t>
      </w:r>
    </w:p>
    <w:p w14:paraId="35D29329">
      <w:pPr>
        <w:pStyle w:val="33"/>
        <w:keepNext w:val="0"/>
        <w:keepLines w:val="0"/>
        <w:pageBreakBefore w:val="0"/>
        <w:kinsoku/>
        <w:wordWrap/>
        <w:topLinePunct w:val="0"/>
        <w:bidi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  方（供应商）:</w:t>
      </w:r>
    </w:p>
    <w:p w14:paraId="3708EE13">
      <w:pPr>
        <w:pStyle w:val="33"/>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招标，确定乙方为</w:t>
      </w:r>
      <w:r>
        <w:rPr>
          <w:rFonts w:hint="eastAsia" w:ascii="宋体" w:hAnsi="宋体" w:eastAsia="宋体" w:cs="宋体"/>
          <w:color w:val="auto"/>
          <w:sz w:val="24"/>
          <w:szCs w:val="24"/>
          <w:highlight w:val="none"/>
          <w:lang w:eastAsia="zh-CN"/>
        </w:rPr>
        <w:t>建德市十里埠港发展有限公司2025年电动装载机采购项目</w:t>
      </w:r>
      <w:r>
        <w:rPr>
          <w:rFonts w:hint="eastAsia" w:ascii="宋体" w:hAnsi="宋体" w:eastAsia="宋体" w:cs="宋体"/>
          <w:color w:val="auto"/>
          <w:sz w:val="24"/>
          <w:szCs w:val="24"/>
          <w:highlight w:val="none"/>
        </w:rPr>
        <w:t>的中标供应商。按照招标文件（</w:t>
      </w:r>
      <w:r>
        <w:rPr>
          <w:rFonts w:hint="eastAsia" w:ascii="宋体" w:hAnsi="宋体" w:eastAsia="宋体" w:cs="宋体"/>
          <w:color w:val="auto"/>
          <w:sz w:val="24"/>
          <w:szCs w:val="24"/>
          <w:highlight w:val="none"/>
          <w:lang w:eastAsia="zh-CN"/>
        </w:rPr>
        <w:t>JT-XM-A-2025-0047</w:t>
      </w:r>
      <w:r>
        <w:rPr>
          <w:rFonts w:hint="eastAsia" w:ascii="宋体" w:hAnsi="宋体" w:eastAsia="宋体" w:cs="宋体"/>
          <w:color w:val="auto"/>
          <w:sz w:val="24"/>
          <w:szCs w:val="24"/>
          <w:highlight w:val="none"/>
        </w:rPr>
        <w:t>）和投标结果，为明确双方的权利和义务，经甲乙双方协商达成合同如下：</w:t>
      </w:r>
    </w:p>
    <w:p w14:paraId="331E44EA">
      <w:pPr>
        <w:pStyle w:val="33"/>
        <w:keepNext w:val="0"/>
        <w:keepLines w:val="0"/>
        <w:pageBreakBefore w:val="0"/>
        <w:widowControl/>
        <w:kinsoku/>
        <w:wordWrap/>
        <w:overflowPunct w:val="0"/>
        <w:topLinePunct w:val="0"/>
        <w:autoSpaceDE w:val="0"/>
        <w:autoSpaceDN w:val="0"/>
        <w:bidi w:val="0"/>
        <w:adjustRightInd w:val="0"/>
        <w:snapToGrid w:val="0"/>
        <w:spacing w:line="440" w:lineRule="exact"/>
        <w:ind w:firstLine="472" w:firstLineChars="196"/>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第一条：货物内容、数量、价款</w:t>
      </w:r>
    </w:p>
    <w:tbl>
      <w:tblPr>
        <w:tblStyle w:val="63"/>
        <w:tblW w:w="4884" w:type="pct"/>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375"/>
        <w:gridCol w:w="3637"/>
        <w:gridCol w:w="924"/>
        <w:gridCol w:w="980"/>
        <w:gridCol w:w="944"/>
        <w:gridCol w:w="1212"/>
      </w:tblGrid>
      <w:tr w14:paraId="7D3785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8" w:type="pct"/>
            <w:tcBorders>
              <w:top w:val="single" w:color="auto" w:sz="4" w:space="0"/>
              <w:left w:val="single" w:color="auto" w:sz="4" w:space="0"/>
              <w:bottom w:val="nil"/>
              <w:right w:val="single" w:color="auto" w:sz="4" w:space="0"/>
            </w:tcBorders>
            <w:noWrap w:val="0"/>
            <w:vAlign w:val="center"/>
          </w:tcPr>
          <w:p w14:paraId="64081B75">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004" w:type="pct"/>
            <w:tcBorders>
              <w:top w:val="single" w:color="auto" w:sz="4" w:space="0"/>
              <w:left w:val="single" w:color="auto" w:sz="4" w:space="0"/>
              <w:bottom w:val="nil"/>
              <w:right w:val="single" w:color="auto" w:sz="4" w:space="0"/>
            </w:tcBorders>
            <w:noWrap w:val="0"/>
            <w:vAlign w:val="center"/>
          </w:tcPr>
          <w:p w14:paraId="6B03E33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品名规格及配置、参数要求</w:t>
            </w:r>
          </w:p>
        </w:tc>
        <w:tc>
          <w:tcPr>
            <w:tcW w:w="509" w:type="pct"/>
            <w:tcBorders>
              <w:top w:val="single" w:color="auto" w:sz="4" w:space="0"/>
              <w:left w:val="single" w:color="auto" w:sz="4" w:space="0"/>
              <w:bottom w:val="nil"/>
              <w:right w:val="single" w:color="auto" w:sz="4" w:space="0"/>
            </w:tcBorders>
            <w:noWrap w:val="0"/>
            <w:vAlign w:val="center"/>
          </w:tcPr>
          <w:p w14:paraId="34689EC8">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38" w:type="pct"/>
            <w:tcBorders>
              <w:top w:val="single" w:color="auto" w:sz="4" w:space="0"/>
              <w:left w:val="single" w:color="auto" w:sz="4" w:space="0"/>
              <w:bottom w:val="nil"/>
              <w:right w:val="single" w:color="auto" w:sz="4" w:space="0"/>
            </w:tcBorders>
            <w:noWrap w:val="0"/>
            <w:vAlign w:val="center"/>
          </w:tcPr>
          <w:p w14:paraId="796CB099">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20" w:type="pct"/>
            <w:tcBorders>
              <w:top w:val="single" w:color="auto" w:sz="4" w:space="0"/>
              <w:left w:val="single" w:color="auto" w:sz="4" w:space="0"/>
              <w:bottom w:val="nil"/>
              <w:right w:val="single" w:color="auto" w:sz="4" w:space="0"/>
            </w:tcBorders>
            <w:noWrap w:val="0"/>
            <w:vAlign w:val="center"/>
          </w:tcPr>
          <w:p w14:paraId="34E5232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667" w:type="pct"/>
            <w:tcBorders>
              <w:top w:val="single" w:color="auto" w:sz="4" w:space="0"/>
              <w:left w:val="single" w:color="auto" w:sz="4" w:space="0"/>
              <w:bottom w:val="nil"/>
              <w:right w:val="single" w:color="auto" w:sz="4" w:space="0"/>
            </w:tcBorders>
            <w:noWrap w:val="0"/>
            <w:vAlign w:val="center"/>
          </w:tcPr>
          <w:p w14:paraId="12582D7C">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r>
      <w:tr w14:paraId="77E0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5DA6D058">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2004" w:type="pct"/>
            <w:noWrap w:val="0"/>
            <w:vAlign w:val="center"/>
          </w:tcPr>
          <w:p w14:paraId="2AF23771">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09" w:type="pct"/>
            <w:noWrap w:val="0"/>
            <w:vAlign w:val="center"/>
          </w:tcPr>
          <w:p w14:paraId="20629386">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38" w:type="pct"/>
            <w:noWrap w:val="0"/>
            <w:vAlign w:val="center"/>
          </w:tcPr>
          <w:p w14:paraId="53AAB147">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20" w:type="pct"/>
            <w:noWrap w:val="0"/>
            <w:vAlign w:val="center"/>
          </w:tcPr>
          <w:p w14:paraId="5E210A2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667" w:type="pct"/>
            <w:noWrap w:val="0"/>
            <w:vAlign w:val="center"/>
          </w:tcPr>
          <w:p w14:paraId="4DBEC2B6">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r>
      <w:tr w14:paraId="1CB2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514B8B52">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2004" w:type="pct"/>
            <w:noWrap w:val="0"/>
            <w:vAlign w:val="center"/>
          </w:tcPr>
          <w:p w14:paraId="2862BA55">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09" w:type="pct"/>
            <w:noWrap w:val="0"/>
            <w:vAlign w:val="center"/>
          </w:tcPr>
          <w:p w14:paraId="3DCC00D9">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38" w:type="pct"/>
            <w:noWrap w:val="0"/>
            <w:vAlign w:val="center"/>
          </w:tcPr>
          <w:p w14:paraId="039939EA">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20" w:type="pct"/>
            <w:noWrap w:val="0"/>
            <w:vAlign w:val="center"/>
          </w:tcPr>
          <w:p w14:paraId="1741F120">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667" w:type="pct"/>
            <w:noWrap w:val="0"/>
            <w:vAlign w:val="center"/>
          </w:tcPr>
          <w:p w14:paraId="4A5FC0E8">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r>
      <w:tr w14:paraId="5B0E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28308317">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2004" w:type="pct"/>
            <w:noWrap w:val="0"/>
            <w:vAlign w:val="center"/>
          </w:tcPr>
          <w:p w14:paraId="37771CA9">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09" w:type="pct"/>
            <w:noWrap w:val="0"/>
            <w:vAlign w:val="center"/>
          </w:tcPr>
          <w:p w14:paraId="6769FEC6">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38" w:type="pct"/>
            <w:noWrap w:val="0"/>
            <w:vAlign w:val="center"/>
          </w:tcPr>
          <w:p w14:paraId="39EAEC6F">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20" w:type="pct"/>
            <w:noWrap w:val="0"/>
            <w:vAlign w:val="center"/>
          </w:tcPr>
          <w:p w14:paraId="2B7C3CA5">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667" w:type="pct"/>
            <w:noWrap w:val="0"/>
            <w:vAlign w:val="center"/>
          </w:tcPr>
          <w:p w14:paraId="2EAB2D1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r>
      <w:tr w14:paraId="2143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21B69CBE">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04" w:type="pct"/>
            <w:noWrap w:val="0"/>
            <w:vAlign w:val="center"/>
          </w:tcPr>
          <w:p w14:paraId="23B7AC6A">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09" w:type="pct"/>
            <w:noWrap w:val="0"/>
            <w:vAlign w:val="center"/>
          </w:tcPr>
          <w:p w14:paraId="1F90F305">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38" w:type="pct"/>
            <w:noWrap w:val="0"/>
            <w:vAlign w:val="center"/>
          </w:tcPr>
          <w:p w14:paraId="2B7E75D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520" w:type="pct"/>
            <w:noWrap w:val="0"/>
            <w:vAlign w:val="center"/>
          </w:tcPr>
          <w:p w14:paraId="701DBFB9">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c>
          <w:tcPr>
            <w:tcW w:w="667" w:type="pct"/>
            <w:noWrap w:val="0"/>
            <w:vAlign w:val="center"/>
          </w:tcPr>
          <w:p w14:paraId="4F0B3C58">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p>
        </w:tc>
      </w:tr>
      <w:tr w14:paraId="3B5E29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811" w:type="pct"/>
            <w:gridSpan w:val="4"/>
            <w:tcBorders>
              <w:top w:val="single" w:color="auto" w:sz="4" w:space="0"/>
              <w:left w:val="single" w:color="auto" w:sz="4" w:space="0"/>
              <w:bottom w:val="single" w:color="auto" w:sz="4" w:space="0"/>
              <w:right w:val="single" w:color="auto" w:sz="4" w:space="0"/>
            </w:tcBorders>
            <w:noWrap w:val="0"/>
            <w:vAlign w:val="center"/>
          </w:tcPr>
          <w:p w14:paraId="3F7BDD2C">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合同总价(人民币大写)：     整</w:t>
            </w: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14:paraId="12EC38F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元</w:t>
            </w:r>
          </w:p>
        </w:tc>
      </w:tr>
    </w:tbl>
    <w:p w14:paraId="4B1A0A4B">
      <w:pPr>
        <w:keepNext w:val="0"/>
        <w:keepLines w:val="0"/>
        <w:pageBreakBefore w:val="0"/>
        <w:widowControl w:val="0"/>
        <w:tabs>
          <w:tab w:val="left" w:pos="5500"/>
        </w:tabs>
        <w:kinsoku/>
        <w:wordWrap/>
        <w:overflowPunct/>
        <w:topLinePunct w:val="0"/>
        <w:autoSpaceDE w:val="0"/>
        <w:autoSpaceDN/>
        <w:bidi w:val="0"/>
        <w:adjustRightInd w:val="0"/>
        <w:snapToGrid/>
        <w:spacing w:line="240" w:lineRule="auto"/>
        <w:ind w:firstLine="420"/>
        <w:jc w:val="left"/>
        <w:textAlignment w:val="auto"/>
        <w:rPr>
          <w:rFonts w:hint="eastAsia"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b/>
          <w:bCs/>
          <w:color w:val="auto"/>
          <w:kern w:val="0"/>
          <w:sz w:val="21"/>
          <w:szCs w:val="21"/>
          <w:highlight w:val="none"/>
          <w:shd w:val="clear" w:color="auto" w:fill="FFFFFF"/>
          <w:lang w:val="en-US" w:eastAsia="zh-CN"/>
        </w:rPr>
        <w:t>注：本项目为交钥匙工程，以上金额包括设备的设计、制作、供货、包装、装卸运输、安装调试、备品备件、专用工具、保险、培训、税金、验收、辅助工作及售后服务等完成该项目的所有费用。</w:t>
      </w:r>
    </w:p>
    <w:p w14:paraId="7B57CD4C">
      <w:pPr>
        <w:keepNext w:val="0"/>
        <w:keepLines w:val="0"/>
        <w:pageBreakBefore w:val="0"/>
        <w:tabs>
          <w:tab w:val="left" w:pos="5500"/>
        </w:tabs>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第二条：</w:t>
      </w:r>
      <w:r>
        <w:rPr>
          <w:rFonts w:hint="eastAsia" w:ascii="宋体" w:hAnsi="宋体" w:eastAsia="宋体" w:cs="宋体"/>
          <w:b/>
          <w:color w:val="auto"/>
          <w:kern w:val="0"/>
          <w:sz w:val="24"/>
          <w:szCs w:val="24"/>
          <w:highlight w:val="none"/>
          <w:lang w:val="en-US" w:eastAsia="zh-CN"/>
        </w:rPr>
        <w:t>总体要求</w:t>
      </w:r>
    </w:p>
    <w:p w14:paraId="47431879">
      <w:pPr>
        <w:keepNext w:val="0"/>
        <w:keepLines w:val="0"/>
        <w:pageBreakBefore w:val="0"/>
        <w:tabs>
          <w:tab w:val="left" w:pos="5500"/>
        </w:tabs>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1、必须符合招标文件(包括补充更正，如有)的技术要求和配置；必须是国内外相应制造厂商生产并提供的原装合格正品；必须是202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年7月1日以后生产的、符合国家质量技术标准的设备。</w:t>
      </w:r>
    </w:p>
    <w:p w14:paraId="2E0127F0">
      <w:pPr>
        <w:keepNext w:val="0"/>
        <w:keepLines w:val="0"/>
        <w:pageBreakBefore w:val="0"/>
        <w:tabs>
          <w:tab w:val="left" w:pos="5500"/>
        </w:tabs>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2、售后服务按国家市场监督管理总局和国家其他有关规定执行，国家没有规定的按厂商规定执行。国家规定标准低于厂商标准的按厂商标准执行，但最低免费质保服务期≥</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年。</w:t>
      </w:r>
    </w:p>
    <w:p w14:paraId="2818E3E9">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第三条：合同履行时间、地点</w:t>
      </w:r>
    </w:p>
    <w:p w14:paraId="2381A11A">
      <w:pPr>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1、合同签订生效之日起30天内完成交货、安装、调试、验收并交付使用。</w:t>
      </w:r>
    </w:p>
    <w:p w14:paraId="6628F8CC">
      <w:pPr>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2、供货地点：由</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指定。</w:t>
      </w:r>
    </w:p>
    <w:p w14:paraId="7DBA3542">
      <w:pPr>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3、供货标准：符合我国国家有关技术规范要求和技术标准。</w:t>
      </w:r>
    </w:p>
    <w:p w14:paraId="2AB521B5">
      <w:pPr>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免费提供中标设备的供货、调试服务。</w:t>
      </w:r>
    </w:p>
    <w:p w14:paraId="1300E3AB">
      <w:pPr>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5、乙方应在投标文件中提供供货计划、对供货场地和环境的要求。</w:t>
      </w:r>
    </w:p>
    <w:p w14:paraId="77C99401">
      <w:pPr>
        <w:keepNext w:val="0"/>
        <w:keepLines w:val="0"/>
        <w:pageBreakBefore w:val="0"/>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第四条：验收时间、组织 </w:t>
      </w:r>
    </w:p>
    <w:p w14:paraId="08EE5E7B">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提供系统设备的有效检验材料（包括甲方现场随机抽检）和检测报告，经甲方认可后，与合同的技术指标一起作为验收标准。最终验收指合同设备按照合同技术附件的要求，完成调试、检验/试验等工作内容后，移交所有合同设备完工资料。</w:t>
      </w:r>
    </w:p>
    <w:p w14:paraId="360A59EE">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对系统设备最终验收合格后，在《建德市政府采购验收反馈表》上签署意见并加盖单位公章。验收中发现系统设备达不到验收标准或合同规定的技术指标，乙方必须更换，并负担由此给甲方造成的损失，直到验收合格为止。</w:t>
      </w:r>
    </w:p>
    <w:p w14:paraId="678B6A3E">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2、乙方应于投标书中提供系统设备的验收标准和检测办法，并在验收中提供甲方认可的相应检测手段，验收标准应符合中国有关的国家、地方、行业的标准，如若中标，经甲方确认后作为验收的依据。</w:t>
      </w:r>
    </w:p>
    <w:p w14:paraId="5AD04EC2">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3、验收费用由乙方承担。</w:t>
      </w:r>
    </w:p>
    <w:p w14:paraId="34134FAF">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4、乙方向甲方提供免费首保</w:t>
      </w:r>
      <w:r>
        <w:rPr>
          <w:rFonts w:hint="eastAsia" w:ascii="宋体" w:hAnsi="宋体" w:eastAsia="宋体" w:cs="宋体"/>
          <w:color w:val="auto"/>
          <w:sz w:val="24"/>
          <w:szCs w:val="24"/>
          <w:highlight w:val="none"/>
        </w:rPr>
        <w:t>。</w:t>
      </w:r>
    </w:p>
    <w:p w14:paraId="5FDDEFA0">
      <w:pPr>
        <w:keepNext w:val="0"/>
        <w:keepLines w:val="0"/>
        <w:pageBreakBefore w:val="0"/>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第五条：货款支付 </w:t>
      </w:r>
    </w:p>
    <w:p w14:paraId="36D65A1D">
      <w:pPr>
        <w:keepNext w:val="0"/>
        <w:keepLines w:val="0"/>
        <w:pageBreakBefore w:val="0"/>
        <w:kinsoku/>
        <w:wordWrap/>
        <w:topLinePunct w:val="0"/>
        <w:bidi w:val="0"/>
        <w:spacing w:line="440" w:lineRule="exact"/>
        <w:ind w:left="0" w:leftChars="0" w:right="0" w:righ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甲方根据合同、投标文件、招标文件等资料进行验收。</w:t>
      </w:r>
    </w:p>
    <w:p w14:paraId="0B367517">
      <w:pPr>
        <w:keepNext w:val="0"/>
        <w:keepLines w:val="0"/>
        <w:pageBreakBefore w:val="0"/>
        <w:kinsoku/>
        <w:wordWrap/>
        <w:topLinePunct w:val="0"/>
        <w:bidi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采购总金额分三次支付，验收合格通过后，乙方向甲方提交相关资料后，由甲方在10日历天内向乙方支付40%货款，剩余60%每半年支付30%货款。</w:t>
      </w:r>
    </w:p>
    <w:p w14:paraId="3A39D83A">
      <w:pPr>
        <w:keepNext w:val="0"/>
        <w:keepLines w:val="0"/>
        <w:pageBreakBefore w:val="0"/>
        <w:kinsoku/>
        <w:wordWrap/>
        <w:topLinePunct w:val="0"/>
        <w:bidi w:val="0"/>
        <w:adjustRightInd w:val="0"/>
        <w:snapToGrid w:val="0"/>
        <w:spacing w:line="440" w:lineRule="exact"/>
        <w:ind w:left="0" w:leftChars="0" w:right="0" w:rightChars="0"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第六条：</w:t>
      </w:r>
      <w:r>
        <w:rPr>
          <w:rFonts w:hint="eastAsia" w:ascii="宋体" w:hAnsi="宋体" w:eastAsia="宋体" w:cs="宋体"/>
          <w:b/>
          <w:bCs/>
          <w:color w:val="auto"/>
          <w:kern w:val="0"/>
          <w:sz w:val="24"/>
          <w:szCs w:val="24"/>
          <w:highlight w:val="none"/>
          <w:lang w:eastAsia="zh-CN"/>
        </w:rPr>
        <w:t>履约保证金</w:t>
      </w:r>
    </w:p>
    <w:p w14:paraId="7FA74285">
      <w:pPr>
        <w:keepNext w:val="0"/>
        <w:keepLines w:val="0"/>
        <w:pageBreakBefore w:val="0"/>
        <w:kinsoku/>
        <w:wordWrap/>
        <w:topLinePunct w:val="0"/>
        <w:bidi w:val="0"/>
        <w:spacing w:line="440" w:lineRule="exact"/>
        <w:ind w:left="0" w:leftChars="0" w:right="0" w:rightChars="0" w:firstLine="480" w:firstLineChars="200"/>
        <w:rPr>
          <w:rFonts w:hint="eastAsia" w:ascii="宋体" w:hAnsi="宋体" w:eastAsia="宋体" w:cs="宋体"/>
          <w:b w:val="0"/>
          <w:bCs/>
          <w:color w:val="auto"/>
          <w:kern w:val="0"/>
          <w:sz w:val="24"/>
          <w:szCs w:val="24"/>
          <w:highlight w:val="none"/>
          <w:lang w:val="en-US"/>
        </w:rPr>
      </w:pPr>
      <w:r>
        <w:rPr>
          <w:rFonts w:hint="eastAsia" w:ascii="宋体" w:hAnsi="宋体" w:eastAsia="宋体" w:cs="宋体"/>
          <w:b w:val="0"/>
          <w:bCs/>
          <w:color w:val="auto"/>
          <w:kern w:val="0"/>
          <w:sz w:val="24"/>
          <w:szCs w:val="24"/>
          <w:highlight w:val="none"/>
          <w:lang w:val="en-US"/>
        </w:rPr>
        <w:t>乙方在领取中标通知书后签订合同之前向</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b w:val="0"/>
          <w:bCs/>
          <w:color w:val="auto"/>
          <w:kern w:val="0"/>
          <w:sz w:val="24"/>
          <w:szCs w:val="24"/>
          <w:highlight w:val="none"/>
          <w:lang w:val="en-US"/>
        </w:rPr>
        <w:t>缴纳合同价的2%作为履约保证金；合同期满经结算后退还履约保证金，不计息。合同期未满，</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b w:val="0"/>
          <w:bCs/>
          <w:color w:val="auto"/>
          <w:kern w:val="0"/>
          <w:sz w:val="24"/>
          <w:szCs w:val="24"/>
          <w:highlight w:val="none"/>
          <w:lang w:val="en-US"/>
        </w:rPr>
        <w:t>无正当理由中途退出的，不退还履约保证金。</w:t>
      </w:r>
    </w:p>
    <w:p w14:paraId="4ABB51BE">
      <w:pPr>
        <w:keepNext w:val="0"/>
        <w:keepLines w:val="0"/>
        <w:pageBreakBefore w:val="0"/>
        <w:kinsoku/>
        <w:wordWrap/>
        <w:topLinePunct w:val="0"/>
        <w:bidi w:val="0"/>
        <w:spacing w:line="440" w:lineRule="exact"/>
        <w:ind w:left="0" w:leftChars="0" w:right="0" w:rightChars="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第七条：售后服务</w:t>
      </w:r>
    </w:p>
    <w:p w14:paraId="55AFCD44">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1、本项目设备质量保修期≥</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招标规格参数内有注明的以招标规格参数要求为准），质保期从验收通过交付使用之日起算，质保期内严格按照国家三包规定执行；质保期内因不能排除的故障而影响工作的情况每发生一次，其质保期相应延长</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0天，质保期内因设备本身缺陷造成各种故障应由</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color w:val="auto"/>
          <w:sz w:val="24"/>
          <w:szCs w:val="24"/>
          <w:highlight w:val="none"/>
        </w:rPr>
        <w:t xml:space="preserve">免费技术服务和维修。  </w:t>
      </w:r>
    </w:p>
    <w:p w14:paraId="7A7AB1E3">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设备（或系统）整个使用期内，乙方应确保正常使用，在接到用户维修要求后在2小时内响应并提出解决方案，24小时内到达现场对故障进行处理，维修过程中所需材料乙方在接到通知后应及时提供，最长不超过72小时必须送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。若48小时内无法修复的，应及时提供相应备用设备并负责安装调试，为此，乙方应提供相应承诺书。</w:t>
      </w:r>
    </w:p>
    <w:p w14:paraId="7EC20844">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color w:val="auto"/>
          <w:sz w:val="24"/>
          <w:szCs w:val="24"/>
          <w:highlight w:val="none"/>
        </w:rPr>
        <w:t>应负责对其提供的设备进行现场维修、损坏件更换，不收取额外费用，响应时间必须满足</w:t>
      </w:r>
      <w:r>
        <w:rPr>
          <w:rFonts w:hint="eastAsia" w:ascii="宋体" w:hAnsi="宋体" w:eastAsia="宋体" w:cs="宋体"/>
          <w:b w:val="0"/>
          <w:bCs/>
          <w:color w:val="auto"/>
          <w:kern w:val="0"/>
          <w:sz w:val="24"/>
          <w:szCs w:val="24"/>
          <w:highlight w:val="none"/>
          <w:lang w:val="en-US" w:eastAsia="zh-CN"/>
        </w:rPr>
        <w:t>甲方</w:t>
      </w:r>
      <w:r>
        <w:rPr>
          <w:rFonts w:hint="eastAsia" w:ascii="宋体" w:hAnsi="宋体" w:eastAsia="宋体" w:cs="宋体"/>
          <w:color w:val="auto"/>
          <w:sz w:val="24"/>
          <w:szCs w:val="24"/>
          <w:highlight w:val="none"/>
        </w:rPr>
        <w:t>工作正常运行的要求。</w:t>
      </w:r>
    </w:p>
    <w:p w14:paraId="05F4E976">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color w:val="auto"/>
          <w:sz w:val="24"/>
          <w:szCs w:val="24"/>
          <w:highlight w:val="none"/>
        </w:rPr>
        <w:t>应负责对其提供的设备进行终生维修，在质保期外维修、损坏件更换，费用由双方协商进行。</w:t>
      </w:r>
    </w:p>
    <w:p w14:paraId="730AE54B">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val="en-US" w:eastAsia="zh-CN"/>
        </w:rPr>
        <w:t>乙方</w:t>
      </w:r>
      <w:r>
        <w:rPr>
          <w:rFonts w:hint="eastAsia" w:ascii="宋体" w:hAnsi="宋体" w:eastAsia="宋体" w:cs="宋体"/>
          <w:color w:val="auto"/>
          <w:sz w:val="24"/>
          <w:szCs w:val="24"/>
          <w:highlight w:val="none"/>
        </w:rPr>
        <w:t>在投标文件中须说明保修期内提供的服务计划。</w:t>
      </w:r>
    </w:p>
    <w:p w14:paraId="4AF77312">
      <w:pPr>
        <w:keepNext w:val="0"/>
        <w:keepLines w:val="0"/>
        <w:pageBreakBefore w:val="0"/>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第八条：</w:t>
      </w:r>
      <w:r>
        <w:rPr>
          <w:rFonts w:hint="eastAsia" w:ascii="宋体" w:hAnsi="宋体" w:eastAsia="宋体" w:cs="宋体"/>
          <w:color w:val="auto"/>
          <w:sz w:val="24"/>
          <w:szCs w:val="24"/>
          <w:highlight w:val="none"/>
        </w:rPr>
        <w:t>乙</w:t>
      </w:r>
      <w:r>
        <w:rPr>
          <w:rFonts w:hint="eastAsia" w:ascii="宋体" w:hAnsi="宋体" w:eastAsia="宋体" w:cs="宋体"/>
          <w:color w:val="auto"/>
          <w:kern w:val="0"/>
          <w:sz w:val="24"/>
          <w:szCs w:val="24"/>
          <w:highlight w:val="none"/>
        </w:rPr>
        <w:t>方承担合同标的供货、交付前的一切费用、验收及售后服务等所有费用(包括不可预见费用)和市场风险。</w:t>
      </w:r>
    </w:p>
    <w:p w14:paraId="116017B5">
      <w:pPr>
        <w:keepNext w:val="0"/>
        <w:keepLines w:val="0"/>
        <w:pageBreakBefore w:val="0"/>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第九条：其他约定：</w:t>
      </w:r>
    </w:p>
    <w:p w14:paraId="1FFF5E64">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738CE33">
      <w:pPr>
        <w:keepNext w:val="0"/>
        <w:keepLines w:val="0"/>
        <w:pageBreakBefore w:val="0"/>
        <w:kinsoku/>
        <w:wordWrap/>
        <w:topLinePunct w:val="0"/>
        <w:bidi w:val="0"/>
        <w:spacing w:line="440" w:lineRule="exact"/>
        <w:ind w:left="0" w:leftChars="0" w:right="0"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第十条  违约责任</w:t>
      </w:r>
    </w:p>
    <w:p w14:paraId="2FCE4753">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6749E00F">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按合同要求将货物送达甲方后，超出付款期，甲方每逾一天，甲方应向乙方支付合同货物金额的千分之三的滞纳金。如遇特殊情况甲方要求推迟供货或验收的，必须事先征得乙方的同意，否则应承担由此给乙方造成的损失。</w:t>
      </w:r>
    </w:p>
    <w:p w14:paraId="0A31A074">
      <w:pPr>
        <w:keepNext w:val="0"/>
        <w:keepLines w:val="0"/>
        <w:pageBreakBefore w:val="0"/>
        <w:kinsoku/>
        <w:wordWrap/>
        <w:topLinePunct w:val="0"/>
        <w:autoSpaceDE w:val="0"/>
        <w:bidi w:val="0"/>
        <w:adjustRightInd w:val="0"/>
        <w:spacing w:line="440" w:lineRule="exact"/>
        <w:ind w:left="0" w:leftChars="0" w:right="0" w:rightChars="0"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第十一条：争议的解决 </w:t>
      </w:r>
    </w:p>
    <w:p w14:paraId="5893A7B7">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1．因质量问题发生争议的，由</w:t>
      </w:r>
      <w:r>
        <w:rPr>
          <w:rFonts w:hint="eastAsia" w:ascii="宋体" w:hAnsi="宋体" w:eastAsia="宋体" w:cs="宋体"/>
          <w:color w:val="auto"/>
          <w:sz w:val="24"/>
          <w:szCs w:val="24"/>
          <w:highlight w:val="none"/>
        </w:rPr>
        <w:t>甲</w:t>
      </w:r>
      <w:r>
        <w:rPr>
          <w:rFonts w:hint="eastAsia" w:ascii="宋体" w:hAnsi="宋体" w:eastAsia="宋体" w:cs="宋体"/>
          <w:color w:val="auto"/>
          <w:kern w:val="0"/>
          <w:sz w:val="24"/>
          <w:szCs w:val="24"/>
          <w:highlight w:val="none"/>
        </w:rPr>
        <w:t>方委托有关技术部门进行质量鉴定，该鉴定的结论</w:t>
      </w:r>
      <w:r>
        <w:rPr>
          <w:rFonts w:hint="eastAsia" w:ascii="宋体" w:hAnsi="宋体" w:eastAsia="宋体" w:cs="宋体"/>
          <w:color w:val="auto"/>
          <w:sz w:val="24"/>
          <w:szCs w:val="24"/>
          <w:highlight w:val="none"/>
        </w:rPr>
        <w:t>甲</w:t>
      </w:r>
      <w:r>
        <w:rPr>
          <w:rFonts w:hint="eastAsia" w:ascii="宋体" w:hAnsi="宋体" w:eastAsia="宋体" w:cs="宋体"/>
          <w:bCs/>
          <w:color w:val="auto"/>
          <w:kern w:val="0"/>
          <w:sz w:val="24"/>
          <w:szCs w:val="24"/>
          <w:highlight w:val="none"/>
        </w:rPr>
        <w:t>乙</w:t>
      </w:r>
      <w:r>
        <w:rPr>
          <w:rFonts w:hint="eastAsia" w:ascii="宋体" w:hAnsi="宋体" w:eastAsia="宋体" w:cs="宋体"/>
          <w:color w:val="auto"/>
          <w:kern w:val="0"/>
          <w:sz w:val="24"/>
          <w:szCs w:val="24"/>
          <w:highlight w:val="none"/>
        </w:rPr>
        <w:t>双方应当接受，各方均有权直接向对方索赔，并签订书面处理协议书。</w:t>
      </w:r>
    </w:p>
    <w:p w14:paraId="78F73668">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双方发生争议，应当友好协商。无法协商或协商不成由建德市人民法院</w:t>
      </w:r>
      <w:r>
        <w:rPr>
          <w:rFonts w:hint="eastAsia" w:ascii="宋体" w:hAnsi="宋体" w:eastAsia="宋体" w:cs="宋体"/>
          <w:color w:val="auto"/>
          <w:sz w:val="24"/>
          <w:szCs w:val="24"/>
          <w:highlight w:val="none"/>
          <w:lang w:eastAsia="zh-CN"/>
        </w:rPr>
        <w:t>调解</w:t>
      </w:r>
      <w:r>
        <w:rPr>
          <w:rFonts w:hint="eastAsia" w:ascii="宋体" w:hAnsi="宋体" w:eastAsia="宋体" w:cs="宋体"/>
          <w:color w:val="auto"/>
          <w:sz w:val="24"/>
          <w:szCs w:val="24"/>
          <w:highlight w:val="none"/>
        </w:rPr>
        <w:t>。</w:t>
      </w:r>
    </w:p>
    <w:p w14:paraId="25D26FEB">
      <w:pPr>
        <w:keepNext w:val="0"/>
        <w:keepLines w:val="0"/>
        <w:pageBreakBefore w:val="0"/>
        <w:kinsoku/>
        <w:wordWrap/>
        <w:topLinePunct w:val="0"/>
        <w:bidi w:val="0"/>
        <w:spacing w:line="44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第十二条：</w:t>
      </w:r>
      <w:r>
        <w:rPr>
          <w:rFonts w:hint="eastAsia" w:ascii="宋体" w:hAnsi="宋体" w:eastAsia="宋体" w:cs="宋体"/>
          <w:b/>
          <w:color w:val="auto"/>
          <w:sz w:val="24"/>
          <w:szCs w:val="24"/>
          <w:highlight w:val="none"/>
        </w:rPr>
        <w:t>合同的生效</w:t>
      </w:r>
    </w:p>
    <w:p w14:paraId="4354D6CF">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1．本合同一式</w:t>
      </w:r>
      <w:r>
        <w:rPr>
          <w:rFonts w:hint="eastAsia" w:ascii="宋体" w:hAnsi="宋体" w:eastAsia="宋体" w:cs="宋体"/>
          <w:color w:val="auto"/>
          <w:kern w:val="0"/>
          <w:sz w:val="24"/>
          <w:szCs w:val="24"/>
          <w:highlight w:val="none"/>
          <w:lang w:val="en-US" w:eastAsia="zh-CN"/>
        </w:rPr>
        <w:t>陆</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lang w:val="en-US" w:eastAsia="zh-CN"/>
        </w:rPr>
        <w:t>叁</w:t>
      </w:r>
      <w:r>
        <w:rPr>
          <w:rFonts w:hint="eastAsia" w:ascii="宋体" w:hAnsi="宋体" w:eastAsia="宋体" w:cs="宋体"/>
          <w:color w:val="auto"/>
          <w:kern w:val="0"/>
          <w:sz w:val="24"/>
          <w:szCs w:val="24"/>
          <w:highlight w:val="none"/>
        </w:rPr>
        <w:t>份。</w:t>
      </w:r>
    </w:p>
    <w:p w14:paraId="5BD78E87">
      <w:pPr>
        <w:keepNext w:val="0"/>
        <w:keepLines w:val="0"/>
        <w:pageBreakBefore w:val="0"/>
        <w:kinsoku/>
        <w:wordWrap/>
        <w:topLinePunct w:val="0"/>
        <w:autoSpaceDE w:val="0"/>
        <w:bidi w:val="0"/>
        <w:adjustRightInd w:val="0"/>
        <w:spacing w:line="440" w:lineRule="exact"/>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2．本合同经</w:t>
      </w:r>
      <w:r>
        <w:rPr>
          <w:rFonts w:hint="eastAsia" w:ascii="宋体" w:hAnsi="宋体" w:eastAsia="宋体" w:cs="宋体"/>
          <w:color w:val="auto"/>
          <w:sz w:val="24"/>
          <w:szCs w:val="24"/>
          <w:highlight w:val="none"/>
        </w:rPr>
        <w:t>甲</w:t>
      </w:r>
      <w:r>
        <w:rPr>
          <w:rFonts w:hint="eastAsia" w:ascii="宋体" w:hAnsi="宋体" w:eastAsia="宋体" w:cs="宋体"/>
          <w:bCs/>
          <w:color w:val="auto"/>
          <w:kern w:val="0"/>
          <w:sz w:val="24"/>
          <w:szCs w:val="24"/>
          <w:highlight w:val="none"/>
        </w:rPr>
        <w:t>乙</w:t>
      </w:r>
      <w:r>
        <w:rPr>
          <w:rFonts w:hint="eastAsia" w:ascii="宋体" w:hAnsi="宋体" w:eastAsia="宋体" w:cs="宋体"/>
          <w:color w:val="auto"/>
          <w:kern w:val="0"/>
          <w:sz w:val="24"/>
          <w:szCs w:val="24"/>
          <w:highlight w:val="none"/>
        </w:rPr>
        <w:t>双方法定代表人或委托代理人签字并加盖公章后生效。</w:t>
      </w:r>
    </w:p>
    <w:p w14:paraId="5A990C11">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3．本合同未尽事宜，经双方商议可续签补充协议。该补充协议与本合同具有相同法律效力，但该补充协议的内容不能实质性修改询价文件的主要条款。</w:t>
      </w:r>
    </w:p>
    <w:p w14:paraId="071B1174">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4．本合同未涉及的部分以招标文件（项目编号：</w:t>
      </w:r>
      <w:r>
        <w:rPr>
          <w:rFonts w:hint="eastAsia" w:ascii="宋体" w:hAnsi="宋体" w:eastAsia="宋体" w:cs="宋体"/>
          <w:color w:val="auto"/>
          <w:sz w:val="24"/>
          <w:szCs w:val="24"/>
          <w:highlight w:val="none"/>
          <w:lang w:eastAsia="zh-CN"/>
        </w:rPr>
        <w:t>JT-XM-A-2025-0047</w:t>
      </w:r>
      <w:r>
        <w:rPr>
          <w:rFonts w:hint="eastAsia" w:ascii="宋体" w:hAnsi="宋体" w:eastAsia="宋体" w:cs="宋体"/>
          <w:color w:val="auto"/>
          <w:sz w:val="24"/>
          <w:szCs w:val="24"/>
          <w:highlight w:val="none"/>
        </w:rPr>
        <w:t>）(包括补充更正，如有)为准，上述招标文件与乙方针对本项目的报价响应文件文件及记录是本合同的附件，与本合同具有同等法律效力，但附件与主合同的规定不一致时，以主合同为准。</w:t>
      </w:r>
    </w:p>
    <w:p w14:paraId="56DEC11F">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p>
    <w:p w14:paraId="0831ED6E">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p>
    <w:p w14:paraId="5B926171">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p>
    <w:p w14:paraId="0BFC5C85">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w:t>
      </w:r>
    </w:p>
    <w:p w14:paraId="56AEB993">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                      法定代表人或受委托人</w:t>
      </w:r>
    </w:p>
    <w:p w14:paraId="031A796D">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1EBD23F6">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0AA9879E">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邮编：</w:t>
      </w:r>
    </w:p>
    <w:p w14:paraId="4E8DB95D">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505EF597">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7BFA0A9C">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p>
    <w:p w14:paraId="45A74AE4">
      <w:pPr>
        <w:pStyle w:val="319"/>
        <w:keepNext w:val="0"/>
        <w:keepLines w:val="0"/>
        <w:pageBreakBefore w:val="0"/>
        <w:kinsoku/>
        <w:wordWrap/>
        <w:topLinePunct w:val="0"/>
        <w:bidi w:val="0"/>
        <w:snapToGrid w:val="0"/>
        <w:spacing w:line="44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  月  日</w:t>
      </w:r>
    </w:p>
    <w:p w14:paraId="71A9AC3B">
      <w:pPr>
        <w:pStyle w:val="319"/>
        <w:keepNext w:val="0"/>
        <w:keepLines w:val="0"/>
        <w:pageBreakBefore w:val="0"/>
        <w:kinsoku/>
        <w:wordWrap/>
        <w:topLinePunct w:val="0"/>
        <w:bidi w:val="0"/>
        <w:snapToGrid w:val="0"/>
        <w:spacing w:line="440" w:lineRule="exact"/>
        <w:ind w:left="0" w:leftChars="0" w:right="0" w:rightChars="0"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签约地点：</w:t>
      </w:r>
    </w:p>
    <w:p w14:paraId="52C35681">
      <w:pPr>
        <w:pStyle w:val="319"/>
        <w:keepNext w:val="0"/>
        <w:keepLines w:val="0"/>
        <w:pageBreakBefore w:val="0"/>
        <w:kinsoku/>
        <w:wordWrap/>
        <w:topLinePunct w:val="0"/>
        <w:bidi w:val="0"/>
        <w:snapToGrid w:val="0"/>
        <w:spacing w:line="440" w:lineRule="exact"/>
        <w:ind w:left="0" w:leftChars="0" w:right="0" w:rightChars="0" w:firstLine="482" w:firstLineChars="200"/>
        <w:jc w:val="both"/>
        <w:rPr>
          <w:rFonts w:hint="eastAsia" w:ascii="宋体" w:hAnsi="宋体" w:eastAsia="宋体" w:cs="宋体"/>
          <w:b/>
          <w:color w:val="auto"/>
          <w:sz w:val="24"/>
          <w:szCs w:val="24"/>
          <w:highlight w:val="none"/>
        </w:rPr>
      </w:pPr>
    </w:p>
    <w:p w14:paraId="1A723F34">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536D5619">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78FECCA9">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0C6562EF">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10E4951E">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5EDF4E5E">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10F0035C">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088F6007">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405FB4D5">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7BFEEFAA">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078E42BB">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131E1263">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1F4B5926">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7A66AACB">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017D7D97">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21868158">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3751EAE7">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7E4F7A56">
      <w:pPr>
        <w:keepNext w:val="0"/>
        <w:keepLines w:val="0"/>
        <w:pageBreakBefore w:val="0"/>
        <w:kinsoku/>
        <w:wordWrap/>
        <w:topLinePunct w:val="0"/>
        <w:bidi w:val="0"/>
        <w:spacing w:line="440" w:lineRule="exact"/>
        <w:ind w:left="0" w:leftChars="0" w:right="0" w:rightChars="0" w:firstLine="474" w:firstLineChars="200"/>
        <w:rPr>
          <w:rStyle w:val="354"/>
          <w:rFonts w:hint="eastAsia" w:ascii="宋体" w:hAnsi="宋体" w:eastAsia="宋体" w:cs="宋体"/>
          <w:bCs/>
          <w:color w:val="auto"/>
          <w:sz w:val="24"/>
          <w:szCs w:val="24"/>
          <w:highlight w:val="none"/>
        </w:rPr>
      </w:pPr>
    </w:p>
    <w:p w14:paraId="7C14FA55">
      <w:pPr>
        <w:keepNext w:val="0"/>
        <w:keepLines w:val="0"/>
        <w:pageBreakBefore w:val="0"/>
        <w:tabs>
          <w:tab w:val="left" w:pos="1397"/>
        </w:tabs>
        <w:kinsoku/>
        <w:wordWrap/>
        <w:topLinePunct w:val="0"/>
        <w:bidi w:val="0"/>
        <w:spacing w:line="440" w:lineRule="exact"/>
        <w:ind w:left="0" w:leftChars="0" w:right="0" w:rightChars="0" w:firstLine="474" w:firstLineChars="200"/>
        <w:rPr>
          <w:rStyle w:val="354"/>
          <w:rFonts w:hint="eastAsia" w:ascii="宋体" w:hAnsi="宋体" w:eastAsia="宋体" w:cs="宋体"/>
          <w:bCs w:val="0"/>
          <w:color w:val="auto"/>
          <w:sz w:val="24"/>
          <w:szCs w:val="24"/>
          <w:highlight w:val="none"/>
        </w:rPr>
      </w:pPr>
    </w:p>
    <w:p w14:paraId="1CBCA575">
      <w:pPr>
        <w:rPr>
          <w:rFonts w:hint="eastAsia" w:ascii="宋体" w:hAnsi="宋体" w:eastAsia="宋体" w:cs="宋体"/>
          <w:color w:val="auto"/>
          <w:highlight w:val="none"/>
        </w:rPr>
      </w:pPr>
    </w:p>
    <w:p w14:paraId="6895C275">
      <w:pPr>
        <w:spacing w:line="360" w:lineRule="auto"/>
        <w:ind w:left="720" w:firstLine="1446" w:firstLineChars="4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36FF470F">
      <w:pPr>
        <w:keepNext w:val="0"/>
        <w:keepLines w:val="0"/>
        <w:pageBreakBefore w:val="0"/>
        <w:widowControl w:val="0"/>
        <w:kinsoku/>
        <w:wordWrap/>
        <w:overflowPunct/>
        <w:topLinePunct w:val="0"/>
        <w:autoSpaceDE/>
        <w:autoSpaceDN/>
        <w:bidi w:val="0"/>
        <w:adjustRightInd w:val="0"/>
        <w:snapToGrid/>
        <w:spacing w:line="240" w:lineRule="auto"/>
        <w:ind w:left="0" w:right="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08C8F6D2">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3D64D5F6">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封面</w:t>
      </w:r>
    </w:p>
    <w:p w14:paraId="7E6A404B">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5B8A1695">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7C7697FA">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1A07DA28">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23449CCA">
      <w:pPr>
        <w:spacing w:line="366" w:lineRule="exact"/>
        <w:ind w:left="6140"/>
        <w:rPr>
          <w:rFonts w:hint="eastAsia" w:ascii="宋体" w:hAnsi="宋体" w:eastAsia="宋体" w:cs="宋体"/>
          <w:color w:val="auto"/>
          <w:sz w:val="20"/>
          <w:szCs w:val="20"/>
          <w:highlight w:val="none"/>
        </w:rPr>
      </w:pPr>
      <w:r>
        <w:rPr>
          <w:rFonts w:hint="eastAsia" w:ascii="宋体" w:hAnsi="宋体" w:eastAsia="宋体" w:cs="宋体"/>
          <w:b/>
          <w:bCs/>
          <w:color w:val="auto"/>
          <w:sz w:val="32"/>
          <w:szCs w:val="32"/>
          <w:highlight w:val="none"/>
        </w:rPr>
        <w:t>项目</w:t>
      </w:r>
    </w:p>
    <w:p w14:paraId="68AE2A64">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1481455</wp:posOffset>
                </wp:positionH>
                <wp:positionV relativeFrom="paragraph">
                  <wp:posOffset>3175</wp:posOffset>
                </wp:positionV>
                <wp:extent cx="2421890" cy="0"/>
                <wp:effectExtent l="0" t="5080" r="0" b="571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421890" cy="0"/>
                        </a:xfrm>
                        <a:prstGeom prst="line">
                          <a:avLst/>
                        </a:prstGeom>
                        <a:noFill/>
                        <a:ln w="10668">
                          <a:solidFill>
                            <a:srgbClr val="000000"/>
                          </a:solidFill>
                          <a:round/>
                        </a:ln>
                        <a:effectLst/>
                      </wps:spPr>
                      <wps:bodyPr/>
                    </wps:wsp>
                  </a:graphicData>
                </a:graphic>
              </wp:anchor>
            </w:drawing>
          </mc:Choice>
          <mc:Fallback>
            <w:pict>
              <v:line id="_x0000_s1026" o:spid="_x0000_s1026" o:spt="20" style="position:absolute;left:0pt;margin-left:116.65pt;margin-top:0.25pt;height:0pt;width:190.7pt;z-index:251661312;mso-width-relative:page;mso-height-relative:page;" filled="f" stroked="t" coordsize="21600,21600" o:allowincell="f" o:gfxdata="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wl3TW&#10;AAAABQEAAA8AAAAAAAAAAQAgAAAAIgAAAGRycy9kb3ducmV2LnhtbFBLAQIUABQAAAAIAIdO4kAL&#10;E6S86QEAALsDAAAOAAAAAAAAAAEAIAAAACUBAABkcnMvZTJvRG9jLnhtbFBLBQYAAAAABgAGAFkB&#10;AACABQAAAAA=&#10;">
                <v:fill on="f" focussize="0,0"/>
                <v:stroke weight="0.84pt" color="#000000" joinstyle="round"/>
                <v:imagedata o:title=""/>
                <o:lock v:ext="edit" aspectratio="f"/>
              </v:line>
            </w:pict>
          </mc:Fallback>
        </mc:AlternateContent>
      </w:r>
    </w:p>
    <w:p w14:paraId="5CF7F430">
      <w:pPr>
        <w:spacing w:line="200" w:lineRule="exact"/>
        <w:rPr>
          <w:rFonts w:hint="eastAsia" w:ascii="宋体" w:hAnsi="宋体" w:eastAsia="宋体" w:cs="宋体"/>
          <w:color w:val="auto"/>
          <w:sz w:val="20"/>
          <w:szCs w:val="20"/>
          <w:highlight w:val="none"/>
        </w:rPr>
      </w:pPr>
    </w:p>
    <w:p w14:paraId="02BF7254">
      <w:pPr>
        <w:spacing w:line="200" w:lineRule="exact"/>
        <w:rPr>
          <w:rFonts w:hint="eastAsia" w:ascii="宋体" w:hAnsi="宋体" w:eastAsia="宋体" w:cs="宋体"/>
          <w:color w:val="auto"/>
          <w:sz w:val="20"/>
          <w:szCs w:val="20"/>
          <w:highlight w:val="none"/>
        </w:rPr>
      </w:pPr>
    </w:p>
    <w:p w14:paraId="5F9A9A73">
      <w:pPr>
        <w:spacing w:line="200" w:lineRule="exact"/>
        <w:rPr>
          <w:rFonts w:hint="eastAsia" w:ascii="宋体" w:hAnsi="宋体" w:eastAsia="宋体" w:cs="宋体"/>
          <w:color w:val="auto"/>
          <w:sz w:val="20"/>
          <w:szCs w:val="20"/>
          <w:highlight w:val="none"/>
        </w:rPr>
      </w:pPr>
    </w:p>
    <w:p w14:paraId="709CEF64">
      <w:pPr>
        <w:spacing w:line="200" w:lineRule="exact"/>
        <w:rPr>
          <w:rFonts w:hint="eastAsia" w:ascii="宋体" w:hAnsi="宋体" w:eastAsia="宋体" w:cs="宋体"/>
          <w:color w:val="auto"/>
          <w:sz w:val="20"/>
          <w:szCs w:val="20"/>
          <w:highlight w:val="none"/>
        </w:rPr>
      </w:pPr>
    </w:p>
    <w:p w14:paraId="6B9C0AD3">
      <w:pPr>
        <w:spacing w:line="200" w:lineRule="exact"/>
        <w:rPr>
          <w:rFonts w:hint="eastAsia" w:ascii="宋体" w:hAnsi="宋体" w:eastAsia="宋体" w:cs="宋体"/>
          <w:color w:val="auto"/>
          <w:sz w:val="20"/>
          <w:szCs w:val="20"/>
          <w:highlight w:val="none"/>
        </w:rPr>
      </w:pPr>
    </w:p>
    <w:p w14:paraId="58EE8E91">
      <w:pPr>
        <w:spacing w:line="200" w:lineRule="exact"/>
        <w:rPr>
          <w:rFonts w:hint="eastAsia" w:ascii="宋体" w:hAnsi="宋体" w:eastAsia="宋体" w:cs="宋体"/>
          <w:color w:val="auto"/>
          <w:sz w:val="20"/>
          <w:szCs w:val="20"/>
          <w:highlight w:val="none"/>
        </w:rPr>
      </w:pPr>
    </w:p>
    <w:p w14:paraId="1D90A605">
      <w:pPr>
        <w:spacing w:line="200" w:lineRule="exact"/>
        <w:rPr>
          <w:rFonts w:hint="eastAsia" w:ascii="宋体" w:hAnsi="宋体" w:eastAsia="宋体" w:cs="宋体"/>
          <w:color w:val="auto"/>
          <w:sz w:val="20"/>
          <w:szCs w:val="20"/>
          <w:highlight w:val="none"/>
        </w:rPr>
      </w:pPr>
    </w:p>
    <w:p w14:paraId="20EF29A8">
      <w:pPr>
        <w:spacing w:line="200" w:lineRule="exact"/>
        <w:rPr>
          <w:rFonts w:hint="eastAsia" w:ascii="宋体" w:hAnsi="宋体" w:eastAsia="宋体" w:cs="宋体"/>
          <w:color w:val="auto"/>
          <w:sz w:val="20"/>
          <w:szCs w:val="20"/>
          <w:highlight w:val="none"/>
        </w:rPr>
      </w:pPr>
    </w:p>
    <w:p w14:paraId="7E76A7D1">
      <w:pPr>
        <w:spacing w:line="200" w:lineRule="exact"/>
        <w:rPr>
          <w:rFonts w:hint="eastAsia" w:ascii="宋体" w:hAnsi="宋体" w:eastAsia="宋体" w:cs="宋体"/>
          <w:color w:val="auto"/>
          <w:sz w:val="20"/>
          <w:szCs w:val="20"/>
          <w:highlight w:val="none"/>
        </w:rPr>
      </w:pPr>
    </w:p>
    <w:p w14:paraId="0FADC031">
      <w:pPr>
        <w:spacing w:line="200" w:lineRule="exact"/>
        <w:rPr>
          <w:rFonts w:hint="eastAsia" w:ascii="宋体" w:hAnsi="宋体" w:eastAsia="宋体" w:cs="宋体"/>
          <w:color w:val="auto"/>
          <w:sz w:val="20"/>
          <w:szCs w:val="20"/>
          <w:highlight w:val="none"/>
        </w:rPr>
      </w:pPr>
    </w:p>
    <w:p w14:paraId="578FAB3E">
      <w:pPr>
        <w:spacing w:line="262" w:lineRule="exact"/>
        <w:rPr>
          <w:rFonts w:hint="eastAsia" w:ascii="宋体" w:hAnsi="宋体" w:eastAsia="宋体" w:cs="宋体"/>
          <w:color w:val="auto"/>
          <w:sz w:val="20"/>
          <w:szCs w:val="20"/>
          <w:highlight w:val="none"/>
        </w:rPr>
      </w:pPr>
    </w:p>
    <w:p w14:paraId="67AE6485">
      <w:pPr>
        <w:spacing w:line="959" w:lineRule="exact"/>
        <w:ind w:right="6"/>
        <w:jc w:val="center"/>
        <w:rPr>
          <w:rFonts w:hint="eastAsia" w:ascii="宋体" w:hAnsi="宋体" w:eastAsia="宋体" w:cs="宋体"/>
          <w:color w:val="auto"/>
          <w:sz w:val="20"/>
          <w:szCs w:val="20"/>
          <w:highlight w:val="none"/>
        </w:rPr>
      </w:pPr>
      <w:r>
        <w:rPr>
          <w:rFonts w:hint="eastAsia" w:ascii="宋体" w:hAnsi="宋体" w:eastAsia="宋体" w:cs="宋体"/>
          <w:color w:val="auto"/>
          <w:sz w:val="84"/>
          <w:szCs w:val="84"/>
          <w:highlight w:val="none"/>
        </w:rPr>
        <w:t>投 标 文 件</w:t>
      </w:r>
    </w:p>
    <w:p w14:paraId="49D62ED7">
      <w:pPr>
        <w:spacing w:line="200" w:lineRule="exact"/>
        <w:rPr>
          <w:rFonts w:hint="eastAsia" w:ascii="宋体" w:hAnsi="宋体" w:eastAsia="宋体" w:cs="宋体"/>
          <w:color w:val="auto"/>
          <w:sz w:val="20"/>
          <w:szCs w:val="20"/>
          <w:highlight w:val="none"/>
        </w:rPr>
      </w:pPr>
    </w:p>
    <w:p w14:paraId="1EBF2A6E">
      <w:pPr>
        <w:spacing w:line="200" w:lineRule="exact"/>
        <w:rPr>
          <w:rFonts w:hint="eastAsia" w:ascii="宋体" w:hAnsi="宋体" w:eastAsia="宋体" w:cs="宋体"/>
          <w:color w:val="auto"/>
          <w:sz w:val="20"/>
          <w:szCs w:val="20"/>
          <w:highlight w:val="none"/>
        </w:rPr>
      </w:pPr>
    </w:p>
    <w:p w14:paraId="72632B0A">
      <w:pPr>
        <w:spacing w:line="200" w:lineRule="exact"/>
        <w:rPr>
          <w:rFonts w:hint="eastAsia" w:ascii="宋体" w:hAnsi="宋体" w:eastAsia="宋体" w:cs="宋体"/>
          <w:color w:val="auto"/>
          <w:sz w:val="20"/>
          <w:szCs w:val="20"/>
          <w:highlight w:val="none"/>
        </w:rPr>
      </w:pPr>
    </w:p>
    <w:p w14:paraId="094B509E">
      <w:pPr>
        <w:spacing w:line="200" w:lineRule="exact"/>
        <w:rPr>
          <w:rFonts w:hint="eastAsia" w:ascii="宋体" w:hAnsi="宋体" w:eastAsia="宋体" w:cs="宋体"/>
          <w:color w:val="auto"/>
          <w:sz w:val="20"/>
          <w:szCs w:val="20"/>
          <w:highlight w:val="none"/>
        </w:rPr>
      </w:pPr>
    </w:p>
    <w:p w14:paraId="7AA87884">
      <w:pPr>
        <w:spacing w:line="200" w:lineRule="exact"/>
        <w:rPr>
          <w:rFonts w:hint="eastAsia" w:ascii="宋体" w:hAnsi="宋体" w:eastAsia="宋体" w:cs="宋体"/>
          <w:color w:val="auto"/>
          <w:sz w:val="20"/>
          <w:szCs w:val="20"/>
          <w:highlight w:val="none"/>
        </w:rPr>
      </w:pPr>
    </w:p>
    <w:p w14:paraId="1CB267AA">
      <w:pPr>
        <w:spacing w:line="200" w:lineRule="exact"/>
        <w:rPr>
          <w:rFonts w:hint="eastAsia" w:ascii="宋体" w:hAnsi="宋体" w:eastAsia="宋体" w:cs="宋体"/>
          <w:color w:val="auto"/>
          <w:sz w:val="20"/>
          <w:szCs w:val="20"/>
          <w:highlight w:val="none"/>
        </w:rPr>
      </w:pPr>
    </w:p>
    <w:p w14:paraId="6222DFF1">
      <w:pPr>
        <w:spacing w:line="200" w:lineRule="exact"/>
        <w:rPr>
          <w:rFonts w:hint="eastAsia" w:ascii="宋体" w:hAnsi="宋体" w:eastAsia="宋体" w:cs="宋体"/>
          <w:color w:val="auto"/>
          <w:sz w:val="20"/>
          <w:szCs w:val="20"/>
          <w:highlight w:val="none"/>
        </w:rPr>
      </w:pPr>
    </w:p>
    <w:p w14:paraId="3051F615">
      <w:pPr>
        <w:spacing w:line="200" w:lineRule="exact"/>
        <w:rPr>
          <w:rFonts w:hint="eastAsia" w:ascii="宋体" w:hAnsi="宋体" w:eastAsia="宋体" w:cs="宋体"/>
          <w:color w:val="auto"/>
          <w:sz w:val="20"/>
          <w:szCs w:val="20"/>
          <w:highlight w:val="none"/>
        </w:rPr>
      </w:pPr>
    </w:p>
    <w:p w14:paraId="73CE59C7">
      <w:pPr>
        <w:spacing w:line="200" w:lineRule="exact"/>
        <w:rPr>
          <w:rFonts w:hint="eastAsia" w:ascii="宋体" w:hAnsi="宋体" w:eastAsia="宋体" w:cs="宋体"/>
          <w:color w:val="auto"/>
          <w:sz w:val="20"/>
          <w:szCs w:val="20"/>
          <w:highlight w:val="none"/>
        </w:rPr>
      </w:pPr>
    </w:p>
    <w:p w14:paraId="0318C834">
      <w:pPr>
        <w:spacing w:line="200" w:lineRule="exact"/>
        <w:rPr>
          <w:rFonts w:hint="eastAsia" w:ascii="宋体" w:hAnsi="宋体" w:eastAsia="宋体" w:cs="宋体"/>
          <w:color w:val="auto"/>
          <w:sz w:val="20"/>
          <w:szCs w:val="20"/>
          <w:highlight w:val="none"/>
        </w:rPr>
      </w:pPr>
    </w:p>
    <w:p w14:paraId="7E8BF269">
      <w:pPr>
        <w:spacing w:line="200" w:lineRule="exact"/>
        <w:rPr>
          <w:rFonts w:hint="eastAsia" w:ascii="宋体" w:hAnsi="宋体" w:eastAsia="宋体" w:cs="宋体"/>
          <w:color w:val="auto"/>
          <w:sz w:val="20"/>
          <w:szCs w:val="20"/>
          <w:highlight w:val="none"/>
        </w:rPr>
      </w:pPr>
    </w:p>
    <w:p w14:paraId="1597D9AC">
      <w:pPr>
        <w:spacing w:line="200" w:lineRule="exact"/>
        <w:rPr>
          <w:rFonts w:hint="eastAsia" w:ascii="宋体" w:hAnsi="宋体" w:eastAsia="宋体" w:cs="宋体"/>
          <w:color w:val="auto"/>
          <w:sz w:val="20"/>
          <w:szCs w:val="20"/>
          <w:highlight w:val="none"/>
        </w:rPr>
      </w:pPr>
    </w:p>
    <w:p w14:paraId="4A683ADC">
      <w:pPr>
        <w:spacing w:line="200" w:lineRule="exact"/>
        <w:rPr>
          <w:rFonts w:hint="eastAsia" w:ascii="宋体" w:hAnsi="宋体" w:eastAsia="宋体" w:cs="宋体"/>
          <w:color w:val="auto"/>
          <w:sz w:val="20"/>
          <w:szCs w:val="20"/>
          <w:highlight w:val="none"/>
        </w:rPr>
      </w:pPr>
    </w:p>
    <w:p w14:paraId="74327B31">
      <w:pPr>
        <w:spacing w:line="200" w:lineRule="exact"/>
        <w:rPr>
          <w:rFonts w:hint="eastAsia" w:ascii="宋体" w:hAnsi="宋体" w:eastAsia="宋体" w:cs="宋体"/>
          <w:color w:val="auto"/>
          <w:sz w:val="20"/>
          <w:szCs w:val="20"/>
          <w:highlight w:val="none"/>
        </w:rPr>
      </w:pPr>
    </w:p>
    <w:p w14:paraId="0720886C">
      <w:pPr>
        <w:spacing w:line="200" w:lineRule="exact"/>
        <w:rPr>
          <w:rFonts w:hint="eastAsia" w:ascii="宋体" w:hAnsi="宋体" w:eastAsia="宋体" w:cs="宋体"/>
          <w:color w:val="auto"/>
          <w:sz w:val="20"/>
          <w:szCs w:val="20"/>
          <w:highlight w:val="none"/>
        </w:rPr>
      </w:pPr>
    </w:p>
    <w:p w14:paraId="7D7037A4">
      <w:pPr>
        <w:spacing w:line="200" w:lineRule="exact"/>
        <w:rPr>
          <w:rFonts w:hint="eastAsia" w:ascii="宋体" w:hAnsi="宋体" w:eastAsia="宋体" w:cs="宋体"/>
          <w:color w:val="auto"/>
          <w:sz w:val="20"/>
          <w:szCs w:val="20"/>
          <w:highlight w:val="none"/>
        </w:rPr>
      </w:pPr>
    </w:p>
    <w:p w14:paraId="46DE1948">
      <w:pPr>
        <w:spacing w:line="200" w:lineRule="exact"/>
        <w:rPr>
          <w:rFonts w:hint="eastAsia" w:ascii="宋体" w:hAnsi="宋体" w:eastAsia="宋体" w:cs="宋体"/>
          <w:color w:val="auto"/>
          <w:sz w:val="20"/>
          <w:szCs w:val="20"/>
          <w:highlight w:val="none"/>
        </w:rPr>
      </w:pPr>
    </w:p>
    <w:p w14:paraId="72AE811F">
      <w:pPr>
        <w:spacing w:line="200" w:lineRule="exact"/>
        <w:rPr>
          <w:rFonts w:hint="eastAsia" w:ascii="宋体" w:hAnsi="宋体" w:eastAsia="宋体" w:cs="宋体"/>
          <w:color w:val="auto"/>
          <w:sz w:val="20"/>
          <w:szCs w:val="20"/>
          <w:highlight w:val="none"/>
        </w:rPr>
      </w:pPr>
    </w:p>
    <w:p w14:paraId="7CEC9901">
      <w:pPr>
        <w:spacing w:line="200" w:lineRule="exact"/>
        <w:rPr>
          <w:rFonts w:hint="eastAsia" w:ascii="宋体" w:hAnsi="宋体" w:eastAsia="宋体" w:cs="宋体"/>
          <w:color w:val="auto"/>
          <w:sz w:val="20"/>
          <w:szCs w:val="20"/>
          <w:highlight w:val="none"/>
        </w:rPr>
      </w:pPr>
    </w:p>
    <w:p w14:paraId="5EF0C4A3">
      <w:pPr>
        <w:spacing w:line="200" w:lineRule="exact"/>
        <w:rPr>
          <w:rFonts w:hint="eastAsia" w:ascii="宋体" w:hAnsi="宋体" w:eastAsia="宋体" w:cs="宋体"/>
          <w:color w:val="auto"/>
          <w:sz w:val="20"/>
          <w:szCs w:val="20"/>
          <w:highlight w:val="none"/>
        </w:rPr>
      </w:pPr>
    </w:p>
    <w:p w14:paraId="5D9D841E">
      <w:pPr>
        <w:spacing w:line="200" w:lineRule="exact"/>
        <w:rPr>
          <w:rFonts w:hint="eastAsia" w:ascii="宋体" w:hAnsi="宋体" w:eastAsia="宋体" w:cs="宋体"/>
          <w:color w:val="auto"/>
          <w:sz w:val="20"/>
          <w:szCs w:val="20"/>
          <w:highlight w:val="none"/>
        </w:rPr>
      </w:pPr>
    </w:p>
    <w:p w14:paraId="7FA69038">
      <w:pPr>
        <w:spacing w:line="200" w:lineRule="exact"/>
        <w:rPr>
          <w:rFonts w:hint="eastAsia" w:ascii="宋体" w:hAnsi="宋体" w:eastAsia="宋体" w:cs="宋体"/>
          <w:color w:val="auto"/>
          <w:sz w:val="20"/>
          <w:szCs w:val="20"/>
          <w:highlight w:val="none"/>
        </w:rPr>
      </w:pPr>
    </w:p>
    <w:p w14:paraId="7B9E8B98">
      <w:pPr>
        <w:spacing w:line="200" w:lineRule="exact"/>
        <w:rPr>
          <w:rFonts w:hint="eastAsia" w:ascii="宋体" w:hAnsi="宋体" w:eastAsia="宋体" w:cs="宋体"/>
          <w:color w:val="auto"/>
          <w:sz w:val="20"/>
          <w:szCs w:val="20"/>
          <w:highlight w:val="none"/>
        </w:rPr>
      </w:pPr>
    </w:p>
    <w:p w14:paraId="1EBD8324">
      <w:pPr>
        <w:spacing w:line="274" w:lineRule="exact"/>
        <w:rPr>
          <w:rFonts w:hint="eastAsia" w:ascii="宋体" w:hAnsi="宋体" w:eastAsia="宋体" w:cs="宋体"/>
          <w:color w:val="auto"/>
          <w:sz w:val="20"/>
          <w:szCs w:val="20"/>
          <w:highlight w:val="none"/>
        </w:rPr>
      </w:pPr>
    </w:p>
    <w:p w14:paraId="310288EE">
      <w:pPr>
        <w:tabs>
          <w:tab w:val="left" w:pos="4900"/>
        </w:tabs>
        <w:spacing w:line="320" w:lineRule="exact"/>
        <w:ind w:left="15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p>
    <w:p w14:paraId="5E5FF57E">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1694815</wp:posOffset>
                </wp:positionH>
                <wp:positionV relativeFrom="paragraph">
                  <wp:posOffset>3175</wp:posOffset>
                </wp:positionV>
                <wp:extent cx="36461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46170" cy="0"/>
                        </a:xfrm>
                        <a:prstGeom prst="line">
                          <a:avLst/>
                        </a:prstGeom>
                        <a:noFill/>
                        <a:ln w="9143">
                          <a:solidFill>
                            <a:srgbClr val="000000"/>
                          </a:solidFill>
                          <a:round/>
                        </a:ln>
                        <a:effectLst/>
                      </wps:spPr>
                      <wps:bodyPr/>
                    </wps:wsp>
                  </a:graphicData>
                </a:graphic>
              </wp:anchor>
            </w:drawing>
          </mc:Choice>
          <mc:Fallback>
            <w:pict>
              <v:line id="_x0000_s1026" o:spid="_x0000_s1026" o:spt="20" style="position:absolute;left:0pt;margin-left:133.45pt;margin-top:0.25pt;height:0pt;width:287.1pt;z-index:251662336;mso-width-relative:page;mso-height-relative:page;" filled="f" stroked="t" coordsize="21600,21600" o:allowincell="f" o:gfxdata="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2CX7dQA&#10;AAAFAQAADwAAAAAAAAABACAAAAAiAAAAZHJzL2Rvd25yZXYueG1sUEsBAhQAFAAAAAgAh07iQBk2&#10;/JPqAQAAuAMAAA4AAAAAAAAAAQAgAAAAIwEAAGRycy9lMm9Eb2MueG1sUEsFBgAAAAAGAAYAWQEA&#10;AH8FAAAAAA==&#10;">
                <v:fill on="f" focussize="0,0"/>
                <v:stroke weight="0.71992125984252pt" color="#000000" joinstyle="round"/>
                <v:imagedata o:title=""/>
                <o:lock v:ext="edit" aspectratio="f"/>
              </v:line>
            </w:pict>
          </mc:Fallback>
        </mc:AlternateContent>
      </w:r>
    </w:p>
    <w:p w14:paraId="56456E0F">
      <w:pPr>
        <w:spacing w:line="206" w:lineRule="exact"/>
        <w:rPr>
          <w:rFonts w:hint="eastAsia" w:ascii="宋体" w:hAnsi="宋体" w:eastAsia="宋体" w:cs="宋体"/>
          <w:color w:val="auto"/>
          <w:sz w:val="20"/>
          <w:szCs w:val="20"/>
          <w:highlight w:val="none"/>
        </w:rPr>
      </w:pPr>
    </w:p>
    <w:p w14:paraId="39A293A0">
      <w:pPr>
        <w:tabs>
          <w:tab w:val="left" w:pos="2100"/>
          <w:tab w:val="left" w:pos="3760"/>
          <w:tab w:val="left" w:pos="5300"/>
          <w:tab w:val="left" w:pos="6720"/>
        </w:tabs>
        <w:spacing w:line="320" w:lineRule="exact"/>
        <w:ind w:left="15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期：</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年</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日</w:t>
      </w:r>
    </w:p>
    <w:p w14:paraId="1189D445">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1694815</wp:posOffset>
                </wp:positionH>
                <wp:positionV relativeFrom="paragraph">
                  <wp:posOffset>3175</wp:posOffset>
                </wp:positionV>
                <wp:extent cx="71056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710565"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133.45pt;margin-top:0.25pt;height:0pt;width:55.95pt;z-index:251663360;mso-width-relative:page;mso-height-relative:page;" filled="f" stroked="t" coordsize="21600,21600" o:allowincell="f" o:gfxdata="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2rD0tMAAAAF&#10;AQAADwAAAAAAAAABACAAAAAiAAAAZHJzL2Rvd25yZXYueG1sUEsBAhQAFAAAAAgAh07iQDrMpo/o&#10;AQAAtwMAAA4AAAAAAAAAAQAgAAAAIgEAAGRycy9lMm9Eb2MueG1sUEsFBgAAAAAGAAYAWQEAAHwF&#10;AAAAAA==&#10;">
                <v:fill on="f" focussize="0,0"/>
                <v:stroke weight="0.72pt"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2583815</wp:posOffset>
                </wp:positionH>
                <wp:positionV relativeFrom="paragraph">
                  <wp:posOffset>3175</wp:posOffset>
                </wp:positionV>
                <wp:extent cx="800100" cy="0"/>
                <wp:effectExtent l="0" t="4445" r="0" b="508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203.45pt;margin-top:0.25pt;height:0pt;width:63pt;z-index:251664384;mso-width-relative:page;mso-height-relative:page;" filled="f" stroked="t" coordsize="21600,21600" o:allowincell="f" o:gfxdata="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fuGrSAAAABQEA&#10;AA8AAAAAAAAAAQAgAAAAIgAAAGRycy9kb3ducmV2LnhtbFBLAQIUABQAAAAIAIdO4kD5OsYa5wEA&#10;ALkDAAAOAAAAAAAAAAEAIAAAACEBAABkcnMvZTJvRG9jLnhtbFBLBQYAAAAABgAGAFkBAAB6BQAA&#10;AAA=&#10;">
                <v:fill on="f" focussize="0,0"/>
                <v:stroke weight="0.72pt"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3562350</wp:posOffset>
                </wp:positionH>
                <wp:positionV relativeFrom="paragraph">
                  <wp:posOffset>3175</wp:posOffset>
                </wp:positionV>
                <wp:extent cx="711835" cy="0"/>
                <wp:effectExtent l="0" t="4445" r="0" b="50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280.5pt;margin-top:0.25pt;height:0pt;width:56.05pt;z-index:251665408;mso-width-relative:page;mso-height-relative:page;" filled="f" stroked="t" coordsize="21600,21600" o:allowincell="f" o:gfxdata="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Ml9XTAAAA&#10;BQEAAA8AAAAAAAAAAQAgAAAAIgAAAGRycy9kb3ducmV2LnhtbFBLAQIUABQAAAAIAIdO4kBtsafv&#10;6QEAALkDAAAOAAAAAAAAAAEAIAAAACIBAABkcnMvZTJvRG9jLnhtbFBLBQYAAAAABgAGAFkBAAB9&#10;BQAAAAA=&#10;">
                <v:fill on="f" focussize="0,0"/>
                <v:stroke weight="0.72pt" color="#000000" joinstyle="round"/>
                <v:imagedata o:title=""/>
                <o:lock v:ext="edit" aspectratio="f"/>
              </v:line>
            </w:pict>
          </mc:Fallback>
        </mc:AlternateContent>
      </w:r>
    </w:p>
    <w:p w14:paraId="6630A8B0">
      <w:pPr>
        <w:spacing w:line="200" w:lineRule="exact"/>
        <w:rPr>
          <w:rFonts w:hint="eastAsia" w:ascii="宋体" w:hAnsi="宋体" w:eastAsia="宋体" w:cs="宋体"/>
          <w:color w:val="auto"/>
          <w:sz w:val="20"/>
          <w:szCs w:val="20"/>
          <w:highlight w:val="none"/>
        </w:rPr>
      </w:pPr>
    </w:p>
    <w:p w14:paraId="35BAB42B">
      <w:pPr>
        <w:spacing w:line="200" w:lineRule="exact"/>
        <w:rPr>
          <w:rFonts w:hint="eastAsia" w:ascii="宋体" w:hAnsi="宋体" w:eastAsia="宋体" w:cs="宋体"/>
          <w:color w:val="auto"/>
          <w:sz w:val="20"/>
          <w:szCs w:val="20"/>
          <w:highlight w:val="none"/>
        </w:rPr>
      </w:pPr>
    </w:p>
    <w:p w14:paraId="24792D4C">
      <w:pPr>
        <w:rPr>
          <w:rFonts w:hint="eastAsia" w:ascii="宋体" w:hAnsi="宋体" w:eastAsia="宋体" w:cs="宋体"/>
          <w:color w:val="auto"/>
          <w:highlight w:val="none"/>
        </w:rPr>
      </w:pPr>
    </w:p>
    <w:p w14:paraId="6C924549">
      <w:pPr>
        <w:rPr>
          <w:rFonts w:hint="eastAsia" w:ascii="宋体" w:hAnsi="宋体" w:eastAsia="宋体" w:cs="宋体"/>
          <w:color w:val="auto"/>
          <w:highlight w:val="none"/>
        </w:rPr>
      </w:pPr>
    </w:p>
    <w:p w14:paraId="6203E481">
      <w:pPr>
        <w:rPr>
          <w:rFonts w:hint="eastAsia" w:ascii="宋体" w:hAnsi="宋体" w:eastAsia="宋体" w:cs="宋体"/>
          <w:color w:val="auto"/>
          <w:highlight w:val="none"/>
        </w:rPr>
      </w:pPr>
    </w:p>
    <w:p w14:paraId="67C7EE72">
      <w:pPr>
        <w:spacing w:line="360" w:lineRule="auto"/>
        <w:jc w:val="center"/>
        <w:outlineLvl w:val="0"/>
        <w:rPr>
          <w:rFonts w:hint="eastAsia" w:ascii="宋体" w:hAnsi="宋体" w:eastAsia="宋体" w:cs="宋体"/>
          <w:b/>
          <w:color w:val="auto"/>
          <w:kern w:val="0"/>
          <w:sz w:val="36"/>
          <w:szCs w:val="36"/>
          <w:highlight w:val="none"/>
        </w:rPr>
      </w:pPr>
    </w:p>
    <w:p w14:paraId="488F3597">
      <w:pPr>
        <w:spacing w:line="360" w:lineRule="auto"/>
        <w:jc w:val="center"/>
        <w:outlineLvl w:val="0"/>
        <w:rPr>
          <w:rFonts w:hint="eastAsia" w:ascii="宋体" w:hAnsi="宋体" w:eastAsia="宋体" w:cs="宋体"/>
          <w:b/>
          <w:color w:val="auto"/>
          <w:kern w:val="0"/>
          <w:sz w:val="36"/>
          <w:szCs w:val="36"/>
          <w:highlight w:val="none"/>
        </w:rPr>
      </w:pPr>
    </w:p>
    <w:p w14:paraId="368B0D5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CB0D72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017D0B">
      <w:pPr>
        <w:spacing w:line="360" w:lineRule="auto"/>
        <w:jc w:val="center"/>
        <w:outlineLvl w:val="0"/>
        <w:rPr>
          <w:rFonts w:hint="eastAsia" w:ascii="宋体" w:hAnsi="宋体" w:eastAsia="宋体" w:cs="宋体"/>
          <w:b/>
          <w:color w:val="auto"/>
          <w:kern w:val="0"/>
          <w:sz w:val="36"/>
          <w:szCs w:val="36"/>
          <w:highlight w:val="none"/>
        </w:rPr>
      </w:pPr>
    </w:p>
    <w:p w14:paraId="332943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snapToGrid w:val="0"/>
          <w:color w:val="auto"/>
          <w:kern w:val="28"/>
          <w:sz w:val="24"/>
          <w:szCs w:val="20"/>
          <w:highlight w:val="none"/>
        </w:rPr>
        <w:t>强制性资格条件表</w:t>
      </w:r>
      <w:r>
        <w:rPr>
          <w:rFonts w:hint="eastAsia" w:ascii="宋体" w:hAnsi="宋体" w:eastAsia="宋体" w:cs="宋体"/>
          <w:color w:val="auto"/>
          <w:sz w:val="24"/>
          <w:highlight w:val="none"/>
        </w:rPr>
        <w:t>…………………………………………………</w:t>
      </w:r>
      <w:r>
        <w:rPr>
          <w:rFonts w:hint="eastAsia" w:ascii="宋体" w:hAnsi="宋体" w:eastAsia="宋体" w:cs="宋体"/>
          <w:sz w:val="24"/>
        </w:rPr>
        <w:t>…………</w:t>
      </w:r>
      <w:r>
        <w:rPr>
          <w:rFonts w:hint="eastAsia" w:ascii="宋体" w:hAnsi="宋体" w:eastAsia="宋体" w:cs="宋体"/>
          <w:color w:val="auto"/>
          <w:sz w:val="24"/>
          <w:highlight w:val="none"/>
        </w:rPr>
        <w:t>…（页码）</w:t>
      </w:r>
    </w:p>
    <w:p w14:paraId="37A5FDF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符合参加采购活动应当具备的一般条件的承诺函………………</w:t>
      </w:r>
      <w:r>
        <w:rPr>
          <w:rFonts w:hint="eastAsia" w:ascii="宋体" w:hAnsi="宋体" w:eastAsia="宋体" w:cs="宋体"/>
          <w:sz w:val="24"/>
        </w:rPr>
        <w:t>…………</w:t>
      </w:r>
      <w:r>
        <w:rPr>
          <w:rFonts w:hint="eastAsia" w:ascii="宋体" w:hAnsi="宋体" w:eastAsia="宋体" w:cs="宋体"/>
          <w:color w:val="auto"/>
          <w:sz w:val="24"/>
          <w:highlight w:val="none"/>
        </w:rPr>
        <w:t>…（页码）</w:t>
      </w:r>
    </w:p>
    <w:p w14:paraId="38F986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ascii="宋体" w:hAnsi="宋体" w:eastAsia="宋体" w:cs="宋体"/>
          <w:sz w:val="24"/>
        </w:rPr>
        <w:t>…………</w:t>
      </w:r>
      <w:r>
        <w:rPr>
          <w:rFonts w:hint="eastAsia" w:ascii="宋体" w:hAnsi="宋体" w:eastAsia="宋体" w:cs="宋体"/>
          <w:color w:val="auto"/>
          <w:sz w:val="24"/>
          <w:highlight w:val="none"/>
        </w:rPr>
        <w:t>（页码）</w:t>
      </w:r>
    </w:p>
    <w:p w14:paraId="56564226">
      <w:pPr>
        <w:snapToGrid w:val="0"/>
        <w:spacing w:line="360" w:lineRule="auto"/>
        <w:ind w:firstLine="480" w:firstLineChars="200"/>
        <w:rPr>
          <w:rFonts w:hint="eastAsia" w:ascii="宋体" w:hAnsi="宋体" w:eastAsia="宋体" w:cs="宋体"/>
          <w:color w:val="auto"/>
          <w:sz w:val="24"/>
          <w:highlight w:val="none"/>
        </w:rPr>
      </w:pPr>
    </w:p>
    <w:p w14:paraId="736D4426">
      <w:pPr>
        <w:snapToGrid w:val="0"/>
        <w:spacing w:line="360" w:lineRule="auto"/>
        <w:ind w:firstLine="480" w:firstLineChars="200"/>
        <w:rPr>
          <w:rFonts w:hint="eastAsia" w:ascii="宋体" w:hAnsi="宋体" w:eastAsia="宋体" w:cs="宋体"/>
          <w:color w:val="auto"/>
          <w:sz w:val="24"/>
          <w:highlight w:val="none"/>
        </w:rPr>
      </w:pPr>
    </w:p>
    <w:p w14:paraId="347FAAF9">
      <w:pPr>
        <w:snapToGrid w:val="0"/>
        <w:spacing w:line="360" w:lineRule="auto"/>
        <w:ind w:firstLine="480" w:firstLineChars="200"/>
        <w:rPr>
          <w:rFonts w:hint="eastAsia" w:ascii="宋体" w:hAnsi="宋体" w:eastAsia="宋体" w:cs="宋体"/>
          <w:color w:val="auto"/>
          <w:sz w:val="24"/>
          <w:highlight w:val="none"/>
        </w:rPr>
      </w:pPr>
    </w:p>
    <w:p w14:paraId="1570614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14:paraId="046EC54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1、投标人必须认真填写招标文件规定的所有表格，并对其真实性负责，招标人有权对其进行调查核实和要求澄清。</w:t>
      </w:r>
    </w:p>
    <w:p w14:paraId="2E45BF0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9D29478">
      <w:pPr>
        <w:snapToGrid w:val="0"/>
        <w:spacing w:line="360" w:lineRule="auto"/>
        <w:ind w:firstLine="480" w:firstLineChars="200"/>
        <w:rPr>
          <w:rFonts w:hint="eastAsia" w:ascii="宋体" w:hAnsi="宋体" w:eastAsia="宋体" w:cs="宋体"/>
          <w:color w:val="auto"/>
          <w:sz w:val="24"/>
          <w:highlight w:val="none"/>
        </w:rPr>
      </w:pPr>
    </w:p>
    <w:p w14:paraId="08DDC1E0">
      <w:pPr>
        <w:snapToGrid w:val="0"/>
        <w:spacing w:line="360" w:lineRule="auto"/>
        <w:ind w:firstLine="480" w:firstLineChars="200"/>
        <w:rPr>
          <w:rFonts w:hint="eastAsia" w:ascii="宋体" w:hAnsi="宋体" w:eastAsia="宋体" w:cs="宋体"/>
          <w:color w:val="auto"/>
          <w:sz w:val="24"/>
          <w:highlight w:val="none"/>
        </w:rPr>
      </w:pPr>
    </w:p>
    <w:p w14:paraId="14022D3A">
      <w:pPr>
        <w:snapToGrid w:val="0"/>
        <w:spacing w:line="360" w:lineRule="auto"/>
        <w:ind w:firstLine="480" w:firstLineChars="200"/>
        <w:rPr>
          <w:rFonts w:hint="eastAsia" w:ascii="宋体" w:hAnsi="宋体" w:eastAsia="宋体" w:cs="宋体"/>
          <w:color w:val="auto"/>
          <w:sz w:val="24"/>
          <w:highlight w:val="none"/>
        </w:rPr>
      </w:pPr>
    </w:p>
    <w:p w14:paraId="7BC6D427">
      <w:pPr>
        <w:snapToGrid w:val="0"/>
        <w:spacing w:line="360" w:lineRule="auto"/>
        <w:ind w:firstLine="480" w:firstLineChars="200"/>
        <w:rPr>
          <w:rFonts w:hint="eastAsia" w:ascii="宋体" w:hAnsi="宋体" w:eastAsia="宋体" w:cs="宋体"/>
          <w:color w:val="auto"/>
          <w:sz w:val="24"/>
          <w:highlight w:val="none"/>
        </w:rPr>
      </w:pPr>
    </w:p>
    <w:p w14:paraId="258CFD9D">
      <w:pPr>
        <w:snapToGrid w:val="0"/>
        <w:spacing w:line="360" w:lineRule="auto"/>
        <w:ind w:firstLine="480" w:firstLineChars="200"/>
        <w:rPr>
          <w:rFonts w:hint="eastAsia" w:ascii="宋体" w:hAnsi="宋体" w:eastAsia="宋体" w:cs="宋体"/>
          <w:color w:val="auto"/>
          <w:sz w:val="24"/>
          <w:highlight w:val="none"/>
        </w:rPr>
      </w:pPr>
    </w:p>
    <w:p w14:paraId="42947845">
      <w:pPr>
        <w:snapToGrid w:val="0"/>
        <w:spacing w:line="360" w:lineRule="auto"/>
        <w:ind w:firstLine="480" w:firstLineChars="200"/>
        <w:rPr>
          <w:rFonts w:hint="eastAsia" w:ascii="宋体" w:hAnsi="宋体" w:eastAsia="宋体" w:cs="宋体"/>
          <w:color w:val="auto"/>
          <w:sz w:val="24"/>
          <w:highlight w:val="none"/>
        </w:rPr>
      </w:pPr>
    </w:p>
    <w:p w14:paraId="01805F2B">
      <w:pPr>
        <w:snapToGrid w:val="0"/>
        <w:spacing w:line="360" w:lineRule="auto"/>
        <w:ind w:firstLine="480" w:firstLineChars="200"/>
        <w:rPr>
          <w:rFonts w:hint="eastAsia" w:ascii="宋体" w:hAnsi="宋体" w:eastAsia="宋体" w:cs="宋体"/>
          <w:color w:val="auto"/>
          <w:sz w:val="24"/>
          <w:highlight w:val="none"/>
        </w:rPr>
      </w:pPr>
    </w:p>
    <w:p w14:paraId="67D74BCD">
      <w:pPr>
        <w:snapToGrid w:val="0"/>
        <w:spacing w:line="360" w:lineRule="auto"/>
        <w:ind w:firstLine="480" w:firstLineChars="200"/>
        <w:rPr>
          <w:rFonts w:hint="eastAsia" w:ascii="宋体" w:hAnsi="宋体" w:eastAsia="宋体" w:cs="宋体"/>
          <w:color w:val="auto"/>
          <w:sz w:val="24"/>
          <w:highlight w:val="none"/>
        </w:rPr>
      </w:pPr>
    </w:p>
    <w:p w14:paraId="712D979F">
      <w:pPr>
        <w:snapToGrid w:val="0"/>
        <w:spacing w:line="360" w:lineRule="auto"/>
        <w:ind w:firstLine="480" w:firstLineChars="200"/>
        <w:rPr>
          <w:rFonts w:hint="eastAsia" w:ascii="宋体" w:hAnsi="宋体" w:eastAsia="宋体" w:cs="宋体"/>
          <w:color w:val="auto"/>
          <w:sz w:val="24"/>
          <w:highlight w:val="none"/>
        </w:rPr>
      </w:pPr>
    </w:p>
    <w:p w14:paraId="04802826">
      <w:pPr>
        <w:snapToGrid w:val="0"/>
        <w:spacing w:line="360" w:lineRule="auto"/>
        <w:ind w:firstLine="480" w:firstLineChars="200"/>
        <w:rPr>
          <w:rFonts w:hint="eastAsia" w:ascii="宋体" w:hAnsi="宋体" w:eastAsia="宋体" w:cs="宋体"/>
          <w:color w:val="auto"/>
          <w:sz w:val="24"/>
          <w:highlight w:val="none"/>
        </w:rPr>
      </w:pPr>
    </w:p>
    <w:p w14:paraId="1EEAB74B">
      <w:pPr>
        <w:pStyle w:val="33"/>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一、</w:t>
      </w:r>
      <w:r>
        <w:rPr>
          <w:rFonts w:hint="eastAsia" w:ascii="宋体" w:hAnsi="宋体" w:eastAsia="宋体" w:cs="宋体"/>
          <w:b/>
          <w:bCs/>
          <w:color w:val="auto"/>
          <w:sz w:val="32"/>
          <w:highlight w:val="none"/>
        </w:rPr>
        <w:t>强制性资格条件表</w:t>
      </w:r>
    </w:p>
    <w:tbl>
      <w:tblPr>
        <w:tblStyle w:val="63"/>
        <w:tblW w:w="90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1639"/>
        <w:gridCol w:w="3082"/>
      </w:tblGrid>
      <w:tr w14:paraId="3D34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74FFA596">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强制性资格条件</w:t>
            </w:r>
          </w:p>
        </w:tc>
        <w:tc>
          <w:tcPr>
            <w:tcW w:w="1639" w:type="dxa"/>
            <w:noWrap w:val="0"/>
            <w:vAlign w:val="center"/>
          </w:tcPr>
          <w:p w14:paraId="2E572D1A">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投标人对能达到程度的简述（投标人填写）</w:t>
            </w:r>
          </w:p>
        </w:tc>
        <w:tc>
          <w:tcPr>
            <w:tcW w:w="3082" w:type="dxa"/>
            <w:noWrap w:val="0"/>
            <w:vAlign w:val="center"/>
          </w:tcPr>
          <w:p w14:paraId="6D8672F8">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证明资料附后（盖单位公章）</w:t>
            </w:r>
          </w:p>
        </w:tc>
      </w:tr>
      <w:tr w14:paraId="0BFE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2B590AB9">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不含港、澳、台地区）注册，具有独立法人资格/具有独立承担民事责任的能力（提供营业执照（或者事业单位法人证书、社会团体法人登记证书、其他组织登记证明文件，下同）副本复印件（加盖公章），保险、金融、电信、通信特殊行业可视行业实际情况提供非独立法人的分公司登记证书及上级总公司唯一授权相关证明材料的复印件（加盖公章））；</w:t>
            </w:r>
          </w:p>
        </w:tc>
        <w:tc>
          <w:tcPr>
            <w:tcW w:w="1639" w:type="dxa"/>
            <w:noWrap w:val="0"/>
            <w:vAlign w:val="center"/>
          </w:tcPr>
          <w:p w14:paraId="4378C98B">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1F93BCE0">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z w:val="24"/>
                <w:szCs w:val="24"/>
                <w:highlight w:val="none"/>
                <w:lang w:val="zh-CN"/>
              </w:rPr>
              <w:t>须提供有效期内的营业执照副本复印件</w:t>
            </w:r>
            <w:r>
              <w:rPr>
                <w:rFonts w:hint="eastAsia" w:ascii="宋体" w:hAnsi="宋体" w:eastAsia="宋体" w:cs="宋体"/>
                <w:color w:val="auto"/>
                <w:sz w:val="24"/>
                <w:szCs w:val="24"/>
                <w:highlight w:val="none"/>
              </w:rPr>
              <w:t>（或者事业单位法人证书、社会团体法人登记证书、其他组织登记证明文件</w:t>
            </w:r>
            <w:r>
              <w:rPr>
                <w:rFonts w:hint="eastAsia" w:ascii="宋体" w:hAnsi="宋体" w:eastAsia="宋体" w:cs="宋体"/>
                <w:color w:val="auto"/>
                <w:sz w:val="24"/>
                <w:szCs w:val="24"/>
                <w:highlight w:val="none"/>
                <w:lang w:eastAsia="zh-CN"/>
              </w:rPr>
              <w:t>）</w:t>
            </w:r>
          </w:p>
        </w:tc>
      </w:tr>
      <w:tr w14:paraId="716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25C1C139">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lang w:val="zh-CN"/>
              </w:rPr>
              <w:t>与招标人存在利害关系可能影响招标公正性的单位，不得参加本项目投标。单位负责人为同一人或者存在控股、管理关系的不同单位，不得同时参加本招标项目投标/不得参加本招标项目同一标段投标；</w:t>
            </w:r>
          </w:p>
        </w:tc>
        <w:tc>
          <w:tcPr>
            <w:tcW w:w="1639" w:type="dxa"/>
            <w:noWrap w:val="0"/>
            <w:vAlign w:val="center"/>
          </w:tcPr>
          <w:p w14:paraId="0795062C">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auto"/>
                <w:sz w:val="24"/>
                <w:szCs w:val="24"/>
                <w:highlight w:val="none"/>
              </w:rPr>
            </w:pPr>
          </w:p>
        </w:tc>
        <w:tc>
          <w:tcPr>
            <w:tcW w:w="3082" w:type="dxa"/>
            <w:noWrap w:val="0"/>
            <w:vAlign w:val="center"/>
          </w:tcPr>
          <w:p w14:paraId="0C6E83A2">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】与招标人无利害关系的声明函</w:t>
            </w:r>
          </w:p>
          <w:p w14:paraId="077C8915">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】与其他投标人无利害关系的声明函</w:t>
            </w:r>
          </w:p>
          <w:p w14:paraId="5390AD0E">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】主要股东或出资人信息</w:t>
            </w:r>
          </w:p>
        </w:tc>
      </w:tr>
      <w:tr w14:paraId="551F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shd w:val="clear" w:color="auto" w:fill="auto"/>
            <w:noWrap w:val="0"/>
            <w:vAlign w:val="center"/>
          </w:tcPr>
          <w:p w14:paraId="61B0DE4F">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cs="宋体"/>
                <w:bCs/>
                <w:color w:val="auto"/>
                <w:sz w:val="24"/>
                <w:szCs w:val="24"/>
                <w:highlight w:val="none"/>
                <w:lang w:val="en-US" w:eastAsia="zh-CN"/>
              </w:rPr>
              <w:t>集团公司与其全资子公司或控股子公司，</w:t>
            </w:r>
            <w:r>
              <w:rPr>
                <w:rFonts w:hint="eastAsia" w:ascii="宋体" w:hAnsi="宋体" w:eastAsia="宋体" w:cs="宋体"/>
                <w:snapToGrid w:val="0"/>
                <w:color w:val="auto"/>
                <w:kern w:val="28"/>
                <w:sz w:val="24"/>
                <w:szCs w:val="24"/>
                <w:highlight w:val="none"/>
                <w:lang w:eastAsia="zh-CN"/>
              </w:rPr>
              <w:t>不得同时参加本招标项目投标</w:t>
            </w:r>
            <w:r>
              <w:rPr>
                <w:rFonts w:hint="eastAsia" w:ascii="宋体" w:hAnsi="宋体" w:cs="宋体"/>
                <w:snapToGrid w:val="0"/>
                <w:color w:val="auto"/>
                <w:kern w:val="28"/>
                <w:sz w:val="24"/>
                <w:szCs w:val="24"/>
                <w:highlight w:val="none"/>
                <w:lang w:val="en-US" w:eastAsia="zh-CN"/>
              </w:rPr>
              <w:t>/</w:t>
            </w:r>
            <w:r>
              <w:rPr>
                <w:rFonts w:hint="eastAsia" w:ascii="宋体" w:hAnsi="宋体" w:eastAsia="宋体" w:cs="宋体"/>
                <w:snapToGrid w:val="0"/>
                <w:color w:val="auto"/>
                <w:kern w:val="28"/>
                <w:sz w:val="24"/>
                <w:szCs w:val="24"/>
                <w:highlight w:val="none"/>
                <w:lang w:eastAsia="zh-CN"/>
              </w:rPr>
              <w:t>不得参加本招标项目同一标段投标</w:t>
            </w:r>
            <w:r>
              <w:rPr>
                <w:rFonts w:hint="eastAsia" w:ascii="宋体" w:hAnsi="宋体" w:cs="宋体"/>
                <w:snapToGrid w:val="0"/>
                <w:color w:val="auto"/>
                <w:kern w:val="28"/>
                <w:sz w:val="24"/>
                <w:szCs w:val="24"/>
                <w:highlight w:val="none"/>
                <w:lang w:eastAsia="zh-CN"/>
              </w:rPr>
              <w:t>；</w:t>
            </w:r>
          </w:p>
        </w:tc>
        <w:tc>
          <w:tcPr>
            <w:tcW w:w="1639" w:type="dxa"/>
            <w:shd w:val="clear" w:color="auto" w:fill="auto"/>
            <w:noWrap w:val="0"/>
            <w:vAlign w:val="center"/>
          </w:tcPr>
          <w:p w14:paraId="0915006E">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sz w:val="24"/>
                <w:szCs w:val="24"/>
                <w:highlight w:val="none"/>
                <w:lang w:val="en-US" w:eastAsia="zh-CN" w:bidi="ar-SA"/>
              </w:rPr>
            </w:pPr>
          </w:p>
        </w:tc>
        <w:tc>
          <w:tcPr>
            <w:tcW w:w="3082" w:type="dxa"/>
            <w:shd w:val="clear" w:color="auto" w:fill="auto"/>
            <w:noWrap w:val="0"/>
            <w:vAlign w:val="center"/>
          </w:tcPr>
          <w:p w14:paraId="146841AC">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】无资格要求关联公司参加的声明函</w:t>
            </w:r>
          </w:p>
        </w:tc>
      </w:tr>
      <w:tr w14:paraId="6F5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3DCA069D">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bCs/>
                <w:color w:val="auto"/>
                <w:sz w:val="24"/>
                <w:szCs w:val="24"/>
                <w:highlight w:val="none"/>
              </w:rPr>
              <w:t>未被“信用中国”（www.creditchina.gov.cn)、中国政府采购网（www.ccgp.gov.cn）列入失信被执行人、重大税收违法失信主体、政府采购严重违法失信行为记录名单</w:t>
            </w:r>
          </w:p>
        </w:tc>
        <w:tc>
          <w:tcPr>
            <w:tcW w:w="1639" w:type="dxa"/>
            <w:noWrap w:val="0"/>
            <w:vAlign w:val="center"/>
          </w:tcPr>
          <w:p w14:paraId="1C2355FD">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5E542191">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“信用中国”（www.creditchina.gov.cn)、中国政府采购网（www.ccgp.gov.cn）</w:t>
            </w:r>
            <w:r>
              <w:rPr>
                <w:rFonts w:hint="eastAsia" w:ascii="宋体" w:hAnsi="宋体" w:eastAsia="宋体" w:cs="宋体"/>
                <w:bCs/>
                <w:color w:val="auto"/>
                <w:sz w:val="24"/>
                <w:szCs w:val="24"/>
                <w:highlight w:val="none"/>
                <w:lang w:val="en-US" w:eastAsia="zh-CN"/>
              </w:rPr>
              <w:t>信用查询证明文件</w:t>
            </w:r>
          </w:p>
        </w:tc>
      </w:tr>
      <w:tr w14:paraId="0845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42CFAE4E">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本项目不接受联合体投标。</w:t>
            </w:r>
          </w:p>
        </w:tc>
        <w:tc>
          <w:tcPr>
            <w:tcW w:w="1639" w:type="dxa"/>
            <w:noWrap w:val="0"/>
            <w:vAlign w:val="center"/>
          </w:tcPr>
          <w:p w14:paraId="692EB6A2">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1FC2BB58">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】非联合体的声明函</w:t>
            </w:r>
          </w:p>
        </w:tc>
      </w:tr>
    </w:tbl>
    <w:p w14:paraId="1A92AD8B">
      <w:pPr>
        <w:pageBreakBefore w:val="0"/>
        <w:widowControl w:val="0"/>
        <w:kinsoku/>
        <w:wordWrap/>
        <w:overflowPunct/>
        <w:topLinePunct w:val="0"/>
        <w:autoSpaceDE/>
        <w:autoSpaceDN/>
        <w:bidi w:val="0"/>
        <w:adjustRightInd w:val="0"/>
        <w:snapToGrid w:val="0"/>
        <w:spacing w:line="440" w:lineRule="exact"/>
        <w:ind w:left="0" w:firstLine="0" w:firstLine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注：1、证明材料复印件需齐全，不得缺页，否则证明无效。</w:t>
      </w:r>
    </w:p>
    <w:p w14:paraId="3C43B8B7">
      <w:pPr>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2、证明材料因具备充分性，与要求相对应，否则由此产生的责任和风险投标人承担。</w:t>
      </w:r>
    </w:p>
    <w:p w14:paraId="72F14F3A">
      <w:pPr>
        <w:pageBreakBefore w:val="0"/>
        <w:widowControl w:val="0"/>
        <w:kinsoku/>
        <w:wordWrap/>
        <w:overflowPunct/>
        <w:topLinePunct w:val="0"/>
        <w:autoSpaceDE/>
        <w:autoSpaceDN/>
        <w:bidi w:val="0"/>
        <w:adjustRightInd w:val="0"/>
        <w:spacing w:line="440" w:lineRule="exact"/>
        <w:ind w:left="0" w:firstLine="0" w:firstLineChars="0"/>
        <w:textAlignment w:val="auto"/>
        <w:rPr>
          <w:rFonts w:hint="eastAsia" w:ascii="宋体" w:hAnsi="宋体" w:eastAsia="宋体" w:cs="宋体"/>
          <w:color w:val="auto"/>
          <w:sz w:val="24"/>
          <w:szCs w:val="24"/>
          <w:highlight w:val="none"/>
          <w:lang w:val="zh-CN"/>
        </w:rPr>
      </w:pPr>
      <w:bookmarkStart w:id="393" w:name="_Toc413337003"/>
    </w:p>
    <w:p w14:paraId="48EA8D12">
      <w:pPr>
        <w:pageBreakBefore w:val="0"/>
        <w:widowControl w:val="0"/>
        <w:kinsoku/>
        <w:wordWrap/>
        <w:overflowPunct/>
        <w:topLinePunct w:val="0"/>
        <w:autoSpaceDE/>
        <w:autoSpaceDN/>
        <w:bidi w:val="0"/>
        <w:adjustRightInd w:val="0"/>
        <w:snapToGrid w:val="0"/>
        <w:spacing w:line="440" w:lineRule="exact"/>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7A73078B">
      <w:pPr>
        <w:pageBreakBefore w:val="0"/>
        <w:widowControl w:val="0"/>
        <w:kinsoku/>
        <w:wordWrap/>
        <w:overflowPunct/>
        <w:topLinePunct w:val="0"/>
        <w:autoSpaceDE/>
        <w:autoSpaceDN/>
        <w:bidi w:val="0"/>
        <w:adjustRightInd w:val="0"/>
        <w:spacing w:line="440" w:lineRule="exact"/>
        <w:ind w:left="0" w:firstLine="0" w:firstLineChars="0"/>
        <w:jc w:val="right"/>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法定代表人或者其委托代理人：（签字或盖章）</w:t>
      </w:r>
    </w:p>
    <w:p w14:paraId="6EC83865">
      <w:pPr>
        <w:pageBreakBefore w:val="0"/>
        <w:widowControl w:val="0"/>
        <w:kinsoku/>
        <w:wordWrap/>
        <w:overflowPunct/>
        <w:topLinePunct w:val="0"/>
        <w:autoSpaceDE/>
        <w:autoSpaceDN/>
        <w:bidi w:val="0"/>
        <w:adjustRightInd w:val="0"/>
        <w:spacing w:line="440" w:lineRule="exact"/>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w:t>
      </w: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End w:id="393"/>
    </w:p>
    <w:p w14:paraId="08ED751A">
      <w:pPr>
        <w:pStyle w:val="80"/>
        <w:rPr>
          <w:rFonts w:hint="eastAsia" w:ascii="宋体" w:hAnsi="宋体" w:eastAsia="宋体" w:cs="宋体"/>
        </w:rPr>
      </w:pPr>
    </w:p>
    <w:p w14:paraId="69EAFE19">
      <w:pPr>
        <w:pStyle w:val="6"/>
        <w:pageBreakBefore w:val="0"/>
        <w:widowControl w:val="0"/>
        <w:tabs>
          <w:tab w:val="left" w:pos="720"/>
          <w:tab w:val="clear" w:pos="900"/>
        </w:tabs>
        <w:kinsoku/>
        <w:wordWrap/>
        <w:overflowPunct/>
        <w:topLinePunct w:val="0"/>
        <w:autoSpaceDE/>
        <w:autoSpaceDN/>
        <w:bidi w:val="0"/>
        <w:adjustRightInd w:val="0"/>
        <w:spacing w:before="0" w:after="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p>
    <w:p w14:paraId="7D9425A8">
      <w:pPr>
        <w:pageBreakBefore w:val="0"/>
        <w:widowControl w:val="0"/>
        <w:kinsoku/>
        <w:wordWrap/>
        <w:overflowPunct/>
        <w:topLinePunct w:val="0"/>
        <w:autoSpaceDE/>
        <w:autoSpaceDN/>
        <w:bidi w:val="0"/>
        <w:adjustRightInd w:val="0"/>
        <w:snapToGrid w:val="0"/>
        <w:spacing w:line="440" w:lineRule="exact"/>
        <w:ind w:left="0" w:firstLine="0" w:firstLineChars="0"/>
        <w:jc w:val="center"/>
        <w:textAlignment w:val="auto"/>
        <w:rPr>
          <w:rFonts w:hint="eastAsia" w:ascii="宋体" w:hAnsi="宋体" w:eastAsia="宋体" w:cs="宋体"/>
          <w:b/>
          <w:bCs/>
          <w:color w:val="auto"/>
          <w:sz w:val="24"/>
          <w:szCs w:val="24"/>
          <w:highlight w:val="none"/>
        </w:rPr>
      </w:pPr>
    </w:p>
    <w:p w14:paraId="1FD53227">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与招标人无利害关系的声明函</w:t>
      </w:r>
    </w:p>
    <w:p w14:paraId="06051D94">
      <w:pPr>
        <w:pStyle w:val="33"/>
        <w:adjustRightInd w:val="0"/>
        <w:snapToGrid w:val="0"/>
        <w:spacing w:line="360" w:lineRule="auto"/>
        <w:rPr>
          <w:rFonts w:hint="eastAsia" w:ascii="宋体" w:hAnsi="宋体" w:eastAsia="宋体" w:cs="宋体"/>
          <w:color w:val="auto"/>
          <w:sz w:val="24"/>
          <w:szCs w:val="24"/>
          <w:highlight w:val="none"/>
          <w:u w:val="single"/>
        </w:rPr>
      </w:pPr>
    </w:p>
    <w:p w14:paraId="7AC9FAAA">
      <w:pPr>
        <w:pStyle w:val="33"/>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68419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（项目编号）招标采购活动，我单位与招标人不存在利害关系，不可能因此影响招标公正性。如有虚假，愿意承担相应责任，对此无任何异议。</w:t>
      </w:r>
    </w:p>
    <w:p w14:paraId="165583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3D671C9">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1E1D3FDC">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24BFEAC8">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70B72D9">
      <w:pPr>
        <w:snapToGrid w:val="0"/>
        <w:spacing w:line="300" w:lineRule="auto"/>
        <w:rPr>
          <w:rFonts w:hint="eastAsia" w:ascii="宋体" w:hAnsi="宋体" w:eastAsia="宋体" w:cs="宋体"/>
          <w:color w:val="auto"/>
          <w:sz w:val="24"/>
          <w:szCs w:val="24"/>
          <w:highlight w:val="none"/>
        </w:rPr>
      </w:pPr>
    </w:p>
    <w:p w14:paraId="71BD2716">
      <w:pPr>
        <w:pStyle w:val="6"/>
        <w:tabs>
          <w:tab w:val="left" w:pos="720"/>
          <w:tab w:val="clear" w:pos="9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14:paraId="54F89E01">
      <w:pPr>
        <w:snapToGrid w:val="0"/>
        <w:spacing w:line="300" w:lineRule="auto"/>
        <w:ind w:left="281" w:hanging="241" w:hangingChars="100"/>
        <w:jc w:val="center"/>
        <w:rPr>
          <w:rFonts w:hint="eastAsia" w:ascii="宋体" w:hAnsi="宋体" w:eastAsia="宋体" w:cs="宋体"/>
          <w:b/>
          <w:bCs/>
          <w:color w:val="auto"/>
          <w:sz w:val="24"/>
          <w:szCs w:val="24"/>
          <w:highlight w:val="none"/>
        </w:rPr>
      </w:pPr>
    </w:p>
    <w:p w14:paraId="06DAA68D">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与其他投标人无利害关系的声明函</w:t>
      </w:r>
    </w:p>
    <w:p w14:paraId="42AD8447">
      <w:pPr>
        <w:pStyle w:val="33"/>
        <w:adjustRightInd w:val="0"/>
        <w:snapToGrid w:val="0"/>
        <w:spacing w:line="300" w:lineRule="auto"/>
        <w:rPr>
          <w:rFonts w:hint="eastAsia" w:ascii="宋体" w:hAnsi="宋体" w:eastAsia="宋体" w:cs="宋体"/>
          <w:color w:val="auto"/>
          <w:sz w:val="24"/>
          <w:szCs w:val="24"/>
          <w:highlight w:val="none"/>
          <w:u w:val="single"/>
        </w:rPr>
      </w:pPr>
    </w:p>
    <w:p w14:paraId="37CA5415">
      <w:pPr>
        <w:pStyle w:val="33"/>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99FD85">
      <w:pPr>
        <w:snapToGrid w:val="0"/>
        <w:spacing w:line="360" w:lineRule="auto"/>
        <w:rPr>
          <w:rFonts w:hint="eastAsia" w:ascii="宋体" w:hAnsi="宋体" w:eastAsia="宋体" w:cs="宋体"/>
          <w:color w:val="auto"/>
          <w:sz w:val="24"/>
          <w:szCs w:val="24"/>
          <w:highlight w:val="none"/>
          <w:u w:val="single"/>
        </w:rPr>
      </w:pPr>
    </w:p>
    <w:p w14:paraId="4A572A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（项目编号）招标活动，与其他投标人不存在法定代表人为同一人或</w:t>
      </w:r>
      <w:r>
        <w:rPr>
          <w:rFonts w:hint="eastAsia" w:ascii="宋体" w:hAnsi="宋体" w:eastAsia="宋体" w:cs="宋体"/>
          <w:color w:val="auto"/>
          <w:kern w:val="0"/>
          <w:sz w:val="24"/>
          <w:szCs w:val="24"/>
          <w:highlight w:val="none"/>
        </w:rPr>
        <w:t>存在直接控股、管理关系，附上主要股东</w:t>
      </w:r>
      <w:r>
        <w:rPr>
          <w:rFonts w:hint="eastAsia" w:ascii="宋体" w:hAnsi="宋体" w:eastAsia="宋体" w:cs="宋体"/>
          <w:color w:val="auto"/>
          <w:sz w:val="24"/>
          <w:szCs w:val="24"/>
          <w:highlight w:val="none"/>
        </w:rPr>
        <w:t>或出资人信息</w:t>
      </w:r>
      <w:r>
        <w:rPr>
          <w:rFonts w:hint="eastAsia" w:ascii="宋体" w:hAnsi="宋体" w:eastAsia="宋体" w:cs="宋体"/>
          <w:color w:val="auto"/>
          <w:kern w:val="0"/>
          <w:sz w:val="24"/>
          <w:szCs w:val="24"/>
          <w:highlight w:val="none"/>
        </w:rPr>
        <w:t>。</w:t>
      </w:r>
    </w:p>
    <w:p w14:paraId="2BF2596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我方对上述声明的真实性负责。如有虚假，愿意承担相应责任，对此无任何异议。</w:t>
      </w:r>
    </w:p>
    <w:p w14:paraId="1B2832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621CC0D">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06DEF4B8">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A90969B">
      <w:pPr>
        <w:widowControl/>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FEA3D61">
      <w:pPr>
        <w:widowControl/>
        <w:snapToGrid w:val="0"/>
        <w:spacing w:line="360" w:lineRule="auto"/>
        <w:jc w:val="right"/>
        <w:rPr>
          <w:rFonts w:hint="eastAsia" w:ascii="宋体" w:hAnsi="宋体" w:eastAsia="宋体" w:cs="宋体"/>
          <w:color w:val="auto"/>
          <w:sz w:val="24"/>
          <w:szCs w:val="24"/>
          <w:highlight w:val="none"/>
        </w:rPr>
      </w:pPr>
    </w:p>
    <w:p w14:paraId="2F89A8FD">
      <w:pPr>
        <w:widowControl/>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p>
    <w:p w14:paraId="2861906B">
      <w:pPr>
        <w:adjustRightInd w:val="0"/>
        <w:snapToGrid w:val="0"/>
        <w:spacing w:line="440" w:lineRule="exact"/>
        <w:rPr>
          <w:rFonts w:hint="eastAsia" w:ascii="宋体" w:hAnsi="宋体" w:eastAsia="宋体" w:cs="宋体"/>
          <w:color w:val="auto"/>
          <w:sz w:val="24"/>
          <w:szCs w:val="24"/>
          <w:highlight w:val="none"/>
        </w:rPr>
      </w:pPr>
    </w:p>
    <w:p w14:paraId="2831C8B2">
      <w:pPr>
        <w:snapToGrid w:val="0"/>
        <w:spacing w:line="300" w:lineRule="auto"/>
        <w:ind w:left="281" w:hanging="321" w:hangingChars="100"/>
        <w:jc w:val="center"/>
        <w:rPr>
          <w:rFonts w:hint="eastAsia" w:ascii="宋体" w:hAnsi="宋体" w:eastAsia="宋体" w:cs="宋体"/>
          <w:b/>
          <w:bCs/>
          <w:color w:val="auto"/>
          <w:sz w:val="32"/>
          <w:szCs w:val="32"/>
          <w:highlight w:val="none"/>
        </w:rPr>
      </w:pPr>
      <w:bookmarkStart w:id="394" w:name="_Toc39011194"/>
      <w:r>
        <w:rPr>
          <w:rFonts w:hint="eastAsia" w:ascii="宋体" w:hAnsi="宋体" w:eastAsia="宋体" w:cs="宋体"/>
          <w:b/>
          <w:bCs/>
          <w:color w:val="auto"/>
          <w:sz w:val="32"/>
          <w:szCs w:val="32"/>
          <w:highlight w:val="none"/>
        </w:rPr>
        <w:t>主要股东或出资人信息</w:t>
      </w:r>
      <w:bookmarkEnd w:id="394"/>
    </w:p>
    <w:tbl>
      <w:tblPr>
        <w:tblStyle w:val="63"/>
        <w:tblW w:w="90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287"/>
        <w:gridCol w:w="2340"/>
        <w:gridCol w:w="1404"/>
        <w:gridCol w:w="1493"/>
        <w:gridCol w:w="1203"/>
        <w:gridCol w:w="660"/>
      </w:tblGrid>
      <w:tr w14:paraId="3B8B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CF8D1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CA288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14:paraId="193751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F239D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32D781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526F2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出资方式</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90BA6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出资金额</w:t>
            </w:r>
          </w:p>
          <w:p w14:paraId="1D22AC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3A8DC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占全部股份比例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997E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9CA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536B066">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D46B6DD">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E5A7A55">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794F816">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399E5E46">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7BBDC1E">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A080DD1">
            <w:pPr>
              <w:jc w:val="center"/>
              <w:rPr>
                <w:rFonts w:hint="eastAsia" w:ascii="宋体" w:hAnsi="宋体" w:eastAsia="宋体" w:cs="宋体"/>
                <w:color w:val="auto"/>
                <w:sz w:val="24"/>
                <w:szCs w:val="24"/>
                <w:highlight w:val="none"/>
              </w:rPr>
            </w:pPr>
          </w:p>
        </w:tc>
      </w:tr>
      <w:tr w14:paraId="519E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27BBCF4">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F2BC818">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1FBCD54">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A18B907">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5A7C159A">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E22583D">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039979">
            <w:pPr>
              <w:jc w:val="center"/>
              <w:rPr>
                <w:rFonts w:hint="eastAsia" w:ascii="宋体" w:hAnsi="宋体" w:eastAsia="宋体" w:cs="宋体"/>
                <w:color w:val="auto"/>
                <w:sz w:val="24"/>
                <w:szCs w:val="24"/>
                <w:highlight w:val="none"/>
              </w:rPr>
            </w:pPr>
          </w:p>
        </w:tc>
      </w:tr>
      <w:tr w14:paraId="75A56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655A8E7">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3B16F92">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803B6BD">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7E829CA8">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CA05A0B">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B3F3251">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9FD45F">
            <w:pPr>
              <w:jc w:val="center"/>
              <w:rPr>
                <w:rFonts w:hint="eastAsia" w:ascii="宋体" w:hAnsi="宋体" w:eastAsia="宋体" w:cs="宋体"/>
                <w:color w:val="auto"/>
                <w:sz w:val="24"/>
                <w:szCs w:val="24"/>
                <w:highlight w:val="none"/>
              </w:rPr>
            </w:pPr>
          </w:p>
        </w:tc>
      </w:tr>
      <w:tr w14:paraId="2DAD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B2F3ACC">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75B7C03">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64C63C0">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330641F0">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55D842BB">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0A8098E">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3489D5">
            <w:pPr>
              <w:jc w:val="center"/>
              <w:rPr>
                <w:rFonts w:hint="eastAsia" w:ascii="宋体" w:hAnsi="宋体" w:eastAsia="宋体" w:cs="宋体"/>
                <w:color w:val="auto"/>
                <w:sz w:val="24"/>
                <w:szCs w:val="24"/>
                <w:highlight w:val="none"/>
              </w:rPr>
            </w:pPr>
          </w:p>
        </w:tc>
      </w:tr>
      <w:tr w14:paraId="5653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F40762B">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8157C8E">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B94CC2C">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09D2445">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AF03700">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2EA9C520">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4941C0B">
            <w:pPr>
              <w:jc w:val="center"/>
              <w:rPr>
                <w:rFonts w:hint="eastAsia" w:ascii="宋体" w:hAnsi="宋体" w:eastAsia="宋体" w:cs="宋体"/>
                <w:color w:val="auto"/>
                <w:sz w:val="24"/>
                <w:szCs w:val="24"/>
                <w:highlight w:val="none"/>
              </w:rPr>
            </w:pPr>
          </w:p>
        </w:tc>
      </w:tr>
    </w:tbl>
    <w:p w14:paraId="6B28B846">
      <w:pPr>
        <w:pageBreakBefore w:val="0"/>
        <w:kinsoku/>
        <w:wordWrap/>
        <w:overflowPunct/>
        <w:topLinePunct w:val="0"/>
        <w:autoSpaceDE/>
        <w:autoSpaceDN/>
        <w:bidi w:val="0"/>
        <w:adjustRightIn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我方承诺，以上信息真实可靠；如填报的股东出资额、出资比例等与实际不符，视为放弃中标资格。</w:t>
      </w:r>
    </w:p>
    <w:p w14:paraId="34D00AB1">
      <w:pPr>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主要股东或出资人为法人的，填写法人全称及统一社会信用代码（尚未办理三证合一的填写组织机构代码）；为自然人的，填写自然人姓名和身份证号。</w:t>
      </w:r>
    </w:p>
    <w:p w14:paraId="299C844A">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出资方式填写货币、实物、工艺产权和非专利技术、土地使用权等。</w:t>
      </w:r>
    </w:p>
    <w:p w14:paraId="6DB5694C">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投标人应按照占全部股份比例从大到小依次逐个股东填写，股东数量多于10个的，填写前10名，不足10个的全部填写。</w:t>
      </w:r>
    </w:p>
    <w:p w14:paraId="09F1B7E6">
      <w:pPr>
        <w:pageBreakBefore w:val="0"/>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414BB26C">
      <w:pPr>
        <w:pageBreakBefore w:val="0"/>
        <w:widowControl/>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627655D">
      <w:pPr>
        <w:pageBreakBefore w:val="0"/>
        <w:widowControl/>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B157CE9">
      <w:pPr>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E64014">
      <w:pPr>
        <w:pStyle w:val="6"/>
        <w:pageBreakBefore w:val="0"/>
        <w:tabs>
          <w:tab w:val="left" w:pos="720"/>
          <w:tab w:val="clear" w:pos="900"/>
        </w:tabs>
        <w:kinsoku/>
        <w:wordWrap/>
        <w:overflowPunct/>
        <w:topLinePunct w:val="0"/>
        <w:autoSpaceDE/>
        <w:autoSpaceDN/>
        <w:bidi w:val="0"/>
        <w:adjustRightInd w:val="0"/>
        <w:spacing w:before="0" w:after="0"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14:paraId="31BB0B7A">
      <w:pPr>
        <w:pStyle w:val="783"/>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b/>
          <w:color w:val="auto"/>
          <w:sz w:val="24"/>
          <w:szCs w:val="24"/>
          <w:highlight w:val="none"/>
        </w:rPr>
      </w:pPr>
    </w:p>
    <w:p w14:paraId="17D77BC1">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无资格要求关联公司参加的声明函</w:t>
      </w:r>
    </w:p>
    <w:p w14:paraId="65CF3117">
      <w:pPr>
        <w:pStyle w:val="783"/>
        <w:adjustRightInd w:val="0"/>
        <w:snapToGrid w:val="0"/>
        <w:spacing w:line="360" w:lineRule="auto"/>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kern w:val="2"/>
          <w:sz w:val="24"/>
          <w:szCs w:val="24"/>
          <w:highlight w:val="none"/>
        </w:rPr>
        <w:t>：</w:t>
      </w:r>
    </w:p>
    <w:p w14:paraId="6BE31853">
      <w:pPr>
        <w:pStyle w:val="78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我公司承诺，经我公司了解，没有与资格条件相符的我公司相关联单位，参加本项目投标。</w:t>
      </w:r>
    </w:p>
    <w:p w14:paraId="172C95B7">
      <w:pPr>
        <w:pStyle w:val="78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如果有我公司的集团公司与其全资子公司或控股子公司，同时参加本项目投标，按否决投标处理，我方无异议。</w:t>
      </w:r>
    </w:p>
    <w:p w14:paraId="5617782C">
      <w:pPr>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我方对上述声明的真实性负责。如有虚假，愿意承担相应责任，对此无任何异议。</w:t>
      </w:r>
    </w:p>
    <w:p w14:paraId="3E170390">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131DF9">
      <w:pPr>
        <w:spacing w:line="300" w:lineRule="auto"/>
        <w:ind w:firstLine="480" w:firstLineChars="200"/>
        <w:rPr>
          <w:rFonts w:hint="eastAsia" w:ascii="宋体" w:hAnsi="宋体" w:eastAsia="宋体" w:cs="宋体"/>
          <w:color w:val="auto"/>
          <w:sz w:val="24"/>
          <w:szCs w:val="24"/>
          <w:highlight w:val="none"/>
        </w:rPr>
      </w:pPr>
    </w:p>
    <w:p w14:paraId="2A5D7003">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6A0E02BB">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144999A4">
      <w:pPr>
        <w:widowControl/>
        <w:snapToGrid w:val="0"/>
        <w:spacing w:line="360" w:lineRule="auto"/>
        <w:ind w:firstLine="1440" w:firstLineChars="600"/>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34558FE">
      <w:pPr>
        <w:spacing w:line="360" w:lineRule="auto"/>
        <w:jc w:val="left"/>
        <w:rPr>
          <w:rFonts w:hint="eastAsia" w:ascii="宋体" w:hAnsi="宋体" w:eastAsia="宋体" w:cs="宋体"/>
          <w:color w:val="auto"/>
          <w:sz w:val="24"/>
          <w:szCs w:val="24"/>
          <w:highlight w:val="none"/>
        </w:rPr>
      </w:pPr>
    </w:p>
    <w:p w14:paraId="4CE57593">
      <w:pPr>
        <w:snapToGrid w:val="0"/>
        <w:spacing w:line="300" w:lineRule="auto"/>
        <w:ind w:firstLine="480" w:firstLineChars="200"/>
        <w:rPr>
          <w:rFonts w:hint="eastAsia" w:ascii="宋体" w:hAnsi="宋体" w:eastAsia="宋体" w:cs="宋体"/>
          <w:color w:val="auto"/>
          <w:sz w:val="24"/>
          <w:szCs w:val="24"/>
          <w:highlight w:val="none"/>
        </w:rPr>
      </w:pPr>
    </w:p>
    <w:p w14:paraId="1E092D78">
      <w:pPr>
        <w:pStyle w:val="6"/>
        <w:tabs>
          <w:tab w:val="left" w:pos="720"/>
          <w:tab w:val="clear" w:pos="9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】非联合体的声明函</w:t>
      </w:r>
    </w:p>
    <w:p w14:paraId="2DE7EAA7">
      <w:pPr>
        <w:snapToGrid w:val="0"/>
        <w:spacing w:line="300" w:lineRule="auto"/>
        <w:ind w:firstLine="480" w:firstLineChars="200"/>
        <w:jc w:val="left"/>
        <w:rPr>
          <w:rFonts w:hint="eastAsia" w:ascii="宋体" w:hAnsi="宋体" w:eastAsia="宋体" w:cs="宋体"/>
          <w:color w:val="auto"/>
          <w:sz w:val="24"/>
          <w:szCs w:val="24"/>
          <w:highlight w:val="none"/>
        </w:rPr>
      </w:pPr>
    </w:p>
    <w:p w14:paraId="08DB0D7A">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非联合体的声明函</w:t>
      </w:r>
    </w:p>
    <w:p w14:paraId="42913EFB">
      <w:pPr>
        <w:pStyle w:val="33"/>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7E53B3">
      <w:pPr>
        <w:snapToGrid w:val="0"/>
        <w:spacing w:line="300" w:lineRule="auto"/>
        <w:ind w:firstLine="480" w:firstLineChars="200"/>
        <w:rPr>
          <w:rFonts w:hint="eastAsia" w:ascii="宋体" w:hAnsi="宋体" w:eastAsia="宋体" w:cs="宋体"/>
          <w:color w:val="auto"/>
          <w:sz w:val="24"/>
          <w:szCs w:val="24"/>
          <w:highlight w:val="none"/>
        </w:rPr>
      </w:pPr>
    </w:p>
    <w:p w14:paraId="6138040E">
      <w:pPr>
        <w:snapToGrid w:val="0"/>
        <w:spacing w:line="30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我方独立参加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（项目编号）招标采购活动，未与其他单位组成联合体。</w:t>
      </w:r>
    </w:p>
    <w:p w14:paraId="4456E3E6">
      <w:pPr>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092788C4">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82D1AD8">
      <w:pPr>
        <w:snapToGrid w:val="0"/>
        <w:spacing w:line="300" w:lineRule="auto"/>
        <w:ind w:firstLine="480" w:firstLineChars="200"/>
        <w:rPr>
          <w:rFonts w:hint="eastAsia" w:ascii="宋体" w:hAnsi="宋体" w:eastAsia="宋体" w:cs="宋体"/>
          <w:color w:val="auto"/>
          <w:sz w:val="24"/>
          <w:szCs w:val="24"/>
          <w:highlight w:val="none"/>
        </w:rPr>
      </w:pPr>
    </w:p>
    <w:p w14:paraId="04CF1708">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4988CD2C">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DAD44D2">
      <w:pPr>
        <w:widowControl/>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0645862">
      <w:pPr>
        <w:snapToGrid w:val="0"/>
        <w:spacing w:line="360" w:lineRule="auto"/>
        <w:ind w:right="480"/>
        <w:jc w:val="center"/>
        <w:rPr>
          <w:rFonts w:hint="eastAsia" w:ascii="宋体" w:hAnsi="宋体" w:eastAsia="宋体" w:cs="宋体"/>
          <w:color w:val="auto"/>
          <w:kern w:val="0"/>
          <w:sz w:val="24"/>
          <w:szCs w:val="24"/>
          <w:highlight w:val="none"/>
        </w:rPr>
      </w:pPr>
    </w:p>
    <w:p w14:paraId="7596866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符合参加采购活动应当具备的一般条件的承诺函</w:t>
      </w:r>
    </w:p>
    <w:p w14:paraId="7A8202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杭州天恒投资建设管理有限公司</w:t>
      </w:r>
      <w:r>
        <w:rPr>
          <w:rFonts w:hint="eastAsia" w:ascii="宋体" w:hAnsi="宋体" w:eastAsia="宋体" w:cs="宋体"/>
          <w:color w:val="auto"/>
          <w:sz w:val="24"/>
          <w:highlight w:val="none"/>
        </w:rPr>
        <w:t>：</w:t>
      </w:r>
    </w:p>
    <w:p w14:paraId="204E34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建德市十里埠港发展有限公司2025年电动装载机采购项目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JT-XM-A-2025-0047</w:t>
      </w:r>
      <w:r>
        <w:rPr>
          <w:rFonts w:hint="eastAsia" w:ascii="宋体" w:hAnsi="宋体" w:eastAsia="宋体" w:cs="宋体"/>
          <w:color w:val="auto"/>
          <w:sz w:val="24"/>
          <w:highlight w:val="none"/>
        </w:rPr>
        <w:t>】采购活动，郑重承诺：</w:t>
      </w:r>
    </w:p>
    <w:p w14:paraId="71E1604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（一）具备《中华人民共和国采购法》第二十二条第一款规定的条件：</w:t>
      </w:r>
    </w:p>
    <w:p w14:paraId="5AEBEC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5D3EF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FC579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EA8A7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BA97C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354D79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F23B4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697B8A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50D42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781658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34C07F6">
      <w:pPr>
        <w:snapToGrid w:val="0"/>
        <w:spacing w:line="360" w:lineRule="auto"/>
        <w:ind w:firstLine="5520" w:firstLineChars="2300"/>
        <w:rPr>
          <w:rFonts w:hint="eastAsia" w:ascii="宋体" w:hAnsi="宋体" w:eastAsia="宋体" w:cs="宋体"/>
          <w:color w:val="auto"/>
          <w:kern w:val="0"/>
          <w:sz w:val="24"/>
          <w:highlight w:val="none"/>
        </w:rPr>
      </w:pPr>
    </w:p>
    <w:p w14:paraId="7FBCDA2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投标人名称：（盖单位公章）</w:t>
      </w:r>
    </w:p>
    <w:p w14:paraId="602E1992">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法定代表人或者其委托代理人：（签字或盖章）</w:t>
      </w:r>
    </w:p>
    <w:p w14:paraId="462E82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CB3561">
      <w:pPr>
        <w:snapToGrid w:val="0"/>
        <w:spacing w:line="360" w:lineRule="auto"/>
        <w:ind w:right="480"/>
        <w:jc w:val="center"/>
        <w:rPr>
          <w:rFonts w:hint="eastAsia" w:ascii="宋体" w:hAnsi="宋体" w:eastAsia="宋体" w:cs="宋体"/>
          <w:b/>
          <w:color w:val="auto"/>
          <w:kern w:val="0"/>
          <w:sz w:val="32"/>
          <w:szCs w:val="32"/>
          <w:highlight w:val="none"/>
        </w:rPr>
      </w:pPr>
    </w:p>
    <w:p w14:paraId="59B379A2">
      <w:pPr>
        <w:snapToGrid w:val="0"/>
        <w:spacing w:line="360" w:lineRule="auto"/>
        <w:ind w:right="480"/>
        <w:jc w:val="center"/>
        <w:rPr>
          <w:rFonts w:hint="eastAsia" w:ascii="宋体" w:hAnsi="宋体" w:eastAsia="宋体" w:cs="宋体"/>
          <w:b/>
          <w:color w:val="auto"/>
          <w:kern w:val="0"/>
          <w:sz w:val="32"/>
          <w:szCs w:val="32"/>
          <w:highlight w:val="none"/>
        </w:rPr>
      </w:pPr>
    </w:p>
    <w:p w14:paraId="6E37E8AA">
      <w:pPr>
        <w:snapToGrid w:val="0"/>
        <w:spacing w:line="360" w:lineRule="auto"/>
        <w:ind w:right="480"/>
        <w:jc w:val="center"/>
        <w:rPr>
          <w:rFonts w:hint="eastAsia" w:ascii="宋体" w:hAnsi="宋体" w:eastAsia="宋体" w:cs="宋体"/>
          <w:b/>
          <w:color w:val="auto"/>
          <w:kern w:val="0"/>
          <w:sz w:val="32"/>
          <w:szCs w:val="32"/>
          <w:highlight w:val="none"/>
        </w:rPr>
      </w:pPr>
    </w:p>
    <w:p w14:paraId="41D291C2">
      <w:pPr>
        <w:rPr>
          <w:rFonts w:hint="eastAsia" w:ascii="宋体" w:hAnsi="宋体" w:eastAsia="宋体" w:cs="宋体"/>
          <w:color w:val="auto"/>
          <w:highlight w:val="none"/>
        </w:rPr>
      </w:pPr>
    </w:p>
    <w:p w14:paraId="448BEF44">
      <w:pPr>
        <w:snapToGrid w:val="0"/>
        <w:spacing w:line="360" w:lineRule="auto"/>
        <w:ind w:right="480"/>
        <w:jc w:val="center"/>
        <w:rPr>
          <w:rFonts w:hint="eastAsia" w:ascii="宋体" w:hAnsi="宋体" w:eastAsia="宋体" w:cs="宋体"/>
          <w:b/>
          <w:color w:val="auto"/>
          <w:kern w:val="0"/>
          <w:sz w:val="32"/>
          <w:szCs w:val="32"/>
          <w:highlight w:val="none"/>
        </w:rPr>
      </w:pPr>
    </w:p>
    <w:p w14:paraId="7EDFDF0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三、授权委托书或法定代表人（单位负责人、自然人本人）身份证明</w:t>
      </w:r>
    </w:p>
    <w:p w14:paraId="245520D3">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w:t>
      </w:r>
    </w:p>
    <w:p w14:paraId="7D71D19F">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建德市十里埠港发展有限公司、</w:t>
      </w:r>
      <w:r>
        <w:rPr>
          <w:rFonts w:hint="eastAsia" w:ascii="宋体" w:hAnsi="宋体" w:eastAsia="宋体" w:cs="宋体"/>
          <w:color w:val="auto"/>
          <w:sz w:val="24"/>
          <w:highlight w:val="none"/>
          <w:lang w:eastAsia="zh-CN"/>
        </w:rPr>
        <w:t>杭州天恒投资建设管理有限公司</w:t>
      </w:r>
      <w:r>
        <w:rPr>
          <w:rFonts w:hint="eastAsia" w:ascii="宋体" w:hAnsi="宋体" w:eastAsia="宋体" w:cs="宋体"/>
          <w:color w:val="auto"/>
          <w:kern w:val="0"/>
          <w:sz w:val="24"/>
          <w:highlight w:val="none"/>
          <w:lang w:val="zh-CN"/>
        </w:rPr>
        <w:t>：</w:t>
      </w:r>
    </w:p>
    <w:p w14:paraId="3D4B534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），以我方名义处理建德市十里埠港发展有限公司2025年电动装载机采购项目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JT-XM-A-2025-0047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0BA1BD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85082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5A106C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投标人名称：（盖单位公章）</w:t>
      </w:r>
    </w:p>
    <w:p w14:paraId="5709676D">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法定代表人或者其委托代理人：（签字或盖章）</w:t>
      </w:r>
    </w:p>
    <w:p w14:paraId="2FA5B1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3C3B29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688758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BE403C7">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14:paraId="171F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2" w:hRule="atLeast"/>
          <w:jc w:val="center"/>
        </w:trPr>
        <w:tc>
          <w:tcPr>
            <w:tcW w:w="9082" w:type="dxa"/>
          </w:tcPr>
          <w:p w14:paraId="1501E31C">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D58B619">
            <w:pPr>
              <w:pStyle w:val="148"/>
              <w:adjustRightInd w:val="0"/>
              <w:spacing w:line="360" w:lineRule="auto"/>
              <w:rPr>
                <w:rFonts w:hint="eastAsia" w:ascii="宋体" w:hAnsi="宋体" w:eastAsia="宋体" w:cs="宋体"/>
                <w:bCs/>
                <w:color w:val="auto"/>
                <w:sz w:val="24"/>
                <w:highlight w:val="none"/>
              </w:rPr>
            </w:pPr>
          </w:p>
        </w:tc>
      </w:tr>
    </w:tbl>
    <w:p w14:paraId="023EE1C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6780B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投标人名称：（盖单位公章）</w:t>
      </w:r>
    </w:p>
    <w:p w14:paraId="7496AE66">
      <w:pPr>
        <w:snapToGrid w:val="0"/>
        <w:spacing w:line="360" w:lineRule="auto"/>
        <w:ind w:firstLine="4488" w:firstLineChars="187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法定代表人：（签字或盖章）                              </w:t>
      </w:r>
    </w:p>
    <w:p w14:paraId="2A10B87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3FBAFB8">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eastAsia="zh-CN"/>
        </w:rPr>
        <w:t>资信技术文件</w:t>
      </w:r>
      <w:r>
        <w:rPr>
          <w:rFonts w:hint="eastAsia" w:ascii="宋体" w:hAnsi="宋体" w:eastAsia="宋体" w:cs="宋体"/>
          <w:b/>
          <w:color w:val="auto"/>
          <w:kern w:val="0"/>
          <w:sz w:val="36"/>
          <w:szCs w:val="36"/>
          <w:highlight w:val="none"/>
        </w:rPr>
        <w:t>部分</w:t>
      </w:r>
    </w:p>
    <w:p w14:paraId="290614F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1340FE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203DB12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（2）符合性审查资料</w:t>
      </w:r>
      <w:r>
        <w:rPr>
          <w:rFonts w:hint="eastAsia" w:ascii="宋体" w:hAnsi="宋体" w:eastAsia="宋体" w:cs="宋体"/>
          <w:color w:val="auto"/>
          <w:highlight w:val="none"/>
        </w:rPr>
        <w:t>………………………………………………………………（页码）</w:t>
      </w:r>
    </w:p>
    <w:p w14:paraId="6A71DFC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（3）投标人基本情况表</w:t>
      </w:r>
      <w:r>
        <w:rPr>
          <w:rFonts w:hint="eastAsia" w:ascii="宋体" w:hAnsi="宋体" w:eastAsia="宋体" w:cs="宋体"/>
          <w:color w:val="auto"/>
          <w:highlight w:val="none"/>
        </w:rPr>
        <w:t>……………………………………………………………（页码）</w:t>
      </w:r>
    </w:p>
    <w:p w14:paraId="305C07C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w:t>
      </w:r>
      <w:r>
        <w:rPr>
          <w:rFonts w:hint="eastAsia" w:ascii="宋体" w:hAnsi="宋体" w:eastAsia="宋体" w:cs="宋体"/>
          <w:color w:val="auto"/>
          <w:sz w:val="24"/>
          <w:highlight w:val="none"/>
          <w:lang w:eastAsia="zh-CN"/>
        </w:rPr>
        <w:t>资信技术</w:t>
      </w:r>
      <w:r>
        <w:rPr>
          <w:rFonts w:hint="eastAsia" w:ascii="宋体" w:hAnsi="宋体" w:eastAsia="宋体" w:cs="宋体"/>
          <w:color w:val="auto"/>
          <w:sz w:val="24"/>
          <w:highlight w:val="none"/>
        </w:rPr>
        <w:t>资料</w:t>
      </w:r>
      <w:r>
        <w:rPr>
          <w:rFonts w:hint="eastAsia" w:ascii="宋体" w:hAnsi="宋体" w:eastAsia="宋体" w:cs="宋体"/>
          <w:color w:val="auto"/>
          <w:highlight w:val="none"/>
        </w:rPr>
        <w:t>……………………………………………（页码）</w:t>
      </w:r>
    </w:p>
    <w:p w14:paraId="085EF6F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资信技术</w:t>
      </w:r>
      <w:r>
        <w:rPr>
          <w:rFonts w:hint="eastAsia" w:ascii="宋体" w:hAnsi="宋体" w:eastAsia="宋体" w:cs="宋体"/>
          <w:color w:val="auto"/>
          <w:sz w:val="24"/>
          <w:highlight w:val="none"/>
        </w:rPr>
        <w:t>偏离表</w:t>
      </w:r>
      <w:r>
        <w:rPr>
          <w:rFonts w:hint="eastAsia" w:ascii="宋体" w:hAnsi="宋体" w:eastAsia="宋体" w:cs="宋体"/>
          <w:color w:val="auto"/>
          <w:highlight w:val="none"/>
        </w:rPr>
        <w:t>………………………………………………………………（页码）</w:t>
      </w:r>
    </w:p>
    <w:p w14:paraId="74B3F81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2E072842">
      <w:pPr>
        <w:snapToGrid w:val="0"/>
        <w:spacing w:line="360" w:lineRule="auto"/>
        <w:jc w:val="center"/>
        <w:rPr>
          <w:rFonts w:hint="eastAsia" w:ascii="宋体" w:hAnsi="宋体" w:eastAsia="宋体" w:cs="宋体"/>
          <w:b/>
          <w:color w:val="auto"/>
          <w:kern w:val="0"/>
          <w:sz w:val="32"/>
          <w:szCs w:val="32"/>
          <w:highlight w:val="none"/>
          <w:lang w:val="zh-CN"/>
        </w:rPr>
      </w:pPr>
    </w:p>
    <w:p w14:paraId="67A10117">
      <w:pPr>
        <w:snapToGrid w:val="0"/>
        <w:spacing w:line="360" w:lineRule="auto"/>
        <w:jc w:val="center"/>
        <w:rPr>
          <w:rFonts w:hint="eastAsia" w:ascii="宋体" w:hAnsi="宋体" w:eastAsia="宋体" w:cs="宋体"/>
          <w:b/>
          <w:color w:val="auto"/>
          <w:kern w:val="0"/>
          <w:sz w:val="32"/>
          <w:szCs w:val="32"/>
          <w:highlight w:val="none"/>
          <w:lang w:val="zh-CN"/>
        </w:rPr>
      </w:pPr>
    </w:p>
    <w:p w14:paraId="11588EF2">
      <w:pPr>
        <w:snapToGrid w:val="0"/>
        <w:spacing w:line="360" w:lineRule="auto"/>
        <w:jc w:val="center"/>
        <w:rPr>
          <w:rFonts w:hint="eastAsia" w:ascii="宋体" w:hAnsi="宋体" w:eastAsia="宋体" w:cs="宋体"/>
          <w:b/>
          <w:color w:val="auto"/>
          <w:kern w:val="0"/>
          <w:sz w:val="32"/>
          <w:szCs w:val="32"/>
          <w:highlight w:val="none"/>
          <w:lang w:val="zh-CN"/>
        </w:rPr>
      </w:pPr>
    </w:p>
    <w:p w14:paraId="63AABA55">
      <w:pPr>
        <w:snapToGrid w:val="0"/>
        <w:spacing w:line="360" w:lineRule="auto"/>
        <w:jc w:val="center"/>
        <w:rPr>
          <w:rFonts w:hint="eastAsia" w:ascii="宋体" w:hAnsi="宋体" w:eastAsia="宋体" w:cs="宋体"/>
          <w:b/>
          <w:color w:val="auto"/>
          <w:kern w:val="0"/>
          <w:sz w:val="32"/>
          <w:szCs w:val="32"/>
          <w:highlight w:val="none"/>
          <w:lang w:val="zh-CN"/>
        </w:rPr>
      </w:pPr>
    </w:p>
    <w:p w14:paraId="4B8C173B">
      <w:pPr>
        <w:snapToGrid w:val="0"/>
        <w:spacing w:line="360" w:lineRule="auto"/>
        <w:jc w:val="center"/>
        <w:rPr>
          <w:rFonts w:hint="eastAsia" w:ascii="宋体" w:hAnsi="宋体" w:eastAsia="宋体" w:cs="宋体"/>
          <w:b/>
          <w:color w:val="auto"/>
          <w:kern w:val="0"/>
          <w:sz w:val="32"/>
          <w:szCs w:val="32"/>
          <w:highlight w:val="none"/>
          <w:lang w:val="zh-CN"/>
        </w:rPr>
      </w:pPr>
    </w:p>
    <w:p w14:paraId="4FACFFAF">
      <w:pPr>
        <w:snapToGrid w:val="0"/>
        <w:spacing w:line="360" w:lineRule="auto"/>
        <w:jc w:val="center"/>
        <w:outlineLvl w:val="0"/>
        <w:rPr>
          <w:rFonts w:hint="eastAsia" w:ascii="宋体" w:hAnsi="宋体" w:eastAsia="宋体" w:cs="宋体"/>
          <w:b/>
          <w:color w:val="auto"/>
          <w:kern w:val="0"/>
          <w:sz w:val="32"/>
          <w:szCs w:val="32"/>
          <w:highlight w:val="none"/>
        </w:rPr>
      </w:pPr>
    </w:p>
    <w:p w14:paraId="57166516">
      <w:pPr>
        <w:snapToGrid w:val="0"/>
        <w:spacing w:line="360" w:lineRule="auto"/>
        <w:jc w:val="center"/>
        <w:outlineLvl w:val="0"/>
        <w:rPr>
          <w:rFonts w:hint="eastAsia" w:ascii="宋体" w:hAnsi="宋体" w:eastAsia="宋体" w:cs="宋体"/>
          <w:b/>
          <w:color w:val="auto"/>
          <w:kern w:val="0"/>
          <w:sz w:val="32"/>
          <w:szCs w:val="32"/>
          <w:highlight w:val="none"/>
        </w:rPr>
      </w:pPr>
    </w:p>
    <w:p w14:paraId="0F78CB16">
      <w:pPr>
        <w:rPr>
          <w:rFonts w:hint="eastAsia" w:ascii="宋体" w:hAnsi="宋体" w:eastAsia="宋体" w:cs="宋体"/>
          <w:color w:val="auto"/>
          <w:highlight w:val="none"/>
        </w:rPr>
      </w:pPr>
    </w:p>
    <w:p w14:paraId="69BD0A24">
      <w:pPr>
        <w:snapToGrid w:val="0"/>
        <w:spacing w:line="360" w:lineRule="auto"/>
        <w:jc w:val="center"/>
        <w:outlineLvl w:val="0"/>
        <w:rPr>
          <w:rFonts w:hint="eastAsia" w:ascii="宋体" w:hAnsi="宋体" w:eastAsia="宋体" w:cs="宋体"/>
          <w:b/>
          <w:color w:val="auto"/>
          <w:kern w:val="0"/>
          <w:sz w:val="32"/>
          <w:szCs w:val="32"/>
          <w:highlight w:val="none"/>
        </w:rPr>
      </w:pPr>
    </w:p>
    <w:p w14:paraId="6A0F659E">
      <w:pPr>
        <w:snapToGrid w:val="0"/>
        <w:spacing w:line="360" w:lineRule="auto"/>
        <w:jc w:val="center"/>
        <w:outlineLvl w:val="0"/>
        <w:rPr>
          <w:rFonts w:hint="eastAsia" w:ascii="宋体" w:hAnsi="宋体" w:eastAsia="宋体" w:cs="宋体"/>
          <w:b/>
          <w:color w:val="auto"/>
          <w:kern w:val="0"/>
          <w:sz w:val="32"/>
          <w:szCs w:val="32"/>
          <w:highlight w:val="none"/>
        </w:rPr>
      </w:pPr>
    </w:p>
    <w:p w14:paraId="2519F798">
      <w:pPr>
        <w:pStyle w:val="5"/>
        <w:rPr>
          <w:rFonts w:hint="eastAsia" w:ascii="宋体" w:hAnsi="宋体" w:eastAsia="宋体" w:cs="宋体"/>
          <w:color w:val="auto"/>
          <w:highlight w:val="none"/>
          <w:lang w:val="en-US"/>
        </w:rPr>
      </w:pPr>
    </w:p>
    <w:p w14:paraId="40205B74">
      <w:pPr>
        <w:rPr>
          <w:rFonts w:hint="eastAsia" w:ascii="宋体" w:hAnsi="宋体" w:eastAsia="宋体" w:cs="宋体"/>
          <w:color w:val="auto"/>
          <w:highlight w:val="none"/>
        </w:rPr>
      </w:pPr>
    </w:p>
    <w:p w14:paraId="213D6C37">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259B8B2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DC0B85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F80EEE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BA1DE98">
      <w:pPr>
        <w:snapToGrid w:val="0"/>
        <w:spacing w:line="24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DA300E7">
      <w:pPr>
        <w:keepNext w:val="0"/>
        <w:keepLines w:val="0"/>
        <w:pageBreakBefore w:val="0"/>
        <w:widowControl w:val="0"/>
        <w:kinsoku/>
        <w:wordWrap/>
        <w:overflowPunct/>
        <w:topLinePunct w:val="0"/>
        <w:autoSpaceDE/>
        <w:autoSpaceDN/>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建德市十里埠港发展有限公司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杭州天恒投资建设管理有限公司</w:t>
      </w:r>
      <w:r>
        <w:rPr>
          <w:rFonts w:hint="eastAsia" w:ascii="宋体" w:hAnsi="宋体" w:eastAsia="宋体" w:cs="宋体"/>
          <w:color w:val="auto"/>
          <w:sz w:val="24"/>
          <w:szCs w:val="24"/>
          <w:highlight w:val="none"/>
        </w:rPr>
        <w:t>：</w:t>
      </w:r>
    </w:p>
    <w:p w14:paraId="5356BA9C">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eastAsia="宋体" w:cs="宋体"/>
          <w:color w:val="auto"/>
          <w:sz w:val="24"/>
          <w:szCs w:val="24"/>
          <w:highlight w:val="none"/>
          <w:lang w:eastAsia="zh-CN"/>
        </w:rPr>
        <w:t>建德市十里埠港发展有限公司2025年电动装载机采购项目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JT-XM-A-2025-0047</w:t>
      </w:r>
      <w:r>
        <w:rPr>
          <w:rFonts w:hint="eastAsia" w:ascii="宋体" w:hAnsi="宋体" w:eastAsia="宋体" w:cs="宋体"/>
          <w:color w:val="auto"/>
          <w:sz w:val="24"/>
          <w:szCs w:val="24"/>
          <w:highlight w:val="none"/>
        </w:rPr>
        <w:t>】招标的有关活动，并对此项目进行投标。为此：</w:t>
      </w:r>
    </w:p>
    <w:p w14:paraId="30B1D8E6">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2271F4E5">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227F7283">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1B63CD7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2.1.1强制性资格条件表；</w:t>
      </w:r>
    </w:p>
    <w:p w14:paraId="7A15BEE5">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2.1.2符合参加采购活动应当具备的一般条件的承诺函；</w:t>
      </w:r>
    </w:p>
    <w:p w14:paraId="42C1C42F">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2.1.3授权委托书或法定代表人（单位负责人、自然人本人）身份证明。</w:t>
      </w:r>
    </w:p>
    <w:p w14:paraId="303314C8">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lang w:val="zh-CN"/>
        </w:rPr>
        <w:t>：</w:t>
      </w:r>
    </w:p>
    <w:p w14:paraId="39C7FF62">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49430F8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2.2.2符合性审查资料；</w:t>
      </w:r>
    </w:p>
    <w:p w14:paraId="526E5B2D">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2.2.3投标人基本情况表；</w:t>
      </w:r>
    </w:p>
    <w:p w14:paraId="4EDEA7CB">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w:t>
      </w:r>
    </w:p>
    <w:p w14:paraId="583492AF">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w:t>
      </w:r>
    </w:p>
    <w:p w14:paraId="1A90A0D5">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2.2.6采购供应商廉洁自律承诺书；</w:t>
      </w:r>
    </w:p>
    <w:p w14:paraId="04DE0DDF">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7C4EA078">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2.3.1报价函；</w:t>
      </w:r>
    </w:p>
    <w:p w14:paraId="384BC0A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2.3.2开标一览表。</w:t>
      </w:r>
    </w:p>
    <w:p w14:paraId="20278332">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3、我方承诺除</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偏离表列出的偏离外，我方响应招标文件的全部要求。</w:t>
      </w:r>
    </w:p>
    <w:p w14:paraId="6FFF4FBC">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645BC343">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1D3BCB89">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008493F1">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0D514FE0">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4.4在合同约定的期限内完成合同规定的全部义务。 </w:t>
      </w:r>
    </w:p>
    <w:p w14:paraId="70B4C0AA">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B4BDE2">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p>
    <w:p w14:paraId="2442EC8E">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p>
    <w:p w14:paraId="04B3A3E0">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2BAC0563">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法定代表人或者其委托代理人：（签字或盖章）                          </w:t>
      </w:r>
    </w:p>
    <w:p w14:paraId="77E2DE75">
      <w:pPr>
        <w:keepNext w:val="0"/>
        <w:keepLines w:val="0"/>
        <w:pageBreakBefore w:val="0"/>
        <w:widowControl w:val="0"/>
        <w:kinsoku/>
        <w:wordWrap/>
        <w:overflowPunct/>
        <w:topLinePunct w:val="0"/>
        <w:autoSpaceDE/>
        <w:autoSpaceDN/>
        <w:bidi w:val="0"/>
        <w:adjustRightIn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7B451D2B">
      <w:pPr>
        <w:keepNext w:val="0"/>
        <w:keepLines w:val="0"/>
        <w:pageBreakBefore w:val="0"/>
        <w:widowControl w:val="0"/>
        <w:kinsoku/>
        <w:wordWrap/>
        <w:overflowPunct/>
        <w:topLinePunct w:val="0"/>
        <w:autoSpaceDE/>
        <w:autoSpaceDN/>
        <w:bidi w:val="0"/>
        <w:adjustRightInd w:val="0"/>
        <w:spacing w:line="390" w:lineRule="exact"/>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67F8A6B">
      <w:pPr>
        <w:jc w:val="center"/>
        <w:rPr>
          <w:rFonts w:hint="eastAsia" w:ascii="宋体" w:hAnsi="宋体" w:eastAsia="宋体" w:cs="宋体"/>
          <w:b/>
          <w:color w:val="auto"/>
          <w:kern w:val="0"/>
          <w:sz w:val="32"/>
          <w:szCs w:val="32"/>
          <w:highlight w:val="none"/>
          <w:lang w:val="zh-CN"/>
        </w:rPr>
      </w:pPr>
    </w:p>
    <w:p w14:paraId="0D98B79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、符合性审查资料</w:t>
      </w:r>
    </w:p>
    <w:p w14:paraId="12DB4B3D">
      <w:pPr>
        <w:jc w:val="center"/>
        <w:rPr>
          <w:rFonts w:hint="eastAsia" w:ascii="宋体" w:hAnsi="宋体" w:eastAsia="宋体" w:cs="宋体"/>
          <w:b/>
          <w:color w:val="auto"/>
          <w:kern w:val="0"/>
          <w:sz w:val="32"/>
          <w:szCs w:val="32"/>
          <w:highlight w:val="none"/>
        </w:rPr>
      </w:pPr>
    </w:p>
    <w:tbl>
      <w:tblPr>
        <w:tblStyle w:val="63"/>
        <w:tblW w:w="906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825"/>
        <w:gridCol w:w="3150"/>
        <w:gridCol w:w="1500"/>
      </w:tblGrid>
      <w:tr w14:paraId="2C9C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5" w:type="dxa"/>
            <w:vAlign w:val="center"/>
          </w:tcPr>
          <w:p w14:paraId="2315CEC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25" w:type="dxa"/>
            <w:vAlign w:val="center"/>
          </w:tcPr>
          <w:p w14:paraId="50EFE1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150" w:type="dxa"/>
            <w:vAlign w:val="center"/>
          </w:tcPr>
          <w:p w14:paraId="3E553A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500" w:type="dxa"/>
            <w:vAlign w:val="center"/>
          </w:tcPr>
          <w:p w14:paraId="56A0083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1458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2B7DC8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25" w:type="dxa"/>
          </w:tcPr>
          <w:p w14:paraId="55F93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150" w:type="dxa"/>
            <w:vAlign w:val="center"/>
          </w:tcPr>
          <w:p w14:paraId="3AA460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500" w:type="dxa"/>
          </w:tcPr>
          <w:p w14:paraId="3C35090A">
            <w:pPr>
              <w:rPr>
                <w:rFonts w:hint="eastAsia" w:ascii="宋体" w:hAnsi="宋体" w:eastAsia="宋体" w:cs="宋体"/>
                <w:color w:val="auto"/>
                <w:sz w:val="24"/>
                <w:highlight w:val="none"/>
              </w:rPr>
            </w:pPr>
          </w:p>
          <w:p w14:paraId="7442785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7F689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E0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50535F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25" w:type="dxa"/>
          </w:tcPr>
          <w:p w14:paraId="4D7CC0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150" w:type="dxa"/>
            <w:vAlign w:val="center"/>
          </w:tcPr>
          <w:p w14:paraId="16B5B49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500" w:type="dxa"/>
          </w:tcPr>
          <w:p w14:paraId="34EC22A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E2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6917FB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825" w:type="dxa"/>
          </w:tcPr>
          <w:p w14:paraId="7B4F3C35">
            <w:pPr>
              <w:spacing w:line="360" w:lineRule="auto"/>
              <w:rPr>
                <w:rFonts w:hint="eastAsia" w:ascii="宋体" w:hAnsi="宋体" w:eastAsia="宋体" w:cs="宋体"/>
                <w:color w:val="auto"/>
                <w:sz w:val="24"/>
                <w:highlight w:val="none"/>
              </w:rPr>
            </w:pPr>
          </w:p>
          <w:p w14:paraId="0E2C4A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150" w:type="dxa"/>
            <w:vAlign w:val="center"/>
          </w:tcPr>
          <w:p w14:paraId="344DD8C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500" w:type="dxa"/>
          </w:tcPr>
          <w:p w14:paraId="298ABD8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2621EBD">
      <w:pPr>
        <w:keepNext w:val="0"/>
        <w:keepLines w:val="0"/>
        <w:pageBreakBefore w:val="0"/>
        <w:kinsoku/>
        <w:wordWrap/>
        <w:overflowPunct/>
        <w:topLinePunct w:val="0"/>
        <w:autoSpaceDE/>
        <w:autoSpaceDN/>
        <w:bidi w:val="0"/>
        <w:snapToGrid/>
        <w:spacing w:line="440" w:lineRule="exact"/>
        <w:ind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注：按本格式和要求提供。</w:t>
      </w:r>
    </w:p>
    <w:p w14:paraId="7BF67EB6">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13D507F3">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投标人名称：（盖单位公章）</w:t>
      </w:r>
    </w:p>
    <w:p w14:paraId="1F6E24F5">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法定代表人或者其委托代理人：（签字或盖章）</w:t>
      </w:r>
    </w:p>
    <w:p w14:paraId="21927937">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  年   月   日</w:t>
      </w:r>
    </w:p>
    <w:p w14:paraId="78C09104">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06465A07">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1100437F">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5116CCAE">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br w:type="page"/>
      </w:r>
    </w:p>
    <w:p w14:paraId="7B37996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、投标人基本情况表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1740"/>
        <w:gridCol w:w="957"/>
        <w:gridCol w:w="957"/>
        <w:gridCol w:w="846"/>
        <w:gridCol w:w="1068"/>
        <w:gridCol w:w="1448"/>
      </w:tblGrid>
      <w:tr w14:paraId="2BAD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bottom w:val="single" w:color="auto" w:sz="4" w:space="0"/>
              <w:right w:val="single" w:color="auto" w:sz="4" w:space="0"/>
            </w:tcBorders>
            <w:noWrap w:val="0"/>
            <w:vAlign w:val="center"/>
          </w:tcPr>
          <w:p w14:paraId="3A350CA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投标人名称</w:t>
            </w:r>
          </w:p>
        </w:tc>
        <w:tc>
          <w:tcPr>
            <w:tcW w:w="7016" w:type="dxa"/>
            <w:gridSpan w:val="6"/>
            <w:tcBorders>
              <w:left w:val="single" w:color="auto" w:sz="4" w:space="0"/>
              <w:bottom w:val="single" w:color="auto" w:sz="4" w:space="0"/>
            </w:tcBorders>
            <w:noWrap w:val="0"/>
            <w:vAlign w:val="center"/>
          </w:tcPr>
          <w:p w14:paraId="17F6026F">
            <w:pPr>
              <w:pStyle w:val="319"/>
              <w:rPr>
                <w:rFonts w:hint="eastAsia" w:ascii="宋体" w:hAnsi="宋体" w:eastAsia="宋体" w:cs="宋体"/>
                <w:color w:val="auto"/>
                <w:sz w:val="24"/>
                <w:szCs w:val="24"/>
                <w:highlight w:val="none"/>
                <w:lang w:val="en-US" w:eastAsia="zh-CN"/>
              </w:rPr>
            </w:pPr>
          </w:p>
        </w:tc>
      </w:tr>
      <w:tr w14:paraId="608C9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436AAD6A">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营业执照（事业单位法人证书等）</w:t>
            </w:r>
          </w:p>
        </w:tc>
      </w:tr>
      <w:tr w14:paraId="53979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64890807">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统一社会信用代码</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4D7C7BAA">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641CF4C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注册资本</w:t>
            </w:r>
          </w:p>
        </w:tc>
        <w:tc>
          <w:tcPr>
            <w:tcW w:w="2516" w:type="dxa"/>
            <w:gridSpan w:val="2"/>
            <w:tcBorders>
              <w:top w:val="single" w:color="auto" w:sz="4" w:space="0"/>
              <w:left w:val="single" w:color="auto" w:sz="4" w:space="0"/>
              <w:bottom w:val="single" w:color="auto" w:sz="4" w:space="0"/>
            </w:tcBorders>
            <w:noWrap w:val="0"/>
            <w:vAlign w:val="center"/>
          </w:tcPr>
          <w:p w14:paraId="58C833C2">
            <w:pPr>
              <w:pStyle w:val="319"/>
              <w:rPr>
                <w:rFonts w:hint="eastAsia" w:ascii="宋体" w:hAnsi="宋体" w:eastAsia="宋体" w:cs="宋体"/>
                <w:color w:val="auto"/>
                <w:sz w:val="24"/>
                <w:szCs w:val="24"/>
                <w:highlight w:val="none"/>
                <w:lang w:val="en-US" w:eastAsia="zh-CN"/>
              </w:rPr>
            </w:pPr>
          </w:p>
        </w:tc>
      </w:tr>
      <w:tr w14:paraId="2F987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0E03CFA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发照机关</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3E5CC4E2">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1B17F7D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注册地址</w:t>
            </w:r>
          </w:p>
        </w:tc>
        <w:tc>
          <w:tcPr>
            <w:tcW w:w="2516" w:type="dxa"/>
            <w:gridSpan w:val="2"/>
            <w:tcBorders>
              <w:top w:val="single" w:color="auto" w:sz="4" w:space="0"/>
              <w:left w:val="single" w:color="auto" w:sz="4" w:space="0"/>
              <w:bottom w:val="single" w:color="auto" w:sz="4" w:space="0"/>
            </w:tcBorders>
            <w:noWrap w:val="0"/>
            <w:vAlign w:val="center"/>
          </w:tcPr>
          <w:p w14:paraId="09A60DF5">
            <w:pPr>
              <w:pStyle w:val="319"/>
              <w:rPr>
                <w:rFonts w:hint="eastAsia" w:ascii="宋体" w:hAnsi="宋体" w:eastAsia="宋体" w:cs="宋体"/>
                <w:color w:val="auto"/>
                <w:sz w:val="24"/>
                <w:szCs w:val="24"/>
                <w:highlight w:val="none"/>
                <w:lang w:val="en-US" w:eastAsia="zh-CN"/>
              </w:rPr>
            </w:pPr>
          </w:p>
        </w:tc>
      </w:tr>
      <w:tr w14:paraId="59977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5F31342D">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1275C54C">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3CDBCC8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单位性质</w:t>
            </w:r>
          </w:p>
        </w:tc>
        <w:tc>
          <w:tcPr>
            <w:tcW w:w="2516" w:type="dxa"/>
            <w:gridSpan w:val="2"/>
            <w:tcBorders>
              <w:top w:val="single" w:color="auto" w:sz="4" w:space="0"/>
              <w:left w:val="single" w:color="auto" w:sz="4" w:space="0"/>
              <w:bottom w:val="single" w:color="auto" w:sz="4" w:space="0"/>
            </w:tcBorders>
            <w:noWrap w:val="0"/>
            <w:vAlign w:val="center"/>
          </w:tcPr>
          <w:p w14:paraId="29ECCC56">
            <w:pPr>
              <w:pStyle w:val="319"/>
              <w:rPr>
                <w:rFonts w:hint="eastAsia" w:ascii="宋体" w:hAnsi="宋体" w:eastAsia="宋体" w:cs="宋体"/>
                <w:color w:val="auto"/>
                <w:sz w:val="24"/>
                <w:szCs w:val="24"/>
                <w:highlight w:val="none"/>
                <w:lang w:val="en-US" w:eastAsia="zh-CN"/>
              </w:rPr>
            </w:pPr>
          </w:p>
        </w:tc>
      </w:tr>
      <w:tr w14:paraId="6CB34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3224F94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经营范围</w:t>
            </w:r>
          </w:p>
        </w:tc>
        <w:tc>
          <w:tcPr>
            <w:tcW w:w="7016" w:type="dxa"/>
            <w:gridSpan w:val="6"/>
            <w:tcBorders>
              <w:top w:val="single" w:color="auto" w:sz="4" w:space="0"/>
              <w:left w:val="single" w:color="auto" w:sz="4" w:space="0"/>
              <w:bottom w:val="single" w:color="auto" w:sz="4" w:space="0"/>
            </w:tcBorders>
            <w:noWrap w:val="0"/>
            <w:vAlign w:val="center"/>
          </w:tcPr>
          <w:p w14:paraId="04ADD0BC">
            <w:pPr>
              <w:pStyle w:val="319"/>
              <w:rPr>
                <w:rFonts w:hint="eastAsia" w:ascii="宋体" w:hAnsi="宋体" w:eastAsia="宋体" w:cs="宋体"/>
                <w:color w:val="auto"/>
                <w:sz w:val="24"/>
                <w:szCs w:val="24"/>
                <w:highlight w:val="none"/>
                <w:lang w:val="en-US" w:eastAsia="zh-CN"/>
              </w:rPr>
            </w:pPr>
          </w:p>
        </w:tc>
      </w:tr>
      <w:tr w14:paraId="30497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2599D4EB">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单位资质</w:t>
            </w:r>
          </w:p>
        </w:tc>
      </w:tr>
      <w:tr w14:paraId="2C296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0902533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单位资质等级</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01053EF9">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0805CA18">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2516" w:type="dxa"/>
            <w:gridSpan w:val="2"/>
            <w:tcBorders>
              <w:top w:val="single" w:color="auto" w:sz="4" w:space="0"/>
              <w:left w:val="single" w:color="auto" w:sz="4" w:space="0"/>
              <w:bottom w:val="single" w:color="auto" w:sz="4" w:space="0"/>
            </w:tcBorders>
            <w:noWrap w:val="0"/>
            <w:vAlign w:val="center"/>
          </w:tcPr>
          <w:p w14:paraId="6899393C">
            <w:pPr>
              <w:pStyle w:val="319"/>
              <w:rPr>
                <w:rFonts w:hint="eastAsia" w:ascii="宋体" w:hAnsi="宋体" w:eastAsia="宋体" w:cs="宋体"/>
                <w:color w:val="auto"/>
                <w:sz w:val="24"/>
                <w:szCs w:val="24"/>
                <w:highlight w:val="none"/>
                <w:lang w:val="en-US" w:eastAsia="zh-CN"/>
              </w:rPr>
            </w:pPr>
          </w:p>
        </w:tc>
      </w:tr>
      <w:tr w14:paraId="7A142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7285F4E5">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发证机关</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39359D92">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542FFB6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业务范围</w:t>
            </w:r>
          </w:p>
        </w:tc>
        <w:tc>
          <w:tcPr>
            <w:tcW w:w="2516" w:type="dxa"/>
            <w:gridSpan w:val="2"/>
            <w:tcBorders>
              <w:top w:val="single" w:color="auto" w:sz="4" w:space="0"/>
              <w:left w:val="single" w:color="auto" w:sz="4" w:space="0"/>
              <w:bottom w:val="single" w:color="auto" w:sz="4" w:space="0"/>
            </w:tcBorders>
            <w:noWrap w:val="0"/>
            <w:vAlign w:val="center"/>
          </w:tcPr>
          <w:p w14:paraId="0ACDDC96">
            <w:pPr>
              <w:pStyle w:val="319"/>
              <w:rPr>
                <w:rFonts w:hint="eastAsia" w:ascii="宋体" w:hAnsi="宋体" w:eastAsia="宋体" w:cs="宋体"/>
                <w:color w:val="auto"/>
                <w:sz w:val="24"/>
                <w:szCs w:val="24"/>
                <w:highlight w:val="none"/>
                <w:lang w:val="en-US" w:eastAsia="zh-CN"/>
              </w:rPr>
            </w:pPr>
          </w:p>
        </w:tc>
      </w:tr>
      <w:tr w14:paraId="7ACA9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3000ED0F">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领导层构成情况</w:t>
            </w:r>
          </w:p>
        </w:tc>
      </w:tr>
      <w:tr w14:paraId="31D2C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0EF2D34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3A92147">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521379E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2CDA91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448" w:type="dxa"/>
            <w:tcBorders>
              <w:top w:val="single" w:color="auto" w:sz="4" w:space="0"/>
              <w:left w:val="single" w:color="auto" w:sz="4" w:space="0"/>
              <w:bottom w:val="single" w:color="auto" w:sz="4" w:space="0"/>
            </w:tcBorders>
            <w:noWrap w:val="0"/>
            <w:vAlign w:val="center"/>
          </w:tcPr>
          <w:p w14:paraId="354A910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64B9B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32A30F69">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2A33A19">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4B371D1">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7A88A91">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7D481047">
            <w:pPr>
              <w:pStyle w:val="319"/>
              <w:rPr>
                <w:rFonts w:hint="eastAsia" w:ascii="宋体" w:hAnsi="宋体" w:eastAsia="宋体" w:cs="宋体"/>
                <w:color w:val="auto"/>
                <w:sz w:val="24"/>
                <w:szCs w:val="24"/>
                <w:highlight w:val="none"/>
                <w:lang w:val="en-US" w:eastAsia="zh-CN"/>
              </w:rPr>
            </w:pPr>
          </w:p>
        </w:tc>
      </w:tr>
      <w:tr w14:paraId="296D1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55801C56">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5CE5C043">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53F96C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09A4C26">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57FB7B42">
            <w:pPr>
              <w:pStyle w:val="319"/>
              <w:rPr>
                <w:rFonts w:hint="eastAsia" w:ascii="宋体" w:hAnsi="宋体" w:eastAsia="宋体" w:cs="宋体"/>
                <w:color w:val="auto"/>
                <w:sz w:val="24"/>
                <w:szCs w:val="24"/>
                <w:highlight w:val="none"/>
                <w:lang w:val="en-US" w:eastAsia="zh-CN"/>
              </w:rPr>
            </w:pPr>
          </w:p>
        </w:tc>
      </w:tr>
      <w:tr w14:paraId="05A70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20C7EDA0">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ACB38A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D460B16">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18E5B790">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6E8003F9">
            <w:pPr>
              <w:pStyle w:val="319"/>
              <w:rPr>
                <w:rFonts w:hint="eastAsia" w:ascii="宋体" w:hAnsi="宋体" w:eastAsia="宋体" w:cs="宋体"/>
                <w:color w:val="auto"/>
                <w:sz w:val="24"/>
                <w:szCs w:val="24"/>
                <w:highlight w:val="none"/>
                <w:lang w:val="en-US" w:eastAsia="zh-CN"/>
              </w:rPr>
            </w:pPr>
          </w:p>
        </w:tc>
      </w:tr>
      <w:tr w14:paraId="38D20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3F26F70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8FAA8D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031944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6AACC48">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2845DCBA">
            <w:pPr>
              <w:pStyle w:val="319"/>
              <w:rPr>
                <w:rFonts w:hint="eastAsia" w:ascii="宋体" w:hAnsi="宋体" w:eastAsia="宋体" w:cs="宋体"/>
                <w:color w:val="auto"/>
                <w:sz w:val="24"/>
                <w:szCs w:val="24"/>
                <w:highlight w:val="none"/>
                <w:lang w:val="en-US" w:eastAsia="zh-CN"/>
              </w:rPr>
            </w:pPr>
          </w:p>
        </w:tc>
      </w:tr>
      <w:tr w14:paraId="0327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7DB9EDD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E5D4E0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4B1BB7E">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248502E">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164A1F25">
            <w:pPr>
              <w:pStyle w:val="319"/>
              <w:rPr>
                <w:rFonts w:hint="eastAsia" w:ascii="宋体" w:hAnsi="宋体" w:eastAsia="宋体" w:cs="宋体"/>
                <w:color w:val="auto"/>
                <w:sz w:val="24"/>
                <w:szCs w:val="24"/>
                <w:highlight w:val="none"/>
                <w:lang w:val="en-US" w:eastAsia="zh-CN"/>
              </w:rPr>
            </w:pPr>
          </w:p>
        </w:tc>
      </w:tr>
      <w:tr w14:paraId="60FA4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24328E0A">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人员职称构成情况</w:t>
            </w:r>
          </w:p>
        </w:tc>
      </w:tr>
      <w:tr w14:paraId="45CC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6D8F67D1">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人员总数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023D3D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高级职称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63BC4CA">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中级职称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7D7CD80">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初级职称</w:t>
            </w:r>
          </w:p>
        </w:tc>
        <w:tc>
          <w:tcPr>
            <w:tcW w:w="1448" w:type="dxa"/>
            <w:tcBorders>
              <w:top w:val="single" w:color="auto" w:sz="4" w:space="0"/>
              <w:left w:val="single" w:color="auto" w:sz="4" w:space="0"/>
              <w:bottom w:val="single" w:color="auto" w:sz="4" w:space="0"/>
            </w:tcBorders>
            <w:noWrap w:val="0"/>
            <w:vAlign w:val="center"/>
          </w:tcPr>
          <w:p w14:paraId="034D90D1">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r>
      <w:tr w14:paraId="41A8B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914" w:type="dxa"/>
            <w:tcBorders>
              <w:top w:val="single" w:color="auto" w:sz="4" w:space="0"/>
              <w:bottom w:val="single" w:color="auto" w:sz="12" w:space="0"/>
              <w:right w:val="single" w:color="auto" w:sz="4" w:space="0"/>
            </w:tcBorders>
            <w:noWrap w:val="0"/>
            <w:vAlign w:val="center"/>
          </w:tcPr>
          <w:p w14:paraId="768A8BDA">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13E74509">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71CB51C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595F4B59">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12" w:space="0"/>
            </w:tcBorders>
            <w:noWrap w:val="0"/>
            <w:vAlign w:val="center"/>
          </w:tcPr>
          <w:p w14:paraId="52547D70">
            <w:pPr>
              <w:pStyle w:val="319"/>
              <w:rPr>
                <w:rFonts w:hint="eastAsia" w:ascii="宋体" w:hAnsi="宋体" w:eastAsia="宋体" w:cs="宋体"/>
                <w:color w:val="auto"/>
                <w:sz w:val="24"/>
                <w:szCs w:val="24"/>
                <w:highlight w:val="none"/>
                <w:lang w:val="en-US" w:eastAsia="zh-CN"/>
              </w:rPr>
            </w:pPr>
          </w:p>
        </w:tc>
      </w:tr>
    </w:tbl>
    <w:p w14:paraId="658B475F">
      <w:pPr>
        <w:pStyle w:val="319"/>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注：本表后应附相关证明材料的复印件并加盖公章。</w:t>
      </w:r>
    </w:p>
    <w:p w14:paraId="6B7892E8">
      <w:pPr>
        <w:pStyle w:val="319"/>
        <w:snapToGrid w:val="0"/>
        <w:spacing w:line="360" w:lineRule="auto"/>
        <w:rPr>
          <w:rFonts w:hint="eastAsia" w:ascii="宋体" w:hAnsi="宋体" w:eastAsia="宋体" w:cs="宋体"/>
          <w:snapToGrid w:val="0"/>
          <w:color w:val="auto"/>
          <w:sz w:val="24"/>
          <w:szCs w:val="24"/>
          <w:highlight w:val="none"/>
        </w:rPr>
      </w:pPr>
    </w:p>
    <w:p w14:paraId="741D7FF0">
      <w:pPr>
        <w:pStyle w:val="319"/>
        <w:snapToGrid w:val="0"/>
        <w:spacing w:line="360" w:lineRule="auto"/>
        <w:rPr>
          <w:rFonts w:hint="eastAsia" w:ascii="宋体" w:hAnsi="宋体" w:eastAsia="宋体" w:cs="宋体"/>
          <w:snapToGrid w:val="0"/>
          <w:color w:val="auto"/>
          <w:sz w:val="24"/>
          <w:szCs w:val="24"/>
          <w:highlight w:val="none"/>
        </w:rPr>
      </w:pPr>
    </w:p>
    <w:p w14:paraId="19E36C54">
      <w:pPr>
        <w:pStyle w:val="319"/>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投标人名称：（盖单位公章）</w:t>
      </w:r>
    </w:p>
    <w:p w14:paraId="38FE97AA">
      <w:pPr>
        <w:pStyle w:val="319"/>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法定代表人或者其委托代理人：（签字或盖章）</w:t>
      </w:r>
    </w:p>
    <w:p w14:paraId="00994E28">
      <w:pPr>
        <w:jc w:val="center"/>
        <w:rPr>
          <w:rFonts w:hint="eastAsia" w:ascii="宋体" w:hAnsi="宋体" w:eastAsia="宋体" w:cs="宋体"/>
          <w:b/>
          <w:color w:val="auto"/>
          <w:kern w:val="0"/>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年    月    日</w:t>
      </w:r>
    </w:p>
    <w:p w14:paraId="4AB99500">
      <w:pPr>
        <w:jc w:val="center"/>
        <w:rPr>
          <w:rFonts w:hint="eastAsia" w:ascii="宋体" w:hAnsi="宋体" w:eastAsia="宋体" w:cs="宋体"/>
          <w:b/>
          <w:color w:val="auto"/>
          <w:kern w:val="0"/>
          <w:sz w:val="24"/>
          <w:szCs w:val="24"/>
          <w:highlight w:val="none"/>
        </w:rPr>
      </w:pPr>
    </w:p>
    <w:p w14:paraId="5E52BEEE">
      <w:pPr>
        <w:jc w:val="center"/>
        <w:rPr>
          <w:rFonts w:hint="eastAsia" w:ascii="宋体" w:hAnsi="宋体" w:eastAsia="宋体" w:cs="宋体"/>
          <w:b/>
          <w:color w:val="auto"/>
          <w:kern w:val="0"/>
          <w:sz w:val="24"/>
          <w:szCs w:val="24"/>
          <w:highlight w:val="none"/>
        </w:rPr>
      </w:pPr>
    </w:p>
    <w:p w14:paraId="75BD2E0F">
      <w:pPr>
        <w:jc w:val="center"/>
        <w:rPr>
          <w:rFonts w:hint="eastAsia" w:ascii="宋体" w:hAnsi="宋体" w:eastAsia="宋体" w:cs="宋体"/>
          <w:b/>
          <w:color w:val="auto"/>
          <w:kern w:val="0"/>
          <w:sz w:val="24"/>
          <w:szCs w:val="24"/>
          <w:highlight w:val="none"/>
        </w:rPr>
      </w:pPr>
    </w:p>
    <w:p w14:paraId="70F133B5">
      <w:pPr>
        <w:jc w:val="center"/>
        <w:rPr>
          <w:rFonts w:hint="eastAsia" w:ascii="宋体" w:hAnsi="宋体" w:eastAsia="宋体" w:cs="宋体"/>
          <w:b/>
          <w:color w:val="auto"/>
          <w:kern w:val="0"/>
          <w:sz w:val="24"/>
          <w:szCs w:val="24"/>
          <w:highlight w:val="none"/>
        </w:rPr>
      </w:pPr>
    </w:p>
    <w:p w14:paraId="2471BBCB">
      <w:pPr>
        <w:jc w:val="center"/>
        <w:rPr>
          <w:rFonts w:hint="eastAsia" w:ascii="宋体" w:hAnsi="宋体" w:eastAsia="宋体" w:cs="宋体"/>
          <w:b/>
          <w:color w:val="auto"/>
          <w:kern w:val="0"/>
          <w:sz w:val="24"/>
          <w:szCs w:val="24"/>
          <w:highlight w:val="none"/>
        </w:rPr>
      </w:pPr>
    </w:p>
    <w:p w14:paraId="3F34642A">
      <w:pPr>
        <w:jc w:val="center"/>
        <w:rPr>
          <w:rFonts w:hint="eastAsia" w:ascii="宋体" w:hAnsi="宋体" w:eastAsia="宋体" w:cs="宋体"/>
          <w:b/>
          <w:color w:val="auto"/>
          <w:kern w:val="0"/>
          <w:sz w:val="24"/>
          <w:szCs w:val="24"/>
          <w:highlight w:val="none"/>
        </w:rPr>
      </w:pPr>
    </w:p>
    <w:p w14:paraId="275FFD9E">
      <w:pPr>
        <w:jc w:val="center"/>
        <w:rPr>
          <w:rFonts w:hint="eastAsia" w:ascii="宋体" w:hAnsi="宋体" w:eastAsia="宋体" w:cs="宋体"/>
          <w:b/>
          <w:color w:val="auto"/>
          <w:kern w:val="0"/>
          <w:sz w:val="24"/>
          <w:szCs w:val="24"/>
          <w:highlight w:val="none"/>
        </w:rPr>
      </w:pPr>
    </w:p>
    <w:p w14:paraId="689B4751">
      <w:pPr>
        <w:jc w:val="center"/>
        <w:rPr>
          <w:rFonts w:hint="eastAsia" w:ascii="宋体" w:hAnsi="宋体" w:eastAsia="宋体" w:cs="宋体"/>
          <w:b/>
          <w:color w:val="auto"/>
          <w:kern w:val="0"/>
          <w:sz w:val="32"/>
          <w:szCs w:val="32"/>
          <w:highlight w:val="none"/>
        </w:rPr>
      </w:pPr>
    </w:p>
    <w:p w14:paraId="5FA667B7">
      <w:pPr>
        <w:jc w:val="center"/>
        <w:rPr>
          <w:rFonts w:hint="eastAsia" w:ascii="宋体" w:hAnsi="宋体" w:eastAsia="宋体" w:cs="宋体"/>
          <w:b/>
          <w:color w:val="auto"/>
          <w:kern w:val="0"/>
          <w:sz w:val="32"/>
          <w:szCs w:val="32"/>
          <w:highlight w:val="none"/>
          <w:lang w:val="en-US" w:eastAsia="zh-CN"/>
        </w:rPr>
      </w:pPr>
    </w:p>
    <w:p w14:paraId="5616EC10">
      <w:pPr>
        <w:jc w:val="center"/>
        <w:rPr>
          <w:rFonts w:hint="eastAsia" w:ascii="宋体" w:hAnsi="宋体" w:eastAsia="宋体" w:cs="宋体"/>
          <w:b/>
          <w:color w:val="auto"/>
          <w:kern w:val="0"/>
          <w:sz w:val="32"/>
          <w:szCs w:val="32"/>
          <w:highlight w:val="none"/>
          <w:lang w:val="en-US" w:eastAsia="zh-CN"/>
        </w:rPr>
      </w:pPr>
    </w:p>
    <w:p w14:paraId="036B7D7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w:t>
      </w:r>
      <w:r>
        <w:rPr>
          <w:rFonts w:hint="eastAsia" w:ascii="宋体" w:hAnsi="宋体" w:eastAsia="宋体" w:cs="宋体"/>
          <w:b/>
          <w:color w:val="auto"/>
          <w:kern w:val="0"/>
          <w:sz w:val="32"/>
          <w:szCs w:val="32"/>
          <w:highlight w:val="none"/>
          <w:lang w:eastAsia="zh-CN"/>
        </w:rPr>
        <w:t>资信技术</w:t>
      </w:r>
      <w:r>
        <w:rPr>
          <w:rFonts w:hint="eastAsia" w:ascii="宋体" w:hAnsi="宋体" w:eastAsia="宋体" w:cs="宋体"/>
          <w:b/>
          <w:color w:val="auto"/>
          <w:kern w:val="0"/>
          <w:sz w:val="32"/>
          <w:szCs w:val="32"/>
          <w:highlight w:val="none"/>
        </w:rPr>
        <w:t>资料</w:t>
      </w:r>
    </w:p>
    <w:p w14:paraId="13A3099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w:t>
      </w:r>
      <w:r>
        <w:rPr>
          <w:rFonts w:hint="eastAsia" w:ascii="宋体" w:hAnsi="宋体" w:eastAsia="宋体" w:cs="宋体"/>
          <w:b/>
          <w:color w:val="auto"/>
          <w:sz w:val="24"/>
          <w:highlight w:val="none"/>
          <w:lang w:eastAsia="zh-CN"/>
        </w:rPr>
        <w:t>资信技术</w:t>
      </w:r>
      <w:r>
        <w:rPr>
          <w:rFonts w:hint="eastAsia" w:ascii="宋体" w:hAnsi="宋体" w:eastAsia="宋体" w:cs="宋体"/>
          <w:b/>
          <w:color w:val="auto"/>
          <w:sz w:val="24"/>
          <w:highlight w:val="none"/>
        </w:rPr>
        <w:t>资料目录”提供资料。）</w:t>
      </w:r>
    </w:p>
    <w:p w14:paraId="785D64D5">
      <w:pPr>
        <w:jc w:val="center"/>
        <w:rPr>
          <w:rFonts w:hint="eastAsia" w:ascii="宋体" w:hAnsi="宋体" w:eastAsia="宋体" w:cs="宋体"/>
          <w:b/>
          <w:color w:val="auto"/>
          <w:kern w:val="0"/>
          <w:sz w:val="32"/>
          <w:szCs w:val="32"/>
          <w:highlight w:val="none"/>
        </w:rPr>
      </w:pPr>
    </w:p>
    <w:p w14:paraId="08959255">
      <w:pPr>
        <w:jc w:val="center"/>
        <w:rPr>
          <w:rFonts w:hint="eastAsia" w:ascii="宋体" w:hAnsi="宋体" w:eastAsia="宋体" w:cs="宋体"/>
          <w:b/>
          <w:color w:val="auto"/>
          <w:kern w:val="0"/>
          <w:sz w:val="32"/>
          <w:szCs w:val="32"/>
          <w:highlight w:val="none"/>
        </w:rPr>
      </w:pPr>
    </w:p>
    <w:p w14:paraId="7FE940ED">
      <w:pPr>
        <w:jc w:val="center"/>
        <w:rPr>
          <w:rFonts w:hint="eastAsia" w:ascii="宋体" w:hAnsi="宋体" w:eastAsia="宋体" w:cs="宋体"/>
          <w:b/>
          <w:color w:val="auto"/>
          <w:kern w:val="0"/>
          <w:sz w:val="32"/>
          <w:szCs w:val="32"/>
          <w:highlight w:val="none"/>
        </w:rPr>
      </w:pPr>
    </w:p>
    <w:p w14:paraId="3C844C46">
      <w:pPr>
        <w:jc w:val="center"/>
        <w:rPr>
          <w:rFonts w:hint="eastAsia" w:ascii="宋体" w:hAnsi="宋体" w:eastAsia="宋体" w:cs="宋体"/>
          <w:b/>
          <w:color w:val="auto"/>
          <w:kern w:val="0"/>
          <w:sz w:val="32"/>
          <w:szCs w:val="32"/>
          <w:highlight w:val="none"/>
        </w:rPr>
      </w:pPr>
    </w:p>
    <w:p w14:paraId="09328E9C">
      <w:pPr>
        <w:jc w:val="center"/>
        <w:rPr>
          <w:rFonts w:hint="eastAsia" w:ascii="宋体" w:hAnsi="宋体" w:eastAsia="宋体" w:cs="宋体"/>
          <w:b/>
          <w:color w:val="auto"/>
          <w:kern w:val="0"/>
          <w:sz w:val="32"/>
          <w:szCs w:val="32"/>
          <w:highlight w:val="none"/>
        </w:rPr>
      </w:pPr>
    </w:p>
    <w:p w14:paraId="03D50B0E">
      <w:pPr>
        <w:jc w:val="center"/>
        <w:rPr>
          <w:rFonts w:hint="eastAsia" w:ascii="宋体" w:hAnsi="宋体" w:eastAsia="宋体" w:cs="宋体"/>
          <w:b/>
          <w:color w:val="auto"/>
          <w:kern w:val="0"/>
          <w:sz w:val="32"/>
          <w:szCs w:val="32"/>
          <w:highlight w:val="none"/>
        </w:rPr>
      </w:pPr>
    </w:p>
    <w:p w14:paraId="051228F2">
      <w:pPr>
        <w:jc w:val="center"/>
        <w:rPr>
          <w:rFonts w:hint="eastAsia" w:ascii="宋体" w:hAnsi="宋体" w:eastAsia="宋体" w:cs="宋体"/>
          <w:b/>
          <w:color w:val="auto"/>
          <w:kern w:val="0"/>
          <w:sz w:val="32"/>
          <w:szCs w:val="32"/>
          <w:highlight w:val="none"/>
        </w:rPr>
      </w:pPr>
    </w:p>
    <w:p w14:paraId="52B3ACC3">
      <w:pPr>
        <w:jc w:val="center"/>
        <w:rPr>
          <w:rFonts w:hint="eastAsia" w:ascii="宋体" w:hAnsi="宋体" w:eastAsia="宋体" w:cs="宋体"/>
          <w:b/>
          <w:color w:val="auto"/>
          <w:kern w:val="0"/>
          <w:sz w:val="32"/>
          <w:szCs w:val="32"/>
          <w:highlight w:val="none"/>
        </w:rPr>
      </w:pPr>
    </w:p>
    <w:p w14:paraId="61290CC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资信技术</w:t>
      </w:r>
      <w:r>
        <w:rPr>
          <w:rFonts w:hint="eastAsia" w:ascii="宋体" w:hAnsi="宋体" w:eastAsia="宋体" w:cs="宋体"/>
          <w:b/>
          <w:color w:val="auto"/>
          <w:kern w:val="0"/>
          <w:sz w:val="32"/>
          <w:szCs w:val="32"/>
          <w:highlight w:val="none"/>
        </w:rPr>
        <w:t>偏离表</w:t>
      </w:r>
    </w:p>
    <w:tbl>
      <w:tblPr>
        <w:tblStyle w:val="64"/>
        <w:tblW w:w="906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62"/>
        <w:gridCol w:w="3105"/>
        <w:gridCol w:w="1770"/>
      </w:tblGrid>
      <w:tr w14:paraId="5DD9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7D28BA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62" w:type="dxa"/>
            <w:vAlign w:val="center"/>
          </w:tcPr>
          <w:p w14:paraId="4E7648D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105" w:type="dxa"/>
            <w:vAlign w:val="center"/>
          </w:tcPr>
          <w:p w14:paraId="1AB4599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770" w:type="dxa"/>
            <w:vAlign w:val="center"/>
          </w:tcPr>
          <w:p w14:paraId="6424DFC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4514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0733C59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362" w:type="dxa"/>
            <w:vAlign w:val="center"/>
          </w:tcPr>
          <w:p w14:paraId="0E41A20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3FEE76D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412C7EF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722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5AF56E1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362" w:type="dxa"/>
            <w:vAlign w:val="center"/>
          </w:tcPr>
          <w:p w14:paraId="7BC07AC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2B4E8EB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29277CA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0D3C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3D5342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362" w:type="dxa"/>
            <w:vAlign w:val="center"/>
          </w:tcPr>
          <w:p w14:paraId="368D15A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3702BFC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42F1F1A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37B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17D7EC0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362" w:type="dxa"/>
            <w:vAlign w:val="center"/>
          </w:tcPr>
          <w:p w14:paraId="45A4468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2106C31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7C4A9C1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bl>
    <w:p w14:paraId="12CB75EC">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投标人保证：除</w:t>
      </w:r>
      <w:r>
        <w:rPr>
          <w:rFonts w:hint="eastAsia" w:ascii="宋体" w:hAnsi="宋体" w:eastAsia="宋体" w:cs="宋体"/>
          <w:b/>
          <w:bCs/>
          <w:color w:val="auto"/>
          <w:kern w:val="0"/>
          <w:sz w:val="24"/>
          <w:szCs w:val="24"/>
          <w:highlight w:val="none"/>
          <w:lang w:eastAsia="zh-CN"/>
        </w:rPr>
        <w:t>资信技术</w:t>
      </w:r>
      <w:r>
        <w:rPr>
          <w:rFonts w:hint="eastAsia" w:ascii="宋体" w:hAnsi="宋体" w:eastAsia="宋体" w:cs="宋体"/>
          <w:b/>
          <w:bCs/>
          <w:color w:val="auto"/>
          <w:kern w:val="0"/>
          <w:sz w:val="24"/>
          <w:szCs w:val="24"/>
          <w:highlight w:val="none"/>
        </w:rPr>
        <w:t>偏离表列出的偏离外，投标人响应招标文件的全部要求</w:t>
      </w:r>
    </w:p>
    <w:p w14:paraId="057390DE">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center"/>
        <w:textAlignment w:val="auto"/>
        <w:rPr>
          <w:rFonts w:hint="eastAsia" w:ascii="宋体" w:hAnsi="宋体" w:eastAsia="宋体" w:cs="宋体"/>
          <w:b w:val="0"/>
          <w:bCs w:val="0"/>
          <w:color w:val="auto"/>
          <w:kern w:val="0"/>
          <w:sz w:val="24"/>
          <w:szCs w:val="24"/>
          <w:highlight w:val="none"/>
        </w:rPr>
      </w:pPr>
    </w:p>
    <w:p w14:paraId="257ACDD5">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注：按本格式和要求提供。</w:t>
      </w:r>
    </w:p>
    <w:p w14:paraId="6ACB29E0">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54DDAD83">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投标人名称：（盖单位公章）</w:t>
      </w:r>
    </w:p>
    <w:p w14:paraId="6E9A16BF">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法定代表人或者其委托代理人：（签字或盖章）</w:t>
      </w:r>
    </w:p>
    <w:p w14:paraId="66DB7765">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p w14:paraId="06C476FF">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7D9F3603">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325E42BE">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2F0CECF6">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3E802AA3">
      <w:pPr>
        <w:ind w:firstLine="1911" w:firstLineChars="595"/>
        <w:rPr>
          <w:rFonts w:hint="eastAsia" w:ascii="宋体" w:hAnsi="宋体" w:eastAsia="宋体" w:cs="宋体"/>
          <w:b/>
          <w:bCs/>
          <w:color w:val="auto"/>
          <w:sz w:val="32"/>
          <w:szCs w:val="32"/>
          <w:highlight w:val="none"/>
        </w:rPr>
      </w:pPr>
    </w:p>
    <w:p w14:paraId="003D8DE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461EE44B">
      <w:pPr>
        <w:snapToGrid w:val="0"/>
        <w:spacing w:line="360" w:lineRule="auto"/>
        <w:rPr>
          <w:rFonts w:hint="eastAsia" w:ascii="宋体" w:hAnsi="宋体" w:eastAsia="宋体" w:cs="宋体"/>
          <w:color w:val="auto"/>
          <w:sz w:val="24"/>
          <w:highlight w:val="none"/>
        </w:rPr>
      </w:pPr>
    </w:p>
    <w:p w14:paraId="098BC7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杭州天恒投资建设管理有限公司</w:t>
      </w:r>
      <w:r>
        <w:rPr>
          <w:rFonts w:hint="eastAsia" w:ascii="宋体" w:hAnsi="宋体" w:eastAsia="宋体" w:cs="宋体"/>
          <w:color w:val="auto"/>
          <w:kern w:val="0"/>
          <w:sz w:val="24"/>
          <w:highlight w:val="none"/>
          <w:lang w:val="zh-CN"/>
        </w:rPr>
        <w:t>：</w:t>
      </w:r>
    </w:p>
    <w:p w14:paraId="4BCDC2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33DCBE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5A68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442098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DDE6A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38EB43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161A2B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0FF55D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D6945F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F8FFC3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65253C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4B90CA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BB6B8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BF75C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投标人名称：（盖单位公章）</w:t>
      </w:r>
    </w:p>
    <w:p w14:paraId="6B85216E">
      <w:pPr>
        <w:autoSpaceDE w:val="0"/>
        <w:autoSpaceDN w:val="0"/>
        <w:spacing w:line="360" w:lineRule="auto"/>
        <w:ind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法定代表人或者其委托代理人：（签字或盖章）                                                                                                                                                                                                               </w:t>
      </w:r>
    </w:p>
    <w:p w14:paraId="7379393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C9ADA9C">
      <w:pPr>
        <w:spacing w:line="360" w:lineRule="auto"/>
        <w:jc w:val="center"/>
        <w:rPr>
          <w:rFonts w:hint="eastAsia" w:ascii="宋体" w:hAnsi="宋体" w:eastAsia="宋体" w:cs="宋体"/>
          <w:b/>
          <w:bCs/>
          <w:color w:val="auto"/>
          <w:sz w:val="24"/>
          <w:highlight w:val="none"/>
        </w:rPr>
      </w:pPr>
    </w:p>
    <w:p w14:paraId="21A442F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C0AF40F">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1801E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CFE829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8C889CE">
      <w:pPr>
        <w:spacing w:line="360" w:lineRule="auto"/>
        <w:jc w:val="center"/>
        <w:outlineLvl w:val="0"/>
        <w:rPr>
          <w:rFonts w:hint="eastAsia" w:ascii="宋体" w:hAnsi="宋体" w:eastAsia="宋体" w:cs="宋体"/>
          <w:b/>
          <w:color w:val="auto"/>
          <w:kern w:val="0"/>
          <w:sz w:val="36"/>
          <w:szCs w:val="36"/>
          <w:highlight w:val="none"/>
        </w:rPr>
      </w:pPr>
    </w:p>
    <w:p w14:paraId="7AE5DA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（1）报价函………………………………………………</w:t>
      </w:r>
      <w:r>
        <w:rPr>
          <w:rFonts w:hint="eastAsia" w:ascii="宋体" w:hAnsi="宋体" w:eastAsia="宋体" w:cs="宋体"/>
          <w:sz w:val="24"/>
        </w:rPr>
        <w:t>……………………</w:t>
      </w:r>
      <w:r>
        <w:rPr>
          <w:rFonts w:hint="eastAsia" w:ascii="宋体" w:hAnsi="宋体" w:eastAsia="宋体" w:cs="宋体"/>
          <w:color w:val="auto"/>
          <w:sz w:val="24"/>
          <w:highlight w:val="none"/>
        </w:rPr>
        <w:t>………（页码）</w:t>
      </w:r>
    </w:p>
    <w:p w14:paraId="5B4CEA46">
      <w:pPr>
        <w:snapToGrid w:val="0"/>
        <w:spacing w:line="360" w:lineRule="auto"/>
        <w:rPr>
          <w:rFonts w:hint="eastAsia" w:ascii="宋体" w:hAnsi="宋体" w:eastAsia="宋体" w:cs="宋体"/>
          <w:sz w:val="24"/>
        </w:rPr>
      </w:pPr>
      <w:r>
        <w:rPr>
          <w:rFonts w:hint="eastAsia" w:ascii="宋体" w:hAnsi="宋体" w:eastAsia="宋体" w:cs="宋体"/>
          <w:sz w:val="24"/>
        </w:rPr>
        <w:t>（2）开标一览表………………………………………………………………………（页码）</w:t>
      </w:r>
    </w:p>
    <w:p w14:paraId="1E0CA429">
      <w:pPr>
        <w:snapToGrid w:val="0"/>
        <w:spacing w:line="360" w:lineRule="auto"/>
        <w:rPr>
          <w:rFonts w:hint="eastAsia" w:ascii="宋体" w:hAnsi="宋体" w:eastAsia="宋体" w:cs="宋体"/>
          <w:color w:val="auto"/>
          <w:sz w:val="24"/>
          <w:highlight w:val="none"/>
        </w:rPr>
      </w:pPr>
    </w:p>
    <w:p w14:paraId="71B16568">
      <w:pPr>
        <w:snapToGrid w:val="0"/>
        <w:spacing w:line="360" w:lineRule="auto"/>
        <w:ind w:right="480"/>
        <w:jc w:val="center"/>
        <w:rPr>
          <w:rFonts w:hint="eastAsia" w:ascii="宋体" w:hAnsi="宋体" w:eastAsia="宋体" w:cs="宋体"/>
          <w:b/>
          <w:color w:val="auto"/>
          <w:kern w:val="0"/>
          <w:sz w:val="32"/>
          <w:szCs w:val="32"/>
          <w:highlight w:val="none"/>
        </w:rPr>
      </w:pPr>
    </w:p>
    <w:p w14:paraId="0478FD6E">
      <w:pPr>
        <w:snapToGrid w:val="0"/>
        <w:spacing w:line="360" w:lineRule="auto"/>
        <w:ind w:right="480"/>
        <w:jc w:val="center"/>
        <w:rPr>
          <w:rFonts w:hint="eastAsia" w:ascii="宋体" w:hAnsi="宋体" w:eastAsia="宋体" w:cs="宋体"/>
          <w:b/>
          <w:color w:val="auto"/>
          <w:kern w:val="0"/>
          <w:sz w:val="32"/>
          <w:szCs w:val="32"/>
          <w:highlight w:val="none"/>
        </w:rPr>
      </w:pPr>
    </w:p>
    <w:p w14:paraId="413D784C">
      <w:pPr>
        <w:snapToGrid w:val="0"/>
        <w:spacing w:line="360" w:lineRule="auto"/>
        <w:ind w:right="480"/>
        <w:jc w:val="center"/>
        <w:rPr>
          <w:rFonts w:hint="eastAsia" w:ascii="宋体" w:hAnsi="宋体" w:eastAsia="宋体" w:cs="宋体"/>
          <w:b/>
          <w:color w:val="auto"/>
          <w:kern w:val="0"/>
          <w:sz w:val="32"/>
          <w:szCs w:val="32"/>
          <w:highlight w:val="none"/>
        </w:rPr>
      </w:pPr>
    </w:p>
    <w:p w14:paraId="5B7A1521">
      <w:pPr>
        <w:snapToGrid w:val="0"/>
        <w:spacing w:line="360" w:lineRule="auto"/>
        <w:ind w:right="480"/>
        <w:jc w:val="center"/>
        <w:rPr>
          <w:rFonts w:hint="eastAsia" w:ascii="宋体" w:hAnsi="宋体" w:eastAsia="宋体" w:cs="宋体"/>
          <w:b/>
          <w:color w:val="auto"/>
          <w:kern w:val="0"/>
          <w:sz w:val="32"/>
          <w:szCs w:val="32"/>
          <w:highlight w:val="none"/>
        </w:rPr>
      </w:pPr>
    </w:p>
    <w:p w14:paraId="244B0B59">
      <w:pPr>
        <w:snapToGrid w:val="0"/>
        <w:spacing w:line="360" w:lineRule="auto"/>
        <w:ind w:right="480"/>
        <w:jc w:val="center"/>
        <w:rPr>
          <w:rFonts w:hint="eastAsia" w:ascii="宋体" w:hAnsi="宋体" w:eastAsia="宋体" w:cs="宋体"/>
          <w:b/>
          <w:color w:val="auto"/>
          <w:kern w:val="0"/>
          <w:sz w:val="32"/>
          <w:szCs w:val="32"/>
          <w:highlight w:val="none"/>
        </w:rPr>
      </w:pPr>
    </w:p>
    <w:p w14:paraId="4E6210AF">
      <w:pPr>
        <w:snapToGrid w:val="0"/>
        <w:spacing w:line="360" w:lineRule="auto"/>
        <w:ind w:right="480"/>
        <w:jc w:val="center"/>
        <w:rPr>
          <w:rFonts w:hint="eastAsia" w:ascii="宋体" w:hAnsi="宋体" w:eastAsia="宋体" w:cs="宋体"/>
          <w:b/>
          <w:color w:val="auto"/>
          <w:kern w:val="0"/>
          <w:sz w:val="32"/>
          <w:szCs w:val="32"/>
          <w:highlight w:val="none"/>
        </w:rPr>
      </w:pPr>
    </w:p>
    <w:p w14:paraId="5DDC7CFB">
      <w:pPr>
        <w:snapToGrid w:val="0"/>
        <w:spacing w:line="360" w:lineRule="auto"/>
        <w:ind w:right="480"/>
        <w:jc w:val="center"/>
        <w:rPr>
          <w:rFonts w:hint="eastAsia" w:ascii="宋体" w:hAnsi="宋体" w:eastAsia="宋体" w:cs="宋体"/>
          <w:b/>
          <w:color w:val="auto"/>
          <w:kern w:val="0"/>
          <w:sz w:val="32"/>
          <w:szCs w:val="32"/>
          <w:highlight w:val="none"/>
        </w:rPr>
      </w:pPr>
    </w:p>
    <w:p w14:paraId="06A5661D">
      <w:pPr>
        <w:snapToGrid w:val="0"/>
        <w:spacing w:line="360" w:lineRule="auto"/>
        <w:ind w:right="480"/>
        <w:jc w:val="center"/>
        <w:rPr>
          <w:rFonts w:hint="eastAsia" w:ascii="宋体" w:hAnsi="宋体" w:eastAsia="宋体" w:cs="宋体"/>
          <w:b/>
          <w:color w:val="auto"/>
          <w:kern w:val="0"/>
          <w:sz w:val="32"/>
          <w:szCs w:val="32"/>
          <w:highlight w:val="none"/>
        </w:rPr>
      </w:pPr>
    </w:p>
    <w:p w14:paraId="320FCF91">
      <w:pPr>
        <w:snapToGrid w:val="0"/>
        <w:spacing w:line="360" w:lineRule="auto"/>
        <w:ind w:right="480"/>
        <w:jc w:val="center"/>
        <w:rPr>
          <w:rFonts w:hint="eastAsia" w:ascii="宋体" w:hAnsi="宋体" w:eastAsia="宋体" w:cs="宋体"/>
          <w:b/>
          <w:color w:val="auto"/>
          <w:kern w:val="0"/>
          <w:sz w:val="32"/>
          <w:szCs w:val="32"/>
          <w:highlight w:val="none"/>
        </w:rPr>
      </w:pPr>
    </w:p>
    <w:p w14:paraId="0784E643">
      <w:pPr>
        <w:snapToGrid w:val="0"/>
        <w:spacing w:line="360" w:lineRule="auto"/>
        <w:ind w:right="480"/>
        <w:jc w:val="center"/>
        <w:rPr>
          <w:rFonts w:hint="eastAsia" w:ascii="宋体" w:hAnsi="宋体" w:eastAsia="宋体" w:cs="宋体"/>
          <w:b/>
          <w:color w:val="auto"/>
          <w:kern w:val="0"/>
          <w:sz w:val="32"/>
          <w:szCs w:val="32"/>
          <w:highlight w:val="none"/>
        </w:rPr>
      </w:pPr>
    </w:p>
    <w:p w14:paraId="1323FD96">
      <w:pPr>
        <w:snapToGrid w:val="0"/>
        <w:spacing w:line="360" w:lineRule="auto"/>
        <w:ind w:right="480"/>
        <w:jc w:val="center"/>
        <w:rPr>
          <w:rFonts w:hint="eastAsia" w:ascii="宋体" w:hAnsi="宋体" w:eastAsia="宋体" w:cs="宋体"/>
          <w:b/>
          <w:color w:val="auto"/>
          <w:kern w:val="0"/>
          <w:sz w:val="32"/>
          <w:szCs w:val="32"/>
          <w:highlight w:val="none"/>
        </w:rPr>
      </w:pPr>
    </w:p>
    <w:p w14:paraId="3C9644E1">
      <w:pPr>
        <w:snapToGrid w:val="0"/>
        <w:spacing w:line="360" w:lineRule="auto"/>
        <w:ind w:right="480"/>
        <w:jc w:val="center"/>
        <w:rPr>
          <w:rFonts w:hint="eastAsia" w:ascii="宋体" w:hAnsi="宋体" w:eastAsia="宋体" w:cs="宋体"/>
          <w:b/>
          <w:color w:val="auto"/>
          <w:kern w:val="0"/>
          <w:sz w:val="32"/>
          <w:szCs w:val="32"/>
          <w:highlight w:val="none"/>
        </w:rPr>
      </w:pPr>
    </w:p>
    <w:p w14:paraId="133517BD">
      <w:pPr>
        <w:snapToGrid w:val="0"/>
        <w:spacing w:line="360" w:lineRule="auto"/>
        <w:ind w:right="480"/>
        <w:jc w:val="center"/>
        <w:rPr>
          <w:rFonts w:hint="eastAsia" w:ascii="宋体" w:hAnsi="宋体" w:eastAsia="宋体" w:cs="宋体"/>
          <w:b/>
          <w:color w:val="auto"/>
          <w:kern w:val="0"/>
          <w:sz w:val="32"/>
          <w:szCs w:val="32"/>
          <w:highlight w:val="none"/>
        </w:rPr>
      </w:pPr>
    </w:p>
    <w:p w14:paraId="5EC7498E">
      <w:pPr>
        <w:snapToGrid w:val="0"/>
        <w:spacing w:line="360" w:lineRule="auto"/>
        <w:ind w:right="480"/>
        <w:jc w:val="center"/>
        <w:rPr>
          <w:rFonts w:hint="eastAsia" w:ascii="宋体" w:hAnsi="宋体" w:eastAsia="宋体" w:cs="宋体"/>
          <w:b/>
          <w:color w:val="auto"/>
          <w:kern w:val="0"/>
          <w:sz w:val="32"/>
          <w:szCs w:val="32"/>
          <w:highlight w:val="none"/>
        </w:rPr>
      </w:pPr>
    </w:p>
    <w:p w14:paraId="6FEBBB30">
      <w:pPr>
        <w:snapToGrid w:val="0"/>
        <w:spacing w:line="360" w:lineRule="auto"/>
        <w:ind w:right="480"/>
        <w:jc w:val="center"/>
        <w:rPr>
          <w:rFonts w:hint="eastAsia" w:ascii="宋体" w:hAnsi="宋体" w:eastAsia="宋体" w:cs="宋体"/>
          <w:b/>
          <w:color w:val="auto"/>
          <w:kern w:val="0"/>
          <w:sz w:val="32"/>
          <w:szCs w:val="32"/>
          <w:highlight w:val="none"/>
        </w:rPr>
      </w:pPr>
    </w:p>
    <w:p w14:paraId="6F8632C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4F1372">
      <w:pPr>
        <w:pStyle w:val="692"/>
        <w:keepNext w:val="0"/>
        <w:pageBreakBefore w:val="0"/>
        <w:tabs>
          <w:tab w:val="clear" w:pos="720"/>
        </w:tabs>
        <w:snapToGrid w:val="0"/>
        <w:spacing w:before="120" w:after="12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b/>
          <w:color w:val="auto"/>
          <w:kern w:val="0"/>
          <w:sz w:val="32"/>
          <w:szCs w:val="32"/>
          <w:highlight w:val="none"/>
        </w:rPr>
        <w:t>报价函</w:t>
      </w:r>
    </w:p>
    <w:p w14:paraId="256F2B27">
      <w:pPr>
        <w:widowControl/>
        <w:snapToGrid w:val="0"/>
        <w:ind w:left="420" w:hanging="420"/>
        <w:jc w:val="center"/>
        <w:rPr>
          <w:rFonts w:hint="eastAsia" w:ascii="宋体" w:hAnsi="宋体" w:eastAsia="宋体" w:cs="宋体"/>
          <w:b/>
          <w:color w:val="auto"/>
          <w:kern w:val="0"/>
          <w:sz w:val="32"/>
          <w:szCs w:val="32"/>
          <w:highlight w:val="none"/>
        </w:rPr>
      </w:pPr>
    </w:p>
    <w:p w14:paraId="4F3B585F">
      <w:pPr>
        <w:pStyle w:val="59"/>
        <w:autoSpaceDE w:val="0"/>
        <w:adjustRightInd w:val="0"/>
        <w:snapToGrid w:val="0"/>
        <w:spacing w:before="0" w:beforeAutospacing="0" w:after="0" w:afterAutospacing="0" w:line="420" w:lineRule="exact"/>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建德市十里埠港发展有限公司、杭州天恒投资建设管理有限公司：</w:t>
      </w:r>
    </w:p>
    <w:p w14:paraId="594DA534">
      <w:pPr>
        <w:pStyle w:val="59"/>
        <w:autoSpaceDE w:val="0"/>
        <w:adjustRightInd w:val="0"/>
        <w:snapToGrid w:val="0"/>
        <w:spacing w:before="0" w:beforeAutospacing="0" w:after="0" w:afterAutospacing="0"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贵单位</w:t>
      </w:r>
      <w:r>
        <w:rPr>
          <w:rFonts w:hint="eastAsia" w:ascii="宋体" w:hAnsi="宋体" w:eastAsia="宋体" w:cs="宋体"/>
          <w:color w:val="auto"/>
          <w:highlight w:val="none"/>
          <w:lang w:eastAsia="zh-CN"/>
        </w:rPr>
        <w:t>JT-XM-A-2025-0047</w:t>
      </w:r>
      <w:r>
        <w:rPr>
          <w:rFonts w:hint="eastAsia" w:ascii="宋体" w:hAnsi="宋体" w:eastAsia="宋体" w:cs="宋体"/>
          <w:color w:val="auto"/>
          <w:highlight w:val="none"/>
        </w:rPr>
        <w:t>号招标文件(包括补充更正，如有)收悉，我们经详细审阅和研究，现决定参加</w:t>
      </w:r>
      <w:r>
        <w:rPr>
          <w:rFonts w:hint="eastAsia" w:ascii="宋体" w:hAnsi="宋体" w:eastAsia="宋体" w:cs="宋体"/>
          <w:bCs/>
          <w:color w:val="auto"/>
          <w:highlight w:val="none"/>
          <w:u w:val="single"/>
          <w:lang w:eastAsia="zh-CN"/>
        </w:rPr>
        <w:t>建德市十里埠港发展有限公司2025年电动装载机采购项目</w:t>
      </w:r>
      <w:r>
        <w:rPr>
          <w:rFonts w:hint="eastAsia" w:ascii="宋体" w:hAnsi="宋体" w:eastAsia="宋体" w:cs="宋体"/>
          <w:color w:val="auto"/>
          <w:highlight w:val="none"/>
        </w:rPr>
        <w:t>公开招标的报价。我公司决定无保留地接受招标文件(包括补充更正，如有)所有条款和报价文件所有承诺，并按合同履行全部责任。</w:t>
      </w:r>
    </w:p>
    <w:p w14:paraId="35628855">
      <w:pPr>
        <w:pStyle w:val="59"/>
        <w:autoSpaceDE w:val="0"/>
        <w:adjustRightInd w:val="0"/>
        <w:snapToGrid w:val="0"/>
        <w:spacing w:before="0" w:beforeAutospacing="0" w:after="0" w:afterAutospacing="0" w:line="420" w:lineRule="exact"/>
        <w:ind w:firstLine="480"/>
        <w:rPr>
          <w:rFonts w:hint="eastAsia" w:ascii="宋体" w:hAnsi="宋体" w:eastAsia="宋体" w:cs="宋体"/>
          <w:color w:val="auto"/>
          <w:highlight w:val="none"/>
        </w:rPr>
      </w:pPr>
    </w:p>
    <w:p w14:paraId="3378AEA2">
      <w:pPr>
        <w:autoSpaceDE w:val="0"/>
        <w:adjustRightInd w:val="0"/>
        <w:snapToGrid w:val="0"/>
        <w:spacing w:line="360" w:lineRule="auto"/>
        <w:ind w:firstLine="480" w:firstLineChars="200"/>
        <w:jc w:val="left"/>
        <w:rPr>
          <w:rFonts w:hint="eastAsia" w:ascii="宋体" w:hAnsi="宋体" w:eastAsia="宋体" w:cs="宋体"/>
          <w:kern w:val="0"/>
          <w:sz w:val="24"/>
        </w:rPr>
      </w:pPr>
    </w:p>
    <w:p w14:paraId="3E79F7FB">
      <w:pPr>
        <w:autoSpaceDE w:val="0"/>
        <w:adjustRightInd w:val="0"/>
        <w:snapToGrid w:val="0"/>
        <w:spacing w:line="360" w:lineRule="auto"/>
        <w:ind w:firstLine="964" w:firstLineChars="4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本项目愿按人民币含税价（￥</w:t>
      </w:r>
      <w:r>
        <w:rPr>
          <w:rFonts w:hint="eastAsia" w:ascii="宋体" w:hAnsi="宋体" w:eastAsia="宋体" w:cs="宋体"/>
          <w:b/>
          <w:bCs/>
          <w:kern w:val="0"/>
          <w:sz w:val="24"/>
          <w:u w:val="single"/>
          <w:lang w:val="en-US" w:eastAsia="zh-CN"/>
        </w:rPr>
        <w:t xml:space="preserve">            </w:t>
      </w:r>
      <w:r>
        <w:rPr>
          <w:rFonts w:hint="eastAsia" w:ascii="宋体" w:hAnsi="宋体" w:eastAsia="宋体" w:cs="宋体"/>
          <w:b/>
          <w:bCs/>
          <w:kern w:val="0"/>
          <w:sz w:val="24"/>
          <w:lang w:val="en-US" w:eastAsia="zh-CN"/>
        </w:rPr>
        <w:t>元）。</w:t>
      </w:r>
    </w:p>
    <w:p w14:paraId="7FC41088">
      <w:pPr>
        <w:autoSpaceDE w:val="0"/>
        <w:adjustRightInd w:val="0"/>
        <w:snapToGrid w:val="0"/>
        <w:spacing w:line="360" w:lineRule="auto"/>
        <w:ind w:firstLine="964" w:firstLineChars="4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交货期：</w:t>
      </w:r>
      <w:r>
        <w:rPr>
          <w:rFonts w:hint="eastAsia" w:ascii="宋体" w:hAnsi="宋体" w:eastAsia="宋体" w:cs="宋体"/>
          <w:b/>
          <w:bCs/>
          <w:kern w:val="0"/>
          <w:sz w:val="24"/>
          <w:u w:val="single"/>
          <w:lang w:val="en-US" w:eastAsia="zh-CN"/>
        </w:rPr>
        <w:t xml:space="preserve">          </w:t>
      </w:r>
      <w:r>
        <w:rPr>
          <w:rFonts w:hint="eastAsia" w:ascii="宋体" w:hAnsi="宋体" w:eastAsia="宋体" w:cs="宋体"/>
          <w:b/>
          <w:bCs/>
          <w:kern w:val="0"/>
          <w:sz w:val="24"/>
          <w:lang w:val="en-US" w:eastAsia="zh-CN"/>
        </w:rPr>
        <w:t>日历天。</w:t>
      </w:r>
    </w:p>
    <w:p w14:paraId="01206C48">
      <w:pPr>
        <w:autoSpaceDE w:val="0"/>
        <w:adjustRightInd w:val="0"/>
        <w:snapToGrid w:val="0"/>
        <w:spacing w:line="420" w:lineRule="exact"/>
        <w:jc w:val="left"/>
        <w:rPr>
          <w:rFonts w:hint="eastAsia" w:ascii="宋体" w:hAnsi="宋体" w:eastAsia="宋体" w:cs="宋体"/>
          <w:color w:val="auto"/>
          <w:kern w:val="0"/>
          <w:sz w:val="24"/>
          <w:highlight w:val="none"/>
        </w:rPr>
      </w:pPr>
    </w:p>
    <w:p w14:paraId="45AE8F6B">
      <w:pPr>
        <w:autoSpaceDE w:val="0"/>
        <w:adjustRightInd w:val="0"/>
        <w:snapToGrid w:val="0"/>
        <w:spacing w:line="420" w:lineRule="exact"/>
        <w:ind w:firstLine="600" w:firstLine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本报价</w:t>
      </w:r>
      <w:r>
        <w:rPr>
          <w:rFonts w:hint="eastAsia" w:ascii="宋体" w:hAnsi="宋体" w:eastAsia="宋体" w:cs="宋体"/>
          <w:color w:val="auto"/>
          <w:kern w:val="0"/>
          <w:sz w:val="24"/>
          <w:highlight w:val="none"/>
          <w:u w:val="single"/>
        </w:rPr>
        <w:t>90</w:t>
      </w:r>
      <w:r>
        <w:rPr>
          <w:rFonts w:hint="eastAsia" w:ascii="宋体" w:hAnsi="宋体" w:eastAsia="宋体" w:cs="宋体"/>
          <w:color w:val="auto"/>
          <w:kern w:val="0"/>
          <w:sz w:val="24"/>
          <w:highlight w:val="none"/>
        </w:rPr>
        <w:t>天内有效。</w:t>
      </w:r>
    </w:p>
    <w:p w14:paraId="7195A5F3">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一旦我公司成交，保证按中标通知书规定时间与</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签订合同，按招标文件(包括补充更正，如有)服务时间要求和我公司报价文件承诺的服务期保质保量按时完成服务。</w:t>
      </w:r>
      <w:r>
        <w:rPr>
          <w:rFonts w:hint="eastAsia" w:ascii="宋体" w:hAnsi="宋体" w:eastAsia="宋体" w:cs="宋体"/>
          <w:color w:val="auto"/>
          <w:kern w:val="0"/>
          <w:sz w:val="24"/>
          <w:szCs w:val="24"/>
          <w:highlight w:val="none"/>
        </w:rPr>
        <w:t>如我单位成交后放弃中标资格造成</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的损失的，我单位愿意作出完全赔偿。</w:t>
      </w:r>
    </w:p>
    <w:p w14:paraId="4A028565">
      <w:pPr>
        <w:autoSpaceDE w:val="0"/>
        <w:adjustRightInd w:val="0"/>
        <w:snapToGrid w:val="0"/>
        <w:spacing w:line="420" w:lineRule="exact"/>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我公司对报价文件所有内容的真实性负全部责任，由此产生的一切后果由本公司承担。</w:t>
      </w:r>
    </w:p>
    <w:p w14:paraId="3ED56C79">
      <w:pPr>
        <w:pStyle w:val="59"/>
        <w:autoSpaceDE w:val="0"/>
        <w:adjustRightInd w:val="0"/>
        <w:snapToGrid w:val="0"/>
        <w:spacing w:before="0" w:beforeAutospacing="0" w:after="0" w:afterAutospacing="0" w:line="420" w:lineRule="exact"/>
        <w:jc w:val="both"/>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特别提醒：本函的商务报价内容不能出现在资格审查文件、</w:t>
      </w:r>
      <w:r>
        <w:rPr>
          <w:rFonts w:hint="eastAsia" w:ascii="宋体" w:hAnsi="宋体" w:eastAsia="宋体" w:cs="宋体"/>
          <w:b/>
          <w:bCs/>
          <w:color w:val="auto"/>
          <w:highlight w:val="none"/>
          <w:u w:val="single"/>
          <w:lang w:eastAsia="zh-CN"/>
        </w:rPr>
        <w:t>资信技术</w:t>
      </w:r>
      <w:r>
        <w:rPr>
          <w:rFonts w:hint="eastAsia" w:ascii="宋体" w:hAnsi="宋体" w:eastAsia="宋体" w:cs="宋体"/>
          <w:b/>
          <w:bCs/>
          <w:color w:val="auto"/>
          <w:highlight w:val="none"/>
          <w:u w:val="single"/>
        </w:rPr>
        <w:t>投标文件中。</w:t>
      </w:r>
    </w:p>
    <w:p w14:paraId="4CBACC0C">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p>
    <w:p w14:paraId="747DAA55">
      <w:pPr>
        <w:autoSpaceDE w:val="0"/>
        <w:adjustRightInd w:val="0"/>
        <w:snapToGrid w:val="0"/>
        <w:spacing w:line="42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传真：</w:t>
      </w:r>
    </w:p>
    <w:p w14:paraId="624BCA35">
      <w:pPr>
        <w:widowControl/>
        <w:snapToGrid w:val="0"/>
        <w:spacing w:line="360" w:lineRule="auto"/>
        <w:ind w:firstLine="4980" w:firstLineChars="2075"/>
        <w:rPr>
          <w:rFonts w:hint="eastAsia" w:ascii="宋体" w:hAnsi="宋体" w:eastAsia="宋体" w:cs="宋体"/>
          <w:color w:val="auto"/>
          <w:kern w:val="0"/>
          <w:sz w:val="24"/>
          <w:szCs w:val="24"/>
          <w:highlight w:val="none"/>
        </w:rPr>
      </w:pPr>
    </w:p>
    <w:p w14:paraId="3F695617">
      <w:pPr>
        <w:widowControl/>
        <w:snapToGrid w:val="0"/>
        <w:spacing w:line="360" w:lineRule="auto"/>
        <w:ind w:firstLine="4980" w:firstLineChars="2075"/>
        <w:rPr>
          <w:rFonts w:hint="eastAsia" w:ascii="宋体" w:hAnsi="宋体" w:eastAsia="宋体" w:cs="宋体"/>
          <w:color w:val="auto"/>
          <w:kern w:val="0"/>
          <w:sz w:val="24"/>
          <w:szCs w:val="24"/>
          <w:highlight w:val="none"/>
        </w:rPr>
      </w:pPr>
    </w:p>
    <w:p w14:paraId="31D89127">
      <w:pPr>
        <w:widowControl/>
        <w:snapToGrid w:val="0"/>
        <w:spacing w:line="360" w:lineRule="auto"/>
        <w:ind w:firstLine="4980" w:firstLineChars="20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投标人名称：（盖单位公章）</w:t>
      </w:r>
    </w:p>
    <w:p w14:paraId="038C7BDC">
      <w:pPr>
        <w:widowControl/>
        <w:snapToGri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法定代表人或者其委托代理人：（签字或盖章）</w:t>
      </w:r>
    </w:p>
    <w:p w14:paraId="4F3C327F">
      <w:pPr>
        <w:widowControl/>
        <w:snapToGrid w:val="0"/>
        <w:spacing w:line="360" w:lineRule="auto"/>
        <w:ind w:firstLine="4980" w:firstLineChars="20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14:paraId="6BB9EAFF">
      <w:pPr>
        <w:jc w:val="left"/>
        <w:rPr>
          <w:rStyle w:val="354"/>
          <w:rFonts w:hint="eastAsia" w:ascii="宋体" w:hAnsi="宋体" w:eastAsia="宋体" w:cs="宋体"/>
          <w:b/>
          <w:bCs/>
          <w:color w:val="auto"/>
          <w:sz w:val="30"/>
          <w:szCs w:val="30"/>
          <w:highlight w:val="none"/>
        </w:rPr>
      </w:pPr>
    </w:p>
    <w:p w14:paraId="16B3F976">
      <w:pPr>
        <w:jc w:val="left"/>
        <w:rPr>
          <w:rStyle w:val="354"/>
          <w:rFonts w:hint="eastAsia" w:ascii="宋体" w:hAnsi="宋体" w:eastAsia="宋体" w:cs="宋体"/>
          <w:b/>
          <w:bCs/>
          <w:color w:val="auto"/>
          <w:sz w:val="30"/>
          <w:szCs w:val="30"/>
          <w:highlight w:val="none"/>
        </w:rPr>
      </w:pPr>
    </w:p>
    <w:p w14:paraId="3C10658D">
      <w:pPr>
        <w:jc w:val="left"/>
        <w:rPr>
          <w:rStyle w:val="354"/>
          <w:rFonts w:hint="eastAsia" w:ascii="宋体" w:hAnsi="宋体" w:eastAsia="宋体" w:cs="宋体"/>
          <w:b/>
          <w:bCs/>
          <w:color w:val="auto"/>
          <w:sz w:val="30"/>
          <w:szCs w:val="30"/>
          <w:highlight w:val="none"/>
        </w:rPr>
      </w:pPr>
    </w:p>
    <w:p w14:paraId="13FA6CC5">
      <w:pPr>
        <w:jc w:val="left"/>
        <w:rPr>
          <w:rStyle w:val="354"/>
          <w:rFonts w:hint="eastAsia" w:ascii="宋体" w:hAnsi="宋体" w:eastAsia="宋体" w:cs="宋体"/>
          <w:b/>
          <w:bCs/>
          <w:color w:val="auto"/>
          <w:sz w:val="30"/>
          <w:szCs w:val="30"/>
          <w:highlight w:val="none"/>
        </w:rPr>
      </w:pPr>
    </w:p>
    <w:p w14:paraId="5019E39F">
      <w:pPr>
        <w:jc w:val="left"/>
        <w:rPr>
          <w:rStyle w:val="354"/>
          <w:rFonts w:hint="eastAsia" w:ascii="宋体" w:hAnsi="宋体" w:eastAsia="宋体" w:cs="宋体"/>
          <w:b/>
          <w:bCs/>
          <w:color w:val="auto"/>
          <w:sz w:val="30"/>
          <w:szCs w:val="30"/>
          <w:highlight w:val="none"/>
        </w:rPr>
      </w:pPr>
    </w:p>
    <w:p w14:paraId="3BAFB7B8">
      <w:pPr>
        <w:jc w:val="left"/>
        <w:rPr>
          <w:rStyle w:val="354"/>
          <w:rFonts w:hint="eastAsia" w:ascii="宋体" w:hAnsi="宋体" w:eastAsia="宋体" w:cs="宋体"/>
          <w:b/>
          <w:bCs/>
          <w:color w:val="auto"/>
          <w:sz w:val="30"/>
          <w:szCs w:val="30"/>
          <w:highlight w:val="none"/>
        </w:rPr>
      </w:pPr>
    </w:p>
    <w:p w14:paraId="47984447">
      <w:pPr>
        <w:jc w:val="left"/>
        <w:rPr>
          <w:rStyle w:val="354"/>
          <w:rFonts w:hint="eastAsia" w:ascii="宋体" w:hAnsi="宋体" w:eastAsia="宋体" w:cs="宋体"/>
          <w:b/>
          <w:bCs/>
          <w:color w:val="auto"/>
          <w:sz w:val="30"/>
          <w:szCs w:val="30"/>
          <w:highlight w:val="none"/>
        </w:rPr>
      </w:pPr>
    </w:p>
    <w:p w14:paraId="6C0F857D">
      <w:pPr>
        <w:spacing w:line="360" w:lineRule="auto"/>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rPr>
        <w:t>二</w:t>
      </w:r>
      <w:r>
        <w:rPr>
          <w:rFonts w:hint="eastAsia" w:ascii="宋体" w:hAnsi="宋体" w:eastAsia="宋体" w:cs="宋体"/>
          <w:b/>
          <w:bCs/>
          <w:color w:val="auto"/>
          <w:kern w:val="2"/>
          <w:sz w:val="32"/>
          <w:szCs w:val="32"/>
          <w:highlight w:val="none"/>
        </w:rPr>
        <w:t>、开标一览表</w:t>
      </w:r>
    </w:p>
    <w:p w14:paraId="4E4A26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杭州天恒投资建设管理有限公司</w:t>
      </w:r>
      <w:r>
        <w:rPr>
          <w:rFonts w:hint="eastAsia" w:ascii="宋体" w:hAnsi="宋体" w:eastAsia="宋体" w:cs="宋体"/>
          <w:color w:val="auto"/>
          <w:kern w:val="0"/>
          <w:sz w:val="24"/>
          <w:highlight w:val="none"/>
          <w:lang w:val="zh-CN"/>
        </w:rPr>
        <w:t>：</w:t>
      </w:r>
    </w:p>
    <w:p w14:paraId="6DEDDCD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建德市十里埠港发展有限公司2025年电动装载机采购项目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JT-XM-A-2025-0047</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F81752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180"/>
        <w:gridCol w:w="568"/>
        <w:gridCol w:w="540"/>
        <w:gridCol w:w="1575"/>
        <w:gridCol w:w="1320"/>
        <w:gridCol w:w="1385"/>
      </w:tblGrid>
      <w:tr w14:paraId="4AC9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17" w:type="dxa"/>
            <w:noWrap w:val="0"/>
            <w:vAlign w:val="center"/>
          </w:tcPr>
          <w:p w14:paraId="385A3D9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3180" w:type="dxa"/>
            <w:noWrap w:val="0"/>
            <w:vAlign w:val="center"/>
          </w:tcPr>
          <w:p w14:paraId="74AB730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项目名称</w:t>
            </w:r>
          </w:p>
        </w:tc>
        <w:tc>
          <w:tcPr>
            <w:tcW w:w="568" w:type="dxa"/>
            <w:shd w:val="clear" w:color="auto" w:fill="auto"/>
            <w:noWrap w:val="0"/>
            <w:vAlign w:val="center"/>
          </w:tcPr>
          <w:p w14:paraId="284E7A1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数量</w:t>
            </w:r>
          </w:p>
        </w:tc>
        <w:tc>
          <w:tcPr>
            <w:tcW w:w="540" w:type="dxa"/>
            <w:noWrap w:val="0"/>
            <w:vAlign w:val="center"/>
          </w:tcPr>
          <w:p w14:paraId="3E82AD1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单位</w:t>
            </w:r>
          </w:p>
        </w:tc>
        <w:tc>
          <w:tcPr>
            <w:tcW w:w="1575" w:type="dxa"/>
            <w:noWrap w:val="0"/>
            <w:vAlign w:val="center"/>
          </w:tcPr>
          <w:p w14:paraId="6567BDB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不含税总价</w:t>
            </w:r>
          </w:p>
        </w:tc>
        <w:tc>
          <w:tcPr>
            <w:tcW w:w="1320" w:type="dxa"/>
            <w:noWrap w:val="0"/>
            <w:vAlign w:val="center"/>
          </w:tcPr>
          <w:p w14:paraId="7D45C7D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税金</w:t>
            </w:r>
          </w:p>
          <w:p w14:paraId="3417F1B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税率13%</w:t>
            </w:r>
          </w:p>
        </w:tc>
        <w:tc>
          <w:tcPr>
            <w:tcW w:w="1385" w:type="dxa"/>
            <w:noWrap w:val="0"/>
            <w:vAlign w:val="center"/>
          </w:tcPr>
          <w:p w14:paraId="7784E63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含税总价</w:t>
            </w:r>
          </w:p>
        </w:tc>
      </w:tr>
      <w:tr w14:paraId="40AC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17" w:type="dxa"/>
            <w:noWrap w:val="0"/>
            <w:vAlign w:val="center"/>
          </w:tcPr>
          <w:p w14:paraId="01B6EC1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3180" w:type="dxa"/>
            <w:noWrap w:val="0"/>
            <w:vAlign w:val="center"/>
          </w:tcPr>
          <w:p w14:paraId="68CF680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建德市十里埠港发展有限公司2025年电动装载机采购项目</w:t>
            </w:r>
          </w:p>
        </w:tc>
        <w:tc>
          <w:tcPr>
            <w:tcW w:w="568" w:type="dxa"/>
            <w:shd w:val="clear" w:color="auto" w:fill="auto"/>
            <w:noWrap w:val="0"/>
            <w:vAlign w:val="center"/>
          </w:tcPr>
          <w:p w14:paraId="68ECB87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1</w:t>
            </w:r>
          </w:p>
        </w:tc>
        <w:tc>
          <w:tcPr>
            <w:tcW w:w="540" w:type="dxa"/>
            <w:noWrap w:val="0"/>
            <w:vAlign w:val="center"/>
          </w:tcPr>
          <w:p w14:paraId="02107E6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sz w:val="24"/>
                <w:szCs w:val="24"/>
              </w:rPr>
            </w:pPr>
            <w:r>
              <w:rPr>
                <w:rFonts w:hint="eastAsia" w:ascii="宋体" w:hAnsi="宋体" w:eastAsia="宋体" w:cs="宋体"/>
                <w:bCs/>
                <w:sz w:val="24"/>
                <w:szCs w:val="24"/>
              </w:rPr>
              <w:t>项</w:t>
            </w:r>
          </w:p>
        </w:tc>
        <w:tc>
          <w:tcPr>
            <w:tcW w:w="1575" w:type="dxa"/>
            <w:noWrap w:val="0"/>
            <w:vAlign w:val="center"/>
          </w:tcPr>
          <w:p w14:paraId="61CBA96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sz w:val="24"/>
                <w:szCs w:val="24"/>
              </w:rPr>
            </w:pPr>
          </w:p>
        </w:tc>
        <w:tc>
          <w:tcPr>
            <w:tcW w:w="1320" w:type="dxa"/>
            <w:noWrap w:val="0"/>
            <w:vAlign w:val="center"/>
          </w:tcPr>
          <w:p w14:paraId="37A4D99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Cs/>
                <w:sz w:val="24"/>
                <w:szCs w:val="24"/>
              </w:rPr>
            </w:pPr>
          </w:p>
        </w:tc>
        <w:tc>
          <w:tcPr>
            <w:tcW w:w="1385" w:type="dxa"/>
            <w:noWrap w:val="0"/>
            <w:vAlign w:val="center"/>
          </w:tcPr>
          <w:p w14:paraId="69987D1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sz w:val="24"/>
                <w:szCs w:val="24"/>
              </w:rPr>
            </w:pPr>
          </w:p>
        </w:tc>
      </w:tr>
    </w:tbl>
    <w:p w14:paraId="4AA501E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A695907">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color w:val="auto"/>
          <w:kern w:val="0"/>
          <w:sz w:val="24"/>
          <w:highlight w:val="none"/>
          <w:lang w:val="zh-CN"/>
        </w:rPr>
        <w:t>1、</w:t>
      </w:r>
      <w:r>
        <w:rPr>
          <w:rFonts w:hint="eastAsia" w:ascii="宋体" w:hAnsi="宋体" w:eastAsia="宋体" w:cs="宋体"/>
          <w:kern w:val="0"/>
          <w:sz w:val="24"/>
          <w:lang w:val="zh-CN"/>
        </w:rPr>
        <w:t>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14:paraId="1DC1D92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2A41B7FC">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3、特别提示：采购代理机构将对项目名称和项目编号，中标供应商名称、地址和中标金额，主要中标标的名称、品牌（如果有）、规格型号（如果有）、数量、单价等予以公示。</w:t>
      </w:r>
    </w:p>
    <w:p w14:paraId="74267BDB">
      <w:pPr>
        <w:snapToGrid w:val="0"/>
        <w:spacing w:line="360" w:lineRule="auto"/>
        <w:ind w:firstLine="480" w:firstLineChars="200"/>
        <w:jc w:val="lef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4、以上金额包括设备的设计、制作、供货、包装、装卸运输、安装调试、备品备件、专用工具、保险、培训、税金、验收、辅助工作及售后服务等完成该项目的所有费用。</w:t>
      </w:r>
    </w:p>
    <w:p w14:paraId="6DEB7D2C">
      <w:pPr>
        <w:snapToGrid w:val="0"/>
        <w:spacing w:line="360" w:lineRule="auto"/>
        <w:ind w:firstLine="480" w:firstLineChars="200"/>
        <w:jc w:val="left"/>
        <w:rPr>
          <w:rFonts w:hint="eastAsia" w:ascii="宋体" w:hAnsi="宋体" w:eastAsia="宋体" w:cs="宋体"/>
          <w:color w:val="000000" w:themeColor="text1"/>
          <w:kern w:val="0"/>
          <w:sz w:val="24"/>
          <w:szCs w:val="22"/>
          <w:lang w:val="zh-CN"/>
          <w14:textFill>
            <w14:solidFill>
              <w14:schemeClr w14:val="tx1"/>
            </w14:solidFill>
          </w14:textFill>
        </w:rPr>
      </w:pPr>
    </w:p>
    <w:p w14:paraId="1BD5E76C">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投标人名称：（盖单位公章）</w:t>
      </w:r>
    </w:p>
    <w:p w14:paraId="2664D66A">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法定代表人或者其委托代理人：（签字或盖章）</w:t>
      </w:r>
    </w:p>
    <w:p w14:paraId="2AC6B966">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日期：  年   月   日</w:t>
      </w:r>
    </w:p>
    <w:p w14:paraId="0FD18665">
      <w:pPr>
        <w:spacing w:line="360" w:lineRule="auto"/>
        <w:rPr>
          <w:rFonts w:hint="eastAsia" w:ascii="宋体" w:hAnsi="宋体" w:eastAsia="宋体" w:cs="宋体"/>
          <w:b/>
          <w:color w:val="auto"/>
          <w:spacing w:val="6"/>
          <w:sz w:val="32"/>
          <w:szCs w:val="32"/>
          <w:highlight w:val="none"/>
        </w:rPr>
      </w:pPr>
    </w:p>
    <w:p w14:paraId="214BD00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二</w:t>
      </w:r>
      <w:r>
        <w:rPr>
          <w:rFonts w:hint="eastAsia" w:ascii="宋体" w:hAnsi="宋体" w:eastAsia="宋体" w:cs="宋体"/>
          <w:b/>
          <w:color w:val="auto"/>
          <w:spacing w:val="6"/>
          <w:sz w:val="32"/>
          <w:szCs w:val="32"/>
          <w:highlight w:val="none"/>
        </w:rPr>
        <w:t>：质疑函范本及制作说明</w:t>
      </w:r>
    </w:p>
    <w:p w14:paraId="35BCFD2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FB858A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00683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F2A0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62C0D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A828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E820A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8928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C9D57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59781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95CBC5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231F99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31E29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56A05A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BAD2C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28C8D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4AD3F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AD63B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70DE8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D6FB3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618B4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0C25DC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2770F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DBC36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F6A7C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6DB65D3">
      <w:pPr>
        <w:spacing w:line="360" w:lineRule="auto"/>
        <w:jc w:val="center"/>
        <w:rPr>
          <w:rFonts w:hint="eastAsia" w:ascii="宋体" w:hAnsi="宋体" w:eastAsia="宋体" w:cs="宋体"/>
          <w:b/>
          <w:bCs/>
          <w:color w:val="auto"/>
          <w:sz w:val="24"/>
          <w:highlight w:val="none"/>
        </w:rPr>
      </w:pPr>
    </w:p>
    <w:p w14:paraId="1477107E">
      <w:pPr>
        <w:spacing w:line="360" w:lineRule="auto"/>
        <w:rPr>
          <w:rFonts w:hint="eastAsia" w:ascii="宋体" w:hAnsi="宋体" w:eastAsia="宋体" w:cs="宋体"/>
          <w:b/>
          <w:color w:val="auto"/>
          <w:sz w:val="24"/>
          <w:highlight w:val="none"/>
        </w:rPr>
      </w:pPr>
    </w:p>
    <w:p w14:paraId="4A46A9C6">
      <w:pPr>
        <w:spacing w:line="360" w:lineRule="auto"/>
        <w:rPr>
          <w:rFonts w:hint="eastAsia" w:ascii="宋体" w:hAnsi="宋体" w:eastAsia="宋体" w:cs="宋体"/>
          <w:b/>
          <w:color w:val="auto"/>
          <w:sz w:val="24"/>
          <w:highlight w:val="none"/>
        </w:rPr>
      </w:pPr>
    </w:p>
    <w:p w14:paraId="51FC4E00">
      <w:pPr>
        <w:spacing w:line="360" w:lineRule="auto"/>
        <w:rPr>
          <w:rFonts w:hint="eastAsia" w:ascii="宋体" w:hAnsi="宋体" w:eastAsia="宋体" w:cs="宋体"/>
          <w:b/>
          <w:color w:val="auto"/>
          <w:sz w:val="24"/>
          <w:highlight w:val="none"/>
        </w:rPr>
      </w:pPr>
    </w:p>
    <w:p w14:paraId="0900DD4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44D45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6694E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B209D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E597B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815A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1EEB7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27A7B9">
      <w:pPr>
        <w:widowControl/>
        <w:spacing w:line="360" w:lineRule="auto"/>
        <w:ind w:firstLine="600" w:firstLineChars="200"/>
        <w:jc w:val="left"/>
        <w:rPr>
          <w:rFonts w:hint="eastAsia" w:ascii="宋体" w:hAnsi="宋体" w:eastAsia="宋体" w:cs="宋体"/>
          <w:color w:val="auto"/>
          <w:sz w:val="30"/>
          <w:szCs w:val="30"/>
          <w:highlight w:val="none"/>
        </w:rPr>
      </w:pPr>
    </w:p>
    <w:p w14:paraId="075F5B24">
      <w:pPr>
        <w:spacing w:line="360" w:lineRule="auto"/>
        <w:jc w:val="center"/>
        <w:rPr>
          <w:rFonts w:hint="eastAsia" w:ascii="宋体" w:hAnsi="宋体" w:eastAsia="宋体" w:cs="宋体"/>
          <w:b/>
          <w:color w:val="auto"/>
          <w:spacing w:val="6"/>
          <w:sz w:val="32"/>
          <w:szCs w:val="32"/>
          <w:highlight w:val="none"/>
        </w:rPr>
      </w:pPr>
    </w:p>
    <w:p w14:paraId="4E219D08">
      <w:pPr>
        <w:spacing w:line="360" w:lineRule="auto"/>
        <w:jc w:val="center"/>
        <w:rPr>
          <w:rFonts w:hint="eastAsia" w:ascii="宋体" w:hAnsi="宋体" w:eastAsia="宋体" w:cs="宋体"/>
          <w:b/>
          <w:color w:val="auto"/>
          <w:spacing w:val="6"/>
          <w:sz w:val="32"/>
          <w:szCs w:val="32"/>
          <w:highlight w:val="none"/>
        </w:rPr>
      </w:pPr>
    </w:p>
    <w:p w14:paraId="241CFE98">
      <w:pPr>
        <w:spacing w:line="360" w:lineRule="auto"/>
        <w:jc w:val="center"/>
        <w:rPr>
          <w:rFonts w:hint="eastAsia" w:ascii="宋体" w:hAnsi="宋体" w:eastAsia="宋体" w:cs="宋体"/>
          <w:b/>
          <w:color w:val="auto"/>
          <w:spacing w:val="6"/>
          <w:sz w:val="32"/>
          <w:szCs w:val="32"/>
          <w:highlight w:val="none"/>
        </w:rPr>
      </w:pPr>
    </w:p>
    <w:p w14:paraId="40DE3EB1">
      <w:pPr>
        <w:spacing w:line="360" w:lineRule="auto"/>
        <w:jc w:val="center"/>
        <w:rPr>
          <w:rFonts w:hint="eastAsia" w:ascii="宋体" w:hAnsi="宋体" w:eastAsia="宋体" w:cs="宋体"/>
          <w:b/>
          <w:color w:val="auto"/>
          <w:spacing w:val="6"/>
          <w:sz w:val="32"/>
          <w:szCs w:val="32"/>
          <w:highlight w:val="none"/>
        </w:rPr>
      </w:pPr>
    </w:p>
    <w:p w14:paraId="3E209C2C">
      <w:pPr>
        <w:spacing w:line="360" w:lineRule="auto"/>
        <w:jc w:val="center"/>
        <w:rPr>
          <w:rFonts w:hint="eastAsia" w:ascii="宋体" w:hAnsi="宋体" w:eastAsia="宋体" w:cs="宋体"/>
          <w:b/>
          <w:color w:val="auto"/>
          <w:spacing w:val="6"/>
          <w:sz w:val="32"/>
          <w:szCs w:val="32"/>
          <w:highlight w:val="none"/>
        </w:rPr>
      </w:pPr>
    </w:p>
    <w:p w14:paraId="6B96A1B8">
      <w:pPr>
        <w:spacing w:line="360" w:lineRule="auto"/>
        <w:jc w:val="center"/>
        <w:rPr>
          <w:rFonts w:hint="eastAsia" w:ascii="宋体" w:hAnsi="宋体" w:eastAsia="宋体" w:cs="宋体"/>
          <w:b/>
          <w:color w:val="auto"/>
          <w:spacing w:val="6"/>
          <w:sz w:val="32"/>
          <w:szCs w:val="32"/>
          <w:highlight w:val="none"/>
        </w:rPr>
      </w:pPr>
    </w:p>
    <w:p w14:paraId="71418DE3">
      <w:pPr>
        <w:spacing w:line="360" w:lineRule="auto"/>
        <w:jc w:val="center"/>
        <w:rPr>
          <w:rFonts w:hint="eastAsia" w:ascii="宋体" w:hAnsi="宋体" w:eastAsia="宋体" w:cs="宋体"/>
          <w:b/>
          <w:color w:val="auto"/>
          <w:spacing w:val="6"/>
          <w:sz w:val="32"/>
          <w:szCs w:val="32"/>
          <w:highlight w:val="none"/>
        </w:rPr>
      </w:pPr>
    </w:p>
    <w:p w14:paraId="3AF3AF2F">
      <w:pPr>
        <w:spacing w:line="360" w:lineRule="auto"/>
        <w:jc w:val="center"/>
        <w:rPr>
          <w:rFonts w:hint="eastAsia" w:ascii="宋体" w:hAnsi="宋体" w:eastAsia="宋体" w:cs="宋体"/>
          <w:b/>
          <w:color w:val="auto"/>
          <w:spacing w:val="6"/>
          <w:sz w:val="32"/>
          <w:szCs w:val="32"/>
          <w:highlight w:val="none"/>
        </w:rPr>
      </w:pPr>
    </w:p>
    <w:p w14:paraId="2F273940">
      <w:pPr>
        <w:spacing w:line="360" w:lineRule="auto"/>
        <w:jc w:val="center"/>
        <w:rPr>
          <w:rFonts w:hint="eastAsia" w:ascii="宋体" w:hAnsi="宋体" w:eastAsia="宋体" w:cs="宋体"/>
          <w:b/>
          <w:color w:val="auto"/>
          <w:spacing w:val="6"/>
          <w:sz w:val="32"/>
          <w:szCs w:val="32"/>
          <w:highlight w:val="none"/>
        </w:rPr>
      </w:pPr>
    </w:p>
    <w:p w14:paraId="2B2D4EE8">
      <w:pPr>
        <w:spacing w:line="360" w:lineRule="auto"/>
        <w:jc w:val="center"/>
        <w:rPr>
          <w:rFonts w:hint="eastAsia" w:ascii="宋体" w:hAnsi="宋体" w:eastAsia="宋体" w:cs="宋体"/>
          <w:b/>
          <w:color w:val="auto"/>
          <w:spacing w:val="6"/>
          <w:sz w:val="32"/>
          <w:szCs w:val="32"/>
          <w:highlight w:val="none"/>
        </w:rPr>
      </w:pPr>
    </w:p>
    <w:p w14:paraId="6AC4C4C1">
      <w:pPr>
        <w:spacing w:line="360" w:lineRule="auto"/>
        <w:jc w:val="center"/>
        <w:rPr>
          <w:rFonts w:hint="eastAsia" w:ascii="宋体" w:hAnsi="宋体" w:eastAsia="宋体" w:cs="宋体"/>
          <w:b/>
          <w:color w:val="auto"/>
          <w:spacing w:val="6"/>
          <w:sz w:val="32"/>
          <w:szCs w:val="32"/>
          <w:highlight w:val="none"/>
        </w:rPr>
      </w:pPr>
    </w:p>
    <w:p w14:paraId="6B1923A2">
      <w:pPr>
        <w:spacing w:line="360" w:lineRule="auto"/>
        <w:jc w:val="center"/>
        <w:rPr>
          <w:rFonts w:hint="eastAsia" w:ascii="宋体" w:hAnsi="宋体" w:eastAsia="宋体" w:cs="宋体"/>
          <w:b/>
          <w:color w:val="auto"/>
          <w:spacing w:val="6"/>
          <w:sz w:val="32"/>
          <w:szCs w:val="32"/>
          <w:highlight w:val="none"/>
        </w:rPr>
      </w:pPr>
    </w:p>
    <w:p w14:paraId="311DC70C">
      <w:pPr>
        <w:spacing w:line="360" w:lineRule="auto"/>
        <w:jc w:val="left"/>
        <w:rPr>
          <w:rFonts w:hint="eastAsia" w:ascii="宋体" w:hAnsi="宋体" w:eastAsia="宋体" w:cs="宋体"/>
          <w:b/>
          <w:color w:val="auto"/>
          <w:spacing w:val="6"/>
          <w:sz w:val="32"/>
          <w:szCs w:val="32"/>
          <w:highlight w:val="none"/>
        </w:rPr>
      </w:pPr>
    </w:p>
    <w:p w14:paraId="4163297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三</w:t>
      </w:r>
      <w:r>
        <w:rPr>
          <w:rFonts w:hint="eastAsia" w:ascii="宋体" w:hAnsi="宋体" w:eastAsia="宋体" w:cs="宋体"/>
          <w:b/>
          <w:color w:val="auto"/>
          <w:spacing w:val="6"/>
          <w:sz w:val="32"/>
          <w:szCs w:val="32"/>
          <w:highlight w:val="none"/>
        </w:rPr>
        <w:t>：投诉书范本及制作说明</w:t>
      </w:r>
    </w:p>
    <w:p w14:paraId="267DD8EC">
      <w:pPr>
        <w:spacing w:line="360" w:lineRule="auto"/>
        <w:jc w:val="center"/>
        <w:rPr>
          <w:rFonts w:hint="eastAsia" w:ascii="宋体" w:hAnsi="宋体" w:eastAsia="宋体" w:cs="宋体"/>
          <w:b/>
          <w:color w:val="auto"/>
          <w:sz w:val="24"/>
          <w:highlight w:val="none"/>
        </w:rPr>
      </w:pPr>
    </w:p>
    <w:p w14:paraId="230CDE9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1F098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E8A71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C9826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75985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68A58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9193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95D4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ED760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D2AB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FC666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F0A9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6EA7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96FE0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AAB0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867E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E801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4ACF8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FBEF6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E398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9E37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2B8C1D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22E6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DDADC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9495E0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97318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CC5E1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3A45E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EDC16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5E3AE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F92BE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CC940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CAE88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D97B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D12E95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1CCA5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CFAD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FFDB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491F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568F5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484B5D6">
      <w:pPr>
        <w:spacing w:line="360" w:lineRule="auto"/>
        <w:rPr>
          <w:rFonts w:hint="eastAsia" w:ascii="宋体" w:hAnsi="宋体" w:eastAsia="宋体" w:cs="宋体"/>
          <w:b/>
          <w:color w:val="auto"/>
          <w:sz w:val="24"/>
          <w:highlight w:val="none"/>
        </w:rPr>
      </w:pPr>
    </w:p>
    <w:p w14:paraId="49070290">
      <w:pPr>
        <w:spacing w:line="360" w:lineRule="auto"/>
        <w:rPr>
          <w:rFonts w:hint="eastAsia" w:ascii="宋体" w:hAnsi="宋体" w:eastAsia="宋体" w:cs="宋体"/>
          <w:b/>
          <w:color w:val="auto"/>
          <w:sz w:val="24"/>
          <w:highlight w:val="none"/>
        </w:rPr>
      </w:pPr>
    </w:p>
    <w:p w14:paraId="1A4856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598401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E01037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B65EA7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85EF31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7D8B7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4F3B72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165F36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AE4E47">
      <w:pPr>
        <w:spacing w:line="360" w:lineRule="auto"/>
        <w:rPr>
          <w:rFonts w:hint="eastAsia" w:ascii="宋体" w:hAnsi="宋体" w:eastAsia="宋体" w:cs="宋体"/>
          <w:b/>
          <w:color w:val="auto"/>
          <w:sz w:val="24"/>
          <w:highlight w:val="none"/>
        </w:rPr>
      </w:pPr>
    </w:p>
    <w:p w14:paraId="34F9A767">
      <w:pPr>
        <w:autoSpaceDE w:val="0"/>
        <w:autoSpaceDN w:val="0"/>
        <w:jc w:val="center"/>
        <w:rPr>
          <w:rFonts w:hint="eastAsia" w:ascii="宋体" w:hAnsi="宋体" w:eastAsia="宋体" w:cs="宋体"/>
          <w:b/>
          <w:color w:val="auto"/>
          <w:spacing w:val="6"/>
          <w:sz w:val="32"/>
          <w:szCs w:val="32"/>
          <w:highlight w:val="none"/>
        </w:rPr>
      </w:pPr>
    </w:p>
    <w:p w14:paraId="523FA7AE">
      <w:pPr>
        <w:autoSpaceDE w:val="0"/>
        <w:autoSpaceDN w:val="0"/>
        <w:jc w:val="center"/>
        <w:rPr>
          <w:rFonts w:hint="eastAsia" w:ascii="宋体" w:hAnsi="宋体" w:eastAsia="宋体" w:cs="宋体"/>
          <w:b/>
          <w:color w:val="auto"/>
          <w:spacing w:val="6"/>
          <w:sz w:val="32"/>
          <w:szCs w:val="32"/>
          <w:highlight w:val="none"/>
        </w:rPr>
      </w:pPr>
    </w:p>
    <w:p w14:paraId="06C7665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四</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76F6A5CD">
      <w:pPr>
        <w:spacing w:line="360" w:lineRule="auto"/>
        <w:rPr>
          <w:rFonts w:hint="eastAsia" w:ascii="宋体" w:hAnsi="宋体" w:eastAsia="宋体" w:cs="宋体"/>
          <w:color w:val="auto"/>
          <w:sz w:val="24"/>
          <w:highlight w:val="none"/>
          <w:u w:val="single"/>
        </w:rPr>
      </w:pPr>
    </w:p>
    <w:p w14:paraId="33657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建德市十里埠港发展有限公司</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杭州天恒投资建设管理有限公司</w:t>
      </w:r>
      <w:r>
        <w:rPr>
          <w:rFonts w:hint="eastAsia" w:ascii="宋体" w:hAnsi="宋体" w:eastAsia="宋体" w:cs="宋体"/>
          <w:color w:val="auto"/>
          <w:sz w:val="24"/>
          <w:highlight w:val="none"/>
          <w:u w:val="single"/>
        </w:rPr>
        <w:t>：</w:t>
      </w:r>
    </w:p>
    <w:p w14:paraId="1AD66D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建德市十里埠港发展有限公司2025年电动装载机采购项目</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lang w:eastAsia="zh-CN"/>
        </w:rPr>
        <w:t>JT-XM-A-2025-0047</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36F88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55BE6A4">
      <w:pPr>
        <w:spacing w:line="360" w:lineRule="auto"/>
        <w:ind w:firstLine="494"/>
        <w:rPr>
          <w:rFonts w:hint="eastAsia" w:ascii="宋体" w:hAnsi="宋体" w:eastAsia="宋体" w:cs="宋体"/>
          <w:color w:val="auto"/>
          <w:sz w:val="24"/>
          <w:highlight w:val="none"/>
        </w:rPr>
      </w:pPr>
    </w:p>
    <w:p w14:paraId="6FB2F635">
      <w:pPr>
        <w:spacing w:line="360" w:lineRule="auto"/>
        <w:ind w:firstLine="494"/>
        <w:rPr>
          <w:rFonts w:hint="eastAsia" w:ascii="宋体" w:hAnsi="宋体" w:eastAsia="宋体" w:cs="宋体"/>
          <w:color w:val="auto"/>
          <w:sz w:val="24"/>
          <w:highlight w:val="none"/>
        </w:rPr>
      </w:pPr>
    </w:p>
    <w:p w14:paraId="6CABD27B">
      <w:pPr>
        <w:spacing w:line="360" w:lineRule="auto"/>
        <w:ind w:firstLine="494"/>
        <w:rPr>
          <w:rFonts w:hint="eastAsia" w:ascii="宋体" w:hAnsi="宋体" w:eastAsia="宋体" w:cs="宋体"/>
          <w:color w:val="auto"/>
          <w:sz w:val="24"/>
          <w:highlight w:val="none"/>
        </w:rPr>
      </w:pPr>
    </w:p>
    <w:p w14:paraId="6FBA22F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bookmarkStart w:id="395" w:name="_GoBack"/>
      <w:bookmarkEnd w:id="395"/>
    </w:p>
    <w:p w14:paraId="6E9E560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26C09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BBDC11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27ED643">
      <w:pPr>
        <w:autoSpaceDE w:val="0"/>
        <w:autoSpaceDN w:val="0"/>
        <w:jc w:val="center"/>
        <w:rPr>
          <w:rFonts w:hint="eastAsia" w:ascii="宋体" w:hAnsi="宋体" w:eastAsia="宋体" w:cs="宋体"/>
          <w:b/>
          <w:color w:val="auto"/>
          <w:spacing w:val="6"/>
          <w:sz w:val="32"/>
          <w:szCs w:val="32"/>
          <w:highlight w:val="none"/>
        </w:rPr>
      </w:pPr>
    </w:p>
    <w:p w14:paraId="2018BE67">
      <w:pPr>
        <w:autoSpaceDE w:val="0"/>
        <w:autoSpaceDN w:val="0"/>
        <w:jc w:val="center"/>
        <w:rPr>
          <w:rFonts w:hint="eastAsia" w:ascii="宋体" w:hAnsi="宋体" w:eastAsia="宋体" w:cs="宋体"/>
          <w:b/>
          <w:color w:val="auto"/>
          <w:spacing w:val="6"/>
          <w:sz w:val="32"/>
          <w:szCs w:val="32"/>
          <w:highlight w:val="none"/>
        </w:rPr>
      </w:pPr>
    </w:p>
    <w:p w14:paraId="51E626B1">
      <w:pPr>
        <w:autoSpaceDE w:val="0"/>
        <w:autoSpaceDN w:val="0"/>
        <w:jc w:val="center"/>
        <w:rPr>
          <w:rFonts w:hint="eastAsia" w:ascii="宋体" w:hAnsi="宋体" w:eastAsia="宋体" w:cs="宋体"/>
          <w:b/>
          <w:color w:val="auto"/>
          <w:spacing w:val="6"/>
          <w:sz w:val="32"/>
          <w:szCs w:val="32"/>
          <w:highlight w:val="none"/>
        </w:rPr>
      </w:pPr>
    </w:p>
    <w:p w14:paraId="79F08A74">
      <w:pPr>
        <w:autoSpaceDE w:val="0"/>
        <w:autoSpaceDN w:val="0"/>
        <w:jc w:val="center"/>
        <w:rPr>
          <w:rFonts w:hint="eastAsia" w:ascii="宋体" w:hAnsi="宋体" w:eastAsia="宋体" w:cs="宋体"/>
          <w:b/>
          <w:color w:val="auto"/>
          <w:spacing w:val="6"/>
          <w:sz w:val="32"/>
          <w:szCs w:val="32"/>
          <w:highlight w:val="none"/>
        </w:rPr>
      </w:pPr>
    </w:p>
    <w:p w14:paraId="09BE6BC1">
      <w:pPr>
        <w:autoSpaceDE w:val="0"/>
        <w:autoSpaceDN w:val="0"/>
        <w:jc w:val="center"/>
        <w:rPr>
          <w:rFonts w:hint="eastAsia" w:ascii="宋体" w:hAnsi="宋体" w:eastAsia="宋体" w:cs="宋体"/>
          <w:b/>
          <w:color w:val="auto"/>
          <w:spacing w:val="6"/>
          <w:sz w:val="32"/>
          <w:szCs w:val="32"/>
          <w:highlight w:val="none"/>
        </w:rPr>
      </w:pPr>
    </w:p>
    <w:p w14:paraId="1EC1DFB4">
      <w:pPr>
        <w:autoSpaceDE w:val="0"/>
        <w:autoSpaceDN w:val="0"/>
        <w:jc w:val="center"/>
        <w:rPr>
          <w:rFonts w:hint="eastAsia" w:ascii="宋体" w:hAnsi="宋体" w:eastAsia="宋体" w:cs="宋体"/>
          <w:b/>
          <w:color w:val="auto"/>
          <w:spacing w:val="6"/>
          <w:sz w:val="32"/>
          <w:szCs w:val="32"/>
          <w:highlight w:val="none"/>
        </w:rPr>
      </w:pPr>
    </w:p>
    <w:p w14:paraId="243E4CAF">
      <w:pPr>
        <w:autoSpaceDE w:val="0"/>
        <w:autoSpaceDN w:val="0"/>
        <w:jc w:val="center"/>
        <w:rPr>
          <w:rFonts w:hint="eastAsia" w:ascii="宋体" w:hAnsi="宋体" w:eastAsia="宋体" w:cs="宋体"/>
          <w:b/>
          <w:color w:val="auto"/>
          <w:spacing w:val="6"/>
          <w:sz w:val="32"/>
          <w:szCs w:val="32"/>
          <w:highlight w:val="none"/>
        </w:rPr>
      </w:pPr>
    </w:p>
    <w:p w14:paraId="1FBD6A8C">
      <w:pPr>
        <w:autoSpaceDE w:val="0"/>
        <w:autoSpaceDN w:val="0"/>
        <w:jc w:val="center"/>
        <w:rPr>
          <w:rFonts w:hint="eastAsia" w:ascii="宋体" w:hAnsi="宋体" w:eastAsia="宋体" w:cs="宋体"/>
          <w:b/>
          <w:color w:val="auto"/>
          <w:spacing w:val="6"/>
          <w:sz w:val="32"/>
          <w:szCs w:val="32"/>
          <w:highlight w:val="none"/>
        </w:rPr>
      </w:pPr>
    </w:p>
    <w:p w14:paraId="00F7417A">
      <w:pPr>
        <w:autoSpaceDE w:val="0"/>
        <w:autoSpaceDN w:val="0"/>
        <w:jc w:val="center"/>
        <w:rPr>
          <w:rFonts w:hint="eastAsia" w:ascii="宋体" w:hAnsi="宋体" w:eastAsia="宋体" w:cs="宋体"/>
          <w:b/>
          <w:color w:val="auto"/>
          <w:spacing w:val="6"/>
          <w:sz w:val="32"/>
          <w:szCs w:val="32"/>
          <w:highlight w:val="none"/>
        </w:rPr>
      </w:pPr>
    </w:p>
    <w:p w14:paraId="61442902">
      <w:pPr>
        <w:autoSpaceDE w:val="0"/>
        <w:autoSpaceDN w:val="0"/>
        <w:jc w:val="center"/>
        <w:rPr>
          <w:rFonts w:hint="eastAsia" w:ascii="宋体" w:hAnsi="宋体" w:eastAsia="宋体" w:cs="宋体"/>
          <w:b/>
          <w:color w:val="auto"/>
          <w:spacing w:val="6"/>
          <w:sz w:val="32"/>
          <w:szCs w:val="32"/>
          <w:highlight w:val="none"/>
        </w:rPr>
      </w:pPr>
    </w:p>
    <w:p w14:paraId="54B1A082">
      <w:pPr>
        <w:autoSpaceDE w:val="0"/>
        <w:autoSpaceDN w:val="0"/>
        <w:jc w:val="center"/>
        <w:rPr>
          <w:rFonts w:hint="eastAsia" w:ascii="宋体" w:hAnsi="宋体" w:eastAsia="宋体" w:cs="宋体"/>
          <w:b/>
          <w:color w:val="auto"/>
          <w:spacing w:val="6"/>
          <w:sz w:val="32"/>
          <w:szCs w:val="32"/>
          <w:highlight w:val="none"/>
        </w:rPr>
      </w:pPr>
    </w:p>
    <w:p w14:paraId="1C63A92B">
      <w:pPr>
        <w:autoSpaceDE w:val="0"/>
        <w:autoSpaceDN w:val="0"/>
        <w:jc w:val="center"/>
        <w:rPr>
          <w:rFonts w:hint="eastAsia" w:ascii="宋体" w:hAnsi="宋体" w:eastAsia="宋体" w:cs="宋体"/>
          <w:b/>
          <w:color w:val="auto"/>
          <w:spacing w:val="6"/>
          <w:sz w:val="32"/>
          <w:szCs w:val="32"/>
          <w:highlight w:val="none"/>
        </w:rPr>
      </w:pPr>
    </w:p>
    <w:p w14:paraId="35918A3E">
      <w:pPr>
        <w:autoSpaceDE w:val="0"/>
        <w:autoSpaceDN w:val="0"/>
        <w:jc w:val="center"/>
        <w:rPr>
          <w:rFonts w:hint="eastAsia" w:ascii="宋体" w:hAnsi="宋体" w:eastAsia="宋体" w:cs="宋体"/>
          <w:b/>
          <w:color w:val="auto"/>
          <w:spacing w:val="6"/>
          <w:sz w:val="32"/>
          <w:szCs w:val="32"/>
          <w:highlight w:val="none"/>
        </w:rPr>
      </w:pPr>
    </w:p>
    <w:p w14:paraId="25D5338A">
      <w:pPr>
        <w:autoSpaceDE w:val="0"/>
        <w:autoSpaceDN w:val="0"/>
        <w:jc w:val="center"/>
        <w:rPr>
          <w:rFonts w:hint="eastAsia" w:ascii="宋体" w:hAnsi="宋体" w:eastAsia="宋体" w:cs="宋体"/>
          <w:b/>
          <w:color w:val="auto"/>
          <w:spacing w:val="6"/>
          <w:sz w:val="32"/>
          <w:szCs w:val="32"/>
          <w:highlight w:val="none"/>
        </w:rPr>
      </w:pPr>
    </w:p>
    <w:p w14:paraId="197C93E3">
      <w:pPr>
        <w:autoSpaceDE w:val="0"/>
        <w:autoSpaceDN w:val="0"/>
        <w:jc w:val="center"/>
        <w:rPr>
          <w:rFonts w:hint="eastAsia" w:ascii="宋体" w:hAnsi="宋体" w:eastAsia="宋体" w:cs="宋体"/>
          <w:b/>
          <w:color w:val="auto"/>
          <w:spacing w:val="6"/>
          <w:sz w:val="32"/>
          <w:szCs w:val="32"/>
          <w:highlight w:val="none"/>
        </w:rPr>
      </w:pPr>
    </w:p>
    <w:sectPr>
      <w:headerReference r:id="rId16" w:type="first"/>
      <w:footerReference r:id="rId18" w:type="first"/>
      <w:headerReference r:id="rId15" w:type="default"/>
      <w:footerReference r:id="rId17"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8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altName w:val="Lucida Sans"/>
    <w:panose1 w:val="020B0602030504020204"/>
    <w:charset w:val="00"/>
    <w:family w:val="auto"/>
    <w:pitch w:val="default"/>
    <w:sig w:usb0="00000000" w:usb1="00000000"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EEEF">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A01E">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9A01E">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E442">
    <w:pPr>
      <w:pStyle w:val="4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03FC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E903FC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22D6">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90425">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190425">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CA3A">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FC8B">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6EFC8B">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77C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9910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C9910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B09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93A8F">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A93A8F">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6AA8">
    <w:pPr>
      <w:pStyle w:val="40"/>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C6E54">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FC6E54">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49E1">
    <w:pPr>
      <w:pStyle w:val="40"/>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3E9D6">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B3E9D6">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5FDD">
    <w:pPr>
      <w:pStyle w:val="42"/>
      <w:pBdr>
        <w:bottom w:val="none" w:color="auto" w:sz="0" w:space="4"/>
      </w:pBdr>
      <w:jc w:val="right"/>
    </w:pPr>
    <w:r>
      <w:t></w:t>
    </w:r>
    <w:r>
      <w:rPr>
        <w:rFonts w:hint="eastAsia"/>
      </w:rPr>
      <w:t xml:space="preserve">             </w:t>
    </w:r>
  </w:p>
  <w:p w14:paraId="7509E6BD">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6E10">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F8E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28D9">
    <w:pPr>
      <w:pStyle w:val="42"/>
      <w:pBdr>
        <w:bottom w:val="none" w:color="auto" w:sz="0" w:space="1"/>
      </w:pBdr>
      <w:tabs>
        <w:tab w:val="left" w:pos="6988"/>
      </w:tabs>
      <w:jc w:val="left"/>
      <w:rPr>
        <w:rFonts w:hint="eastAsia" w:eastAsia="宋体"/>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C685">
    <w:pPr>
      <w:pStyle w:val="42"/>
      <w:jc w:val="right"/>
      <w:rPr>
        <w:rFonts w:ascii="仿宋_GB2312" w:eastAsia="仿宋_GB2312"/>
        <w:b/>
        <w:i/>
        <w:u w:val="single"/>
      </w:rPr>
    </w:pPr>
    <w:r>
      <w:rPr>
        <w:rFonts w:hint="eastAsia"/>
      </w:rPr>
      <w:t xml:space="preserve">                                  </w:t>
    </w:r>
    <w:r>
      <w:t>杭州市政府采购公开招标文件</w:t>
    </w:r>
  </w:p>
  <w:p w14:paraId="4E4DFC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D7BA">
    <w:pPr>
      <w:pStyle w:val="4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D848">
    <w:pPr>
      <w:pStyle w:val="42"/>
      <w:pBdr>
        <w:bottom w:val="none" w:color="auto" w:sz="0" w:space="1"/>
      </w:pBdr>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AE52">
    <w:pPr>
      <w:pStyle w:val="4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YzRkZTRjMDRmZGVhNDY0MTczNjJhYTljZDY3M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B0A"/>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A687D"/>
    <w:rsid w:val="011F6449"/>
    <w:rsid w:val="01236AFB"/>
    <w:rsid w:val="019F7441"/>
    <w:rsid w:val="01B37585"/>
    <w:rsid w:val="01D55165"/>
    <w:rsid w:val="01DF6BF8"/>
    <w:rsid w:val="01EC2C57"/>
    <w:rsid w:val="01FA1E10"/>
    <w:rsid w:val="025F0711"/>
    <w:rsid w:val="026B2E25"/>
    <w:rsid w:val="02824D4D"/>
    <w:rsid w:val="02861529"/>
    <w:rsid w:val="02DC4B10"/>
    <w:rsid w:val="02DD76CE"/>
    <w:rsid w:val="02E72E26"/>
    <w:rsid w:val="02F36323"/>
    <w:rsid w:val="02F41BAB"/>
    <w:rsid w:val="02F5619C"/>
    <w:rsid w:val="0326446A"/>
    <w:rsid w:val="032D5555"/>
    <w:rsid w:val="034D2113"/>
    <w:rsid w:val="036634D2"/>
    <w:rsid w:val="03DD35E4"/>
    <w:rsid w:val="04076900"/>
    <w:rsid w:val="04082AD7"/>
    <w:rsid w:val="041A5A3B"/>
    <w:rsid w:val="042311BA"/>
    <w:rsid w:val="042B157A"/>
    <w:rsid w:val="048F763B"/>
    <w:rsid w:val="049F330E"/>
    <w:rsid w:val="04AA775C"/>
    <w:rsid w:val="04AF1889"/>
    <w:rsid w:val="04F66F48"/>
    <w:rsid w:val="050B287F"/>
    <w:rsid w:val="05251E14"/>
    <w:rsid w:val="05A16594"/>
    <w:rsid w:val="05A7762D"/>
    <w:rsid w:val="05F477B7"/>
    <w:rsid w:val="060E5941"/>
    <w:rsid w:val="060F2983"/>
    <w:rsid w:val="06110FAF"/>
    <w:rsid w:val="06161AFD"/>
    <w:rsid w:val="06493CA7"/>
    <w:rsid w:val="065A6178"/>
    <w:rsid w:val="066F1CF3"/>
    <w:rsid w:val="06930BB8"/>
    <w:rsid w:val="07155AFD"/>
    <w:rsid w:val="07245D42"/>
    <w:rsid w:val="07264C62"/>
    <w:rsid w:val="0779354C"/>
    <w:rsid w:val="08061376"/>
    <w:rsid w:val="08203FD8"/>
    <w:rsid w:val="08452D77"/>
    <w:rsid w:val="085E2DDB"/>
    <w:rsid w:val="086401F8"/>
    <w:rsid w:val="08751CAA"/>
    <w:rsid w:val="087C3D79"/>
    <w:rsid w:val="087E4C40"/>
    <w:rsid w:val="089F2B90"/>
    <w:rsid w:val="08A871D0"/>
    <w:rsid w:val="08D66AD6"/>
    <w:rsid w:val="08DA33A3"/>
    <w:rsid w:val="08DE4421"/>
    <w:rsid w:val="08E42860"/>
    <w:rsid w:val="08E80F13"/>
    <w:rsid w:val="09335624"/>
    <w:rsid w:val="0944690F"/>
    <w:rsid w:val="09535675"/>
    <w:rsid w:val="095F057D"/>
    <w:rsid w:val="09642282"/>
    <w:rsid w:val="09733572"/>
    <w:rsid w:val="09772C16"/>
    <w:rsid w:val="098353B5"/>
    <w:rsid w:val="09A92330"/>
    <w:rsid w:val="09B06B87"/>
    <w:rsid w:val="09BF1E8A"/>
    <w:rsid w:val="09C13146"/>
    <w:rsid w:val="09E04166"/>
    <w:rsid w:val="09F2225F"/>
    <w:rsid w:val="09FF2EF6"/>
    <w:rsid w:val="0A081A83"/>
    <w:rsid w:val="0A1C0718"/>
    <w:rsid w:val="0A30229D"/>
    <w:rsid w:val="0A3E7710"/>
    <w:rsid w:val="0A402FCB"/>
    <w:rsid w:val="0A5B7E63"/>
    <w:rsid w:val="0A7C5E93"/>
    <w:rsid w:val="0AA374A5"/>
    <w:rsid w:val="0AAB7649"/>
    <w:rsid w:val="0ABB4D47"/>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65124"/>
    <w:rsid w:val="0CC007F7"/>
    <w:rsid w:val="0CC617AC"/>
    <w:rsid w:val="0CE618DF"/>
    <w:rsid w:val="0CFE707A"/>
    <w:rsid w:val="0D063BDA"/>
    <w:rsid w:val="0D08375F"/>
    <w:rsid w:val="0D184CFB"/>
    <w:rsid w:val="0D4107C8"/>
    <w:rsid w:val="0D4A7419"/>
    <w:rsid w:val="0D827401"/>
    <w:rsid w:val="0D84094E"/>
    <w:rsid w:val="0D8A00E9"/>
    <w:rsid w:val="0D8D589E"/>
    <w:rsid w:val="0DA01C73"/>
    <w:rsid w:val="0DB8731C"/>
    <w:rsid w:val="0DD63300"/>
    <w:rsid w:val="0DE47459"/>
    <w:rsid w:val="0DF50604"/>
    <w:rsid w:val="0DF702FE"/>
    <w:rsid w:val="0E060E51"/>
    <w:rsid w:val="0E3B10BA"/>
    <w:rsid w:val="0E5604B2"/>
    <w:rsid w:val="0E6D5D79"/>
    <w:rsid w:val="0E721817"/>
    <w:rsid w:val="0E9D0089"/>
    <w:rsid w:val="0EB77646"/>
    <w:rsid w:val="0EB803EE"/>
    <w:rsid w:val="0EE16A55"/>
    <w:rsid w:val="0EF94D4B"/>
    <w:rsid w:val="0F100ED4"/>
    <w:rsid w:val="0F331350"/>
    <w:rsid w:val="0F4958DC"/>
    <w:rsid w:val="0F515DF7"/>
    <w:rsid w:val="0F517A28"/>
    <w:rsid w:val="0F596BA8"/>
    <w:rsid w:val="0F6248D2"/>
    <w:rsid w:val="0F693536"/>
    <w:rsid w:val="0F7B0511"/>
    <w:rsid w:val="0F7B76D9"/>
    <w:rsid w:val="0F816ACD"/>
    <w:rsid w:val="0F953DB9"/>
    <w:rsid w:val="0F9832DB"/>
    <w:rsid w:val="0FBF3FD2"/>
    <w:rsid w:val="0FBF7FF3"/>
    <w:rsid w:val="0FE425F6"/>
    <w:rsid w:val="10646583"/>
    <w:rsid w:val="107D4B15"/>
    <w:rsid w:val="108A3C80"/>
    <w:rsid w:val="10B02FC0"/>
    <w:rsid w:val="10C26171"/>
    <w:rsid w:val="10F33360"/>
    <w:rsid w:val="10FC16EA"/>
    <w:rsid w:val="110F1D40"/>
    <w:rsid w:val="11266F33"/>
    <w:rsid w:val="11531A90"/>
    <w:rsid w:val="118963A1"/>
    <w:rsid w:val="11942F90"/>
    <w:rsid w:val="11C6025A"/>
    <w:rsid w:val="11C6522A"/>
    <w:rsid w:val="11E104CC"/>
    <w:rsid w:val="11E20309"/>
    <w:rsid w:val="12255233"/>
    <w:rsid w:val="12530213"/>
    <w:rsid w:val="127723A9"/>
    <w:rsid w:val="12862074"/>
    <w:rsid w:val="12883966"/>
    <w:rsid w:val="129E45B4"/>
    <w:rsid w:val="12D61973"/>
    <w:rsid w:val="12D81596"/>
    <w:rsid w:val="13072A44"/>
    <w:rsid w:val="135F4BE2"/>
    <w:rsid w:val="139B1A0A"/>
    <w:rsid w:val="139D25C7"/>
    <w:rsid w:val="13BF3CE4"/>
    <w:rsid w:val="13C95DDF"/>
    <w:rsid w:val="13EB49B1"/>
    <w:rsid w:val="141008D8"/>
    <w:rsid w:val="14125FE6"/>
    <w:rsid w:val="14484021"/>
    <w:rsid w:val="146D271E"/>
    <w:rsid w:val="14982588"/>
    <w:rsid w:val="149A5AD9"/>
    <w:rsid w:val="14A7619D"/>
    <w:rsid w:val="150536C3"/>
    <w:rsid w:val="150C1963"/>
    <w:rsid w:val="151447A0"/>
    <w:rsid w:val="154A6454"/>
    <w:rsid w:val="15762120"/>
    <w:rsid w:val="15F5110D"/>
    <w:rsid w:val="16536A34"/>
    <w:rsid w:val="166565F0"/>
    <w:rsid w:val="16A8729C"/>
    <w:rsid w:val="16B33777"/>
    <w:rsid w:val="16BC70A7"/>
    <w:rsid w:val="16C6339E"/>
    <w:rsid w:val="171C6A7C"/>
    <w:rsid w:val="172F2D79"/>
    <w:rsid w:val="172F4AF3"/>
    <w:rsid w:val="17557BEF"/>
    <w:rsid w:val="176170E1"/>
    <w:rsid w:val="17886D65"/>
    <w:rsid w:val="17D349C1"/>
    <w:rsid w:val="18244F26"/>
    <w:rsid w:val="1830729E"/>
    <w:rsid w:val="18393836"/>
    <w:rsid w:val="1870062C"/>
    <w:rsid w:val="187B2A53"/>
    <w:rsid w:val="18817102"/>
    <w:rsid w:val="18830A15"/>
    <w:rsid w:val="18852B28"/>
    <w:rsid w:val="188B5321"/>
    <w:rsid w:val="19932372"/>
    <w:rsid w:val="19946D55"/>
    <w:rsid w:val="199F2432"/>
    <w:rsid w:val="19A20DD5"/>
    <w:rsid w:val="19AE03F1"/>
    <w:rsid w:val="19B4308D"/>
    <w:rsid w:val="1A071A03"/>
    <w:rsid w:val="1A1F16AE"/>
    <w:rsid w:val="1A367F46"/>
    <w:rsid w:val="1A3B5C77"/>
    <w:rsid w:val="1A984BAD"/>
    <w:rsid w:val="1AB8220E"/>
    <w:rsid w:val="1AE4166C"/>
    <w:rsid w:val="1AF06CFB"/>
    <w:rsid w:val="1AF11B8D"/>
    <w:rsid w:val="1B0365A7"/>
    <w:rsid w:val="1B0F74DE"/>
    <w:rsid w:val="1B11359C"/>
    <w:rsid w:val="1B2A271F"/>
    <w:rsid w:val="1B530544"/>
    <w:rsid w:val="1B713184"/>
    <w:rsid w:val="1BA209CF"/>
    <w:rsid w:val="1BB4777D"/>
    <w:rsid w:val="1BCD6688"/>
    <w:rsid w:val="1BD75AB8"/>
    <w:rsid w:val="1BFB4149"/>
    <w:rsid w:val="1C0459C2"/>
    <w:rsid w:val="1C11425A"/>
    <w:rsid w:val="1C1B3B4A"/>
    <w:rsid w:val="1C88086E"/>
    <w:rsid w:val="1CCE7662"/>
    <w:rsid w:val="1D266CE1"/>
    <w:rsid w:val="1D3963AF"/>
    <w:rsid w:val="1D6A673C"/>
    <w:rsid w:val="1D9247AE"/>
    <w:rsid w:val="1DB567EC"/>
    <w:rsid w:val="1DF51A98"/>
    <w:rsid w:val="1E051CD9"/>
    <w:rsid w:val="1E0B7CB9"/>
    <w:rsid w:val="1E35213E"/>
    <w:rsid w:val="1E382E0D"/>
    <w:rsid w:val="1E3D060F"/>
    <w:rsid w:val="1E3F7D2E"/>
    <w:rsid w:val="1E4134E4"/>
    <w:rsid w:val="1E5062B3"/>
    <w:rsid w:val="1E523514"/>
    <w:rsid w:val="1E57048B"/>
    <w:rsid w:val="1E5A0A86"/>
    <w:rsid w:val="1E714A66"/>
    <w:rsid w:val="1E802593"/>
    <w:rsid w:val="1E8B6156"/>
    <w:rsid w:val="1EA703CC"/>
    <w:rsid w:val="1EB51D82"/>
    <w:rsid w:val="1EB7330C"/>
    <w:rsid w:val="1F0A0FF3"/>
    <w:rsid w:val="1F3F1511"/>
    <w:rsid w:val="1F5771FF"/>
    <w:rsid w:val="1F7A31F0"/>
    <w:rsid w:val="1FD52574"/>
    <w:rsid w:val="1FE868A9"/>
    <w:rsid w:val="20034907"/>
    <w:rsid w:val="20173E4B"/>
    <w:rsid w:val="20227687"/>
    <w:rsid w:val="204E48BC"/>
    <w:rsid w:val="208921B3"/>
    <w:rsid w:val="20973DEB"/>
    <w:rsid w:val="20B26522"/>
    <w:rsid w:val="20B44310"/>
    <w:rsid w:val="20B6593D"/>
    <w:rsid w:val="21020B82"/>
    <w:rsid w:val="211116EB"/>
    <w:rsid w:val="212C3D17"/>
    <w:rsid w:val="21321F54"/>
    <w:rsid w:val="216133FC"/>
    <w:rsid w:val="218B6DCA"/>
    <w:rsid w:val="21997739"/>
    <w:rsid w:val="21AE1E97"/>
    <w:rsid w:val="21D56769"/>
    <w:rsid w:val="21E52EF3"/>
    <w:rsid w:val="21E55FC7"/>
    <w:rsid w:val="21FB5D7B"/>
    <w:rsid w:val="22015E94"/>
    <w:rsid w:val="220B1C3D"/>
    <w:rsid w:val="221D1D20"/>
    <w:rsid w:val="22334A87"/>
    <w:rsid w:val="223D3D3A"/>
    <w:rsid w:val="22477195"/>
    <w:rsid w:val="22BE6801"/>
    <w:rsid w:val="22E42C35"/>
    <w:rsid w:val="233500BF"/>
    <w:rsid w:val="23377FF7"/>
    <w:rsid w:val="234C44CD"/>
    <w:rsid w:val="236B425F"/>
    <w:rsid w:val="236B5E62"/>
    <w:rsid w:val="23836192"/>
    <w:rsid w:val="23901F29"/>
    <w:rsid w:val="23906919"/>
    <w:rsid w:val="239C0061"/>
    <w:rsid w:val="23B908A4"/>
    <w:rsid w:val="23E95BEF"/>
    <w:rsid w:val="23FD0064"/>
    <w:rsid w:val="245375B0"/>
    <w:rsid w:val="245C2C9F"/>
    <w:rsid w:val="24642C0A"/>
    <w:rsid w:val="24B22173"/>
    <w:rsid w:val="24B95AD9"/>
    <w:rsid w:val="24BE24DA"/>
    <w:rsid w:val="24CF5825"/>
    <w:rsid w:val="24D663E6"/>
    <w:rsid w:val="24D77F2B"/>
    <w:rsid w:val="24EC06BF"/>
    <w:rsid w:val="25081468"/>
    <w:rsid w:val="254A2AF8"/>
    <w:rsid w:val="25594E6A"/>
    <w:rsid w:val="258B00E2"/>
    <w:rsid w:val="25A917A6"/>
    <w:rsid w:val="25BE27CC"/>
    <w:rsid w:val="25F74A5C"/>
    <w:rsid w:val="25FA3833"/>
    <w:rsid w:val="26006DD8"/>
    <w:rsid w:val="260333D3"/>
    <w:rsid w:val="2628662C"/>
    <w:rsid w:val="262D45DE"/>
    <w:rsid w:val="26871DC8"/>
    <w:rsid w:val="26A53EF9"/>
    <w:rsid w:val="26A94201"/>
    <w:rsid w:val="26AC274F"/>
    <w:rsid w:val="27044A29"/>
    <w:rsid w:val="271D34C8"/>
    <w:rsid w:val="276142BF"/>
    <w:rsid w:val="27783712"/>
    <w:rsid w:val="27907362"/>
    <w:rsid w:val="27D019DA"/>
    <w:rsid w:val="27EB0710"/>
    <w:rsid w:val="28310E0A"/>
    <w:rsid w:val="28333E1D"/>
    <w:rsid w:val="28454BD6"/>
    <w:rsid w:val="28455253"/>
    <w:rsid w:val="28551971"/>
    <w:rsid w:val="285B1C53"/>
    <w:rsid w:val="289A4F62"/>
    <w:rsid w:val="289F7086"/>
    <w:rsid w:val="28C32028"/>
    <w:rsid w:val="28CC490F"/>
    <w:rsid w:val="28DE40AA"/>
    <w:rsid w:val="28F11C08"/>
    <w:rsid w:val="292A6EC8"/>
    <w:rsid w:val="29316E30"/>
    <w:rsid w:val="29345E77"/>
    <w:rsid w:val="294C65AD"/>
    <w:rsid w:val="29502E31"/>
    <w:rsid w:val="29626662"/>
    <w:rsid w:val="29806583"/>
    <w:rsid w:val="298B3C4C"/>
    <w:rsid w:val="29B1748D"/>
    <w:rsid w:val="29B93A0C"/>
    <w:rsid w:val="29F26D24"/>
    <w:rsid w:val="2A026833"/>
    <w:rsid w:val="2A15033F"/>
    <w:rsid w:val="2A1662C1"/>
    <w:rsid w:val="2A1C7367"/>
    <w:rsid w:val="2A2815FA"/>
    <w:rsid w:val="2A6D6092"/>
    <w:rsid w:val="2A7D76B4"/>
    <w:rsid w:val="2AB63109"/>
    <w:rsid w:val="2ACF7D27"/>
    <w:rsid w:val="2ADE7D33"/>
    <w:rsid w:val="2B090316"/>
    <w:rsid w:val="2B437463"/>
    <w:rsid w:val="2B7807EE"/>
    <w:rsid w:val="2B832EB9"/>
    <w:rsid w:val="2B890A6D"/>
    <w:rsid w:val="2BA50BF7"/>
    <w:rsid w:val="2BBF00EC"/>
    <w:rsid w:val="2BC34A9E"/>
    <w:rsid w:val="2BC37CFD"/>
    <w:rsid w:val="2BC70E1E"/>
    <w:rsid w:val="2BD5237F"/>
    <w:rsid w:val="2BDD459F"/>
    <w:rsid w:val="2BE536CE"/>
    <w:rsid w:val="2BE758D9"/>
    <w:rsid w:val="2BF346BB"/>
    <w:rsid w:val="2C09049E"/>
    <w:rsid w:val="2C0A653C"/>
    <w:rsid w:val="2C191F85"/>
    <w:rsid w:val="2C701096"/>
    <w:rsid w:val="2CE82D6F"/>
    <w:rsid w:val="2D343236"/>
    <w:rsid w:val="2D375814"/>
    <w:rsid w:val="2D575011"/>
    <w:rsid w:val="2D8D7A26"/>
    <w:rsid w:val="2DD15014"/>
    <w:rsid w:val="2DF72DE4"/>
    <w:rsid w:val="2E0054CD"/>
    <w:rsid w:val="2E0220AF"/>
    <w:rsid w:val="2E052520"/>
    <w:rsid w:val="2E14000D"/>
    <w:rsid w:val="2E310CF9"/>
    <w:rsid w:val="2E3F7A9E"/>
    <w:rsid w:val="2E4B082A"/>
    <w:rsid w:val="2E5D4E86"/>
    <w:rsid w:val="2E5D790B"/>
    <w:rsid w:val="2E9A3C18"/>
    <w:rsid w:val="2EBB0FEE"/>
    <w:rsid w:val="2EC63002"/>
    <w:rsid w:val="2F0A6B38"/>
    <w:rsid w:val="2F946CCB"/>
    <w:rsid w:val="2FD25781"/>
    <w:rsid w:val="2FDC745C"/>
    <w:rsid w:val="2FFD7934"/>
    <w:rsid w:val="300F2709"/>
    <w:rsid w:val="306C7DC6"/>
    <w:rsid w:val="30733ACD"/>
    <w:rsid w:val="30770D3B"/>
    <w:rsid w:val="308C3862"/>
    <w:rsid w:val="309379D8"/>
    <w:rsid w:val="30A270F7"/>
    <w:rsid w:val="30DF1478"/>
    <w:rsid w:val="30EC586F"/>
    <w:rsid w:val="3141131B"/>
    <w:rsid w:val="31536545"/>
    <w:rsid w:val="319C6071"/>
    <w:rsid w:val="31AC537E"/>
    <w:rsid w:val="31E3679B"/>
    <w:rsid w:val="31E732FD"/>
    <w:rsid w:val="31EB6578"/>
    <w:rsid w:val="324C0530"/>
    <w:rsid w:val="32517576"/>
    <w:rsid w:val="32B76361"/>
    <w:rsid w:val="32BE5C2C"/>
    <w:rsid w:val="32F3657D"/>
    <w:rsid w:val="32FB6478"/>
    <w:rsid w:val="33263B3F"/>
    <w:rsid w:val="336963EB"/>
    <w:rsid w:val="33816EEB"/>
    <w:rsid w:val="33C93758"/>
    <w:rsid w:val="33EB55CD"/>
    <w:rsid w:val="33EC4C02"/>
    <w:rsid w:val="340D2360"/>
    <w:rsid w:val="340E65D6"/>
    <w:rsid w:val="3410665D"/>
    <w:rsid w:val="34211214"/>
    <w:rsid w:val="342D1EC6"/>
    <w:rsid w:val="342E63AB"/>
    <w:rsid w:val="348815E6"/>
    <w:rsid w:val="348B7FB5"/>
    <w:rsid w:val="34950E68"/>
    <w:rsid w:val="34984B38"/>
    <w:rsid w:val="34986E94"/>
    <w:rsid w:val="34AF62C9"/>
    <w:rsid w:val="34CB4388"/>
    <w:rsid w:val="34FA6E12"/>
    <w:rsid w:val="351E1DB3"/>
    <w:rsid w:val="354D7158"/>
    <w:rsid w:val="358677E3"/>
    <w:rsid w:val="358D5588"/>
    <w:rsid w:val="35FE7713"/>
    <w:rsid w:val="363A3B40"/>
    <w:rsid w:val="365302AE"/>
    <w:rsid w:val="36607A0A"/>
    <w:rsid w:val="366E227C"/>
    <w:rsid w:val="366F2E0D"/>
    <w:rsid w:val="367B6A5C"/>
    <w:rsid w:val="36A74ADA"/>
    <w:rsid w:val="36AD60D5"/>
    <w:rsid w:val="36B224F9"/>
    <w:rsid w:val="36EC0CC9"/>
    <w:rsid w:val="373F410B"/>
    <w:rsid w:val="37863E63"/>
    <w:rsid w:val="37EE7094"/>
    <w:rsid w:val="37FC4273"/>
    <w:rsid w:val="38296C89"/>
    <w:rsid w:val="383002EB"/>
    <w:rsid w:val="38586797"/>
    <w:rsid w:val="385D15DF"/>
    <w:rsid w:val="38BC0149"/>
    <w:rsid w:val="38D87D1C"/>
    <w:rsid w:val="38EB045F"/>
    <w:rsid w:val="39636459"/>
    <w:rsid w:val="396B7F6C"/>
    <w:rsid w:val="39B263C8"/>
    <w:rsid w:val="39B417A9"/>
    <w:rsid w:val="39E3559D"/>
    <w:rsid w:val="39F14C08"/>
    <w:rsid w:val="39FC5695"/>
    <w:rsid w:val="3A006D8E"/>
    <w:rsid w:val="3A173499"/>
    <w:rsid w:val="3A2E432B"/>
    <w:rsid w:val="3A3651E5"/>
    <w:rsid w:val="3A744481"/>
    <w:rsid w:val="3A8C7BEF"/>
    <w:rsid w:val="3A906246"/>
    <w:rsid w:val="3ADC185C"/>
    <w:rsid w:val="3B2349B7"/>
    <w:rsid w:val="3B616CFF"/>
    <w:rsid w:val="3B6259F6"/>
    <w:rsid w:val="3B7A270B"/>
    <w:rsid w:val="3B976654"/>
    <w:rsid w:val="3BAC063D"/>
    <w:rsid w:val="3BC01EFC"/>
    <w:rsid w:val="3BCA786A"/>
    <w:rsid w:val="3BD31E2F"/>
    <w:rsid w:val="3BE917B8"/>
    <w:rsid w:val="3BF15831"/>
    <w:rsid w:val="3C0E61D6"/>
    <w:rsid w:val="3C105946"/>
    <w:rsid w:val="3C192365"/>
    <w:rsid w:val="3C471448"/>
    <w:rsid w:val="3C5F759A"/>
    <w:rsid w:val="3C6C525A"/>
    <w:rsid w:val="3C97225D"/>
    <w:rsid w:val="3CCE23CB"/>
    <w:rsid w:val="3CD17D17"/>
    <w:rsid w:val="3CEE3F4E"/>
    <w:rsid w:val="3D3C7F39"/>
    <w:rsid w:val="3D440F09"/>
    <w:rsid w:val="3D4504A0"/>
    <w:rsid w:val="3D8734BB"/>
    <w:rsid w:val="3D9A11D4"/>
    <w:rsid w:val="3DA16D89"/>
    <w:rsid w:val="3DA364BE"/>
    <w:rsid w:val="3DAE7C70"/>
    <w:rsid w:val="3DD0386E"/>
    <w:rsid w:val="3DD516A1"/>
    <w:rsid w:val="3DE041CB"/>
    <w:rsid w:val="3E0D48F6"/>
    <w:rsid w:val="3E1868B4"/>
    <w:rsid w:val="3E367B2B"/>
    <w:rsid w:val="3E377251"/>
    <w:rsid w:val="3E42664B"/>
    <w:rsid w:val="3E500B0B"/>
    <w:rsid w:val="3E5A7334"/>
    <w:rsid w:val="3E665081"/>
    <w:rsid w:val="3E7B5D6B"/>
    <w:rsid w:val="3E823046"/>
    <w:rsid w:val="3E843E66"/>
    <w:rsid w:val="3E8F51FE"/>
    <w:rsid w:val="3E926F87"/>
    <w:rsid w:val="3E9A59DE"/>
    <w:rsid w:val="3EAF4836"/>
    <w:rsid w:val="3EBB76E9"/>
    <w:rsid w:val="3EC33DFA"/>
    <w:rsid w:val="3EE946F5"/>
    <w:rsid w:val="3EEB5665"/>
    <w:rsid w:val="3F060E16"/>
    <w:rsid w:val="3F1D1096"/>
    <w:rsid w:val="3F2F0234"/>
    <w:rsid w:val="3F5A02B3"/>
    <w:rsid w:val="3F6363FE"/>
    <w:rsid w:val="3F756B8F"/>
    <w:rsid w:val="3F95482B"/>
    <w:rsid w:val="3FB73A4A"/>
    <w:rsid w:val="3FE5436D"/>
    <w:rsid w:val="4019356B"/>
    <w:rsid w:val="402266C5"/>
    <w:rsid w:val="40592157"/>
    <w:rsid w:val="406E1CAE"/>
    <w:rsid w:val="409470BD"/>
    <w:rsid w:val="40A0133A"/>
    <w:rsid w:val="40C31A53"/>
    <w:rsid w:val="40F24318"/>
    <w:rsid w:val="40FF545D"/>
    <w:rsid w:val="410067C8"/>
    <w:rsid w:val="417C5ABA"/>
    <w:rsid w:val="418243F5"/>
    <w:rsid w:val="418F0D2A"/>
    <w:rsid w:val="41D01505"/>
    <w:rsid w:val="42460974"/>
    <w:rsid w:val="42474939"/>
    <w:rsid w:val="424C3C57"/>
    <w:rsid w:val="42613FF3"/>
    <w:rsid w:val="42660D96"/>
    <w:rsid w:val="42843525"/>
    <w:rsid w:val="428667D2"/>
    <w:rsid w:val="42A17DA3"/>
    <w:rsid w:val="42CD1CE0"/>
    <w:rsid w:val="42E1381E"/>
    <w:rsid w:val="42ED6459"/>
    <w:rsid w:val="42FE58DD"/>
    <w:rsid w:val="43174B3D"/>
    <w:rsid w:val="43476B9D"/>
    <w:rsid w:val="434B790E"/>
    <w:rsid w:val="4360274F"/>
    <w:rsid w:val="43977AB6"/>
    <w:rsid w:val="43A3342B"/>
    <w:rsid w:val="43C04259"/>
    <w:rsid w:val="43C77C27"/>
    <w:rsid w:val="43DE09EE"/>
    <w:rsid w:val="44002FAD"/>
    <w:rsid w:val="4427252A"/>
    <w:rsid w:val="449101DD"/>
    <w:rsid w:val="44D91021"/>
    <w:rsid w:val="44DE1391"/>
    <w:rsid w:val="451B225C"/>
    <w:rsid w:val="452410C9"/>
    <w:rsid w:val="45284796"/>
    <w:rsid w:val="45317DFB"/>
    <w:rsid w:val="456D3CE4"/>
    <w:rsid w:val="4579042C"/>
    <w:rsid w:val="457F0571"/>
    <w:rsid w:val="45851176"/>
    <w:rsid w:val="459E60A6"/>
    <w:rsid w:val="45C63B94"/>
    <w:rsid w:val="45D22718"/>
    <w:rsid w:val="45FF11DB"/>
    <w:rsid w:val="460C5E7C"/>
    <w:rsid w:val="460E7DA5"/>
    <w:rsid w:val="463902F3"/>
    <w:rsid w:val="46422483"/>
    <w:rsid w:val="4659254A"/>
    <w:rsid w:val="465B0637"/>
    <w:rsid w:val="465E3F0D"/>
    <w:rsid w:val="466A16E6"/>
    <w:rsid w:val="466E6ED7"/>
    <w:rsid w:val="467A7DCA"/>
    <w:rsid w:val="46893F2B"/>
    <w:rsid w:val="46C4686E"/>
    <w:rsid w:val="46F36279"/>
    <w:rsid w:val="471C3BAA"/>
    <w:rsid w:val="477B778F"/>
    <w:rsid w:val="478203EC"/>
    <w:rsid w:val="47B025FA"/>
    <w:rsid w:val="47E0136E"/>
    <w:rsid w:val="4809698F"/>
    <w:rsid w:val="4811697D"/>
    <w:rsid w:val="487A3E25"/>
    <w:rsid w:val="48832204"/>
    <w:rsid w:val="488B5503"/>
    <w:rsid w:val="48920E74"/>
    <w:rsid w:val="48937E21"/>
    <w:rsid w:val="489A0361"/>
    <w:rsid w:val="48B94FF3"/>
    <w:rsid w:val="48DD7331"/>
    <w:rsid w:val="48E37AAB"/>
    <w:rsid w:val="48FD4B4C"/>
    <w:rsid w:val="490A68E0"/>
    <w:rsid w:val="491055FE"/>
    <w:rsid w:val="4917149F"/>
    <w:rsid w:val="495F5B3E"/>
    <w:rsid w:val="496D45F2"/>
    <w:rsid w:val="496F77D7"/>
    <w:rsid w:val="497654FD"/>
    <w:rsid w:val="49B64211"/>
    <w:rsid w:val="49F6167F"/>
    <w:rsid w:val="4A064FA0"/>
    <w:rsid w:val="4A16615C"/>
    <w:rsid w:val="4A4424D7"/>
    <w:rsid w:val="4A7364C9"/>
    <w:rsid w:val="4AB82D0F"/>
    <w:rsid w:val="4AEB7664"/>
    <w:rsid w:val="4AEC1C9E"/>
    <w:rsid w:val="4AFD7C19"/>
    <w:rsid w:val="4B0567D1"/>
    <w:rsid w:val="4B236AAE"/>
    <w:rsid w:val="4B707271"/>
    <w:rsid w:val="4B9739F7"/>
    <w:rsid w:val="4BA16D51"/>
    <w:rsid w:val="4BAB6992"/>
    <w:rsid w:val="4BB81193"/>
    <w:rsid w:val="4BEE2503"/>
    <w:rsid w:val="4BFC2B26"/>
    <w:rsid w:val="4C245A30"/>
    <w:rsid w:val="4C746529"/>
    <w:rsid w:val="4C9E7102"/>
    <w:rsid w:val="4CB6685F"/>
    <w:rsid w:val="4CC367FE"/>
    <w:rsid w:val="4CE46B2E"/>
    <w:rsid w:val="4CF24C77"/>
    <w:rsid w:val="4D077F3C"/>
    <w:rsid w:val="4D123355"/>
    <w:rsid w:val="4D2A3B31"/>
    <w:rsid w:val="4D312C52"/>
    <w:rsid w:val="4D905305"/>
    <w:rsid w:val="4D964A72"/>
    <w:rsid w:val="4D9C1254"/>
    <w:rsid w:val="4DAC19D5"/>
    <w:rsid w:val="4E7626EB"/>
    <w:rsid w:val="4E793892"/>
    <w:rsid w:val="4E800872"/>
    <w:rsid w:val="4EB42276"/>
    <w:rsid w:val="4EC36EBC"/>
    <w:rsid w:val="4EC569ED"/>
    <w:rsid w:val="4ED50EA1"/>
    <w:rsid w:val="4EEC050C"/>
    <w:rsid w:val="4EEF5AAA"/>
    <w:rsid w:val="4EF22651"/>
    <w:rsid w:val="4F104EC3"/>
    <w:rsid w:val="4F47354A"/>
    <w:rsid w:val="4F911C54"/>
    <w:rsid w:val="4FDC5FC3"/>
    <w:rsid w:val="4FE625E0"/>
    <w:rsid w:val="5021480F"/>
    <w:rsid w:val="50962ECB"/>
    <w:rsid w:val="50A42E38"/>
    <w:rsid w:val="50A4577F"/>
    <w:rsid w:val="50B27620"/>
    <w:rsid w:val="50B73D1F"/>
    <w:rsid w:val="50BD5BC9"/>
    <w:rsid w:val="50C11EEE"/>
    <w:rsid w:val="50E97CFC"/>
    <w:rsid w:val="50FA4028"/>
    <w:rsid w:val="510D65B7"/>
    <w:rsid w:val="511157AB"/>
    <w:rsid w:val="5142540C"/>
    <w:rsid w:val="516B4D79"/>
    <w:rsid w:val="518832C8"/>
    <w:rsid w:val="51980BB2"/>
    <w:rsid w:val="519D3C50"/>
    <w:rsid w:val="51A0432A"/>
    <w:rsid w:val="51A86090"/>
    <w:rsid w:val="51AD1490"/>
    <w:rsid w:val="51B7396D"/>
    <w:rsid w:val="521340EE"/>
    <w:rsid w:val="522E4CC3"/>
    <w:rsid w:val="5244713B"/>
    <w:rsid w:val="525C0C35"/>
    <w:rsid w:val="52615633"/>
    <w:rsid w:val="52675D5E"/>
    <w:rsid w:val="526813F4"/>
    <w:rsid w:val="526F4DE4"/>
    <w:rsid w:val="52977FD4"/>
    <w:rsid w:val="52A25790"/>
    <w:rsid w:val="52A96B6F"/>
    <w:rsid w:val="52B45975"/>
    <w:rsid w:val="52D94AA4"/>
    <w:rsid w:val="52EA3A62"/>
    <w:rsid w:val="52F50BB8"/>
    <w:rsid w:val="53097272"/>
    <w:rsid w:val="53270927"/>
    <w:rsid w:val="534B3E88"/>
    <w:rsid w:val="53544462"/>
    <w:rsid w:val="53654E1D"/>
    <w:rsid w:val="5397158E"/>
    <w:rsid w:val="53AB0A82"/>
    <w:rsid w:val="53AF25A1"/>
    <w:rsid w:val="54013861"/>
    <w:rsid w:val="543133EC"/>
    <w:rsid w:val="54422A68"/>
    <w:rsid w:val="54487265"/>
    <w:rsid w:val="544D6070"/>
    <w:rsid w:val="54605E1E"/>
    <w:rsid w:val="54A0435F"/>
    <w:rsid w:val="54B3506A"/>
    <w:rsid w:val="54BC6CBF"/>
    <w:rsid w:val="54CA0D16"/>
    <w:rsid w:val="54DD4057"/>
    <w:rsid w:val="54E7490F"/>
    <w:rsid w:val="55006801"/>
    <w:rsid w:val="550764A4"/>
    <w:rsid w:val="550B2BF6"/>
    <w:rsid w:val="55214EB5"/>
    <w:rsid w:val="55364EFD"/>
    <w:rsid w:val="555D4828"/>
    <w:rsid w:val="557A4C8B"/>
    <w:rsid w:val="558931E1"/>
    <w:rsid w:val="55923347"/>
    <w:rsid w:val="55925180"/>
    <w:rsid w:val="55983B1B"/>
    <w:rsid w:val="55A8376B"/>
    <w:rsid w:val="55AE5E12"/>
    <w:rsid w:val="55DC29B6"/>
    <w:rsid w:val="55DD4241"/>
    <w:rsid w:val="55FF50B5"/>
    <w:rsid w:val="561B683D"/>
    <w:rsid w:val="566B6D1E"/>
    <w:rsid w:val="56E73001"/>
    <w:rsid w:val="56FE278F"/>
    <w:rsid w:val="57032A2C"/>
    <w:rsid w:val="570F5219"/>
    <w:rsid w:val="573B5557"/>
    <w:rsid w:val="575D12B5"/>
    <w:rsid w:val="57610A87"/>
    <w:rsid w:val="577B1140"/>
    <w:rsid w:val="577B7F21"/>
    <w:rsid w:val="577F181B"/>
    <w:rsid w:val="57921984"/>
    <w:rsid w:val="579737F0"/>
    <w:rsid w:val="57A35583"/>
    <w:rsid w:val="57AB7B30"/>
    <w:rsid w:val="57AF5251"/>
    <w:rsid w:val="57B26373"/>
    <w:rsid w:val="57B63F04"/>
    <w:rsid w:val="57CD20C2"/>
    <w:rsid w:val="57CF6D09"/>
    <w:rsid w:val="57D675AB"/>
    <w:rsid w:val="57D73717"/>
    <w:rsid w:val="57D85BBE"/>
    <w:rsid w:val="57D95FDD"/>
    <w:rsid w:val="58006C2E"/>
    <w:rsid w:val="58460A02"/>
    <w:rsid w:val="58514199"/>
    <w:rsid w:val="58917D2F"/>
    <w:rsid w:val="5894085C"/>
    <w:rsid w:val="58AE4F0C"/>
    <w:rsid w:val="58B85899"/>
    <w:rsid w:val="58E363A9"/>
    <w:rsid w:val="59166304"/>
    <w:rsid w:val="595E1678"/>
    <w:rsid w:val="596D5BD4"/>
    <w:rsid w:val="597E3DD8"/>
    <w:rsid w:val="59CE3944"/>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AF06C4D"/>
    <w:rsid w:val="5B2E1A1D"/>
    <w:rsid w:val="5B843A1C"/>
    <w:rsid w:val="5B873E3F"/>
    <w:rsid w:val="5C02690E"/>
    <w:rsid w:val="5C196DA7"/>
    <w:rsid w:val="5C221AFD"/>
    <w:rsid w:val="5C2A048C"/>
    <w:rsid w:val="5C3B671B"/>
    <w:rsid w:val="5C80234E"/>
    <w:rsid w:val="5C8A680C"/>
    <w:rsid w:val="5CE24DE9"/>
    <w:rsid w:val="5CF26D5D"/>
    <w:rsid w:val="5D0C4701"/>
    <w:rsid w:val="5D0F0395"/>
    <w:rsid w:val="5D221076"/>
    <w:rsid w:val="5D397964"/>
    <w:rsid w:val="5D5A391C"/>
    <w:rsid w:val="5D5F10C0"/>
    <w:rsid w:val="5D891B7B"/>
    <w:rsid w:val="5D9559C7"/>
    <w:rsid w:val="5DAA3B58"/>
    <w:rsid w:val="5DAD38EE"/>
    <w:rsid w:val="5E006862"/>
    <w:rsid w:val="5E0207B9"/>
    <w:rsid w:val="5E0B017F"/>
    <w:rsid w:val="5E1834A1"/>
    <w:rsid w:val="5E261785"/>
    <w:rsid w:val="5E4A7017"/>
    <w:rsid w:val="5E552BBA"/>
    <w:rsid w:val="5E611C10"/>
    <w:rsid w:val="5E7A0F3F"/>
    <w:rsid w:val="5E8A72E5"/>
    <w:rsid w:val="5EFC7377"/>
    <w:rsid w:val="5EFE77BA"/>
    <w:rsid w:val="5F003B12"/>
    <w:rsid w:val="5F06174D"/>
    <w:rsid w:val="5F247292"/>
    <w:rsid w:val="5F3A3602"/>
    <w:rsid w:val="5F45733B"/>
    <w:rsid w:val="5F6277C6"/>
    <w:rsid w:val="5F6D0B1D"/>
    <w:rsid w:val="5F8D0B82"/>
    <w:rsid w:val="5FA42567"/>
    <w:rsid w:val="5FCC5339"/>
    <w:rsid w:val="5FE34A5B"/>
    <w:rsid w:val="5FFE1E36"/>
    <w:rsid w:val="60114DD6"/>
    <w:rsid w:val="60232584"/>
    <w:rsid w:val="607330CE"/>
    <w:rsid w:val="60825176"/>
    <w:rsid w:val="609F2AC4"/>
    <w:rsid w:val="60D80176"/>
    <w:rsid w:val="60F670B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C099E"/>
    <w:rsid w:val="629C7850"/>
    <w:rsid w:val="62DB3DBE"/>
    <w:rsid w:val="62F40B65"/>
    <w:rsid w:val="62FC2CFE"/>
    <w:rsid w:val="62FF4946"/>
    <w:rsid w:val="630040E0"/>
    <w:rsid w:val="63024505"/>
    <w:rsid w:val="635600A5"/>
    <w:rsid w:val="635B1DB5"/>
    <w:rsid w:val="635B74DB"/>
    <w:rsid w:val="63711FED"/>
    <w:rsid w:val="63880DDC"/>
    <w:rsid w:val="638D750D"/>
    <w:rsid w:val="63AC6CC0"/>
    <w:rsid w:val="63D1148A"/>
    <w:rsid w:val="63DF06CB"/>
    <w:rsid w:val="64055776"/>
    <w:rsid w:val="64240056"/>
    <w:rsid w:val="642D4F96"/>
    <w:rsid w:val="643E143A"/>
    <w:rsid w:val="64491666"/>
    <w:rsid w:val="64512617"/>
    <w:rsid w:val="64833355"/>
    <w:rsid w:val="648B6EEF"/>
    <w:rsid w:val="648E281E"/>
    <w:rsid w:val="64C158BF"/>
    <w:rsid w:val="64CE2EAA"/>
    <w:rsid w:val="653C3090"/>
    <w:rsid w:val="653F54CE"/>
    <w:rsid w:val="65854376"/>
    <w:rsid w:val="658767BE"/>
    <w:rsid w:val="65892531"/>
    <w:rsid w:val="65AC068A"/>
    <w:rsid w:val="65C616EC"/>
    <w:rsid w:val="65CA6938"/>
    <w:rsid w:val="65DA1314"/>
    <w:rsid w:val="65E13038"/>
    <w:rsid w:val="65EF0C7D"/>
    <w:rsid w:val="66195831"/>
    <w:rsid w:val="662E75B1"/>
    <w:rsid w:val="66342C2E"/>
    <w:rsid w:val="663E468C"/>
    <w:rsid w:val="663E784C"/>
    <w:rsid w:val="66636F9A"/>
    <w:rsid w:val="666544A3"/>
    <w:rsid w:val="668B6A45"/>
    <w:rsid w:val="66BC4ACB"/>
    <w:rsid w:val="66D24120"/>
    <w:rsid w:val="672F3F24"/>
    <w:rsid w:val="67311C4A"/>
    <w:rsid w:val="673E055F"/>
    <w:rsid w:val="673E6C62"/>
    <w:rsid w:val="67551CE3"/>
    <w:rsid w:val="67A22552"/>
    <w:rsid w:val="67B22DCC"/>
    <w:rsid w:val="67BE71AA"/>
    <w:rsid w:val="67C717AB"/>
    <w:rsid w:val="67D85D3D"/>
    <w:rsid w:val="67D8638F"/>
    <w:rsid w:val="67D90273"/>
    <w:rsid w:val="67DE5875"/>
    <w:rsid w:val="67E55852"/>
    <w:rsid w:val="67E76CD5"/>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3796"/>
    <w:rsid w:val="69CC2BFF"/>
    <w:rsid w:val="69FD55B8"/>
    <w:rsid w:val="6A0B1C62"/>
    <w:rsid w:val="6A2406C8"/>
    <w:rsid w:val="6A874B28"/>
    <w:rsid w:val="6AB53CDC"/>
    <w:rsid w:val="6ABE0C43"/>
    <w:rsid w:val="6AD77F57"/>
    <w:rsid w:val="6ADE0BD1"/>
    <w:rsid w:val="6AE96859"/>
    <w:rsid w:val="6B1125AB"/>
    <w:rsid w:val="6B147746"/>
    <w:rsid w:val="6B24787C"/>
    <w:rsid w:val="6B3D3BD5"/>
    <w:rsid w:val="6B573233"/>
    <w:rsid w:val="6B5B6274"/>
    <w:rsid w:val="6B935D53"/>
    <w:rsid w:val="6C196F71"/>
    <w:rsid w:val="6C226FCB"/>
    <w:rsid w:val="6C31226F"/>
    <w:rsid w:val="6C552F0B"/>
    <w:rsid w:val="6C8C67B7"/>
    <w:rsid w:val="6C96740F"/>
    <w:rsid w:val="6C9D744C"/>
    <w:rsid w:val="6C9F6852"/>
    <w:rsid w:val="6D167928"/>
    <w:rsid w:val="6D26299B"/>
    <w:rsid w:val="6D4772EC"/>
    <w:rsid w:val="6D710E78"/>
    <w:rsid w:val="6D9078AF"/>
    <w:rsid w:val="6D93790B"/>
    <w:rsid w:val="6D9466BA"/>
    <w:rsid w:val="6DAA3FEF"/>
    <w:rsid w:val="6DC0172B"/>
    <w:rsid w:val="6DC1516D"/>
    <w:rsid w:val="6DCB690C"/>
    <w:rsid w:val="6DD41A5B"/>
    <w:rsid w:val="6DF43C2E"/>
    <w:rsid w:val="6DF51CA3"/>
    <w:rsid w:val="6E1B3C31"/>
    <w:rsid w:val="6E4C3ABA"/>
    <w:rsid w:val="6E674BCC"/>
    <w:rsid w:val="6E8335BD"/>
    <w:rsid w:val="6E8E12EF"/>
    <w:rsid w:val="6E8E5D3F"/>
    <w:rsid w:val="6E972936"/>
    <w:rsid w:val="6ED446C5"/>
    <w:rsid w:val="6F2A7D94"/>
    <w:rsid w:val="6F5E79FA"/>
    <w:rsid w:val="6F8331F1"/>
    <w:rsid w:val="6FAE1A09"/>
    <w:rsid w:val="6FD75BF8"/>
    <w:rsid w:val="707723D0"/>
    <w:rsid w:val="70F5661B"/>
    <w:rsid w:val="712D52F5"/>
    <w:rsid w:val="71360107"/>
    <w:rsid w:val="713B688E"/>
    <w:rsid w:val="71D43752"/>
    <w:rsid w:val="71F1796A"/>
    <w:rsid w:val="72154626"/>
    <w:rsid w:val="72262B5D"/>
    <w:rsid w:val="72283FF7"/>
    <w:rsid w:val="722E7212"/>
    <w:rsid w:val="723A0474"/>
    <w:rsid w:val="7257024F"/>
    <w:rsid w:val="725923E4"/>
    <w:rsid w:val="72864BF7"/>
    <w:rsid w:val="729023FC"/>
    <w:rsid w:val="733026F0"/>
    <w:rsid w:val="73836ECE"/>
    <w:rsid w:val="739E2454"/>
    <w:rsid w:val="73C0646E"/>
    <w:rsid w:val="7416564C"/>
    <w:rsid w:val="742222F5"/>
    <w:rsid w:val="74476126"/>
    <w:rsid w:val="74706664"/>
    <w:rsid w:val="747F3682"/>
    <w:rsid w:val="748B71CF"/>
    <w:rsid w:val="748F3516"/>
    <w:rsid w:val="749C4185"/>
    <w:rsid w:val="74A53C41"/>
    <w:rsid w:val="74F506C7"/>
    <w:rsid w:val="75067759"/>
    <w:rsid w:val="751752C5"/>
    <w:rsid w:val="752913AF"/>
    <w:rsid w:val="752E6DCD"/>
    <w:rsid w:val="7551380D"/>
    <w:rsid w:val="75600BE5"/>
    <w:rsid w:val="7564475C"/>
    <w:rsid w:val="7583797F"/>
    <w:rsid w:val="758608CE"/>
    <w:rsid w:val="75D20F1D"/>
    <w:rsid w:val="75DA2C18"/>
    <w:rsid w:val="75F54412"/>
    <w:rsid w:val="761D08E0"/>
    <w:rsid w:val="765D347C"/>
    <w:rsid w:val="767D5E56"/>
    <w:rsid w:val="76826699"/>
    <w:rsid w:val="76C87133"/>
    <w:rsid w:val="76CD08D5"/>
    <w:rsid w:val="76DB4B92"/>
    <w:rsid w:val="76E02050"/>
    <w:rsid w:val="77052AA4"/>
    <w:rsid w:val="77136511"/>
    <w:rsid w:val="772B1C5E"/>
    <w:rsid w:val="77340A39"/>
    <w:rsid w:val="77351FD0"/>
    <w:rsid w:val="77472422"/>
    <w:rsid w:val="774E63F2"/>
    <w:rsid w:val="777F31F2"/>
    <w:rsid w:val="77B21B30"/>
    <w:rsid w:val="77D1700D"/>
    <w:rsid w:val="77EC04CC"/>
    <w:rsid w:val="784028FD"/>
    <w:rsid w:val="78775729"/>
    <w:rsid w:val="78A42DB0"/>
    <w:rsid w:val="78A656AB"/>
    <w:rsid w:val="78B2245C"/>
    <w:rsid w:val="78CF22B3"/>
    <w:rsid w:val="78E172CC"/>
    <w:rsid w:val="78E73A5B"/>
    <w:rsid w:val="78EA1D1F"/>
    <w:rsid w:val="7904172F"/>
    <w:rsid w:val="790D62C4"/>
    <w:rsid w:val="790F7E27"/>
    <w:rsid w:val="792223C4"/>
    <w:rsid w:val="79250DDA"/>
    <w:rsid w:val="792A231A"/>
    <w:rsid w:val="79316829"/>
    <w:rsid w:val="793B7903"/>
    <w:rsid w:val="797E66A9"/>
    <w:rsid w:val="798518A4"/>
    <w:rsid w:val="79A97383"/>
    <w:rsid w:val="79C86838"/>
    <w:rsid w:val="79D023DA"/>
    <w:rsid w:val="79E27E8B"/>
    <w:rsid w:val="79F850CE"/>
    <w:rsid w:val="79FD443C"/>
    <w:rsid w:val="7A001E19"/>
    <w:rsid w:val="7A1D1975"/>
    <w:rsid w:val="7A30625E"/>
    <w:rsid w:val="7A3E5150"/>
    <w:rsid w:val="7A4670D6"/>
    <w:rsid w:val="7A492D7C"/>
    <w:rsid w:val="7A534B63"/>
    <w:rsid w:val="7A613399"/>
    <w:rsid w:val="7A615382"/>
    <w:rsid w:val="7A67303B"/>
    <w:rsid w:val="7A997328"/>
    <w:rsid w:val="7AAB1D04"/>
    <w:rsid w:val="7ABA4368"/>
    <w:rsid w:val="7AD05746"/>
    <w:rsid w:val="7AD73BDD"/>
    <w:rsid w:val="7AD77196"/>
    <w:rsid w:val="7AE87541"/>
    <w:rsid w:val="7B2014A6"/>
    <w:rsid w:val="7B206E52"/>
    <w:rsid w:val="7B257FFD"/>
    <w:rsid w:val="7B343476"/>
    <w:rsid w:val="7B3F7B7E"/>
    <w:rsid w:val="7B4927AB"/>
    <w:rsid w:val="7B5A1B28"/>
    <w:rsid w:val="7B5A2978"/>
    <w:rsid w:val="7B5A7E4C"/>
    <w:rsid w:val="7B667AF9"/>
    <w:rsid w:val="7B7468F8"/>
    <w:rsid w:val="7B9F3C35"/>
    <w:rsid w:val="7BA85004"/>
    <w:rsid w:val="7BEE0103"/>
    <w:rsid w:val="7C0A0FE4"/>
    <w:rsid w:val="7C254906"/>
    <w:rsid w:val="7C590818"/>
    <w:rsid w:val="7C7C10F6"/>
    <w:rsid w:val="7C853BEA"/>
    <w:rsid w:val="7C881368"/>
    <w:rsid w:val="7CB05905"/>
    <w:rsid w:val="7CC34C7A"/>
    <w:rsid w:val="7CD47820"/>
    <w:rsid w:val="7CE27788"/>
    <w:rsid w:val="7CFF160A"/>
    <w:rsid w:val="7D0C32F1"/>
    <w:rsid w:val="7D0F408D"/>
    <w:rsid w:val="7D491C6C"/>
    <w:rsid w:val="7D5429C0"/>
    <w:rsid w:val="7D543EA6"/>
    <w:rsid w:val="7D6E6D43"/>
    <w:rsid w:val="7D937D0D"/>
    <w:rsid w:val="7DB57A34"/>
    <w:rsid w:val="7DE60973"/>
    <w:rsid w:val="7DEF0916"/>
    <w:rsid w:val="7DF509C8"/>
    <w:rsid w:val="7E1E5218"/>
    <w:rsid w:val="7E2F0D1B"/>
    <w:rsid w:val="7E9A4E1F"/>
    <w:rsid w:val="7EA7723A"/>
    <w:rsid w:val="7EF56FBB"/>
    <w:rsid w:val="7F0768EB"/>
    <w:rsid w:val="7F143BEC"/>
    <w:rsid w:val="7F3217A8"/>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264"/>
    <w:qFormat/>
    <w:uiPriority w:val="0"/>
    <w:pPr>
      <w:spacing w:line="480" w:lineRule="exact"/>
      <w:ind w:firstLine="480" w:firstLineChars="200"/>
    </w:pPr>
    <w:rPr>
      <w:rFonts w:ascii="宋体" w:hAnsi="宋体"/>
      <w:sz w:val="24"/>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2"/>
    <w:basedOn w:val="18"/>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389"/>
    <w:link w:val="387"/>
    <w:qFormat/>
    <w:uiPriority w:val="0"/>
    <w:pPr>
      <w:adjustRightInd/>
      <w:spacing w:line="360" w:lineRule="auto"/>
      <w:ind w:firstLine="480" w:firstLineChars="200"/>
    </w:pPr>
    <w:rPr>
      <w:rFonts w:ascii="宋体" w:hAnsi="宋体"/>
      <w:kern w:val="0"/>
      <w:sz w:val="24"/>
      <w:szCs w:val="20"/>
    </w:rPr>
  </w:style>
  <w:style w:type="paragraph" w:customStyle="1" w:styleId="389">
    <w:name w:val="列表段落1"/>
    <w:basedOn w:val="1"/>
    <w:qFormat/>
    <w:uiPriority w:val="34"/>
    <w:pPr>
      <w:adjustRightInd/>
      <w:ind w:right="238" w:firstLine="420"/>
    </w:pPr>
    <w:rPr>
      <w:rFonts w:ascii="Calibri" w:hAnsi="Calibri"/>
      <w:sz w:val="24"/>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964">
    <w:name w:val="Table Normal"/>
    <w:unhideWhenUsed/>
    <w:qFormat/>
    <w:uiPriority w:val="0"/>
    <w:tblPr>
      <w:tblCellMar>
        <w:top w:w="0" w:type="dxa"/>
        <w:left w:w="0" w:type="dxa"/>
        <w:bottom w:w="0" w:type="dxa"/>
        <w:right w:w="0" w:type="dxa"/>
      </w:tblCellMar>
    </w:tblPr>
  </w:style>
  <w:style w:type="paragraph" w:customStyle="1" w:styleId="965">
    <w:name w:val="Basistekst Batenburg"/>
    <w:basedOn w:val="966"/>
    <w:qFormat/>
    <w:uiPriority w:val="0"/>
  </w:style>
  <w:style w:type="paragraph" w:customStyle="1" w:styleId="966">
    <w:name w:val="Zsysbasis Batenburg"/>
    <w:next w:val="965"/>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7">
    <w:name w:val="_Style 232"/>
    <w:basedOn w:val="18"/>
    <w:next w:val="62"/>
    <w:unhideWhenUsed/>
    <w:qFormat/>
    <w:uiPriority w:val="0"/>
    <w:pPr>
      <w:spacing w:after="120" w:line="240" w:lineRule="auto"/>
      <w:ind w:left="420" w:leftChars="200" w:firstLine="420" w:firstLineChars="200"/>
    </w:pPr>
    <w:rPr>
      <w:rFonts w:ascii="Times New Roman" w:hAnsi="Times New Roman"/>
      <w:kern w:val="0"/>
      <w:sz w:val="21"/>
      <w:szCs w:val="24"/>
    </w:rPr>
  </w:style>
  <w:style w:type="paragraph" w:customStyle="1" w:styleId="968">
    <w:name w:val="正文_0"/>
    <w:basedOn w:val="969"/>
    <w:qFormat/>
    <w:uiPriority w:val="0"/>
    <w:rPr>
      <w:rFonts w:ascii="Calibri" w:hAnsi="Calibri"/>
    </w:rPr>
  </w:style>
  <w:style w:type="paragraph" w:customStyle="1" w:styleId="969">
    <w:name w:val="正文_1"/>
    <w:basedOn w:val="970"/>
    <w:qFormat/>
    <w:uiPriority w:val="0"/>
    <w:rPr>
      <w:rFonts w:ascii="Calibri" w:hAnsi="Calibri" w:cs="Calibri"/>
      <w:szCs w:val="21"/>
    </w:rPr>
  </w:style>
  <w:style w:type="paragraph" w:customStyle="1" w:styleId="970">
    <w:name w:val="正文_2"/>
    <w:basedOn w:val="971"/>
    <w:qFormat/>
    <w:uiPriority w:val="0"/>
    <w:pPr>
      <w:widowControl w:val="0"/>
      <w:jc w:val="both"/>
    </w:pPr>
    <w:rPr>
      <w:rFonts w:ascii="Calibri" w:hAnsi="Calibri"/>
      <w:kern w:val="2"/>
      <w:sz w:val="21"/>
      <w:szCs w:val="22"/>
      <w:lang w:val="en-US" w:eastAsia="zh-CN" w:bidi="ar-SA"/>
    </w:rPr>
  </w:style>
  <w:style w:type="paragraph" w:customStyle="1" w:styleId="97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_Style 10"/>
    <w:basedOn w:val="1"/>
    <w:qFormat/>
    <w:uiPriority w:val="99"/>
    <w:rPr>
      <w:rFonts w:ascii="仿宋_GB2312" w:eastAsia="仿宋_GB2312" w:cs="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49</Pages>
  <Words>23873</Words>
  <Characters>25459</Characters>
  <Lines>279</Lines>
  <Paragraphs>78</Paragraphs>
  <TotalTime>84</TotalTime>
  <ScaleCrop>false</ScaleCrop>
  <LinksUpToDate>false</LinksUpToDate>
  <CharactersWithSpaces>29385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圈</cp:lastModifiedBy>
  <cp:lastPrinted>2023-03-23T08:34:00Z</cp:lastPrinted>
  <dcterms:modified xsi:type="dcterms:W3CDTF">2025-06-20T04:09:16Z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8EB19E8128D0457DA4EE3882E84C38B4</vt:lpwstr>
  </property>
  <property fmtid="{D5CDD505-2E9C-101B-9397-08002B2CF9AE}" pid="5" name="KSOTemplateDocerSaveRecord">
    <vt:lpwstr>eyJoZGlkIjoiYWYxYzRkZTRjMDRmZGVhNDY0MTczNjJhYTljZDY3MjAiLCJ1c2VySWQiOiIyNzk4NjQ2OTAifQ==</vt:lpwstr>
  </property>
</Properties>
</file>