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6E2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p>
    <w:p w14:paraId="2BBEA938">
      <w:pPr>
        <w:pStyle w:val="2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bCs/>
          <w:color w:val="000000"/>
          <w:sz w:val="36"/>
          <w:szCs w:val="36"/>
          <w:highlight w:val="none"/>
          <w:lang w:val="en-US"/>
        </w:rPr>
      </w:pPr>
    </w:p>
    <w:p w14:paraId="25A1E531">
      <w:pPr>
        <w:pageBreakBefore w:val="0"/>
        <w:shd w:val="clear" w:color="auto" w:fill="auto"/>
        <w:kinsoku/>
        <w:wordWrap/>
        <w:overflowPunct/>
        <w:topLinePunct w:val="0"/>
        <w:bidi w:val="0"/>
        <w:adjustRightInd/>
        <w:spacing w:beforeAutospacing="0" w:line="540" w:lineRule="exact"/>
        <w:jc w:val="center"/>
        <w:textAlignment w:val="auto"/>
        <w:rPr>
          <w:rFonts w:hint="eastAsia" w:ascii="宋体" w:hAnsi="宋体" w:eastAsia="宋体" w:cs="宋体"/>
          <w:b w:val="0"/>
          <w:bCs w:val="0"/>
          <w:color w:val="000000"/>
          <w:sz w:val="52"/>
          <w:szCs w:val="52"/>
          <w:highlight w:val="none"/>
          <w:lang w:eastAsia="zh-CN"/>
        </w:rPr>
      </w:pPr>
      <w:r>
        <w:rPr>
          <w:rFonts w:hint="eastAsia" w:ascii="宋体" w:hAnsi="宋体" w:cs="宋体"/>
          <w:b w:val="0"/>
          <w:bCs w:val="0"/>
          <w:color w:val="000000"/>
          <w:sz w:val="52"/>
          <w:szCs w:val="52"/>
          <w:highlight w:val="none"/>
          <w:lang w:eastAsia="zh-CN"/>
        </w:rPr>
        <w:t>萧山经开区国控集团及下属公司2025-2026年度法律顾问及非诉专项法律服务项目</w:t>
      </w:r>
    </w:p>
    <w:p w14:paraId="01F40825">
      <w:pPr>
        <w:pageBreakBefore w:val="0"/>
        <w:shd w:val="clear" w:color="auto" w:fill="auto"/>
        <w:kinsoku/>
        <w:wordWrap/>
        <w:overflowPunct/>
        <w:topLinePunct w:val="0"/>
        <w:bidi w:val="0"/>
        <w:adjustRightInd/>
        <w:spacing w:beforeAutospacing="0" w:line="540" w:lineRule="exact"/>
        <w:jc w:val="both"/>
        <w:textAlignment w:val="auto"/>
        <w:rPr>
          <w:rFonts w:hint="eastAsia" w:ascii="宋体" w:hAnsi="宋体" w:eastAsia="宋体" w:cs="宋体"/>
          <w:b w:val="0"/>
          <w:bCs w:val="0"/>
          <w:color w:val="000000"/>
          <w:sz w:val="72"/>
          <w:szCs w:val="72"/>
          <w:highlight w:val="none"/>
        </w:rPr>
      </w:pPr>
    </w:p>
    <w:p w14:paraId="4AC16584">
      <w:pPr>
        <w:pageBreakBefore w:val="0"/>
        <w:shd w:val="clear" w:color="auto" w:fill="auto"/>
        <w:kinsoku/>
        <w:wordWrap/>
        <w:overflowPunct/>
        <w:topLinePunct w:val="0"/>
        <w:bidi w:val="0"/>
        <w:adjustRightInd/>
        <w:spacing w:beforeAutospacing="0" w:line="480" w:lineRule="auto"/>
        <w:jc w:val="center"/>
        <w:textAlignment w:val="auto"/>
        <w:rPr>
          <w:rFonts w:hint="eastAsia" w:ascii="宋体" w:hAnsi="宋体" w:eastAsia="宋体" w:cs="宋体"/>
          <w:b w:val="0"/>
          <w:bCs w:val="0"/>
          <w:color w:val="000000"/>
          <w:sz w:val="72"/>
          <w:szCs w:val="72"/>
          <w:highlight w:val="none"/>
        </w:rPr>
      </w:pPr>
      <w:r>
        <w:rPr>
          <w:rFonts w:hint="eastAsia" w:ascii="宋体" w:hAnsi="宋体" w:eastAsia="宋体" w:cs="宋体"/>
          <w:b w:val="0"/>
          <w:bCs w:val="0"/>
          <w:color w:val="000000"/>
          <w:sz w:val="72"/>
          <w:szCs w:val="72"/>
          <w:highlight w:val="none"/>
        </w:rPr>
        <w:t>公开竞争文件</w:t>
      </w:r>
    </w:p>
    <w:p w14:paraId="436CE30B">
      <w:pPr>
        <w:pageBreakBefore w:val="0"/>
        <w:shd w:val="clear" w:color="auto" w:fill="auto"/>
        <w:kinsoku/>
        <w:wordWrap/>
        <w:overflowPunct/>
        <w:topLinePunct w:val="0"/>
        <w:bidi w:val="0"/>
        <w:adjustRightInd/>
        <w:spacing w:beforeAutospacing="0" w:line="540" w:lineRule="exact"/>
        <w:jc w:val="center"/>
        <w:textAlignment w:val="auto"/>
        <w:rPr>
          <w:rFonts w:hint="eastAsia" w:ascii="宋体" w:hAnsi="宋体" w:eastAsia="宋体" w:cs="宋体"/>
          <w:b/>
          <w:color w:val="000000"/>
          <w:sz w:val="44"/>
          <w:szCs w:val="44"/>
          <w:highlight w:val="none"/>
        </w:rPr>
      </w:pPr>
    </w:p>
    <w:p w14:paraId="5BE58C35">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交易编号：</w:t>
      </w:r>
      <w:r>
        <w:rPr>
          <w:rFonts w:hint="eastAsia" w:ascii="宋体" w:hAnsi="宋体" w:cs="宋体"/>
          <w:b/>
          <w:bCs/>
          <w:color w:val="000000"/>
          <w:sz w:val="30"/>
          <w:szCs w:val="30"/>
          <w:highlight w:val="none"/>
          <w:lang w:val="en-US" w:eastAsia="zh-CN"/>
        </w:rPr>
        <w:t>萧</w:t>
      </w:r>
      <w:r>
        <w:rPr>
          <w:rFonts w:hint="eastAsia" w:ascii="宋体" w:hAnsi="宋体" w:eastAsia="宋体" w:cs="宋体"/>
          <w:b/>
          <w:bCs/>
          <w:color w:val="000000"/>
          <w:sz w:val="30"/>
          <w:szCs w:val="30"/>
          <w:highlight w:val="none"/>
        </w:rPr>
        <w:t xml:space="preserve">开企采（2025）51号  </w:t>
      </w:r>
    </w:p>
    <w:p w14:paraId="0B37AE86">
      <w:pPr>
        <w:pageBreakBefore w:val="0"/>
        <w:shd w:val="clear" w:color="auto" w:fill="auto"/>
        <w:kinsoku/>
        <w:wordWrap/>
        <w:overflowPunct/>
        <w:topLinePunct w:val="0"/>
        <w:bidi w:val="0"/>
        <w:adjustRightInd/>
        <w:spacing w:beforeAutospacing="0" w:line="540" w:lineRule="exact"/>
        <w:textAlignment w:val="auto"/>
        <w:rPr>
          <w:rFonts w:hint="eastAsia" w:ascii="宋体" w:hAnsi="宋体" w:eastAsia="宋体" w:cs="宋体"/>
          <w:color w:val="000000"/>
          <w:sz w:val="28"/>
          <w:szCs w:val="20"/>
          <w:highlight w:val="none"/>
        </w:rPr>
      </w:pPr>
    </w:p>
    <w:p w14:paraId="7C7A9CD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w:t>
      </w:r>
    </w:p>
    <w:p w14:paraId="0F7E3B1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44"/>
          <w:szCs w:val="44"/>
          <w:highlight w:val="none"/>
        </w:rPr>
      </w:pPr>
    </w:p>
    <w:p w14:paraId="6AFAAD25">
      <w:pPr>
        <w:pStyle w:val="11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4AF84630">
      <w:pPr>
        <w:pStyle w:val="11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72645C8E">
      <w:pPr>
        <w:pStyle w:val="11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6104000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059E8225">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561D8EDC">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32"/>
          <w:szCs w:val="30"/>
          <w:highlight w:val="none"/>
          <w:lang w:eastAsia="zh-CN"/>
        </w:rPr>
      </w:pPr>
      <w:r>
        <w:rPr>
          <w:rFonts w:hint="eastAsia" w:ascii="宋体" w:hAnsi="宋体" w:eastAsia="宋体" w:cs="宋体"/>
          <w:b/>
          <w:color w:val="000000"/>
          <w:spacing w:val="-11"/>
          <w:sz w:val="32"/>
          <w:szCs w:val="30"/>
          <w:highlight w:val="none"/>
        </w:rPr>
        <w:t>交易发起人：</w:t>
      </w:r>
      <w:r>
        <w:rPr>
          <w:rFonts w:hint="eastAsia" w:ascii="宋体" w:hAnsi="宋体" w:eastAsia="宋体" w:cs="宋体"/>
          <w:b/>
          <w:color w:val="000000"/>
          <w:sz w:val="32"/>
          <w:szCs w:val="30"/>
          <w:highlight w:val="none"/>
          <w:lang w:eastAsia="zh-CN"/>
        </w:rPr>
        <w:t>杭州萧山经济技术开发区国有资本控股集团有限公司</w:t>
      </w:r>
    </w:p>
    <w:p w14:paraId="5E183532">
      <w:pPr>
        <w:pageBreakBefore w:val="0"/>
        <w:shd w:val="clear" w:color="auto" w:fill="auto"/>
        <w:kinsoku/>
        <w:wordWrap/>
        <w:overflowPunct/>
        <w:topLinePunct w:val="0"/>
        <w:bidi w:val="0"/>
        <w:spacing w:beforeAutospacing="0" w:line="540" w:lineRule="exact"/>
        <w:ind w:firstLine="964" w:firstLineChars="300"/>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0"/>
          <w:highlight w:val="none"/>
        </w:rPr>
        <w:t>代理机构：浙江华域高宇项目管理有限公司</w:t>
      </w:r>
    </w:p>
    <w:p w14:paraId="2AA0B497">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二〇二</w:t>
      </w:r>
      <w:r>
        <w:rPr>
          <w:rFonts w:hint="eastAsia" w:ascii="宋体" w:hAnsi="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年</w:t>
      </w:r>
      <w:r>
        <w:rPr>
          <w:rFonts w:hint="eastAsia" w:ascii="宋体" w:hAnsi="宋体" w:cs="宋体"/>
          <w:b/>
          <w:color w:val="000000"/>
          <w:sz w:val="32"/>
          <w:szCs w:val="32"/>
          <w:highlight w:val="none"/>
          <w:lang w:val="en-US" w:eastAsia="zh-CN"/>
        </w:rPr>
        <w:t>六</w:t>
      </w:r>
      <w:r>
        <w:rPr>
          <w:rFonts w:hint="eastAsia" w:ascii="宋体" w:hAnsi="宋体" w:eastAsia="宋体" w:cs="宋体"/>
          <w:b/>
          <w:color w:val="000000"/>
          <w:sz w:val="32"/>
          <w:szCs w:val="32"/>
          <w:highlight w:val="none"/>
        </w:rPr>
        <w:t>月</w:t>
      </w:r>
      <w:r>
        <w:rPr>
          <w:rFonts w:hint="eastAsia" w:ascii="宋体" w:hAnsi="宋体" w:cs="宋体"/>
          <w:b/>
          <w:color w:val="000000"/>
          <w:sz w:val="32"/>
          <w:szCs w:val="32"/>
          <w:highlight w:val="none"/>
          <w:lang w:val="en-US" w:eastAsia="zh-CN"/>
        </w:rPr>
        <w:t>二十五</w:t>
      </w:r>
      <w:r>
        <w:rPr>
          <w:rFonts w:hint="eastAsia" w:ascii="宋体" w:hAnsi="宋体" w:eastAsia="宋体" w:cs="宋体"/>
          <w:b/>
          <w:color w:val="000000"/>
          <w:sz w:val="32"/>
          <w:szCs w:val="32"/>
          <w:highlight w:val="none"/>
        </w:rPr>
        <w:t>日</w:t>
      </w:r>
    </w:p>
    <w:p w14:paraId="42158EF7">
      <w:pPr>
        <w:pStyle w:val="2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lang w:val="en-US"/>
        </w:rPr>
      </w:pPr>
    </w:p>
    <w:p w14:paraId="2E8ED865">
      <w:pPr>
        <w:pStyle w:val="6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lang w:val="en-US"/>
        </w:rPr>
      </w:pPr>
    </w:p>
    <w:p w14:paraId="1E24B804">
      <w:pPr>
        <w:pStyle w:val="6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lang w:val="en-US"/>
        </w:rPr>
      </w:pPr>
    </w:p>
    <w:p w14:paraId="237E6BF9">
      <w:pPr>
        <w:pStyle w:val="5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55AA0FF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目  录</w:t>
      </w:r>
    </w:p>
    <w:p w14:paraId="31B6726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32"/>
          <w:szCs w:val="32"/>
          <w:highlight w:val="none"/>
        </w:rPr>
      </w:pPr>
    </w:p>
    <w:p w14:paraId="46D256A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32"/>
          <w:szCs w:val="32"/>
          <w:highlight w:val="none"/>
        </w:rPr>
      </w:pPr>
    </w:p>
    <w:p w14:paraId="135A7E89">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第一部分      交易公告</w:t>
      </w:r>
    </w:p>
    <w:p w14:paraId="47DE8344">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第二部分      响应人须知</w:t>
      </w:r>
    </w:p>
    <w:p w14:paraId="6FC2EE7E">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第三部分      交易需求</w:t>
      </w:r>
    </w:p>
    <w:p w14:paraId="67746DD7">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第四部分      交易办法</w:t>
      </w:r>
    </w:p>
    <w:p w14:paraId="2D07C620">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14:paraId="7FD8E9C7">
      <w:pPr>
        <w:pageBreakBefore w:val="0"/>
        <w:shd w:val="clear" w:color="auto" w:fill="auto"/>
        <w:kinsoku/>
        <w:wordWrap/>
        <w:overflowPunct/>
        <w:topLinePunct w:val="0"/>
        <w:bidi w:val="0"/>
        <w:spacing w:beforeAutospacing="0" w:line="540" w:lineRule="exact"/>
        <w:ind w:firstLine="1280" w:firstLineChars="40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14:paraId="19585444">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bookmarkStart w:id="0" w:name="_Hlt91233176"/>
      <w:bookmarkEnd w:id="0"/>
      <w:bookmarkStart w:id="1" w:name="_Toc91899869"/>
    </w:p>
    <w:p w14:paraId="52458E55">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4DE3559F">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2170B836">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3A9BC6E7">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5720BF32">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6103D150">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43EA07AF">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03D14512">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5D0AFFC1">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26603C01">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0FF383AC">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72499F49">
      <w:pPr>
        <w:pageBreakBefore w:val="0"/>
        <w:shd w:val="clear" w:color="auto" w:fill="auto"/>
        <w:kinsoku/>
        <w:wordWrap/>
        <w:overflowPunct/>
        <w:topLinePunct w:val="0"/>
        <w:bidi w:val="0"/>
        <w:spacing w:beforeAutospacing="0" w:line="540" w:lineRule="exact"/>
        <w:ind w:firstLine="549" w:firstLineChars="229"/>
        <w:textAlignment w:val="auto"/>
        <w:rPr>
          <w:rFonts w:hint="eastAsia" w:ascii="宋体" w:hAnsi="宋体" w:eastAsia="宋体" w:cs="宋体"/>
          <w:color w:val="000000"/>
          <w:sz w:val="24"/>
          <w:highlight w:val="none"/>
        </w:rPr>
      </w:pPr>
    </w:p>
    <w:p w14:paraId="242297D1">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p>
    <w:p w14:paraId="718EF875">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6"/>
          <w:szCs w:val="20"/>
          <w:highlight w:val="none"/>
        </w:rPr>
      </w:pPr>
      <w:bookmarkStart w:id="2" w:name="第一部分"/>
      <w:r>
        <w:rPr>
          <w:rFonts w:hint="eastAsia" w:ascii="宋体" w:hAnsi="宋体" w:eastAsia="宋体" w:cs="宋体"/>
          <w:b/>
          <w:color w:val="000000"/>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000000"/>
          <w:sz w:val="36"/>
          <w:szCs w:val="20"/>
          <w:highlight w:val="none"/>
        </w:rPr>
        <w:t>第一部分 交易公告</w:t>
      </w:r>
    </w:p>
    <w:p w14:paraId="432EE5F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一、基本情况</w:t>
      </w:r>
    </w:p>
    <w:p w14:paraId="41FFA233">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交易编号：</w:t>
      </w:r>
      <w:r>
        <w:rPr>
          <w:rFonts w:hint="eastAsia" w:ascii="宋体" w:hAnsi="宋体" w:cs="宋体"/>
          <w:b/>
          <w:color w:val="000000"/>
          <w:sz w:val="24"/>
          <w:highlight w:val="none"/>
          <w:lang w:val="en-US" w:eastAsia="zh-CN"/>
        </w:rPr>
        <w:t>萧</w:t>
      </w:r>
      <w:r>
        <w:rPr>
          <w:rFonts w:hint="eastAsia" w:ascii="宋体" w:hAnsi="宋体" w:eastAsia="宋体" w:cs="宋体"/>
          <w:b/>
          <w:color w:val="000000"/>
          <w:sz w:val="24"/>
          <w:highlight w:val="none"/>
        </w:rPr>
        <w:t>开企采（2025）51号</w:t>
      </w:r>
      <w:r>
        <w:rPr>
          <w:rFonts w:hint="eastAsia" w:ascii="宋体" w:hAnsi="宋体" w:eastAsia="宋体" w:cs="宋体"/>
          <w:bCs/>
          <w:color w:val="000000"/>
          <w:sz w:val="24"/>
          <w:highlight w:val="none"/>
        </w:rPr>
        <w:t xml:space="preserve">  </w:t>
      </w:r>
    </w:p>
    <w:p w14:paraId="535CAC49">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b/>
          <w:color w:val="000000"/>
          <w:sz w:val="24"/>
          <w:highlight w:val="none"/>
          <w:lang w:eastAsia="zh-CN"/>
        </w:rPr>
      </w:pPr>
      <w:r>
        <w:rPr>
          <w:rFonts w:hint="eastAsia" w:ascii="宋体" w:hAnsi="宋体" w:eastAsia="宋体" w:cs="宋体"/>
          <w:b/>
          <w:color w:val="000000"/>
          <w:sz w:val="24"/>
          <w:highlight w:val="none"/>
        </w:rPr>
        <w:t>交易名称：</w:t>
      </w:r>
      <w:r>
        <w:rPr>
          <w:rFonts w:hint="eastAsia" w:ascii="宋体" w:hAnsi="宋体" w:cs="宋体"/>
          <w:bCs/>
          <w:color w:val="000000"/>
          <w:sz w:val="24"/>
          <w:highlight w:val="none"/>
          <w:lang w:eastAsia="zh-CN"/>
        </w:rPr>
        <w:t>萧山经开区国控集团及下属公司2025-2026年度法律顾问及非诉专项法律服务项目</w:t>
      </w:r>
    </w:p>
    <w:p w14:paraId="7F8DC092">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sz w:val="24"/>
          <w:szCs w:val="28"/>
          <w:highlight w:val="none"/>
        </w:rPr>
      </w:pPr>
      <w:r>
        <w:rPr>
          <w:rFonts w:hint="eastAsia" w:ascii="宋体" w:hAnsi="宋体" w:eastAsia="宋体" w:cs="宋体"/>
          <w:b/>
          <w:sz w:val="24"/>
          <w:highlight w:val="none"/>
        </w:rPr>
        <w:t>预算金额</w:t>
      </w:r>
      <w:r>
        <w:rPr>
          <w:rFonts w:hint="eastAsia" w:ascii="宋体" w:hAnsi="宋体" w:cs="宋体"/>
          <w:b/>
          <w:sz w:val="24"/>
          <w:highlight w:val="none"/>
          <w:lang w:eastAsia="zh-CN"/>
        </w:rPr>
        <w:t>（</w:t>
      </w:r>
      <w:r>
        <w:rPr>
          <w:rFonts w:hint="eastAsia" w:ascii="宋体" w:hAnsi="宋体" w:eastAsia="宋体" w:cs="宋体"/>
          <w:b/>
          <w:sz w:val="24"/>
          <w:highlight w:val="none"/>
        </w:rPr>
        <w:t>元）：</w:t>
      </w:r>
      <w:r>
        <w:rPr>
          <w:rFonts w:hint="eastAsia" w:ascii="宋体" w:hAnsi="宋体" w:eastAsia="宋体" w:cs="宋体"/>
          <w:b/>
          <w:sz w:val="24"/>
          <w:highlight w:val="none"/>
          <w:lang w:val="en-US" w:eastAsia="zh-CN"/>
        </w:rPr>
        <w:t>标项1：</w:t>
      </w:r>
      <w:r>
        <w:rPr>
          <w:rFonts w:hint="eastAsia" w:ascii="宋体" w:hAnsi="宋体" w:cs="宋体"/>
          <w:sz w:val="24"/>
          <w:szCs w:val="28"/>
          <w:highlight w:val="none"/>
          <w:lang w:val="en-US" w:eastAsia="zh-CN"/>
        </w:rPr>
        <w:t>14</w:t>
      </w:r>
      <w:r>
        <w:rPr>
          <w:rFonts w:hint="eastAsia" w:ascii="宋体" w:hAnsi="宋体" w:eastAsia="宋体" w:cs="宋体"/>
          <w:sz w:val="24"/>
          <w:szCs w:val="28"/>
          <w:highlight w:val="none"/>
          <w:lang w:val="en-US" w:eastAsia="zh-CN"/>
        </w:rPr>
        <w:t>00000.00</w:t>
      </w:r>
      <w:r>
        <w:rPr>
          <w:rFonts w:hint="eastAsia" w:ascii="宋体" w:hAnsi="宋体" w:eastAsia="宋体" w:cs="宋体"/>
          <w:sz w:val="24"/>
          <w:szCs w:val="28"/>
          <w:highlight w:val="none"/>
        </w:rPr>
        <w:t>元</w:t>
      </w:r>
      <w:r>
        <w:rPr>
          <w:rFonts w:hint="eastAsia" w:ascii="宋体" w:hAnsi="宋体" w:eastAsia="宋体" w:cs="宋体"/>
          <w:b/>
          <w:bCs/>
          <w:sz w:val="24"/>
          <w:szCs w:val="28"/>
          <w:highlight w:val="none"/>
        </w:rPr>
        <w:t xml:space="preserve"> </w:t>
      </w:r>
      <w:r>
        <w:rPr>
          <w:rFonts w:hint="eastAsia" w:ascii="宋体" w:hAnsi="宋体" w:cs="宋体"/>
          <w:b/>
          <w:bCs/>
          <w:sz w:val="24"/>
          <w:szCs w:val="28"/>
          <w:highlight w:val="none"/>
          <w:lang w:val="en-US" w:eastAsia="zh-CN"/>
        </w:rPr>
        <w:t xml:space="preserve"> </w:t>
      </w:r>
      <w:r>
        <w:rPr>
          <w:rFonts w:hint="eastAsia" w:ascii="宋体" w:hAnsi="宋体" w:eastAsia="宋体" w:cs="宋体"/>
          <w:b/>
          <w:bCs/>
          <w:sz w:val="24"/>
          <w:szCs w:val="28"/>
          <w:highlight w:val="none"/>
          <w:lang w:val="en-US" w:eastAsia="zh-CN"/>
        </w:rPr>
        <w:t>标项2：</w:t>
      </w:r>
      <w:r>
        <w:rPr>
          <w:rFonts w:hint="eastAsia" w:ascii="宋体" w:hAnsi="宋体" w:cs="宋体"/>
          <w:sz w:val="24"/>
          <w:szCs w:val="28"/>
          <w:highlight w:val="none"/>
          <w:lang w:val="en-US" w:eastAsia="zh-CN"/>
        </w:rPr>
        <w:t>11</w:t>
      </w:r>
      <w:r>
        <w:rPr>
          <w:rFonts w:hint="eastAsia" w:ascii="宋体" w:hAnsi="宋体" w:eastAsia="宋体" w:cs="宋体"/>
          <w:sz w:val="24"/>
          <w:szCs w:val="28"/>
          <w:highlight w:val="none"/>
          <w:lang w:val="en-US" w:eastAsia="zh-CN"/>
        </w:rPr>
        <w:t>00000.00元</w:t>
      </w:r>
      <w:r>
        <w:rPr>
          <w:rFonts w:hint="eastAsia" w:ascii="宋体" w:hAnsi="宋体" w:eastAsia="宋体" w:cs="宋体"/>
          <w:sz w:val="24"/>
          <w:szCs w:val="28"/>
          <w:highlight w:val="none"/>
        </w:rPr>
        <w:t xml:space="preserve">  </w:t>
      </w:r>
      <w:r>
        <w:rPr>
          <w:rFonts w:hint="eastAsia" w:ascii="宋体" w:hAnsi="宋体" w:eastAsia="宋体" w:cs="宋体"/>
          <w:b/>
          <w:bCs/>
          <w:sz w:val="24"/>
          <w:szCs w:val="28"/>
          <w:highlight w:val="none"/>
          <w:lang w:val="en-US" w:eastAsia="zh-CN"/>
        </w:rPr>
        <w:t>标项</w:t>
      </w:r>
      <w:r>
        <w:rPr>
          <w:rFonts w:hint="eastAsia" w:ascii="宋体" w:hAnsi="宋体" w:cs="宋体"/>
          <w:b/>
          <w:bCs/>
          <w:sz w:val="24"/>
          <w:szCs w:val="28"/>
          <w:highlight w:val="none"/>
          <w:lang w:val="en-US" w:eastAsia="zh-CN"/>
        </w:rPr>
        <w:t>3</w:t>
      </w:r>
      <w:r>
        <w:rPr>
          <w:rFonts w:hint="eastAsia" w:ascii="宋体" w:hAnsi="宋体" w:eastAsia="宋体" w:cs="宋体"/>
          <w:b/>
          <w:bCs/>
          <w:sz w:val="24"/>
          <w:szCs w:val="28"/>
          <w:highlight w:val="none"/>
          <w:lang w:val="en-US" w:eastAsia="zh-CN"/>
        </w:rPr>
        <w:t>：</w:t>
      </w:r>
      <w:r>
        <w:rPr>
          <w:rFonts w:hint="eastAsia" w:ascii="宋体" w:hAnsi="宋体" w:cs="宋体"/>
          <w:sz w:val="24"/>
          <w:szCs w:val="28"/>
          <w:highlight w:val="none"/>
          <w:lang w:val="en-US" w:eastAsia="zh-CN"/>
        </w:rPr>
        <w:t>900000</w:t>
      </w:r>
      <w:r>
        <w:rPr>
          <w:rFonts w:hint="eastAsia" w:ascii="宋体" w:hAnsi="宋体" w:eastAsia="宋体" w:cs="宋体"/>
          <w:sz w:val="24"/>
          <w:szCs w:val="28"/>
          <w:highlight w:val="none"/>
          <w:lang w:val="en-US" w:eastAsia="zh-CN"/>
        </w:rPr>
        <w:t>.00元</w:t>
      </w:r>
      <w:r>
        <w:rPr>
          <w:rFonts w:hint="eastAsia" w:ascii="宋体" w:hAnsi="宋体" w:eastAsia="宋体" w:cs="宋体"/>
          <w:sz w:val="24"/>
          <w:szCs w:val="28"/>
          <w:highlight w:val="none"/>
        </w:rPr>
        <w:t xml:space="preserve"> </w:t>
      </w:r>
    </w:p>
    <w:p w14:paraId="41C23AC6">
      <w:pPr>
        <w:pageBreakBefore w:val="0"/>
        <w:shd w:val="clear" w:color="auto" w:fill="auto"/>
        <w:kinsoku/>
        <w:wordWrap/>
        <w:overflowPunct/>
        <w:topLinePunct w:val="0"/>
        <w:bidi w:val="0"/>
        <w:spacing w:beforeAutospacing="0" w:line="540" w:lineRule="exact"/>
        <w:ind w:firstLine="482" w:firstLineChars="200"/>
        <w:textAlignment w:val="auto"/>
        <w:rPr>
          <w:rFonts w:hint="default" w:ascii="宋体" w:hAnsi="宋体" w:eastAsia="宋体" w:cs="宋体"/>
          <w:sz w:val="24"/>
          <w:highlight w:val="none"/>
          <w:lang w:val="en-US"/>
        </w:rPr>
      </w:pPr>
      <w:r>
        <w:rPr>
          <w:rFonts w:hint="eastAsia" w:ascii="宋体" w:hAnsi="宋体" w:eastAsia="宋体" w:cs="宋体"/>
          <w:b/>
          <w:sz w:val="24"/>
          <w:highlight w:val="none"/>
        </w:rPr>
        <w:t>最高限价</w:t>
      </w:r>
      <w:r>
        <w:rPr>
          <w:rFonts w:hint="eastAsia" w:ascii="宋体" w:hAnsi="宋体" w:cs="宋体"/>
          <w:b/>
          <w:sz w:val="24"/>
          <w:highlight w:val="none"/>
          <w:lang w:eastAsia="zh-CN"/>
        </w:rPr>
        <w:t>（</w:t>
      </w:r>
      <w:r>
        <w:rPr>
          <w:rFonts w:hint="eastAsia" w:ascii="宋体" w:hAnsi="宋体" w:eastAsia="宋体" w:cs="宋体"/>
          <w:b/>
          <w:sz w:val="24"/>
          <w:highlight w:val="none"/>
        </w:rPr>
        <w:t>元）：</w:t>
      </w:r>
      <w:r>
        <w:rPr>
          <w:rFonts w:hint="eastAsia" w:ascii="宋体" w:hAnsi="宋体" w:eastAsia="宋体" w:cs="宋体"/>
          <w:b/>
          <w:sz w:val="24"/>
          <w:highlight w:val="none"/>
          <w:lang w:val="en-US" w:eastAsia="zh-CN"/>
        </w:rPr>
        <w:t>标项1：</w:t>
      </w:r>
      <w:r>
        <w:rPr>
          <w:rFonts w:hint="eastAsia" w:ascii="宋体" w:hAnsi="宋体" w:cs="宋体"/>
          <w:sz w:val="24"/>
          <w:szCs w:val="28"/>
          <w:highlight w:val="none"/>
          <w:lang w:val="en-US" w:eastAsia="zh-CN"/>
        </w:rPr>
        <w:t>14</w:t>
      </w:r>
      <w:r>
        <w:rPr>
          <w:rFonts w:hint="eastAsia" w:ascii="宋体" w:hAnsi="宋体" w:eastAsia="宋体" w:cs="宋体"/>
          <w:sz w:val="24"/>
          <w:szCs w:val="28"/>
          <w:highlight w:val="none"/>
          <w:lang w:val="en-US" w:eastAsia="zh-CN"/>
        </w:rPr>
        <w:t>00000.00</w:t>
      </w:r>
      <w:r>
        <w:rPr>
          <w:rFonts w:hint="eastAsia" w:ascii="宋体" w:hAnsi="宋体" w:eastAsia="宋体" w:cs="宋体"/>
          <w:sz w:val="24"/>
          <w:szCs w:val="28"/>
          <w:highlight w:val="none"/>
        </w:rPr>
        <w:t xml:space="preserve">元 </w:t>
      </w:r>
      <w:r>
        <w:rPr>
          <w:rFonts w:hint="eastAsia" w:ascii="宋体" w:hAnsi="宋体" w:eastAsia="宋体" w:cs="宋体"/>
          <w:b/>
          <w:bCs/>
          <w:sz w:val="24"/>
          <w:szCs w:val="28"/>
          <w:highlight w:val="none"/>
        </w:rPr>
        <w:t xml:space="preserve"> </w:t>
      </w:r>
      <w:r>
        <w:rPr>
          <w:rFonts w:hint="eastAsia" w:ascii="宋体" w:hAnsi="宋体" w:eastAsia="宋体" w:cs="宋体"/>
          <w:b/>
          <w:bCs/>
          <w:sz w:val="24"/>
          <w:szCs w:val="28"/>
          <w:highlight w:val="none"/>
          <w:lang w:val="en-US" w:eastAsia="zh-CN"/>
        </w:rPr>
        <w:t>标项2：</w:t>
      </w:r>
      <w:r>
        <w:rPr>
          <w:rFonts w:hint="eastAsia" w:ascii="宋体" w:hAnsi="宋体" w:cs="宋体"/>
          <w:sz w:val="24"/>
          <w:szCs w:val="28"/>
          <w:highlight w:val="none"/>
          <w:lang w:val="en-US" w:eastAsia="zh-CN"/>
        </w:rPr>
        <w:t>11</w:t>
      </w:r>
      <w:r>
        <w:rPr>
          <w:rFonts w:hint="eastAsia" w:ascii="宋体" w:hAnsi="宋体" w:eastAsia="宋体" w:cs="宋体"/>
          <w:sz w:val="24"/>
          <w:szCs w:val="28"/>
          <w:highlight w:val="none"/>
          <w:lang w:val="en-US" w:eastAsia="zh-CN"/>
        </w:rPr>
        <w:t>00000.00元</w:t>
      </w:r>
      <w:r>
        <w:rPr>
          <w:rFonts w:hint="eastAsia" w:ascii="宋体" w:hAnsi="宋体" w:eastAsia="宋体" w:cs="宋体"/>
          <w:sz w:val="24"/>
          <w:szCs w:val="28"/>
          <w:highlight w:val="none"/>
        </w:rPr>
        <w:t xml:space="preserve">  </w:t>
      </w:r>
      <w:r>
        <w:rPr>
          <w:rFonts w:hint="eastAsia" w:ascii="宋体" w:hAnsi="宋体" w:eastAsia="宋体" w:cs="宋体"/>
          <w:b/>
          <w:bCs/>
          <w:sz w:val="24"/>
          <w:szCs w:val="28"/>
          <w:highlight w:val="none"/>
          <w:lang w:val="en-US" w:eastAsia="zh-CN"/>
        </w:rPr>
        <w:t>标项</w:t>
      </w:r>
      <w:r>
        <w:rPr>
          <w:rFonts w:hint="eastAsia" w:ascii="宋体" w:hAnsi="宋体" w:cs="宋体"/>
          <w:b/>
          <w:bCs/>
          <w:sz w:val="24"/>
          <w:szCs w:val="28"/>
          <w:highlight w:val="none"/>
          <w:lang w:val="en-US" w:eastAsia="zh-CN"/>
        </w:rPr>
        <w:t>3</w:t>
      </w:r>
      <w:r>
        <w:rPr>
          <w:rFonts w:hint="eastAsia" w:ascii="宋体" w:hAnsi="宋体" w:eastAsia="宋体" w:cs="宋体"/>
          <w:b/>
          <w:bCs/>
          <w:sz w:val="24"/>
          <w:szCs w:val="28"/>
          <w:highlight w:val="none"/>
          <w:lang w:val="en-US" w:eastAsia="zh-CN"/>
        </w:rPr>
        <w:t>：</w:t>
      </w:r>
      <w:r>
        <w:rPr>
          <w:rFonts w:hint="eastAsia" w:ascii="宋体" w:hAnsi="宋体" w:cs="宋体"/>
          <w:sz w:val="24"/>
          <w:szCs w:val="28"/>
          <w:highlight w:val="none"/>
          <w:lang w:val="en-US" w:eastAsia="zh-CN"/>
        </w:rPr>
        <w:t>900000</w:t>
      </w:r>
      <w:r>
        <w:rPr>
          <w:rFonts w:hint="eastAsia" w:ascii="宋体" w:hAnsi="宋体" w:eastAsia="宋体" w:cs="宋体"/>
          <w:sz w:val="24"/>
          <w:szCs w:val="28"/>
          <w:highlight w:val="none"/>
          <w:lang w:val="en-US" w:eastAsia="zh-CN"/>
        </w:rPr>
        <w:t>.00元</w:t>
      </w:r>
    </w:p>
    <w:p w14:paraId="5540970C">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000000"/>
          <w:sz w:val="24"/>
          <w:highlight w:val="none"/>
        </w:rPr>
      </w:pPr>
      <w:r>
        <w:rPr>
          <w:rFonts w:hint="eastAsia" w:ascii="宋体" w:hAnsi="宋体" w:eastAsia="宋体" w:cs="宋体"/>
          <w:b/>
          <w:sz w:val="24"/>
          <w:highlight w:val="none"/>
        </w:rPr>
        <w:t>交易需求：</w:t>
      </w:r>
      <w:r>
        <w:rPr>
          <w:rFonts w:hint="eastAsia" w:ascii="宋体" w:hAnsi="宋体" w:cs="宋体"/>
          <w:bCs/>
          <w:sz w:val="24"/>
          <w:highlight w:val="none"/>
          <w:lang w:eastAsia="zh-CN"/>
        </w:rPr>
        <w:t>萧山经开区国控集团及下属公司2025-2026年度法律顾问及非诉专项法律服务项目</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详见交易需求</w:t>
      </w:r>
      <w:r>
        <w:rPr>
          <w:rFonts w:hint="eastAsia" w:ascii="宋体" w:hAnsi="宋体" w:eastAsia="宋体" w:cs="宋体"/>
          <w:color w:val="000000"/>
          <w:sz w:val="24"/>
          <w:highlight w:val="none"/>
          <w:lang w:eastAsia="zh-CN"/>
        </w:rPr>
        <w:t>）</w:t>
      </w:r>
    </w:p>
    <w:p w14:paraId="6E34996C">
      <w:pPr>
        <w:pStyle w:val="16"/>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highlight w:val="none"/>
        </w:rPr>
      </w:pPr>
      <w:r>
        <w:rPr>
          <w:rFonts w:hint="eastAsia" w:ascii="宋体" w:hAnsi="宋体" w:eastAsia="宋体" w:cs="宋体"/>
          <w:b/>
          <w:sz w:val="24"/>
          <w:szCs w:val="18"/>
          <w:highlight w:val="none"/>
        </w:rPr>
        <w:t>合同履约期限：</w:t>
      </w:r>
      <w:r>
        <w:rPr>
          <w:rFonts w:hint="eastAsia" w:ascii="宋体" w:hAnsi="宋体" w:eastAsia="宋体" w:cs="宋体"/>
          <w:sz w:val="24"/>
          <w:szCs w:val="28"/>
          <w:highlight w:val="none"/>
        </w:rPr>
        <w:t>详见公开竞争文件</w:t>
      </w:r>
    </w:p>
    <w:p w14:paraId="1BFCC1B0">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本项目接受联合体投标：</w:t>
      </w:r>
      <w:r>
        <w:rPr>
          <w:rFonts w:hint="eastAsia" w:ascii="宋体" w:hAnsi="宋体" w:eastAsia="宋体" w:cs="宋体"/>
          <w:bCs/>
          <w:color w:val="000000"/>
          <w:sz w:val="24"/>
          <w:highlight w:val="none"/>
        </w:rPr>
        <w:t>（  ）是；（√）否。</w:t>
      </w:r>
    </w:p>
    <w:p w14:paraId="77F60C42">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二、申请人的资格要求</w:t>
      </w:r>
    </w:p>
    <w:p w14:paraId="630ED8FB">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具有独立承担民事责任的能力；</w:t>
      </w:r>
    </w:p>
    <w:p w14:paraId="4E999995">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具有良好的商业信誉和健全的财务会计制度；</w:t>
      </w:r>
    </w:p>
    <w:p w14:paraId="2B0530F7">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具有履行合同所必需的设备和专业技术能力；</w:t>
      </w:r>
    </w:p>
    <w:p w14:paraId="0053026A">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有依法缴纳税收和社会保障资金的良好记录；</w:t>
      </w:r>
    </w:p>
    <w:p w14:paraId="690A40B1">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参加交易活动前三年内，在经营活动中没有重大违法记录；</w:t>
      </w:r>
    </w:p>
    <w:p w14:paraId="4E413E7A">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法律、行政法规规定的其他条件；</w:t>
      </w:r>
    </w:p>
    <w:p w14:paraId="35B39EA9">
      <w:pPr>
        <w:pStyle w:val="61"/>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7. </w:t>
      </w:r>
      <w:r>
        <w:rPr>
          <w:rFonts w:hint="eastAsia" w:ascii="宋体" w:hAnsi="宋体" w:eastAsia="宋体" w:cs="宋体"/>
          <w:color w:val="000000"/>
          <w:highlight w:val="none"/>
        </w:rPr>
        <w:t>本项目的特定资格要求：</w:t>
      </w:r>
      <w:r>
        <w:rPr>
          <w:rFonts w:hint="eastAsia" w:ascii="宋体" w:hAnsi="宋体" w:eastAsia="宋体" w:cs="宋体"/>
          <w:b/>
          <w:bCs/>
          <w:highlight w:val="none"/>
          <w:lang w:eastAsia="zh-CN"/>
        </w:rPr>
        <w:t>具有</w:t>
      </w:r>
      <w:r>
        <w:rPr>
          <w:rFonts w:hint="eastAsia" w:ascii="宋体" w:hAnsi="宋体" w:eastAsia="宋体" w:cs="宋体"/>
          <w:b/>
          <w:bCs/>
          <w:highlight w:val="none"/>
          <w:lang w:val="en-US" w:eastAsia="zh-CN"/>
        </w:rPr>
        <w:t>律师事务所许可证</w:t>
      </w:r>
    </w:p>
    <w:p w14:paraId="04A943C2">
      <w:pPr>
        <w:pStyle w:val="61"/>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highlight w:val="none"/>
          <w:lang w:val="en-US"/>
        </w:rPr>
      </w:pPr>
      <w:r>
        <w:rPr>
          <w:rFonts w:hint="eastAsia" w:ascii="宋体" w:hAnsi="宋体" w:eastAsia="宋体" w:cs="宋体"/>
          <w:color w:val="000000"/>
          <w:highlight w:val="none"/>
          <w:lang w:val="en-US"/>
        </w:rPr>
        <w:t>8</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本项目不接受联合体参与（潜在响应人能独立完成本项目）。</w:t>
      </w:r>
    </w:p>
    <w:p w14:paraId="7DDB5C5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auto"/>
          <w:sz w:val="24"/>
          <w:highlight w:val="none"/>
        </w:rPr>
      </w:pPr>
      <w:r>
        <w:rPr>
          <w:rFonts w:hint="eastAsia" w:ascii="宋体" w:hAnsi="宋体" w:eastAsia="宋体" w:cs="宋体"/>
          <w:b/>
          <w:color w:val="000000"/>
          <w:sz w:val="24"/>
          <w:highlight w:val="none"/>
        </w:rPr>
        <w:t>三、获取公开</w:t>
      </w:r>
      <w:r>
        <w:rPr>
          <w:rFonts w:hint="eastAsia" w:ascii="宋体" w:hAnsi="宋体" w:eastAsia="宋体" w:cs="宋体"/>
          <w:b/>
          <w:color w:val="auto"/>
          <w:sz w:val="24"/>
          <w:highlight w:val="none"/>
        </w:rPr>
        <w:t>竞争文件</w:t>
      </w:r>
    </w:p>
    <w:p w14:paraId="57C44C34">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日9:00</w:t>
      </w:r>
      <w:r>
        <w:rPr>
          <w:rFonts w:hint="eastAsia" w:ascii="宋体" w:hAnsi="宋体" w:eastAsia="宋体" w:cs="宋体"/>
          <w:color w:val="auto"/>
          <w:sz w:val="24"/>
          <w:highlight w:val="none"/>
        </w:rPr>
        <w:t>，每天上午00:00至12:00 ，下午12:00至23:59（北京时间，线上获取法定节假日均可）</w:t>
      </w:r>
    </w:p>
    <w:p w14:paraId="73B6A635">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乐采云平台（https∶//xsnbsc.lecaiyun.com） </w:t>
      </w:r>
    </w:p>
    <w:p w14:paraId="419D153F">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响应人登录乐采云平台（https∶//xsnbsc.lecaiyun.com）在线申请获取公开竞争文件（进入“项目采购”应用，在获取采购文件菜单中选择项目，申请获取公开竞争文件）。 </w:t>
      </w:r>
    </w:p>
    <w:p w14:paraId="61D405D8">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E43683D">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28594373">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日9点00分</w:t>
      </w:r>
      <w:r>
        <w:rPr>
          <w:rFonts w:hint="eastAsia" w:ascii="宋体" w:hAnsi="宋体" w:eastAsia="宋体" w:cs="宋体"/>
          <w:color w:val="auto"/>
          <w:sz w:val="24"/>
          <w:highlight w:val="none"/>
        </w:rPr>
        <w:t>（北京时间）</w:t>
      </w:r>
    </w:p>
    <w:p w14:paraId="3A47023A">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乐采云平台（https∶//xsnbsc.lecaiyun.com） </w:t>
      </w:r>
    </w:p>
    <w:p w14:paraId="3B966528">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eastAsia="宋体" w:cs="宋体"/>
          <w:color w:val="auto"/>
          <w:sz w:val="24"/>
          <w:highlight w:val="none"/>
          <w:u w:val="single"/>
        </w:rPr>
        <w:t>日9点00分</w:t>
      </w:r>
    </w:p>
    <w:p w14:paraId="613896C4">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开标地点（网址）：</w:t>
      </w:r>
      <w:r>
        <w:rPr>
          <w:rFonts w:hint="eastAsia" w:ascii="宋体" w:hAnsi="宋体" w:eastAsia="宋体" w:cs="宋体"/>
          <w:color w:val="000000"/>
          <w:sz w:val="24"/>
          <w:highlight w:val="none"/>
        </w:rPr>
        <w:t>乐采云平台（https∶//xsnbsc.lecaiyun.com）</w:t>
      </w:r>
    </w:p>
    <w:p w14:paraId="373A0822">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五、其他补充事宜</w:t>
      </w:r>
    </w:p>
    <w:p w14:paraId="0CC56C42">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5957C4EC">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其他事项：电子招投标的说明：①电子招投标：本项目以数据电文形式，依托“乐采云平台（https∶//xsnbsc.lecaiyun.com）”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14:paraId="75DBDDF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六、对本次交易提出异议、投诉，</w:t>
      </w:r>
      <w:r>
        <w:rPr>
          <w:rFonts w:hint="eastAsia" w:ascii="宋体" w:hAnsi="宋体" w:eastAsia="宋体" w:cs="宋体"/>
          <w:b/>
          <w:color w:val="000000"/>
          <w:sz w:val="24"/>
          <w:highlight w:val="none"/>
          <w:lang w:val="en-US" w:eastAsia="zh-CN"/>
        </w:rPr>
        <w:t>联系人如下：</w:t>
      </w:r>
    </w:p>
    <w:p w14:paraId="0E61DFBB">
      <w:pPr>
        <w:pageBreakBefore w:val="0"/>
        <w:widowControl/>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w:t>
      </w:r>
      <w:r>
        <w:rPr>
          <w:rFonts w:hint="eastAsia" w:ascii="宋体" w:hAnsi="宋体" w:eastAsia="宋体" w:cs="宋体"/>
          <w:color w:val="000000"/>
          <w:sz w:val="24"/>
          <w:szCs w:val="28"/>
          <w:highlight w:val="none"/>
          <w:lang w:val="en-US" w:eastAsia="zh-CN"/>
        </w:rPr>
        <w:t xml:space="preserve">. </w:t>
      </w:r>
      <w:r>
        <w:rPr>
          <w:rFonts w:hint="eastAsia" w:ascii="宋体" w:hAnsi="宋体" w:eastAsia="宋体" w:cs="宋体"/>
          <w:color w:val="000000"/>
          <w:sz w:val="24"/>
          <w:szCs w:val="28"/>
          <w:highlight w:val="none"/>
        </w:rPr>
        <w:t>交易发起人</w:t>
      </w:r>
    </w:p>
    <w:p w14:paraId="69C2440F">
      <w:pPr>
        <w:pageBreakBefore w:val="0"/>
        <w:shd w:val="clear" w:color="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ascii="宋体" w:hAnsi="宋体" w:eastAsia="宋体" w:cs="宋体"/>
          <w:color w:val="000000"/>
          <w:sz w:val="24"/>
          <w:highlight w:val="none"/>
          <w:lang w:eastAsia="zh-CN"/>
        </w:rPr>
        <w:t>杭州萧山经济技术开发区国有资本控股集团有限公司</w:t>
      </w:r>
    </w:p>
    <w:p w14:paraId="47175325">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pacing w:val="-11"/>
          <w:sz w:val="24"/>
          <w:highlight w:val="none"/>
          <w:lang w:val="en-US" w:eastAsia="zh-CN"/>
        </w:rPr>
      </w:pPr>
      <w:r>
        <w:rPr>
          <w:rFonts w:hint="eastAsia" w:ascii="宋体" w:hAnsi="宋体" w:eastAsia="宋体" w:cs="宋体"/>
          <w:color w:val="000000"/>
          <w:sz w:val="24"/>
          <w:highlight w:val="none"/>
        </w:rPr>
        <w:t>地址：</w:t>
      </w:r>
      <w:r>
        <w:rPr>
          <w:rFonts w:hint="eastAsia" w:ascii="宋体" w:hAnsi="宋体" w:eastAsia="宋体" w:cs="宋体"/>
          <w:color w:val="000000"/>
          <w:spacing w:val="-11"/>
          <w:sz w:val="24"/>
          <w:highlight w:val="none"/>
          <w:lang w:val="en-US" w:eastAsia="zh-CN"/>
        </w:rPr>
        <w:t>杭州市萧山经济技术开发区建设二路146号</w:t>
      </w:r>
    </w:p>
    <w:p w14:paraId="1AF66BEE">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highlight w:val="none"/>
        </w:rPr>
        <w:t>项目联系人（询问）：</w:t>
      </w:r>
      <w:r>
        <w:rPr>
          <w:rFonts w:hint="eastAsia" w:ascii="宋体" w:hAnsi="宋体" w:eastAsia="宋体" w:cs="宋体"/>
          <w:color w:val="000000"/>
          <w:sz w:val="24"/>
          <w:szCs w:val="28"/>
          <w:highlight w:val="none"/>
          <w:lang w:val="en-US" w:eastAsia="zh-CN"/>
        </w:rPr>
        <w:t>王女士</w:t>
      </w:r>
    </w:p>
    <w:p w14:paraId="3B2E8125">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highlight w:val="none"/>
        </w:rPr>
        <w:t>项目联系方式（询问）：</w:t>
      </w:r>
      <w:r>
        <w:rPr>
          <w:rFonts w:hint="eastAsia" w:ascii="宋体" w:hAnsi="宋体" w:eastAsia="宋体" w:cs="宋体"/>
          <w:color w:val="000000"/>
          <w:sz w:val="24"/>
          <w:highlight w:val="none"/>
          <w:lang w:val="en-US" w:eastAsia="zh-CN"/>
        </w:rPr>
        <w:t>0571-82959758</w:t>
      </w:r>
    </w:p>
    <w:p w14:paraId="6FF62063">
      <w:pPr>
        <w:pageBreakBefore w:val="0"/>
        <w:numPr>
          <w:ilvl w:val="0"/>
          <w:numId w:val="1"/>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代理机构信息</w:t>
      </w:r>
    </w:p>
    <w:p w14:paraId="2AB0D6B6">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名称：浙江华域高宇项目管理有限公司</w:t>
      </w:r>
    </w:p>
    <w:p w14:paraId="5518B37B">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地址：萧山区北干街道金城路560号心意广场2幢1101室</w:t>
      </w:r>
    </w:p>
    <w:p w14:paraId="5F190A42">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项目联系人（询问）：陈超</w:t>
      </w:r>
    </w:p>
    <w:p w14:paraId="7B802A53">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项目联系方式（询问）：13738195695</w:t>
      </w:r>
    </w:p>
    <w:p w14:paraId="1EE09FB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3B4ABC6D">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若对项目电子交易系统操作有疑问，可登录乐采云平台（https∶//xsnbsc.lecaiyun.com），点击右侧咨询小采，获取采小蜜智能服务管家帮助，或拨打政采云服务热线95763获取热线服务帮助。</w:t>
      </w:r>
    </w:p>
    <w:p w14:paraId="659A0678">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CA问题联系电话（人工）：汇信CA 400-888-4636；天谷CA 400-087-8198。</w:t>
      </w:r>
    </w:p>
    <w:p w14:paraId="217D305C">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第二部分</w:t>
      </w:r>
      <w:bookmarkEnd w:id="7"/>
      <w:r>
        <w:rPr>
          <w:rFonts w:hint="eastAsia" w:ascii="宋体" w:hAnsi="宋体" w:eastAsia="宋体" w:cs="宋体"/>
          <w:b/>
          <w:color w:val="000000"/>
          <w:sz w:val="36"/>
          <w:szCs w:val="20"/>
          <w:highlight w:val="none"/>
        </w:rPr>
        <w:t xml:space="preserve"> 响应人须知</w:t>
      </w:r>
      <w:bookmarkEnd w:id="8"/>
    </w:p>
    <w:p w14:paraId="17C9AC9C">
      <w:pPr>
        <w:pageBreakBefore w:val="0"/>
        <w:shd w:val="clear" w:color="auto" w:fill="auto"/>
        <w:kinsoku/>
        <w:wordWrap/>
        <w:overflowPunct/>
        <w:topLinePunct w:val="0"/>
        <w:bidi w:val="0"/>
        <w:adjustRightInd/>
        <w:snapToGrid/>
        <w:spacing w:beforeAutospacing="0" w:line="540" w:lineRule="exact"/>
        <w:ind w:firstLine="3845" w:firstLineChars="1197"/>
        <w:jc w:val="left"/>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56E1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7B5B7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840634">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00D07C1A">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本项目的特别规定</w:t>
            </w:r>
          </w:p>
        </w:tc>
      </w:tr>
      <w:tr w14:paraId="33A4C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50A6DB7A">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13BD1A">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2FF0D25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  ）</w:t>
            </w:r>
            <w:r>
              <w:rPr>
                <w:rFonts w:hint="eastAsia" w:ascii="宋体" w:hAnsi="宋体" w:eastAsia="宋体" w:cs="宋体"/>
                <w:color w:val="000000"/>
                <w:kern w:val="0"/>
                <w:sz w:val="24"/>
                <w:highlight w:val="none"/>
              </w:rPr>
              <w:t>A货物类</w:t>
            </w:r>
            <w:r>
              <w:rPr>
                <w:rFonts w:hint="eastAsia" w:ascii="宋体" w:hAnsi="宋体" w:eastAsia="宋体" w:cs="宋体"/>
                <w:color w:val="000000"/>
                <w:sz w:val="24"/>
                <w:highlight w:val="none"/>
              </w:rPr>
              <w:t>。</w:t>
            </w:r>
          </w:p>
          <w:p w14:paraId="528B3193">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kern w:val="0"/>
                <w:sz w:val="24"/>
                <w:highlight w:val="none"/>
              </w:rPr>
              <w:t>B服务类</w:t>
            </w:r>
            <w:r>
              <w:rPr>
                <w:rFonts w:hint="eastAsia" w:ascii="宋体" w:hAnsi="宋体" w:eastAsia="宋体" w:cs="宋体"/>
                <w:color w:val="000000"/>
                <w:sz w:val="24"/>
                <w:highlight w:val="none"/>
              </w:rPr>
              <w:t>。</w:t>
            </w:r>
          </w:p>
        </w:tc>
      </w:tr>
      <w:tr w14:paraId="7A6C4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A63ABB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p>
          <w:p w14:paraId="6F9D3F72">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p>
          <w:p w14:paraId="5FD53177">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211E078">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107C8C1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  ）</w:t>
            </w:r>
            <w:r>
              <w:rPr>
                <w:rFonts w:hint="eastAsia" w:ascii="宋体" w:hAnsi="宋体" w:eastAsia="宋体" w:cs="宋体"/>
                <w:color w:val="000000"/>
                <w:kern w:val="0"/>
                <w:sz w:val="24"/>
                <w:highlight w:val="none"/>
              </w:rPr>
              <w:t>A适用</w:t>
            </w:r>
            <w:r>
              <w:rPr>
                <w:rFonts w:hint="eastAsia" w:ascii="宋体" w:hAnsi="宋体" w:eastAsia="宋体" w:cs="宋体"/>
                <w:color w:val="000000"/>
                <w:sz w:val="24"/>
                <w:highlight w:val="none"/>
              </w:rPr>
              <w:t>。</w:t>
            </w:r>
          </w:p>
          <w:p w14:paraId="1B17B91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kern w:val="0"/>
                <w:sz w:val="24"/>
                <w:highlight w:val="none"/>
              </w:rPr>
              <w:t>B不适用</w:t>
            </w:r>
            <w:r>
              <w:rPr>
                <w:rFonts w:hint="eastAsia" w:ascii="宋体" w:hAnsi="宋体" w:eastAsia="宋体" w:cs="宋体"/>
                <w:color w:val="000000"/>
                <w:sz w:val="24"/>
                <w:highlight w:val="none"/>
              </w:rPr>
              <w:t>。</w:t>
            </w:r>
          </w:p>
        </w:tc>
      </w:tr>
      <w:tr w14:paraId="590F2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6A87563A">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F95508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7478BF9D">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sz w:val="24"/>
                <w:szCs w:val="32"/>
                <w:highlight w:val="none"/>
              </w:rPr>
              <w:t>本项目不允许采购进口产品。</w:t>
            </w:r>
          </w:p>
        </w:tc>
      </w:tr>
      <w:tr w14:paraId="7BD7C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3445923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6CAC8D8">
            <w:pPr>
              <w:pageBreakBefore w:val="0"/>
              <w:shd w:val="clear" w:color="auto" w:fill="auto"/>
              <w:kinsoku/>
              <w:wordWrap/>
              <w:overflowPunct/>
              <w:topLinePunct w:val="0"/>
              <w:bidi w:val="0"/>
              <w:snapToGrid w:val="0"/>
              <w:spacing w:beforeAutospacing="0" w:line="54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5B6A126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（√）不同意分包。</w:t>
            </w:r>
          </w:p>
        </w:tc>
      </w:tr>
      <w:tr w14:paraId="23956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12C80586">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9566504">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34180B7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（√）不组织。</w:t>
            </w:r>
          </w:p>
        </w:tc>
      </w:tr>
      <w:tr w14:paraId="6F32F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119AC33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3CE05FB">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210A0FA5">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（√）不要求提供。</w:t>
            </w:r>
          </w:p>
        </w:tc>
      </w:tr>
      <w:tr w14:paraId="2089D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BFC156">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058C385">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74A2774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（√）A不组织。</w:t>
            </w:r>
          </w:p>
          <w:p w14:paraId="172E859F">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sz w:val="24"/>
                <w:highlight w:val="none"/>
              </w:rPr>
              <w:t>（  ）B组织。</w:t>
            </w:r>
          </w:p>
        </w:tc>
      </w:tr>
      <w:tr w14:paraId="6D53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noWrap w:val="0"/>
            <w:vAlign w:val="center"/>
          </w:tcPr>
          <w:p w14:paraId="14FE9A67">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1843" w:type="dxa"/>
            <w:tcBorders>
              <w:top w:val="single" w:color="000000" w:sz="8" w:space="0"/>
              <w:left w:val="single" w:color="auto" w:sz="4" w:space="0"/>
              <w:right w:val="single" w:color="000000" w:sz="8" w:space="0"/>
            </w:tcBorders>
            <w:noWrap w:val="0"/>
            <w:vAlign w:val="center"/>
          </w:tcPr>
          <w:p w14:paraId="4FC344EF">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3414EF44">
            <w:pPr>
              <w:pageBreakBefore w:val="0"/>
              <w:numPr>
                <w:ilvl w:val="0"/>
                <w:numId w:val="0"/>
              </w:numPr>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shd w:val="clear" w:color="auto" w:fill="FFFF00"/>
              </w:rPr>
            </w:pPr>
            <w:r>
              <w:rPr>
                <w:rFonts w:hint="eastAsia" w:ascii="宋体" w:hAnsi="宋体" w:eastAsia="宋体" w:cs="宋体"/>
                <w:color w:val="000000"/>
                <w:sz w:val="24"/>
                <w:highlight w:val="none"/>
              </w:rPr>
              <w:t>资格证明文件：见</w:t>
            </w:r>
            <w:r>
              <w:rPr>
                <w:rFonts w:hint="eastAsia" w:ascii="宋体" w:hAnsi="宋体" w:eastAsia="宋体" w:cs="宋体"/>
                <w:color w:val="000000"/>
                <w:sz w:val="24"/>
                <w:highlight w:val="none"/>
                <w:shd w:val="clear" w:color="auto" w:fill="auto"/>
              </w:rPr>
              <w:t>公开竞争文件第二部分10.1。</w:t>
            </w:r>
          </w:p>
          <w:p w14:paraId="149A0EAE">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snapToGrid w:val="0"/>
                <w:color w:val="000000"/>
                <w:kern w:val="0"/>
                <w:szCs w:val="21"/>
                <w:highlight w:val="none"/>
              </w:rPr>
            </w:pPr>
            <w:r>
              <w:rPr>
                <w:rFonts w:hint="eastAsia" w:ascii="宋体" w:hAnsi="宋体" w:eastAsia="宋体" w:cs="宋体"/>
                <w:color w:val="000000"/>
                <w:kern w:val="0"/>
                <w:sz w:val="24"/>
                <w:highlight w:val="none"/>
                <w:lang w:val="zh-CN"/>
              </w:rPr>
              <w:t>响应人未提供有效的资格证明文件的，视为响应人不具备公开竞争文件中规定的资格要求，交易无效。</w:t>
            </w:r>
          </w:p>
        </w:tc>
      </w:tr>
      <w:tr w14:paraId="4183B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noWrap w:val="0"/>
            <w:vAlign w:val="center"/>
          </w:tcPr>
          <w:p w14:paraId="0A20C406">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1843" w:type="dxa"/>
            <w:tcBorders>
              <w:top w:val="single" w:color="000000" w:sz="8" w:space="0"/>
              <w:left w:val="single" w:color="auto" w:sz="4" w:space="0"/>
              <w:right w:val="single" w:color="000000" w:sz="8" w:space="0"/>
            </w:tcBorders>
            <w:noWrap w:val="0"/>
            <w:vAlign w:val="center"/>
          </w:tcPr>
          <w:p w14:paraId="05CD5A27">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76D7B75D">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有关本项目实施所需的所有费用（含税费）均计入报价。</w:t>
            </w:r>
            <w:r>
              <w:rPr>
                <w:rFonts w:hint="eastAsia" w:ascii="宋体" w:hAnsi="宋体" w:eastAsia="宋体" w:cs="宋体"/>
                <w:bCs/>
                <w:color w:val="000000"/>
                <w:kern w:val="0"/>
                <w:sz w:val="24"/>
                <w:highlight w:val="none"/>
              </w:rPr>
              <w:t>交易一览表（报价表）是报价的唯一载体</w:t>
            </w:r>
            <w:r>
              <w:rPr>
                <w:rFonts w:hint="eastAsia" w:ascii="宋体" w:hAnsi="宋体" w:eastAsia="宋体" w:cs="宋体"/>
                <w:bCs/>
                <w:color w:val="000000"/>
                <w:kern w:val="0"/>
                <w:sz w:val="24"/>
                <w:highlight w:val="none"/>
                <w:lang w:val="zh-CN"/>
              </w:rPr>
              <w:t>。响应文件中价格全部采用人民币报价。公开竞争文件未列明，而响应人认为必需的费用也需列入报价。</w:t>
            </w:r>
          </w:p>
          <w:p w14:paraId="6EEBE292">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交易报价出现下列情形的，交易无效：</w:t>
            </w:r>
          </w:p>
          <w:p w14:paraId="1B9874A7">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响应文件出现不是唯一的、有选择性交易报价的；</w:t>
            </w:r>
          </w:p>
          <w:p w14:paraId="7F8FD47C">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交易报价超过公开竞争文件中规定的预算金额或者最高限价的；</w:t>
            </w:r>
          </w:p>
          <w:p w14:paraId="0672030D">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报价明显低于其他通过符合性审查响应人的报价，有可能影响</w:t>
            </w:r>
            <w:r>
              <w:rPr>
                <w:rFonts w:hint="eastAsia" w:ascii="宋体" w:hAnsi="宋体" w:cs="宋体"/>
                <w:bCs/>
                <w:color w:val="000000"/>
                <w:kern w:val="0"/>
                <w:sz w:val="24"/>
                <w:highlight w:val="none"/>
                <w:lang w:val="en-US" w:eastAsia="zh-CN"/>
              </w:rPr>
              <w:t>服务</w:t>
            </w:r>
            <w:r>
              <w:rPr>
                <w:rFonts w:hint="eastAsia" w:ascii="宋体" w:hAnsi="宋体" w:eastAsia="宋体" w:cs="宋体"/>
                <w:bCs/>
                <w:color w:val="000000"/>
                <w:kern w:val="0"/>
                <w:sz w:val="24"/>
                <w:highlight w:val="none"/>
              </w:rPr>
              <w:t>质量或者不能诚信履约的，未能按要求提供书面说明或者提交相关证明材料证明其报价合理性的；</w:t>
            </w:r>
          </w:p>
          <w:p w14:paraId="2A1A180D">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bCs/>
                <w:color w:val="000000"/>
                <w:kern w:val="0"/>
                <w:sz w:val="24"/>
                <w:highlight w:val="none"/>
              </w:rPr>
              <w:t>响应人对根据修正原则修正后的报价不确认的。</w:t>
            </w:r>
          </w:p>
        </w:tc>
      </w:tr>
      <w:tr w14:paraId="2D3BD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D63F618">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D1FE5E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756916C6">
            <w:pPr>
              <w:pStyle w:val="33"/>
              <w:pageBreakBefore w:val="0"/>
              <w:shd w:val="clear" w:color="auto" w:fill="auto"/>
              <w:kinsoku/>
              <w:wordWrap/>
              <w:overflowPunct/>
              <w:topLinePunct w:val="0"/>
              <w:bidi w:val="0"/>
              <w:spacing w:beforeAutospacing="0" w:line="540" w:lineRule="exact"/>
              <w:ind w:hanging="4"/>
              <w:textAlignment w:val="auto"/>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备份文件是否收取：不收取。</w:t>
            </w:r>
          </w:p>
          <w:p w14:paraId="671E1A1E">
            <w:pPr>
              <w:pStyle w:val="33"/>
              <w:pageBreakBefore w:val="0"/>
              <w:shd w:val="clear" w:color="auto" w:fill="auto"/>
              <w:kinsoku/>
              <w:wordWrap/>
              <w:overflowPunct/>
              <w:topLinePunct w:val="0"/>
              <w:bidi w:val="0"/>
              <w:spacing w:beforeAutospacing="0" w:line="540" w:lineRule="exact"/>
              <w:ind w:hanging="4"/>
              <w:textAlignment w:val="auto"/>
              <w:rPr>
                <w:rFonts w:hint="eastAsia" w:ascii="宋体" w:hAnsi="宋体" w:eastAsia="宋体" w:cs="宋体"/>
                <w:color w:val="000000"/>
                <w:kern w:val="28"/>
                <w:sz w:val="24"/>
                <w:szCs w:val="24"/>
                <w:highlight w:val="none"/>
              </w:rPr>
            </w:pPr>
            <w:r>
              <w:rPr>
                <w:rFonts w:hint="eastAsia" w:ascii="宋体" w:hAnsi="宋体" w:eastAsia="宋体" w:cs="宋体"/>
                <w:b/>
                <w:color w:val="000000"/>
                <w:sz w:val="24"/>
                <w:highlight w:val="none"/>
              </w:rPr>
              <w:t>成交单位在成交后提供纸质响应文</w:t>
            </w:r>
            <w:r>
              <w:rPr>
                <w:rFonts w:hint="eastAsia" w:ascii="宋体" w:hAnsi="宋体" w:eastAsia="宋体" w:cs="宋体"/>
                <w:b/>
                <w:color w:val="000000"/>
                <w:sz w:val="24"/>
                <w:highlight w:val="none"/>
                <w:shd w:val="clear" w:color="auto" w:fill="auto"/>
              </w:rPr>
              <w:t>件一正二副。</w:t>
            </w:r>
          </w:p>
        </w:tc>
      </w:tr>
      <w:tr w14:paraId="6069F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FA380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FC955C5">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7E01CA44">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lang w:val="zh-CN"/>
              </w:rPr>
              <w:t>本项目代理服务费由</w:t>
            </w:r>
            <w:r>
              <w:rPr>
                <w:rFonts w:hint="eastAsia" w:ascii="宋体" w:hAnsi="宋体" w:eastAsia="宋体" w:cs="宋体"/>
                <w:bCs/>
                <w:color w:val="000000"/>
                <w:kern w:val="0"/>
                <w:sz w:val="24"/>
                <w:highlight w:val="none"/>
              </w:rPr>
              <w:t>交易发起人</w:t>
            </w:r>
            <w:r>
              <w:rPr>
                <w:rFonts w:hint="eastAsia" w:ascii="宋体" w:hAnsi="宋体" w:eastAsia="宋体" w:cs="宋体"/>
                <w:bCs/>
                <w:color w:val="000000"/>
                <w:kern w:val="0"/>
                <w:sz w:val="24"/>
                <w:highlight w:val="none"/>
                <w:lang w:val="zh-CN"/>
              </w:rPr>
              <w:t>支付。</w:t>
            </w:r>
          </w:p>
        </w:tc>
      </w:tr>
      <w:tr w14:paraId="6C0BE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36A461F">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DB360D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44FFCCDD">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kern w:val="0"/>
                <w:sz w:val="24"/>
                <w:highlight w:val="none"/>
              </w:rPr>
            </w:pPr>
            <w:r>
              <w:rPr>
                <w:rFonts w:hint="eastAsia" w:ascii="宋体" w:hAnsi="宋体" w:eastAsia="宋体" w:cs="宋体"/>
                <w:bCs/>
                <w:kern w:val="0"/>
                <w:sz w:val="24"/>
                <w:highlight w:val="none"/>
                <w:lang w:eastAsia="zh-CN"/>
              </w:rPr>
              <w:t>不收取</w:t>
            </w:r>
          </w:p>
        </w:tc>
      </w:tr>
      <w:tr w14:paraId="7361E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0A6EB04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0AF832A">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31AA7091">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本项目由交易发起人进行资格文件及信用信息查询。</w:t>
            </w:r>
          </w:p>
        </w:tc>
      </w:tr>
      <w:tr w14:paraId="7683D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D9ABB9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8A29A97">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21264CBF">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代理机构异议接收人：</w:t>
            </w:r>
            <w:r>
              <w:rPr>
                <w:rFonts w:hint="eastAsia" w:ascii="宋体" w:hAnsi="宋体" w:eastAsia="宋体" w:cs="宋体"/>
                <w:color w:val="000000"/>
                <w:sz w:val="24"/>
                <w:highlight w:val="none"/>
                <w:u w:val="single"/>
              </w:rPr>
              <w:t>汪路易</w:t>
            </w:r>
            <w:r>
              <w:rPr>
                <w:rFonts w:hint="eastAsia" w:ascii="宋体" w:hAnsi="宋体" w:eastAsia="宋体" w:cs="宋体"/>
                <w:color w:val="000000"/>
                <w:sz w:val="24"/>
                <w:highlight w:val="none"/>
              </w:rPr>
              <w:t xml:space="preserve"> 联系方式：</w:t>
            </w:r>
            <w:r>
              <w:rPr>
                <w:rFonts w:hint="eastAsia" w:ascii="宋体" w:hAnsi="宋体" w:eastAsia="宋体" w:cs="宋体"/>
                <w:color w:val="000000"/>
                <w:sz w:val="24"/>
                <w:highlight w:val="none"/>
                <w:u w:val="single"/>
              </w:rPr>
              <w:t>18668052483</w:t>
            </w:r>
          </w:p>
          <w:p w14:paraId="116A634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萧山区北干街道金城路560号心意广场2幢1101室</w:t>
            </w:r>
          </w:p>
          <w:p w14:paraId="719C4ED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邮箱：</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"mailto:382733636@qq.com" </w:instrText>
            </w:r>
            <w:r>
              <w:rPr>
                <w:rFonts w:hint="eastAsia" w:ascii="宋体" w:hAnsi="宋体" w:eastAsia="宋体" w:cs="宋体"/>
                <w:color w:val="000000"/>
                <w:highlight w:val="none"/>
              </w:rPr>
              <w:fldChar w:fldCharType="separate"/>
            </w:r>
            <w:r>
              <w:rPr>
                <w:rFonts w:hint="eastAsia" w:ascii="宋体" w:hAnsi="宋体" w:eastAsia="宋体" w:cs="宋体"/>
                <w:color w:val="000000"/>
                <w:sz w:val="24"/>
                <w:highlight w:val="none"/>
                <w:u w:val="single"/>
              </w:rPr>
              <w:t>1240475350@qq.com</w:t>
            </w:r>
            <w:r>
              <w:rPr>
                <w:rFonts w:hint="eastAsia" w:ascii="宋体" w:hAnsi="宋体" w:eastAsia="宋体" w:cs="宋体"/>
                <w:color w:val="000000"/>
                <w:sz w:val="24"/>
                <w:highlight w:val="none"/>
                <w:u w:val="single"/>
              </w:rPr>
              <w:fldChar w:fldCharType="end"/>
            </w:r>
          </w:p>
          <w:p w14:paraId="517D579D">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7008C882">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本项目涉及资格条件、交易需求、评分办法及交易过程中有关现场考察或开标前答疑会事项由交易发起人进行答复。</w:t>
            </w:r>
          </w:p>
          <w:p w14:paraId="53DF2593">
            <w:pPr>
              <w:pStyle w:val="33"/>
              <w:pageBreakBefore w:val="0"/>
              <w:shd w:val="clear" w:color="auto" w:fill="auto"/>
              <w:kinsoku/>
              <w:wordWrap/>
              <w:overflowPunct/>
              <w:topLinePunct w:val="0"/>
              <w:bidi w:val="0"/>
              <w:spacing w:beforeAutospacing="0" w:line="540" w:lineRule="exact"/>
              <w:ind w:hanging="4"/>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涉及流程组织等相关事项，由代理机构进行答复。</w:t>
            </w:r>
          </w:p>
        </w:tc>
      </w:tr>
      <w:tr w14:paraId="29955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C4F928F">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2F39BF1">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14:paraId="0DA45876">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snapToGrid w:val="0"/>
                <w:color w:val="000000"/>
                <w:kern w:val="28"/>
                <w:sz w:val="24"/>
                <w:highlight w:val="none"/>
              </w:rPr>
            </w:pPr>
            <w:r>
              <w:rPr>
                <w:rFonts w:hint="eastAsia" w:ascii="宋体" w:hAnsi="宋体" w:eastAsia="宋体" w:cs="宋体"/>
                <w:b/>
                <w:color w:val="000000"/>
                <w:sz w:val="24"/>
                <w:highlight w:val="none"/>
              </w:rPr>
              <w:t>本项目通用总则条款与前附表等专用特别规定有冲突之处，以专用条款（特别规定）为准。</w:t>
            </w:r>
          </w:p>
        </w:tc>
      </w:tr>
    </w:tbl>
    <w:p w14:paraId="02839AD6">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32"/>
          <w:szCs w:val="20"/>
          <w:highlight w:val="none"/>
        </w:rPr>
      </w:pPr>
    </w:p>
    <w:bookmarkEnd w:id="9"/>
    <w:p w14:paraId="118D9715">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32"/>
          <w:szCs w:val="20"/>
          <w:highlight w:val="none"/>
        </w:rPr>
      </w:pPr>
      <w:bookmarkStart w:id="10" w:name="第三部分"/>
      <w:bookmarkStart w:id="11" w:name="_Toc164416483"/>
      <w:r>
        <w:rPr>
          <w:rFonts w:hint="eastAsia" w:ascii="宋体" w:hAnsi="宋体" w:eastAsia="宋体" w:cs="宋体"/>
          <w:b/>
          <w:color w:val="000000"/>
          <w:sz w:val="32"/>
          <w:szCs w:val="20"/>
          <w:highlight w:val="none"/>
        </w:rPr>
        <w:br w:type="page"/>
      </w:r>
    </w:p>
    <w:p w14:paraId="5EBBA2BF">
      <w:pPr>
        <w:pageBreakBefore w:val="0"/>
        <w:shd w:val="clear" w:color="auto" w:fill="auto"/>
        <w:kinsoku/>
        <w:wordWrap/>
        <w:overflowPunct/>
        <w:topLinePunct w:val="0"/>
        <w:bidi w:val="0"/>
        <w:adjustRightInd/>
        <w:spacing w:beforeAutospacing="0" w:line="540" w:lineRule="exact"/>
        <w:ind w:firstLine="3845" w:firstLineChars="1197"/>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一、总则</w:t>
      </w:r>
    </w:p>
    <w:p w14:paraId="064A88A6">
      <w:pPr>
        <w:pageBreakBefore w:val="0"/>
        <w:shd w:val="clear" w:color="auto" w:fill="auto"/>
        <w:kinsoku/>
        <w:wordWrap/>
        <w:overflowPunct/>
        <w:topLinePunct w:val="0"/>
        <w:bidi w:val="0"/>
        <w:snapToGrid w:val="0"/>
        <w:spacing w:beforeAutospacing="0" w:line="540" w:lineRule="exact"/>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1.适用范围</w:t>
      </w:r>
    </w:p>
    <w:p w14:paraId="04715527">
      <w:pPr>
        <w:pageBreakBefore w:val="0"/>
        <w:shd w:val="clear" w:color="auto" w:fill="auto"/>
        <w:kinsoku/>
        <w:wordWrap/>
        <w:overflowPunct/>
        <w:topLinePunct w:val="0"/>
        <w:bidi w:val="0"/>
        <w:snapToGrid w:val="0"/>
        <w:spacing w:beforeAutospacing="0" w:line="540" w:lineRule="exact"/>
        <w:ind w:firstLine="420" w:firstLineChars="17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本公开竞争文件适用于该项目的交易、响应、评审、资格审查及信用信息查询、评审、定标、合同、验收等行为（</w:t>
      </w:r>
      <w:r>
        <w:rPr>
          <w:rFonts w:hint="eastAsia" w:ascii="宋体" w:hAnsi="宋体" w:cs="宋体"/>
          <w:color w:val="000000"/>
          <w:sz w:val="24"/>
          <w:highlight w:val="none"/>
          <w:lang w:eastAsia="zh-CN"/>
        </w:rPr>
        <w:t>法律法规</w:t>
      </w:r>
      <w:r>
        <w:rPr>
          <w:rFonts w:hint="eastAsia" w:ascii="宋体" w:hAnsi="宋体" w:eastAsia="宋体" w:cs="宋体"/>
          <w:color w:val="000000"/>
          <w:sz w:val="24"/>
          <w:highlight w:val="none"/>
        </w:rPr>
        <w:t>另有规定的，从其规定）。</w:t>
      </w:r>
    </w:p>
    <w:p w14:paraId="12CFA272">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定义</w:t>
      </w:r>
    </w:p>
    <w:p w14:paraId="5D0AA199">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2.1“交易发起人”系指交易公告中载明的本项目的交易发起人。</w:t>
      </w:r>
    </w:p>
    <w:p w14:paraId="400FF7D2">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2.2“代理机构”系指交易公告中载明的本项目的代理机构。</w:t>
      </w:r>
    </w:p>
    <w:p w14:paraId="43691BB2">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2.3“响应人”系指是指响应招标、参加投标竞争的法人、其他组织或者自然人。</w:t>
      </w:r>
    </w:p>
    <w:p w14:paraId="5DA15141">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2.4“负责人”系指法人企业的法定负责人，或其他组织为法律、行政法规规定代表单位行使职权的主要负责人，或自然人本人。</w:t>
      </w:r>
    </w:p>
    <w:p w14:paraId="1E19D8E1">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5E27002E">
      <w:pPr>
        <w:pageBreakBefore w:val="0"/>
        <w:shd w:val="clear" w:color="auto" w:fill="auto"/>
        <w:kinsoku/>
        <w:wordWrap/>
        <w:overflowPunct/>
        <w:topLinePunct w:val="0"/>
        <w:bidi w:val="0"/>
        <w:spacing w:beforeAutospacing="0" w:line="540" w:lineRule="exact"/>
        <w:ind w:firstLine="420" w:firstLineChars="17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2.6“电子交易平台”是指本项目交易活动所依托的乐采云平台（https∶//xsnbsc.lecaiyun.com）。</w:t>
      </w:r>
    </w:p>
    <w:p w14:paraId="25CC2650">
      <w:pPr>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2.7“▲” 系指实质性要求条款，“（</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 系指适用本项目的要求，“（  ）”系指不适用本项目的要求。</w:t>
      </w:r>
    </w:p>
    <w:p w14:paraId="18816249">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异议、投诉</w:t>
      </w:r>
    </w:p>
    <w:p w14:paraId="483F8220">
      <w:pPr>
        <w:pageBreakBefore w:val="0"/>
        <w:shd w:val="clear" w:color="auto" w:fill="auto"/>
        <w:kinsoku/>
        <w:wordWrap/>
        <w:overflowPunct/>
        <w:topLinePunct w:val="0"/>
        <w:autoSpaceDE w:val="0"/>
        <w:autoSpaceDN w:val="0"/>
        <w:bidi w:val="0"/>
        <w:spacing w:beforeAutospacing="0" w:line="540" w:lineRule="exact"/>
        <w:ind w:firstLine="420" w:firstLineChars="175"/>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.1响应人</w:t>
      </w:r>
      <w:r>
        <w:rPr>
          <w:rFonts w:hint="eastAsia" w:ascii="宋体" w:hAnsi="宋体" w:eastAsia="宋体" w:cs="宋体"/>
          <w:color w:val="000000"/>
          <w:kern w:val="0"/>
          <w:sz w:val="24"/>
          <w:highlight w:val="none"/>
          <w:lang w:val="en-US" w:eastAsia="zh-CN"/>
        </w:rPr>
        <w:t>提出</w:t>
      </w:r>
      <w:r>
        <w:rPr>
          <w:rFonts w:hint="eastAsia" w:ascii="宋体" w:hAnsi="宋体" w:eastAsia="宋体" w:cs="宋体"/>
          <w:color w:val="000000"/>
          <w:kern w:val="0"/>
          <w:sz w:val="24"/>
          <w:highlight w:val="none"/>
          <w:lang w:val="zh-CN"/>
        </w:rPr>
        <w:t>异议</w:t>
      </w:r>
    </w:p>
    <w:p w14:paraId="665D5303">
      <w:pPr>
        <w:pageBreakBefore w:val="0"/>
        <w:shd w:val="clear" w:color="auto" w:fill="auto"/>
        <w:kinsoku/>
        <w:wordWrap/>
        <w:overflowPunct/>
        <w:topLinePunct w:val="0"/>
        <w:autoSpaceDE w:val="0"/>
        <w:autoSpaceDN w:val="0"/>
        <w:bidi w:val="0"/>
        <w:spacing w:beforeAutospacing="0" w:line="540" w:lineRule="exact"/>
        <w:ind w:firstLine="420" w:firstLineChars="175"/>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响应人对</w:t>
      </w:r>
      <w:r>
        <w:rPr>
          <w:rFonts w:hint="eastAsia" w:ascii="宋体" w:hAnsi="宋体" w:eastAsia="宋体" w:cs="宋体"/>
          <w:color w:val="000000"/>
          <w:kern w:val="0"/>
          <w:sz w:val="24"/>
          <w:highlight w:val="none"/>
        </w:rPr>
        <w:t>交易</w:t>
      </w:r>
      <w:r>
        <w:rPr>
          <w:rFonts w:hint="eastAsia" w:ascii="宋体" w:hAnsi="宋体" w:eastAsia="宋体" w:cs="宋体"/>
          <w:color w:val="000000"/>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47A71E6">
      <w:pPr>
        <w:pageBreakBefore w:val="0"/>
        <w:shd w:val="clear" w:color="auto" w:fill="auto"/>
        <w:kinsoku/>
        <w:wordWrap/>
        <w:overflowPunct/>
        <w:topLinePunct w:val="0"/>
        <w:autoSpaceDE w:val="0"/>
        <w:autoSpaceDN w:val="0"/>
        <w:bidi w:val="0"/>
        <w:spacing w:beforeAutospacing="0" w:line="540" w:lineRule="exact"/>
        <w:ind w:firstLine="420" w:firstLineChars="175"/>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响应人异议</w:t>
      </w:r>
    </w:p>
    <w:p w14:paraId="66C38FCE">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w:t>
      </w:r>
      <w:r>
        <w:rPr>
          <w:rFonts w:hint="eastAsia" w:ascii="宋体" w:hAnsi="宋体" w:eastAsia="宋体" w:cs="宋体"/>
          <w:color w:val="000000"/>
          <w:sz w:val="24"/>
          <w:highlight w:val="none"/>
        </w:rPr>
        <w:t>.1提出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的响应人应当是参与所</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项目交易活动的响应人。潜在响应人已依法获取其可</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的公开竞争文件的，可以对该文件提出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w:t>
      </w:r>
    </w:p>
    <w:p w14:paraId="1F5D83FA">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w:t>
      </w:r>
      <w:r>
        <w:rPr>
          <w:rFonts w:hint="eastAsia" w:ascii="宋体" w:hAnsi="宋体" w:eastAsia="宋体" w:cs="宋体"/>
          <w:color w:val="000000"/>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，否则，交易发起人或者代理机构不予受理：</w:t>
      </w:r>
    </w:p>
    <w:p w14:paraId="56A2BFF5">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3.2.2.1对交易过程提出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期限</w:t>
      </w:r>
      <w:r>
        <w:rPr>
          <w:rFonts w:hint="eastAsia" w:ascii="宋体" w:hAnsi="宋体" w:eastAsia="宋体" w:cs="宋体"/>
          <w:color w:val="000000"/>
          <w:sz w:val="24"/>
          <w:highlight w:val="none"/>
          <w:lang w:val="en-US" w:eastAsia="zh-CN"/>
        </w:rPr>
        <w:t>自</w:t>
      </w:r>
      <w:r>
        <w:rPr>
          <w:rFonts w:hint="eastAsia" w:ascii="宋体" w:hAnsi="宋体" w:eastAsia="宋体" w:cs="宋体"/>
          <w:color w:val="000000"/>
          <w:sz w:val="24"/>
          <w:highlight w:val="none"/>
        </w:rPr>
        <w:t>各交易环节程序结束之日起计算。对同一交易程序环节的</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，响应人须一次性提出。</w:t>
      </w:r>
    </w:p>
    <w:p w14:paraId="64AAC043">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w:t>
      </w:r>
      <w:r>
        <w:rPr>
          <w:rFonts w:hint="eastAsia" w:ascii="宋体" w:hAnsi="宋体" w:eastAsia="宋体" w:cs="宋体"/>
          <w:color w:val="000000"/>
          <w:sz w:val="24"/>
          <w:highlight w:val="none"/>
        </w:rPr>
        <w:t>响应人提出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应当提交</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函和必要的证明材料。</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函应当包括下列内容</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异议函范本及制作说明详见附件1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w:t>
      </w:r>
    </w:p>
    <w:p w14:paraId="2BF83ED1">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①</w:t>
      </w:r>
      <w:r>
        <w:rPr>
          <w:rFonts w:hint="eastAsia" w:ascii="宋体" w:hAnsi="宋体" w:eastAsia="宋体" w:cs="宋体"/>
          <w:color w:val="000000"/>
          <w:kern w:val="0"/>
          <w:sz w:val="24"/>
          <w:highlight w:val="none"/>
          <w:lang w:val="zh-CN"/>
        </w:rPr>
        <w:t>响应人的姓名或者名称、地址、邮编、联系人及联系电话；</w:t>
      </w:r>
    </w:p>
    <w:p w14:paraId="56F5DC48">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②</w:t>
      </w:r>
      <w:r>
        <w:rPr>
          <w:rFonts w:hint="eastAsia" w:ascii="宋体" w:hAnsi="宋体" w:eastAsia="宋体" w:cs="宋体"/>
          <w:color w:val="000000"/>
          <w:kern w:val="0"/>
          <w:sz w:val="24"/>
          <w:highlight w:val="none"/>
          <w:lang w:val="zh-CN"/>
        </w:rPr>
        <w:t>异议项目的名称、编号；</w:t>
      </w:r>
    </w:p>
    <w:p w14:paraId="27263EBC">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③</w:t>
      </w:r>
      <w:r>
        <w:rPr>
          <w:rFonts w:hint="eastAsia" w:ascii="宋体" w:hAnsi="宋体" w:eastAsia="宋体" w:cs="宋体"/>
          <w:color w:val="000000"/>
          <w:kern w:val="0"/>
          <w:sz w:val="24"/>
          <w:highlight w:val="none"/>
          <w:lang w:val="zh-CN"/>
        </w:rPr>
        <w:t>具体、明确的异议事项和与异议事项相关的请求；</w:t>
      </w:r>
    </w:p>
    <w:p w14:paraId="5EBD0E67">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④</w:t>
      </w:r>
      <w:r>
        <w:rPr>
          <w:rFonts w:hint="eastAsia" w:ascii="宋体" w:hAnsi="宋体" w:eastAsia="宋体" w:cs="宋体"/>
          <w:color w:val="000000"/>
          <w:kern w:val="0"/>
          <w:sz w:val="24"/>
          <w:highlight w:val="none"/>
          <w:lang w:val="zh-CN"/>
        </w:rPr>
        <w:t>事实依据；</w:t>
      </w:r>
    </w:p>
    <w:p w14:paraId="343E2D99">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⑤</w:t>
      </w:r>
      <w:r>
        <w:rPr>
          <w:rFonts w:hint="eastAsia" w:ascii="宋体" w:hAnsi="宋体" w:eastAsia="宋体" w:cs="宋体"/>
          <w:color w:val="000000"/>
          <w:kern w:val="0"/>
          <w:sz w:val="24"/>
          <w:highlight w:val="none"/>
          <w:lang w:val="zh-CN"/>
        </w:rPr>
        <w:t>必要的法律依据；</w:t>
      </w:r>
    </w:p>
    <w:p w14:paraId="681979E7">
      <w:pPr>
        <w:pStyle w:val="33"/>
        <w:pageBreakBefore w:val="0"/>
        <w:shd w:val="clear" w:color="auto" w:fill="auto"/>
        <w:kinsoku/>
        <w:wordWrap/>
        <w:overflowPunct/>
        <w:topLinePunct w:val="0"/>
        <w:bidi w:val="0"/>
        <w:spacing w:beforeAutospacing="0" w:line="540" w:lineRule="exact"/>
        <w:ind w:firstLine="420" w:firstLineChars="175"/>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⑥</w:t>
      </w:r>
      <w:r>
        <w:rPr>
          <w:rFonts w:hint="eastAsia" w:ascii="宋体" w:hAnsi="宋体" w:eastAsia="宋体" w:cs="宋体"/>
          <w:color w:val="000000"/>
          <w:kern w:val="0"/>
          <w:sz w:val="24"/>
          <w:highlight w:val="none"/>
          <w:lang w:val="zh-CN"/>
        </w:rPr>
        <w:t>提出异议的日期。</w:t>
      </w:r>
    </w:p>
    <w:p w14:paraId="1D09A85D">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响应人提交的</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函需一式三份。响应人为自然人的，应当由本人签字；响应人为法人或者其他组织的，应当由法定代表人、主要负责人，或者其授权代表签字或者盖章，并加盖公章。</w:t>
      </w:r>
    </w:p>
    <w:p w14:paraId="2F8D3874">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14:paraId="38747657">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.5询问或者异议事项可能影响交易结果的，交易发起人应当暂停签订合同，已经签订合同的，应当中止履行合同。</w:t>
      </w:r>
    </w:p>
    <w:p w14:paraId="258549EF">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.3响应人投诉（</w:t>
      </w:r>
      <w:r>
        <w:rPr>
          <w:rFonts w:hint="eastAsia" w:ascii="宋体" w:hAnsi="宋体" w:eastAsia="宋体" w:cs="宋体"/>
          <w:color w:val="000000"/>
          <w:highlight w:val="none"/>
        </w:rPr>
        <w:t>投诉书范本及制作说明详见附件2</w:t>
      </w:r>
      <w:r>
        <w:rPr>
          <w:rFonts w:hint="eastAsia" w:ascii="宋体" w:hAnsi="宋体" w:eastAsia="宋体" w:cs="宋体"/>
          <w:color w:val="000000"/>
          <w:highlight w:val="none"/>
          <w:lang w:eastAsia="zh-CN"/>
        </w:rPr>
        <w:t>）</w:t>
      </w:r>
    </w:p>
    <w:p w14:paraId="5794C061">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3.3.1</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响应人对交易发起人、代理机构的答复不满意或者交易发起人、代理机构未在规定的时间内作出答复的，可以在答复期满后10日内向基层监督机构部门提出投诉。</w:t>
      </w:r>
    </w:p>
    <w:p w14:paraId="60B738A5">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响应人投诉的事项不得超出已</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事项的范围，基于</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答复内容提出的投诉事项除外。</w:t>
      </w:r>
    </w:p>
    <w:p w14:paraId="18A0C211">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3.3.3响应人投诉应当有明确的请求和必要的证明材料。</w:t>
      </w:r>
    </w:p>
    <w:p w14:paraId="4245FAF6">
      <w:pPr>
        <w:pStyle w:val="115"/>
        <w:pageBreakBefore w:val="0"/>
        <w:shd w:val="clear" w:color="auto" w:fill="auto"/>
        <w:kinsoku/>
        <w:wordWrap/>
        <w:overflowPunct/>
        <w:topLinePunct w:val="0"/>
        <w:bidi w:val="0"/>
        <w:snapToGrid w:val="0"/>
        <w:spacing w:before="0" w:beforeAutospacing="0" w:after="0" w:afterAutospacing="0" w:line="540" w:lineRule="exact"/>
        <w:ind w:firstLine="420" w:firstLineChars="175"/>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3.3.4以联合体形式参加交易活动的，其投诉应当由组成联合体的所有响应人共同提出。</w:t>
      </w:r>
    </w:p>
    <w:p w14:paraId="22C1AD63">
      <w:pPr>
        <w:pStyle w:val="117"/>
        <w:pageBreakBefore w:val="0"/>
        <w:shd w:val="clear" w:color="auto" w:fill="auto"/>
        <w:kinsoku/>
        <w:wordWrap/>
        <w:overflowPunct/>
        <w:topLinePunct w:val="0"/>
        <w:bidi w:val="0"/>
        <w:snapToGrid w:val="0"/>
        <w:spacing w:before="0" w:beforeAutospacing="0" w:line="540" w:lineRule="exact"/>
        <w:ind w:firstLine="360"/>
        <w:textAlignment w:val="auto"/>
        <w:rPr>
          <w:rFonts w:hint="eastAsia" w:ascii="宋体" w:hAnsi="宋体" w:eastAsia="宋体" w:cs="宋体"/>
          <w:color w:val="000000"/>
          <w:sz w:val="18"/>
          <w:szCs w:val="18"/>
          <w:highlight w:val="none"/>
        </w:rPr>
      </w:pPr>
    </w:p>
    <w:p w14:paraId="21CB414F">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二、公开竞争文件的构成、澄清、修改</w:t>
      </w:r>
    </w:p>
    <w:p w14:paraId="66588AC7">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公开竞争文件的构成</w:t>
      </w:r>
    </w:p>
    <w:p w14:paraId="4F456D0F">
      <w:pPr>
        <w:pStyle w:val="33"/>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4.1公开竞争文件包括下列文件及附件：</w:t>
      </w:r>
    </w:p>
    <w:p w14:paraId="300EBAA9">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4.1.1交易公告；</w:t>
      </w:r>
    </w:p>
    <w:p w14:paraId="5256EBA3">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4.1.2响应人须知；</w:t>
      </w:r>
    </w:p>
    <w:p w14:paraId="685951FA">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4.1.3交易需求；</w:t>
      </w:r>
    </w:p>
    <w:p w14:paraId="5B24ED8B">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4.1.4交易办法；</w:t>
      </w:r>
    </w:p>
    <w:p w14:paraId="47F9498D">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4.1.5拟签订的合同文本；</w:t>
      </w:r>
    </w:p>
    <w:p w14:paraId="1F012D42">
      <w:pPr>
        <w:pStyle w:val="33"/>
        <w:pageBreakBefore w:val="0"/>
        <w:shd w:val="clear" w:color="auto" w:fill="auto"/>
        <w:tabs>
          <w:tab w:val="left" w:pos="840"/>
        </w:tabs>
        <w:kinsoku/>
        <w:wordWrap/>
        <w:overflowPunct/>
        <w:topLinePunct w:val="0"/>
        <w:bidi w:val="0"/>
        <w:spacing w:beforeAutospacing="0" w:line="540" w:lineRule="exact"/>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4.1.6</w:t>
      </w:r>
      <w:r>
        <w:rPr>
          <w:rFonts w:hint="eastAsia" w:ascii="宋体" w:hAnsi="宋体" w:eastAsia="宋体" w:cs="宋体"/>
          <w:color w:val="000000"/>
          <w:sz w:val="24"/>
          <w:szCs w:val="24"/>
          <w:highlight w:val="none"/>
        </w:rPr>
        <w:t>应提交的有关格式范例。</w:t>
      </w:r>
    </w:p>
    <w:p w14:paraId="63778BF1">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4.2与本项目有关的</w:t>
      </w:r>
      <w:r>
        <w:rPr>
          <w:rFonts w:hint="eastAsia" w:ascii="宋体" w:hAnsi="宋体" w:eastAsia="宋体" w:cs="宋体"/>
          <w:bCs/>
          <w:color w:val="000000"/>
          <w:sz w:val="24"/>
          <w:highlight w:val="none"/>
        </w:rPr>
        <w:t>澄清或者修改的内容为公开竞争文件的组成部分</w:t>
      </w:r>
      <w:r>
        <w:rPr>
          <w:rFonts w:hint="eastAsia" w:ascii="宋体" w:hAnsi="宋体" w:eastAsia="宋体" w:cs="宋体"/>
          <w:color w:val="000000"/>
          <w:sz w:val="24"/>
          <w:highlight w:val="none"/>
        </w:rPr>
        <w:t>。</w:t>
      </w:r>
    </w:p>
    <w:p w14:paraId="1F394B4E">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公开竞争文件的澄清、修改</w:t>
      </w:r>
    </w:p>
    <w:p w14:paraId="3E5FB409">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5.1已获取公开竞争文件的潜在响应人，若有问题需要澄清，应于响应截止时间前，以书面形式向代理机构提出。</w:t>
      </w:r>
    </w:p>
    <w:p w14:paraId="776EBD5F">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3F5A4EC4">
      <w:pPr>
        <w:pageBreakBefore w:val="0"/>
        <w:shd w:val="clear" w:color="auto" w:fill="auto"/>
        <w:kinsoku/>
        <w:wordWrap/>
        <w:overflowPunct/>
        <w:topLinePunct w:val="0"/>
        <w:bidi w:val="0"/>
        <w:adjustRightInd/>
        <w:spacing w:beforeAutospacing="0" w:line="540" w:lineRule="exact"/>
        <w:jc w:val="left"/>
        <w:textAlignment w:val="auto"/>
        <w:outlineLvl w:val="9"/>
        <w:rPr>
          <w:rFonts w:hint="eastAsia" w:ascii="宋体" w:hAnsi="宋体" w:eastAsia="宋体" w:cs="宋体"/>
          <w:b w:val="0"/>
          <w:color w:val="000000"/>
          <w:sz w:val="21"/>
          <w:szCs w:val="24"/>
          <w:highlight w:val="none"/>
        </w:rPr>
      </w:pPr>
    </w:p>
    <w:p w14:paraId="5B00E6C3">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0"/>
          <w:szCs w:val="20"/>
          <w:highlight w:val="none"/>
        </w:rPr>
      </w:pPr>
      <w:r>
        <w:rPr>
          <w:rFonts w:hint="eastAsia" w:ascii="宋体" w:hAnsi="宋体" w:eastAsia="宋体" w:cs="宋体"/>
          <w:b/>
          <w:color w:val="000000"/>
          <w:sz w:val="30"/>
          <w:szCs w:val="20"/>
          <w:highlight w:val="none"/>
        </w:rPr>
        <w:t>三、响应</w:t>
      </w:r>
    </w:p>
    <w:p w14:paraId="7870BEBD">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公开竞争文件的获取</w:t>
      </w:r>
    </w:p>
    <w:p w14:paraId="6869C206">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snapToGrid w:val="0"/>
          <w:color w:val="000000"/>
          <w:kern w:val="28"/>
          <w:sz w:val="24"/>
          <w:highlight w:val="none"/>
        </w:rPr>
      </w:pPr>
      <w:r>
        <w:rPr>
          <w:rFonts w:hint="eastAsia" w:ascii="宋体" w:hAnsi="宋体" w:eastAsia="宋体" w:cs="宋体"/>
          <w:snapToGrid w:val="0"/>
          <w:color w:val="000000"/>
          <w:kern w:val="28"/>
          <w:sz w:val="24"/>
          <w:highlight w:val="none"/>
        </w:rPr>
        <w:t>详见交易公告中获取公开竞争文件的时间期限、地点、方式及公开竞争文件售价。</w:t>
      </w:r>
    </w:p>
    <w:p w14:paraId="75346968">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交易前答疑会或现场考察</w:t>
      </w:r>
    </w:p>
    <w:p w14:paraId="1B982717">
      <w:pPr>
        <w:pStyle w:val="33"/>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交易发起人组织潜在响应人现场考察或者召开交易前答疑会的，潜在响应人</w:t>
      </w:r>
      <w:r>
        <w:rPr>
          <w:rFonts w:hint="eastAsia" w:ascii="宋体" w:hAnsi="宋体" w:eastAsia="宋体" w:cs="宋体"/>
          <w:color w:val="000000"/>
          <w:sz w:val="24"/>
          <w:szCs w:val="24"/>
          <w:highlight w:val="none"/>
          <w:shd w:val="clear" w:color="auto" w:fill="auto"/>
        </w:rPr>
        <w:t>按第二部分响应人须知前附表的规定</w:t>
      </w:r>
      <w:r>
        <w:rPr>
          <w:rFonts w:hint="eastAsia" w:ascii="宋体" w:hAnsi="宋体" w:eastAsia="宋体" w:cs="宋体"/>
          <w:color w:val="000000"/>
          <w:sz w:val="24"/>
          <w:szCs w:val="24"/>
          <w:highlight w:val="none"/>
        </w:rPr>
        <w:t>参加现场考察或者开标前答疑会。</w:t>
      </w:r>
    </w:p>
    <w:p w14:paraId="5F0C337E">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kern w:val="2"/>
          <w:sz w:val="24"/>
          <w:szCs w:val="24"/>
          <w:highlight w:val="none"/>
        </w:rPr>
        <w:t>交易保证金</w:t>
      </w:r>
    </w:p>
    <w:p w14:paraId="25BEDFF2">
      <w:pPr>
        <w:pStyle w:val="16"/>
        <w:pageBreakBefore w:val="0"/>
        <w:shd w:val="clear" w:color="auto" w:fill="auto"/>
        <w:kinsoku/>
        <w:wordWrap/>
        <w:overflowPunct/>
        <w:topLinePunct w:val="0"/>
        <w:bidi w:val="0"/>
        <w:spacing w:beforeAutospacing="0" w:line="540" w:lineRule="exact"/>
        <w:ind w:firstLine="470" w:firstLineChars="196"/>
        <w:textAlignment w:val="auto"/>
        <w:rPr>
          <w:rFonts w:hint="eastAsia" w:ascii="宋体" w:hAnsi="宋体" w:eastAsia="宋体" w:cs="宋体"/>
          <w:sz w:val="24"/>
          <w:highlight w:val="none"/>
        </w:rPr>
      </w:pPr>
      <w:r>
        <w:rPr>
          <w:rFonts w:hint="eastAsia" w:ascii="宋体" w:hAnsi="宋体" w:eastAsia="宋体" w:cs="宋体"/>
          <w:sz w:val="24"/>
          <w:highlight w:val="none"/>
        </w:rPr>
        <w:t>本项目不需缴纳交易保证金。</w:t>
      </w:r>
    </w:p>
    <w:p w14:paraId="633502E7">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响应文件的语言</w:t>
      </w:r>
    </w:p>
    <w:p w14:paraId="10521A39">
      <w:pPr>
        <w:pageBreakBefore w:val="0"/>
        <w:shd w:val="clear" w:color="auto" w:fill="auto"/>
        <w:kinsoku/>
        <w:wordWrap/>
        <w:overflowPunct/>
        <w:topLinePunct w:val="0"/>
        <w:autoSpaceDE w:val="0"/>
        <w:autoSpaceDN w:val="0"/>
        <w:bidi w:val="0"/>
        <w:spacing w:beforeAutospacing="0" w:line="540" w:lineRule="exact"/>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响应文件及响应人与交易有关的来往通知、函件和文件均应使用中文。</w:t>
      </w:r>
    </w:p>
    <w:p w14:paraId="575B6FF5">
      <w:pPr>
        <w:pageBreakBefore w:val="0"/>
        <w:numPr>
          <w:ilvl w:val="0"/>
          <w:numId w:val="2"/>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响应文件的组成</w:t>
      </w:r>
    </w:p>
    <w:p w14:paraId="2CD27B09">
      <w:pPr>
        <w:pageBreakBefore w:val="0"/>
        <w:shd w:val="clear" w:color="auto" w:fill="auto"/>
        <w:kinsoku/>
        <w:wordWrap/>
        <w:overflowPunct/>
        <w:topLinePunct w:val="0"/>
        <w:bidi w:val="0"/>
        <w:snapToGrid w:val="0"/>
        <w:spacing w:beforeAutospacing="0" w:line="540" w:lineRule="exact"/>
        <w:ind w:firstLine="482" w:firstLineChars="200"/>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10.1</w:t>
      </w:r>
      <w:r>
        <w:rPr>
          <w:rFonts w:hint="eastAsia" w:ascii="宋体" w:hAnsi="宋体" w:eastAsia="宋体" w:cs="宋体"/>
          <w:b/>
          <w:color w:val="000000"/>
          <w:sz w:val="24"/>
          <w:highlight w:val="none"/>
        </w:rPr>
        <w:t>资格文件</w:t>
      </w:r>
      <w:r>
        <w:rPr>
          <w:rFonts w:hint="eastAsia" w:ascii="宋体" w:hAnsi="宋体" w:eastAsia="宋体" w:cs="宋体"/>
          <w:color w:val="000000"/>
          <w:sz w:val="24"/>
          <w:highlight w:val="none"/>
        </w:rPr>
        <w:t>：</w:t>
      </w:r>
    </w:p>
    <w:p w14:paraId="06CAB321">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10.1.1符合参加交易活动应当具备的一般条件的承诺函；</w:t>
      </w:r>
    </w:p>
    <w:p w14:paraId="7B2C3AD7">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10.1.2本项目的特定资格要求。</w:t>
      </w:r>
    </w:p>
    <w:p w14:paraId="5CF71C4A">
      <w:pPr>
        <w:pageBreakBefore w:val="0"/>
        <w:shd w:val="clear" w:color="auto" w:fill="auto"/>
        <w:kinsoku/>
        <w:wordWrap/>
        <w:overflowPunct/>
        <w:topLinePunct w:val="0"/>
        <w:bidi w:val="0"/>
        <w:snapToGrid w:val="0"/>
        <w:spacing w:beforeAutospacing="0" w:line="540" w:lineRule="exact"/>
        <w:ind w:firstLine="482" w:firstLineChars="200"/>
        <w:textAlignment w:val="auto"/>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1</w:t>
      </w:r>
      <w:r>
        <w:rPr>
          <w:rFonts w:hint="eastAsia" w:ascii="宋体" w:hAnsi="宋体" w:eastAsia="宋体" w:cs="宋体"/>
          <w:b/>
          <w:bCs/>
          <w:color w:val="000000"/>
          <w:sz w:val="24"/>
          <w:highlight w:val="none"/>
        </w:rPr>
        <w:t>0</w:t>
      </w:r>
      <w:r>
        <w:rPr>
          <w:rFonts w:hint="eastAsia" w:ascii="宋体" w:hAnsi="宋体" w:eastAsia="宋体" w:cs="宋体"/>
          <w:b/>
          <w:bCs/>
          <w:color w:val="000000"/>
          <w:sz w:val="24"/>
          <w:highlight w:val="none"/>
          <w:lang w:val="zh-CN"/>
        </w:rPr>
        <w:t>.</w:t>
      </w:r>
      <w:r>
        <w:rPr>
          <w:rFonts w:hint="eastAsia" w:ascii="宋体" w:hAnsi="宋体" w:eastAsia="宋体" w:cs="宋体"/>
          <w:b/>
          <w:bCs/>
          <w:color w:val="000000"/>
          <w:sz w:val="24"/>
          <w:highlight w:val="none"/>
        </w:rPr>
        <w:t>2商务技术</w:t>
      </w:r>
      <w:r>
        <w:rPr>
          <w:rFonts w:hint="eastAsia" w:ascii="宋体" w:hAnsi="宋体" w:eastAsia="宋体" w:cs="宋体"/>
          <w:b/>
          <w:bCs/>
          <w:color w:val="000000"/>
          <w:sz w:val="24"/>
          <w:highlight w:val="none"/>
          <w:lang w:val="zh-CN"/>
        </w:rPr>
        <w:t>文件：</w:t>
      </w:r>
    </w:p>
    <w:p w14:paraId="5C451AC3">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10.2.1交易函；</w:t>
      </w:r>
    </w:p>
    <w:p w14:paraId="4969839D">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10.2.2授权委托书或法定代表人（单位负责人、自然人本人）身份证明；</w:t>
      </w:r>
    </w:p>
    <w:p w14:paraId="1F16EB81">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10.2.3营业执照；</w:t>
      </w:r>
    </w:p>
    <w:p w14:paraId="6C8D1241">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10.2.4符合性审查资料；</w:t>
      </w:r>
    </w:p>
    <w:p w14:paraId="3E91875F">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10.2.5评审标准相应的商务技术资料；</w:t>
      </w:r>
    </w:p>
    <w:p w14:paraId="78B9B98B">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10.2.6商务技术偏离表；</w:t>
      </w:r>
    </w:p>
    <w:p w14:paraId="64126480">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10.2.7</w:t>
      </w:r>
      <w:r>
        <w:rPr>
          <w:rFonts w:hint="eastAsia" w:ascii="宋体" w:hAnsi="宋体" w:eastAsia="宋体" w:cs="宋体"/>
          <w:color w:val="000000"/>
          <w:sz w:val="24"/>
          <w:highlight w:val="none"/>
          <w:lang w:val="zh-CN"/>
        </w:rPr>
        <w:t>响应人廉洁自律承诺书。</w:t>
      </w:r>
    </w:p>
    <w:p w14:paraId="4CF1464B">
      <w:pPr>
        <w:pageBreakBefore w:val="0"/>
        <w:shd w:val="clear" w:color="auto" w:fill="auto"/>
        <w:kinsoku/>
        <w:wordWrap/>
        <w:overflowPunct/>
        <w:topLinePunct w:val="0"/>
        <w:bidi w:val="0"/>
        <w:snapToGrid w:val="0"/>
        <w:spacing w:beforeAutospacing="0" w:line="540" w:lineRule="exact"/>
        <w:ind w:firstLine="482" w:firstLineChars="200"/>
        <w:textAlignment w:val="auto"/>
        <w:rPr>
          <w:rFonts w:hint="eastAsia" w:ascii="宋体" w:hAnsi="宋体" w:eastAsia="宋体" w:cs="宋体"/>
          <w:b/>
          <w:bCs/>
          <w:color w:val="000000"/>
          <w:sz w:val="24"/>
          <w:highlight w:val="none"/>
          <w:u w:val="single"/>
          <w:lang w:val="zh-CN"/>
        </w:rPr>
      </w:pPr>
      <w:r>
        <w:rPr>
          <w:rFonts w:hint="eastAsia" w:ascii="宋体" w:hAnsi="宋体" w:eastAsia="宋体" w:cs="宋体"/>
          <w:b/>
          <w:bCs/>
          <w:color w:val="000000"/>
          <w:kern w:val="0"/>
          <w:sz w:val="24"/>
          <w:highlight w:val="none"/>
          <w:lang w:val="zh-CN"/>
        </w:rPr>
        <w:t>1</w:t>
      </w:r>
      <w:r>
        <w:rPr>
          <w:rFonts w:hint="eastAsia" w:ascii="宋体" w:hAnsi="宋体" w:eastAsia="宋体" w:cs="宋体"/>
          <w:b/>
          <w:bCs/>
          <w:color w:val="000000"/>
          <w:kern w:val="0"/>
          <w:sz w:val="24"/>
          <w:highlight w:val="none"/>
        </w:rPr>
        <w:t>0</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kern w:val="0"/>
          <w:sz w:val="24"/>
          <w:highlight w:val="none"/>
        </w:rPr>
        <w:t>3</w:t>
      </w:r>
      <w:r>
        <w:rPr>
          <w:rFonts w:hint="eastAsia" w:ascii="宋体" w:hAnsi="宋体" w:eastAsia="宋体" w:cs="宋体"/>
          <w:b/>
          <w:bCs/>
          <w:color w:val="000000"/>
          <w:sz w:val="24"/>
          <w:highlight w:val="none"/>
        </w:rPr>
        <w:t>报价文件：</w:t>
      </w:r>
    </w:p>
    <w:p w14:paraId="5D075D87">
      <w:pPr>
        <w:pageBreakBefore w:val="0"/>
        <w:shd w:val="clear" w:color="auto" w:fill="auto"/>
        <w:kinsoku/>
        <w:wordWrap/>
        <w:overflowPunct/>
        <w:topLinePunct w:val="0"/>
        <w:bidi w:val="0"/>
        <w:snapToGrid w:val="0"/>
        <w:spacing w:beforeAutospacing="0" w:line="540" w:lineRule="exact"/>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10.3.1交易一览表（报价表）。</w:t>
      </w:r>
    </w:p>
    <w:p w14:paraId="6F9B1872">
      <w:pPr>
        <w:pageBreakBefore w:val="0"/>
        <w:shd w:val="clear" w:color="auto" w:fill="auto"/>
        <w:kinsoku/>
        <w:wordWrap/>
        <w:overflowPunct/>
        <w:topLinePunct w:val="0"/>
        <w:bidi w:val="0"/>
        <w:spacing w:beforeAutospacing="0" w:line="540" w:lineRule="exact"/>
        <w:ind w:firstLine="723" w:firstLineChars="3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响应文件含有交易发起人不能接受的附加条件的，交易无效；响应人提供虚假材料投标的，交易无效。</w:t>
      </w:r>
    </w:p>
    <w:p w14:paraId="47395143">
      <w:pPr>
        <w:pageBreakBefore w:val="0"/>
        <w:shd w:val="clear" w:color="auto" w:fill="auto"/>
        <w:kinsoku/>
        <w:wordWrap/>
        <w:overflowPunct/>
        <w:topLinePunct w:val="0"/>
        <w:bidi w:val="0"/>
        <w:spacing w:beforeAutospacing="0" w:line="540" w:lineRule="exact"/>
        <w:ind w:firstLine="723" w:firstLineChars="300"/>
        <w:textAlignment w:val="auto"/>
        <w:rPr>
          <w:rFonts w:hint="eastAsia" w:ascii="宋体" w:hAnsi="宋体" w:eastAsia="宋体" w:cs="宋体"/>
          <w:b/>
          <w:color w:val="000000"/>
          <w:sz w:val="24"/>
          <w:highlight w:val="none"/>
        </w:rPr>
      </w:pPr>
    </w:p>
    <w:p w14:paraId="52314BA8">
      <w:pPr>
        <w:pageBreakBefore w:val="0"/>
        <w:numPr>
          <w:ilvl w:val="0"/>
          <w:numId w:val="2"/>
        </w:numPr>
        <w:shd w:val="clear" w:color="auto" w:fill="auto"/>
        <w:kinsoku/>
        <w:wordWrap/>
        <w:overflowPunct/>
        <w:topLinePunct w:val="0"/>
        <w:bidi w:val="0"/>
        <w:adjustRightInd/>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响应文件的编制</w:t>
      </w:r>
    </w:p>
    <w:p w14:paraId="494AC110">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.1响应文件分为资格文件、商务技术文件、报价文件三部分。各响应人在编制响应文件时请</w:t>
      </w:r>
      <w:r>
        <w:rPr>
          <w:rFonts w:hint="eastAsia" w:ascii="宋体" w:hAnsi="宋体" w:eastAsia="宋体" w:cs="宋体"/>
          <w:color w:val="000000"/>
          <w:kern w:val="0"/>
          <w:sz w:val="24"/>
          <w:highlight w:val="none"/>
          <w:shd w:val="clear" w:color="auto" w:fill="auto"/>
          <w:lang w:val="zh-CN"/>
        </w:rPr>
        <w:t>按照公开竞争文件第六部分</w:t>
      </w:r>
      <w:r>
        <w:rPr>
          <w:rFonts w:hint="eastAsia" w:ascii="宋体" w:hAnsi="宋体" w:eastAsia="宋体" w:cs="宋体"/>
          <w:color w:val="000000"/>
          <w:kern w:val="0"/>
          <w:sz w:val="24"/>
          <w:highlight w:val="none"/>
          <w:lang w:val="zh-CN"/>
        </w:rPr>
        <w:t>规定的格式进行，混乱的编排导致响应文件被误读或评审委员会查找不到有效文件是响应人</w:t>
      </w:r>
      <w:r>
        <w:rPr>
          <w:rFonts w:hint="eastAsia" w:ascii="宋体" w:hAnsi="宋体" w:eastAsia="宋体" w:cs="宋体"/>
          <w:color w:val="000000"/>
          <w:kern w:val="0"/>
          <w:sz w:val="24"/>
          <w:highlight w:val="none"/>
          <w:lang w:val="en-US" w:eastAsia="zh-CN"/>
        </w:rPr>
        <w:t>应自行承担</w:t>
      </w:r>
      <w:r>
        <w:rPr>
          <w:rFonts w:hint="eastAsia" w:ascii="宋体" w:hAnsi="宋体" w:eastAsia="宋体" w:cs="宋体"/>
          <w:color w:val="000000"/>
          <w:kern w:val="0"/>
          <w:sz w:val="24"/>
          <w:highlight w:val="none"/>
          <w:lang w:val="zh-CN"/>
        </w:rPr>
        <w:t>的风险。</w:t>
      </w:r>
    </w:p>
    <w:p w14:paraId="0D37DA59">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5370D508">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.3使用“政采云电子交易客户端”需要提前申领CA数字证书，申领流程请自行前往“浙江政府采购网-下载专区-电子交易客户端-CA驱动和申领流程”进行查阅。</w:t>
      </w:r>
    </w:p>
    <w:p w14:paraId="1B910A68">
      <w:pPr>
        <w:pageBreakBefore w:val="0"/>
        <w:numPr>
          <w:ilvl w:val="0"/>
          <w:numId w:val="0"/>
        </w:numPr>
        <w:shd w:val="clear" w:color="auto" w:fill="auto"/>
        <w:kinsoku/>
        <w:wordWrap/>
        <w:overflowPunct/>
        <w:topLinePunct w:val="0"/>
        <w:bidi w:val="0"/>
        <w:adjustRightInd/>
        <w:snapToGrid w:val="0"/>
        <w:spacing w:beforeAutospacing="0" w:line="540" w:lineRule="exact"/>
        <w:ind w:firstLine="0" w:firstLine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12.响应文件的签署、盖章</w:t>
      </w:r>
    </w:p>
    <w:p w14:paraId="360EE111">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b/>
          <w:color w:val="000000"/>
          <w:highlight w:val="none"/>
        </w:rPr>
      </w:pPr>
      <w:r>
        <w:rPr>
          <w:rFonts w:hint="eastAsia" w:ascii="宋体" w:hAnsi="宋体" w:eastAsia="宋体" w:cs="宋体"/>
          <w:color w:val="000000"/>
          <w:szCs w:val="24"/>
          <w:highlight w:val="none"/>
        </w:rPr>
        <w:t>12.1响应文件按照公开竞争文件第六部分格式要</w:t>
      </w:r>
      <w:r>
        <w:rPr>
          <w:rFonts w:hint="eastAsia" w:ascii="宋体" w:hAnsi="宋体" w:eastAsia="宋体" w:cs="宋体"/>
          <w:color w:val="000000"/>
          <w:highlight w:val="none"/>
        </w:rPr>
        <w:t>求进行签署、盖章。</w:t>
      </w:r>
      <w:r>
        <w:rPr>
          <w:rFonts w:hint="eastAsia" w:ascii="宋体" w:hAnsi="宋体" w:eastAsia="宋体" w:cs="宋体"/>
          <w:b/>
          <w:color w:val="000000"/>
          <w:highlight w:val="none"/>
        </w:rPr>
        <w:t>▲响应人的响应文件未按照公开竞争文件要求签署、盖章的，其交易无效</w:t>
      </w:r>
      <w:r>
        <w:rPr>
          <w:rFonts w:hint="eastAsia" w:ascii="宋体" w:hAnsi="宋体" w:eastAsia="宋体" w:cs="宋体"/>
          <w:color w:val="000000"/>
          <w:szCs w:val="24"/>
          <w:highlight w:val="none"/>
        </w:rPr>
        <w:t>。</w:t>
      </w:r>
    </w:p>
    <w:p w14:paraId="7ECD2CE2">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12.2为确保网上操作合法、有效和安全，响应人应当在响应截止时间前完成在“政府采购云平台”的身份认证，确保在电子投标过程中能够对相关数据电文进行加密和使用电子签名。</w:t>
      </w:r>
    </w:p>
    <w:p w14:paraId="06B12C59">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highlight w:val="none"/>
        </w:rPr>
        <w:t>12.3公开竞争文件对响应文件签署、盖章的要求适用于电子签名。</w:t>
      </w:r>
    </w:p>
    <w:p w14:paraId="5FFE1804">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13.响应文件的提交、补充、修改、撤回</w:t>
      </w:r>
    </w:p>
    <w:p w14:paraId="1FD2CB6E">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6BB1B20">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0C483DA5">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77140B8">
      <w:pPr>
        <w:pageBreakBefore w:val="0"/>
        <w:numPr>
          <w:ilvl w:val="0"/>
          <w:numId w:val="3"/>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备份响应文件</w:t>
      </w:r>
    </w:p>
    <w:p w14:paraId="2035AF18">
      <w:pPr>
        <w:pStyle w:val="33"/>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28"/>
          <w:sz w:val="24"/>
          <w:szCs w:val="24"/>
          <w:highlight w:val="none"/>
        </w:rPr>
        <w:t>不收取备份响应文件。</w:t>
      </w:r>
    </w:p>
    <w:p w14:paraId="6105307E">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15.响应文件的无效处理</w:t>
      </w:r>
    </w:p>
    <w:p w14:paraId="029DFB97">
      <w:pPr>
        <w:pStyle w:val="25"/>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有公开竞争文</w:t>
      </w:r>
      <w:r>
        <w:rPr>
          <w:rFonts w:hint="eastAsia" w:ascii="宋体" w:hAnsi="宋体" w:eastAsia="宋体" w:cs="宋体"/>
          <w:color w:val="000000"/>
          <w:szCs w:val="21"/>
          <w:highlight w:val="none"/>
          <w:shd w:val="clear" w:color="auto" w:fill="auto"/>
        </w:rPr>
        <w:t>件第四部分</w:t>
      </w:r>
      <w:r>
        <w:rPr>
          <w:rFonts w:hint="eastAsia" w:ascii="宋体" w:hAnsi="宋体" w:eastAsia="宋体" w:cs="宋体"/>
          <w:color w:val="000000"/>
          <w:highlight w:val="none"/>
          <w:shd w:val="clear" w:color="auto" w:fill="auto"/>
        </w:rPr>
        <w:t>4.2规定</w:t>
      </w:r>
      <w:r>
        <w:rPr>
          <w:rFonts w:hint="eastAsia" w:ascii="宋体" w:hAnsi="宋体" w:eastAsia="宋体" w:cs="宋体"/>
          <w:color w:val="000000"/>
          <w:szCs w:val="21"/>
          <w:highlight w:val="none"/>
          <w:shd w:val="clear" w:color="auto" w:fill="auto"/>
        </w:rPr>
        <w:t>的</w:t>
      </w:r>
      <w:r>
        <w:rPr>
          <w:rFonts w:hint="eastAsia" w:ascii="宋体" w:hAnsi="宋体" w:eastAsia="宋体" w:cs="宋体"/>
          <w:color w:val="000000"/>
          <w:szCs w:val="21"/>
          <w:highlight w:val="none"/>
        </w:rPr>
        <w:t>情形之一的，交易无效：</w:t>
      </w:r>
    </w:p>
    <w:p w14:paraId="298BC8B8">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16.交易有效期</w:t>
      </w:r>
    </w:p>
    <w:p w14:paraId="0358A904">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
          <w:color w:val="000000"/>
          <w:sz w:val="24"/>
          <w:szCs w:val="21"/>
          <w:highlight w:val="none"/>
        </w:rPr>
      </w:pPr>
      <w:r>
        <w:rPr>
          <w:rFonts w:hint="eastAsia" w:ascii="宋体" w:hAnsi="宋体" w:eastAsia="宋体" w:cs="宋体"/>
          <w:color w:val="000000"/>
          <w:sz w:val="24"/>
          <w:szCs w:val="20"/>
          <w:highlight w:val="none"/>
        </w:rPr>
        <w:t>16.1交易有效期为从提交响应文件的截止之日起90天。▲</w:t>
      </w:r>
      <w:r>
        <w:rPr>
          <w:rFonts w:hint="eastAsia" w:ascii="宋体" w:hAnsi="宋体" w:eastAsia="宋体" w:cs="宋体"/>
          <w:b/>
          <w:color w:val="000000"/>
          <w:sz w:val="24"/>
          <w:szCs w:val="20"/>
          <w:highlight w:val="none"/>
        </w:rPr>
        <w:t>响应人的响应文件中承</w:t>
      </w:r>
      <w:r>
        <w:rPr>
          <w:rFonts w:hint="eastAsia" w:ascii="宋体" w:hAnsi="宋体" w:eastAsia="宋体" w:cs="宋体"/>
          <w:b/>
          <w:color w:val="000000"/>
          <w:sz w:val="24"/>
          <w:szCs w:val="21"/>
          <w:highlight w:val="none"/>
        </w:rPr>
        <w:t>诺的交易有效期少于公开竞争文件中载明的交易有效期的，交易无效。</w:t>
      </w:r>
    </w:p>
    <w:p w14:paraId="0D499F77">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16.2响应文件合格投递后，自投标截止日期起，在交易有效期内有效。</w:t>
      </w:r>
    </w:p>
    <w:p w14:paraId="36CFC50E">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0F6B882D">
      <w:pPr>
        <w:pStyle w:val="117"/>
        <w:pageBreakBefore w:val="0"/>
        <w:shd w:val="clear" w:color="auto" w:fill="auto"/>
        <w:kinsoku/>
        <w:wordWrap/>
        <w:overflowPunct/>
        <w:topLinePunct w:val="0"/>
        <w:bidi w:val="0"/>
        <w:spacing w:before="0" w:beforeAutospacing="0" w:line="540" w:lineRule="exact"/>
        <w:ind w:firstLine="643"/>
        <w:textAlignment w:val="auto"/>
        <w:rPr>
          <w:rFonts w:hint="eastAsia" w:ascii="宋体" w:hAnsi="宋体" w:eastAsia="宋体" w:cs="宋体"/>
          <w:b/>
          <w:color w:val="000000"/>
          <w:sz w:val="32"/>
          <w:highlight w:val="none"/>
        </w:rPr>
      </w:pPr>
    </w:p>
    <w:p w14:paraId="2AF764F4">
      <w:pPr>
        <w:pageBreakBefore w:val="0"/>
        <w:shd w:val="clear" w:color="auto" w:fill="auto"/>
        <w:kinsoku/>
        <w:wordWrap/>
        <w:overflowPunct/>
        <w:topLinePunct w:val="0"/>
        <w:bidi w:val="0"/>
        <w:adjustRightInd/>
        <w:spacing w:beforeAutospacing="0" w:line="540" w:lineRule="exact"/>
        <w:ind w:firstLine="3313" w:firstLineChars="1100"/>
        <w:textAlignment w:val="auto"/>
        <w:outlineLvl w:val="0"/>
        <w:rPr>
          <w:rFonts w:hint="eastAsia" w:ascii="宋体" w:hAnsi="宋体" w:eastAsia="宋体" w:cs="宋体"/>
          <w:b/>
          <w:color w:val="000000"/>
          <w:sz w:val="30"/>
          <w:szCs w:val="20"/>
          <w:highlight w:val="none"/>
        </w:rPr>
      </w:pPr>
      <w:r>
        <w:rPr>
          <w:rFonts w:hint="eastAsia" w:ascii="宋体" w:hAnsi="宋体" w:eastAsia="宋体" w:cs="宋体"/>
          <w:b/>
          <w:color w:val="000000"/>
          <w:sz w:val="30"/>
          <w:szCs w:val="20"/>
          <w:highlight w:val="none"/>
        </w:rPr>
        <w:t>四、交易、资格审查</w:t>
      </w:r>
    </w:p>
    <w:p w14:paraId="2174B2BD">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 xml:space="preserve">17.交易 </w:t>
      </w:r>
    </w:p>
    <w:p w14:paraId="3192C106">
      <w:pPr>
        <w:pStyle w:val="118"/>
        <w:pageBreakBefore w:val="0"/>
        <w:shd w:val="clear" w:color="auto" w:fill="auto"/>
        <w:kinsoku/>
        <w:wordWrap/>
        <w:overflowPunct/>
        <w:topLinePunct w:val="0"/>
        <w:bidi w:val="0"/>
        <w:spacing w:before="0" w:beforeAutospacing="0" w:line="540" w:lineRule="exact"/>
        <w:ind w:left="0" w:firstLine="420" w:firstLineChars="175"/>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代理机构按照公开竞争文件规定的时间通过电子交易平台组织开标，所有响应人均应当准时在线参加。响应人不足3家的，不得开标。</w:t>
      </w:r>
    </w:p>
    <w:p w14:paraId="2697F9C8">
      <w:pPr>
        <w:pStyle w:val="118"/>
        <w:pageBreakBefore w:val="0"/>
        <w:shd w:val="clear" w:color="auto" w:fill="auto"/>
        <w:kinsoku/>
        <w:wordWrap/>
        <w:overflowPunct/>
        <w:topLinePunct w:val="0"/>
        <w:bidi w:val="0"/>
        <w:spacing w:before="0" w:beforeAutospacing="0" w:line="540" w:lineRule="exact"/>
        <w:ind w:left="0" w:firstLine="420" w:firstLineChars="175"/>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交易时，电子交易平台按交易时间自动提取所有响应文件。代理机构依托电子交易平台发起开始解密指令，响应人按照平台提示和公开竞争文件的规定在半小时内完成在线解密。</w:t>
      </w:r>
    </w:p>
    <w:p w14:paraId="67E10FB5">
      <w:pPr>
        <w:pStyle w:val="118"/>
        <w:pageBreakBefore w:val="0"/>
        <w:shd w:val="clear" w:color="auto" w:fill="auto"/>
        <w:kinsoku/>
        <w:wordWrap/>
        <w:overflowPunct/>
        <w:topLinePunct w:val="0"/>
        <w:bidi w:val="0"/>
        <w:spacing w:before="0" w:beforeAutospacing="0" w:line="540" w:lineRule="exact"/>
        <w:ind w:left="0" w:firstLine="420" w:firstLineChars="175"/>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17.3</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响应文件未按时解密，视为响应文件撤回。</w:t>
      </w:r>
    </w:p>
    <w:p w14:paraId="54CB027C">
      <w:pPr>
        <w:pageBreakBefore w:val="0"/>
        <w:numPr>
          <w:ilvl w:val="0"/>
          <w:numId w:val="0"/>
        </w:numPr>
        <w:shd w:val="clear" w:color="auto" w:fill="auto"/>
        <w:kinsoku/>
        <w:wordWrap/>
        <w:overflowPunct/>
        <w:topLinePunct w:val="0"/>
        <w:bidi w:val="0"/>
        <w:adjustRightInd/>
        <w:snapToGrid w:val="0"/>
        <w:spacing w:beforeAutospacing="0" w:line="540" w:lineRule="exact"/>
        <w:ind w:left="0" w:firstLine="0" w:firstLine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18</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资格审查</w:t>
      </w:r>
    </w:p>
    <w:p w14:paraId="051A6BF8">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18.1交易后，交易发起人或代理机构将依法对响应人的资格进行审查。</w:t>
      </w:r>
    </w:p>
    <w:p w14:paraId="50C28B81">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18.2</w:t>
      </w:r>
      <w:r>
        <w:rPr>
          <w:rFonts w:hint="eastAsia" w:ascii="宋体" w:hAnsi="宋体" w:eastAsia="宋体" w:cs="宋体"/>
          <w:color w:val="000000"/>
          <w:sz w:val="24"/>
          <w:highlight w:val="none"/>
        </w:rPr>
        <w:t>交易发起人或代理机构依据法律法规和公开竞争文件的规定，对响应人的基本资格条件、特定资格条件进行审查。</w:t>
      </w:r>
    </w:p>
    <w:p w14:paraId="14A0C2DF">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18.3响应人未按照公开竞争文件要求提供与</w:t>
      </w:r>
      <w:r>
        <w:rPr>
          <w:rFonts w:hint="eastAsia" w:ascii="宋体" w:hAnsi="宋体" w:eastAsia="宋体" w:cs="宋体"/>
          <w:color w:val="000000"/>
          <w:highlight w:val="none"/>
        </w:rPr>
        <w:t>基本资格条件、特定资格条件相应的</w:t>
      </w:r>
      <w:r>
        <w:rPr>
          <w:rFonts w:hint="eastAsia" w:ascii="宋体" w:hAnsi="宋体" w:eastAsia="宋体" w:cs="宋体"/>
          <w:color w:val="000000"/>
          <w:kern w:val="0"/>
          <w:szCs w:val="24"/>
          <w:highlight w:val="none"/>
        </w:rPr>
        <w:t>有效资格证明材料的，视为</w:t>
      </w:r>
      <w:r>
        <w:rPr>
          <w:rFonts w:hint="eastAsia" w:ascii="宋体" w:hAnsi="宋体" w:eastAsia="宋体" w:cs="宋体"/>
          <w:color w:val="000000"/>
          <w:highlight w:val="none"/>
        </w:rPr>
        <w:t>响应人不具备公开竞争文件中规定的资格要求，其交易无效。</w:t>
      </w:r>
    </w:p>
    <w:p w14:paraId="7CA77852">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w:t>
      </w:r>
      <w:r>
        <w:rPr>
          <w:rFonts w:hint="eastAsia" w:ascii="宋体" w:hAnsi="宋体" w:eastAsia="宋体" w:cs="宋体"/>
          <w:color w:val="000000"/>
          <w:highlight w:val="none"/>
        </w:rPr>
        <w:t>4对未通过资格审查的响应人，交易发起人或代理机构告知其未通过的原因。</w:t>
      </w:r>
    </w:p>
    <w:p w14:paraId="583C526D">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w:t>
      </w:r>
      <w:r>
        <w:rPr>
          <w:rFonts w:hint="eastAsia" w:ascii="宋体" w:hAnsi="宋体" w:eastAsia="宋体" w:cs="宋体"/>
          <w:color w:val="000000"/>
          <w:highlight w:val="none"/>
        </w:rPr>
        <w:t>5合格响应人不足3家的，不再评标。</w:t>
      </w:r>
    </w:p>
    <w:p w14:paraId="51D4BCE3">
      <w:pPr>
        <w:pStyle w:val="117"/>
        <w:pageBreakBefore w:val="0"/>
        <w:shd w:val="clear" w:color="auto" w:fill="auto"/>
        <w:kinsoku/>
        <w:wordWrap/>
        <w:overflowPunct/>
        <w:topLinePunct w:val="0"/>
        <w:bidi w:val="0"/>
        <w:spacing w:before="0" w:beforeAutospacing="0" w:line="540" w:lineRule="exact"/>
        <w:ind w:firstLine="0" w:firstLineChars="0"/>
        <w:textAlignment w:val="auto"/>
        <w:rPr>
          <w:rFonts w:hint="eastAsia" w:ascii="宋体" w:hAnsi="宋体" w:eastAsia="宋体" w:cs="宋体"/>
          <w:color w:val="000000"/>
          <w:kern w:val="0"/>
          <w:szCs w:val="24"/>
          <w:highlight w:val="none"/>
        </w:rPr>
      </w:pPr>
    </w:p>
    <w:p w14:paraId="7F3CB991">
      <w:pPr>
        <w:pageBreakBefore w:val="0"/>
        <w:shd w:val="clear" w:color="auto" w:fill="auto"/>
        <w:kinsoku/>
        <w:wordWrap/>
        <w:overflowPunct/>
        <w:topLinePunct w:val="0"/>
        <w:bidi w:val="0"/>
        <w:snapToGrid w:val="0"/>
        <w:spacing w:beforeAutospacing="0" w:line="540" w:lineRule="exact"/>
        <w:jc w:val="center"/>
        <w:textAlignment w:val="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五、评审</w:t>
      </w:r>
    </w:p>
    <w:p w14:paraId="6039AB25">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highlight w:val="none"/>
          <w:lang w:val="en-US" w:eastAsia="zh-CN"/>
        </w:rPr>
      </w:pPr>
      <w:bookmarkStart w:id="12" w:name="_Toc91899903"/>
      <w:r>
        <w:rPr>
          <w:rFonts w:hint="eastAsia" w:ascii="宋体" w:hAnsi="宋体" w:eastAsia="宋体" w:cs="宋体"/>
          <w:b/>
          <w:color w:val="000000"/>
          <w:sz w:val="24"/>
          <w:highlight w:val="none"/>
        </w:rPr>
        <w:t>19.评审委员会</w:t>
      </w:r>
      <w:r>
        <w:rPr>
          <w:rFonts w:hint="eastAsia" w:ascii="宋体" w:hAnsi="宋体" w:eastAsia="宋体" w:cs="宋体"/>
          <w:b/>
          <w:color w:val="000000"/>
          <w:sz w:val="24"/>
          <w:highlight w:val="none"/>
          <w:lang w:val="en-US" w:eastAsia="zh-CN"/>
        </w:rPr>
        <w:t>评审</w:t>
      </w:r>
    </w:p>
    <w:p w14:paraId="236D0C54">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
          <w:color w:val="000000"/>
          <w:sz w:val="24"/>
          <w:highlight w:val="none"/>
        </w:rPr>
      </w:pPr>
      <w:r>
        <w:rPr>
          <w:rFonts w:hint="eastAsia" w:ascii="宋体" w:hAnsi="宋体" w:eastAsia="宋体" w:cs="宋体"/>
          <w:color w:val="000000"/>
          <w:sz w:val="24"/>
          <w:highlight w:val="none"/>
          <w:lang w:val="en-US" w:eastAsia="zh-CN"/>
        </w:rPr>
        <w:t>评审委员会</w:t>
      </w:r>
      <w:r>
        <w:rPr>
          <w:rFonts w:hint="eastAsia" w:ascii="宋体" w:hAnsi="宋体" w:eastAsia="宋体" w:cs="宋体"/>
          <w:color w:val="000000"/>
          <w:sz w:val="24"/>
          <w:highlight w:val="none"/>
        </w:rPr>
        <w:t>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r>
        <w:rPr>
          <w:rFonts w:hint="eastAsia" w:ascii="宋体" w:hAnsi="宋体" w:eastAsia="宋体" w:cs="宋体"/>
          <w:color w:val="000000"/>
          <w:sz w:val="24"/>
          <w:highlight w:val="none"/>
          <w:lang w:eastAsia="zh-CN"/>
        </w:rPr>
        <w:t>（</w:t>
      </w:r>
      <w:r>
        <w:rPr>
          <w:rFonts w:hint="eastAsia" w:ascii="宋体" w:hAnsi="宋体" w:eastAsia="宋体" w:cs="宋体"/>
          <w:b/>
          <w:color w:val="000000"/>
          <w:sz w:val="24"/>
          <w:highlight w:val="none"/>
        </w:rPr>
        <w:t>详见公开竞争文件第四部分交易办法</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rPr>
        <w:t>。</w:t>
      </w:r>
    </w:p>
    <w:p w14:paraId="1DA597D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p>
    <w:p w14:paraId="107C8900">
      <w:pPr>
        <w:pageBreakBefore w:val="0"/>
        <w:shd w:val="clear" w:color="auto" w:fill="auto"/>
        <w:kinsoku/>
        <w:wordWrap/>
        <w:overflowPunct/>
        <w:topLinePunct w:val="0"/>
        <w:bidi w:val="0"/>
        <w:snapToGrid w:val="0"/>
        <w:spacing w:beforeAutospacing="0" w:line="540" w:lineRule="exact"/>
        <w:jc w:val="center"/>
        <w:textAlignment w:val="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六、定标</w:t>
      </w:r>
    </w:p>
    <w:p w14:paraId="0E3702F5">
      <w:pPr>
        <w:pageBreakBefore w:val="0"/>
        <w:numPr>
          <w:ilvl w:val="0"/>
          <w:numId w:val="0"/>
        </w:numPr>
        <w:shd w:val="clear" w:color="auto" w:fill="auto"/>
        <w:kinsoku/>
        <w:wordWrap/>
        <w:overflowPunct/>
        <w:topLinePunct w:val="0"/>
        <w:bidi w:val="0"/>
        <w:adjustRightInd/>
        <w:snapToGrid w:val="0"/>
        <w:spacing w:beforeAutospacing="0" w:line="540" w:lineRule="exact"/>
        <w:ind w:left="0" w:firstLine="0" w:firstLine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20.确定成交响应人</w:t>
      </w:r>
    </w:p>
    <w:p w14:paraId="37656503">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b/>
          <w:color w:val="000000"/>
          <w:szCs w:val="24"/>
          <w:highlight w:val="none"/>
        </w:rPr>
      </w:pPr>
      <w:r>
        <w:rPr>
          <w:rFonts w:hint="eastAsia" w:ascii="宋体" w:hAnsi="宋体" w:eastAsia="宋体" w:cs="宋体"/>
          <w:color w:val="000000"/>
          <w:szCs w:val="24"/>
          <w:highlight w:val="none"/>
        </w:rPr>
        <w:t>交易发起人将自收到评审报告之日起5个工作日内通过电子交易平台在评审报告推荐的成交候选人中按顺序确定成交响应人。</w:t>
      </w:r>
    </w:p>
    <w:p w14:paraId="34D1659C">
      <w:pPr>
        <w:pageBreakBefore w:val="0"/>
        <w:numPr>
          <w:ilvl w:val="0"/>
          <w:numId w:val="0"/>
        </w:numPr>
        <w:shd w:val="clear" w:color="auto" w:fill="auto"/>
        <w:kinsoku/>
        <w:wordWrap/>
        <w:overflowPunct/>
        <w:topLinePunct w:val="0"/>
        <w:bidi w:val="0"/>
        <w:adjustRightInd/>
        <w:spacing w:beforeAutospacing="0" w:line="540" w:lineRule="exact"/>
        <w:jc w:val="lef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21.成交通知与成交结果公告</w:t>
      </w:r>
    </w:p>
    <w:p w14:paraId="6E845F39">
      <w:pPr>
        <w:pageBreakBefore w:val="0"/>
        <w:widowControl/>
        <w:shd w:val="clear" w:color="auto" w:fill="auto"/>
        <w:kinsoku/>
        <w:wordWrap/>
        <w:overflowPunct/>
        <w:topLinePunct w:val="0"/>
        <w:bidi w:val="0"/>
        <w:spacing w:beforeAutospacing="0" w:line="540" w:lineRule="exact"/>
        <w:ind w:firstLine="48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21.1自成交人确定之日起3天内，代理机构通过电子交易平台向成交人发出成交通知书，同时编制发布成交结果公告。代理机构也可以以纸质形式进行成交通知。</w:t>
      </w:r>
    </w:p>
    <w:p w14:paraId="02614CBB">
      <w:pPr>
        <w:pageBreakBefore w:val="0"/>
        <w:widowControl/>
        <w:shd w:val="clear" w:color="auto" w:fill="auto"/>
        <w:kinsoku/>
        <w:wordWrap/>
        <w:overflowPunct/>
        <w:topLinePunct w:val="0"/>
        <w:bidi w:val="0"/>
        <w:spacing w:beforeAutospacing="0" w:line="540" w:lineRule="exact"/>
        <w:ind w:firstLine="48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21.2成交结果公告内容包括交易发起人及其委托的代理机构的名称、地址、联系方式，项目名称和交易编号，成交人名称、地址和成交金额。</w:t>
      </w:r>
    </w:p>
    <w:p w14:paraId="4EC07EA6">
      <w:pPr>
        <w:pageBreakBefore w:val="0"/>
        <w:shd w:val="clear" w:color="auto" w:fill="auto"/>
        <w:kinsoku/>
        <w:wordWrap/>
        <w:overflowPunct/>
        <w:topLinePunct w:val="0"/>
        <w:bidi w:val="0"/>
        <w:snapToGrid w:val="0"/>
        <w:spacing w:beforeAutospacing="0" w:line="540" w:lineRule="exact"/>
        <w:ind w:left="120" w:leftChars="57" w:firstLine="482" w:firstLineChars="150"/>
        <w:jc w:val="center"/>
        <w:textAlignment w:val="auto"/>
        <w:rPr>
          <w:rFonts w:hint="eastAsia" w:ascii="宋体" w:hAnsi="宋体" w:eastAsia="宋体" w:cs="宋体"/>
          <w:b/>
          <w:color w:val="000000"/>
          <w:sz w:val="32"/>
          <w:highlight w:val="none"/>
        </w:rPr>
      </w:pPr>
    </w:p>
    <w:p w14:paraId="0C8CA8F4">
      <w:pPr>
        <w:pageBreakBefore w:val="0"/>
        <w:shd w:val="clear" w:color="auto" w:fill="auto"/>
        <w:kinsoku/>
        <w:wordWrap/>
        <w:overflowPunct/>
        <w:topLinePunct w:val="0"/>
        <w:bidi w:val="0"/>
        <w:snapToGrid w:val="0"/>
        <w:spacing w:beforeAutospacing="0" w:line="540" w:lineRule="exact"/>
        <w:ind w:left="0" w:leftChars="0" w:firstLine="0" w:firstLineChars="0"/>
        <w:jc w:val="center"/>
        <w:textAlignment w:val="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七、合同授予</w:t>
      </w:r>
    </w:p>
    <w:p w14:paraId="6E0D8022">
      <w:pPr>
        <w:pageBreakBefore w:val="0"/>
        <w:numPr>
          <w:ilvl w:val="0"/>
          <w:numId w:val="0"/>
        </w:numPr>
        <w:shd w:val="clear" w:color="auto" w:fill="auto"/>
        <w:kinsoku/>
        <w:wordWrap/>
        <w:overflowPunct/>
        <w:topLinePunct w:val="0"/>
        <w:bidi w:val="0"/>
        <w:adjustRightInd/>
        <w:snapToGrid w:val="0"/>
        <w:spacing w:beforeAutospacing="0" w:line="540" w:lineRule="exact"/>
        <w:ind w:left="0" w:firstLine="0" w:firstLine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22.合同主要条款详见第五部分拟签订的合同文本。</w:t>
      </w:r>
    </w:p>
    <w:p w14:paraId="07C06038">
      <w:pPr>
        <w:pageBreakBefore w:val="0"/>
        <w:numPr>
          <w:ilvl w:val="0"/>
          <w:numId w:val="0"/>
        </w:numPr>
        <w:shd w:val="clear" w:color="auto" w:fill="auto"/>
        <w:kinsoku/>
        <w:wordWrap/>
        <w:overflowPunct/>
        <w:topLinePunct w:val="0"/>
        <w:bidi w:val="0"/>
        <w:adjustRightInd/>
        <w:snapToGrid w:val="0"/>
        <w:spacing w:beforeAutospacing="0" w:line="540" w:lineRule="exact"/>
        <w:ind w:left="0" w:firstLine="0" w:firstLineChars="0"/>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23.合同的签订</w:t>
      </w:r>
    </w:p>
    <w:p w14:paraId="2549FE11">
      <w:pPr>
        <w:pageBreakBefore w:val="0"/>
        <w:widowControl/>
        <w:shd w:val="clear" w:color="auto" w:fill="auto"/>
        <w:kinsoku/>
        <w:wordWrap/>
        <w:overflowPunct/>
        <w:topLinePunct w:val="0"/>
        <w:bidi w:val="0"/>
        <w:spacing w:beforeAutospacing="0" w:line="540" w:lineRule="exact"/>
        <w:ind w:firstLine="48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23.1</w:t>
      </w:r>
      <w:r>
        <w:rPr>
          <w:rFonts w:hint="eastAsia" w:ascii="宋体" w:hAnsi="宋体" w:eastAsia="宋体" w:cs="宋体"/>
          <w:color w:val="000000"/>
          <w:kern w:val="0"/>
          <w:sz w:val="24"/>
          <w:highlight w:val="none"/>
        </w:rPr>
        <w:t xml:space="preserve"> 交易发起人与成交人应当通过电子交易平台在成交通知书发出之日起</w:t>
      </w:r>
      <w:r>
        <w:rPr>
          <w:rFonts w:hint="eastAsia" w:ascii="宋体" w:hAnsi="宋体" w:eastAsia="宋体" w:cs="宋体"/>
          <w:color w:val="000000"/>
          <w:kern w:val="0"/>
          <w:sz w:val="24"/>
          <w:highlight w:val="none"/>
          <w:shd w:val="clear" w:color="auto" w:fill="auto"/>
        </w:rPr>
        <w:t>三十日</w:t>
      </w:r>
      <w:r>
        <w:rPr>
          <w:rFonts w:hint="eastAsia" w:ascii="宋体" w:hAnsi="宋体" w:eastAsia="宋体" w:cs="宋体"/>
          <w:color w:val="000000"/>
          <w:kern w:val="0"/>
          <w:sz w:val="24"/>
          <w:highlight w:val="none"/>
        </w:rPr>
        <w:t>内，按照公开竞争文件确定的事项签订书面合同。</w:t>
      </w:r>
    </w:p>
    <w:p w14:paraId="63C1A67C">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rPr>
        <w:t>3</w:t>
      </w:r>
      <w:r>
        <w:rPr>
          <w:rFonts w:hint="eastAsia" w:ascii="宋体" w:hAnsi="宋体" w:eastAsia="宋体" w:cs="宋体"/>
          <w:color w:val="000000"/>
          <w:kern w:val="0"/>
          <w:highlight w:val="none"/>
          <w:lang w:val="zh-CN"/>
        </w:rPr>
        <w:t>.2成交人按规定的日期、时间、地点，由法定代表人或其授权代表与交易发起人代表签订合同。</w:t>
      </w:r>
    </w:p>
    <w:p w14:paraId="54D75410">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23.3如签订合同并生效后，响应人无故拒绝或延期，除按照合同条款处理外，列入不良行为记录一次，并给予通报。</w:t>
      </w:r>
    </w:p>
    <w:p w14:paraId="50587D67">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23.4成交响应人拒绝与交易发起人签订合同的，交易发起人可以按照评审报告推荐的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或者成交候选人名单排序，确定下一候选人为成交响应人，也可以重新开展交易活动。</w:t>
      </w:r>
    </w:p>
    <w:p w14:paraId="04DCC9BF">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23.5书面合同由交易发起人与成交响应人根据公开竞争文件、响应文件等内容签订合同。</w:t>
      </w:r>
    </w:p>
    <w:p w14:paraId="7B2DB3BE">
      <w:pPr>
        <w:pStyle w:val="25"/>
        <w:pageBreakBefore w:val="0"/>
        <w:shd w:val="clear" w:color="auto" w:fill="auto"/>
        <w:kinsoku/>
        <w:wordWrap/>
        <w:overflowPunct/>
        <w:topLinePunct w:val="0"/>
        <w:bidi w:val="0"/>
        <w:spacing w:beforeAutospacing="0" w:line="540" w:lineRule="exact"/>
        <w:ind w:left="479" w:leftChars="228" w:firstLine="0" w:firstLineChars="0"/>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24.履约保证金</w:t>
      </w:r>
      <w:r>
        <w:rPr>
          <w:rFonts w:hint="eastAsia" w:ascii="宋体" w:hAnsi="宋体" w:eastAsia="宋体" w:cs="宋体"/>
          <w:b/>
          <w:color w:val="000000"/>
          <w:highlight w:val="none"/>
          <w:lang w:val="en-US" w:eastAsia="zh-CN"/>
        </w:rPr>
        <w:t>：本项目不需缴纳交易保证金。</w:t>
      </w:r>
    </w:p>
    <w:p w14:paraId="10A7A4AA">
      <w:pPr>
        <w:pageBreakBefore w:val="0"/>
        <w:shd w:val="clear" w:color="auto" w:fill="auto"/>
        <w:kinsoku/>
        <w:wordWrap/>
        <w:overflowPunct/>
        <w:topLinePunct w:val="0"/>
        <w:bidi w:val="0"/>
        <w:snapToGrid w:val="0"/>
        <w:spacing w:beforeAutospacing="0" w:line="540" w:lineRule="exact"/>
        <w:ind w:firstLine="3357" w:firstLineChars="1045"/>
        <w:textAlignment w:val="auto"/>
        <w:rPr>
          <w:rFonts w:hint="eastAsia" w:ascii="宋体" w:hAnsi="宋体" w:eastAsia="宋体" w:cs="宋体"/>
          <w:b/>
          <w:color w:val="000000"/>
          <w:sz w:val="32"/>
          <w:highlight w:val="none"/>
        </w:rPr>
      </w:pPr>
    </w:p>
    <w:p w14:paraId="485E723C">
      <w:pPr>
        <w:pageBreakBefore w:val="0"/>
        <w:shd w:val="clear" w:color="auto" w:fill="auto"/>
        <w:kinsoku/>
        <w:wordWrap/>
        <w:overflowPunct/>
        <w:topLinePunct w:val="0"/>
        <w:bidi w:val="0"/>
        <w:snapToGrid w:val="0"/>
        <w:spacing w:beforeAutospacing="0" w:line="540" w:lineRule="exact"/>
        <w:ind w:firstLine="0" w:firstLineChars="0"/>
        <w:jc w:val="center"/>
        <w:textAlignment w:val="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八、电子交易活动的中止</w:t>
      </w:r>
    </w:p>
    <w:p w14:paraId="78D2E4AF">
      <w:pPr>
        <w:pStyle w:val="117"/>
        <w:pageBreakBefore w:val="0"/>
        <w:shd w:val="clear" w:color="auto" w:fill="auto"/>
        <w:kinsoku/>
        <w:wordWrap/>
        <w:overflowPunct/>
        <w:topLinePunct w:val="0"/>
        <w:bidi w:val="0"/>
        <w:snapToGrid w:val="0"/>
        <w:spacing w:before="0" w:beforeAutospacing="0" w:line="540" w:lineRule="exact"/>
        <w:ind w:firstLine="0" w:firstLineChars="0"/>
        <w:textAlignment w:val="auto"/>
        <w:rPr>
          <w:rFonts w:hint="eastAsia" w:ascii="宋体" w:hAnsi="宋体" w:eastAsia="宋体" w:cs="宋体"/>
          <w:b/>
          <w:color w:val="000000"/>
          <w:szCs w:val="24"/>
          <w:highlight w:val="none"/>
        </w:rPr>
      </w:pPr>
      <w:r>
        <w:rPr>
          <w:rFonts w:hint="eastAsia" w:ascii="宋体" w:hAnsi="宋体" w:eastAsia="宋体" w:cs="宋体"/>
          <w:b/>
          <w:bCs w:val="0"/>
          <w:color w:val="000000"/>
          <w:szCs w:val="24"/>
          <w:highlight w:val="none"/>
        </w:rPr>
        <w:t>2</w:t>
      </w:r>
      <w:r>
        <w:rPr>
          <w:rFonts w:hint="eastAsia" w:ascii="宋体" w:hAnsi="宋体" w:eastAsia="宋体" w:cs="宋体"/>
          <w:b/>
          <w:color w:val="000000"/>
          <w:szCs w:val="24"/>
          <w:highlight w:val="none"/>
        </w:rPr>
        <w:t>5.电子交易活动的中止</w:t>
      </w:r>
    </w:p>
    <w:p w14:paraId="6EB17917">
      <w:pPr>
        <w:pStyle w:val="117"/>
        <w:pageBreakBefore w:val="0"/>
        <w:shd w:val="clear" w:color="auto" w:fill="auto"/>
        <w:kinsoku/>
        <w:wordWrap/>
        <w:overflowPunct/>
        <w:topLinePunct w:val="0"/>
        <w:bidi w:val="0"/>
        <w:snapToGrid w:val="0"/>
        <w:spacing w:before="0" w:beforeAutospacing="0" w:line="540" w:lineRule="exact"/>
        <w:ind w:firstLine="480" w:firstLineChars="200"/>
        <w:textAlignment w:val="auto"/>
        <w:rPr>
          <w:rFonts w:hint="eastAsia" w:ascii="宋体" w:hAnsi="宋体" w:eastAsia="宋体" w:cs="宋体"/>
          <w:color w:val="000000"/>
          <w:highlight w:val="none"/>
        </w:rPr>
      </w:pPr>
      <w:r>
        <w:rPr>
          <w:rFonts w:hint="eastAsia" w:ascii="宋体" w:hAnsi="宋体" w:eastAsia="宋体" w:cs="宋体"/>
          <w:bCs/>
          <w:color w:val="000000"/>
          <w:szCs w:val="24"/>
          <w:highlight w:val="none"/>
        </w:rPr>
        <w:t>交易</w:t>
      </w:r>
      <w:r>
        <w:rPr>
          <w:rFonts w:hint="eastAsia" w:ascii="宋体" w:hAnsi="宋体" w:eastAsia="宋体" w:cs="宋体"/>
          <w:color w:val="000000"/>
          <w:highlight w:val="none"/>
        </w:rPr>
        <w:t>过程中出现以下情形，导致电子交易平台无法正常运行，或者无法保证电子交易的公平、公正和安全时</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，代理机构可中止电子交易活动：</w:t>
      </w:r>
    </w:p>
    <w:p w14:paraId="778A69EA">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25.1电子交易平台发生故障而无法登录访问的； </w:t>
      </w:r>
    </w:p>
    <w:p w14:paraId="1858DC00">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25.2电子交易平台应用或数据库出现错误，不能进行正常操作的；</w:t>
      </w:r>
    </w:p>
    <w:p w14:paraId="6F2FD3A6">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25.3电子交易平台发现严重安全漏洞，有潜在泄密危险的；</w:t>
      </w:r>
    </w:p>
    <w:p w14:paraId="3034894C">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25.4病毒发作导致不能进行正常操作的； </w:t>
      </w:r>
    </w:p>
    <w:p w14:paraId="1284EC5C">
      <w:pPr>
        <w:pStyle w:val="117"/>
        <w:pageBreakBefore w:val="0"/>
        <w:shd w:val="clear" w:color="auto" w:fill="auto"/>
        <w:kinsoku/>
        <w:wordWrap/>
        <w:overflowPunct/>
        <w:topLinePunct w:val="0"/>
        <w:bidi w:val="0"/>
        <w:snapToGrid w:val="0"/>
        <w:spacing w:before="0" w:beforeAutospacing="0" w:line="540" w:lineRule="exact"/>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25.5其他无法保证电子交易的公平、公正和安全的情况。</w:t>
      </w:r>
    </w:p>
    <w:p w14:paraId="45DA0B94">
      <w:pPr>
        <w:pStyle w:val="117"/>
        <w:pageBreakBefore w:val="0"/>
        <w:shd w:val="clear" w:color="auto" w:fill="auto"/>
        <w:kinsoku/>
        <w:wordWrap/>
        <w:overflowPunct/>
        <w:topLinePunct w:val="0"/>
        <w:bidi w:val="0"/>
        <w:snapToGrid w:val="0"/>
        <w:spacing w:before="0" w:beforeAutospacing="0" w:line="540" w:lineRule="exact"/>
        <w:ind w:firstLine="0" w:firstLineChars="0"/>
        <w:textAlignment w:val="auto"/>
        <w:rPr>
          <w:rFonts w:hint="eastAsia" w:ascii="宋体" w:hAnsi="宋体" w:eastAsia="宋体" w:cs="宋体"/>
          <w:color w:val="000000"/>
          <w:highlight w:val="none"/>
        </w:rPr>
      </w:pPr>
      <w:r>
        <w:rPr>
          <w:rFonts w:hint="eastAsia" w:ascii="宋体" w:hAnsi="宋体" w:eastAsia="宋体" w:cs="宋体"/>
          <w:b/>
          <w:bCs w:val="0"/>
          <w:color w:val="000000"/>
          <w:szCs w:val="24"/>
          <w:highlight w:val="none"/>
        </w:rPr>
        <w:t>26.</w:t>
      </w:r>
      <w:r>
        <w:rPr>
          <w:rFonts w:hint="eastAsia" w:ascii="宋体" w:hAnsi="宋体" w:eastAsia="宋体" w:cs="宋体"/>
          <w:b/>
          <w:color w:val="000000"/>
          <w:szCs w:val="24"/>
          <w:highlight w:val="none"/>
        </w:rPr>
        <w:t>出现以上情形</w:t>
      </w:r>
      <w:r>
        <w:rPr>
          <w:rFonts w:hint="eastAsia" w:ascii="宋体" w:hAnsi="宋体" w:eastAsia="宋体" w:cs="宋体"/>
          <w:color w:val="000000"/>
          <w:highlight w:val="none"/>
        </w:rPr>
        <w:t>，不影响交易公平、公正性的，代理机构可以待上述情形消除后继续组织电子交易活动，也可以决定某些环节以纸质形式进行；影响或可能影响交易公平、公正性的，应当重新交易。</w:t>
      </w:r>
    </w:p>
    <w:p w14:paraId="12D633C0">
      <w:pPr>
        <w:pageBreakBefore w:val="0"/>
        <w:shd w:val="clear" w:color="auto" w:fill="auto"/>
        <w:kinsoku/>
        <w:wordWrap/>
        <w:overflowPunct/>
        <w:topLinePunct w:val="0"/>
        <w:bidi w:val="0"/>
        <w:snapToGrid w:val="0"/>
        <w:spacing w:beforeAutospacing="0" w:line="540" w:lineRule="exact"/>
        <w:ind w:left="0" w:leftChars="0" w:firstLine="0" w:firstLineChars="0"/>
        <w:jc w:val="center"/>
        <w:textAlignment w:val="auto"/>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九、验收</w:t>
      </w:r>
    </w:p>
    <w:p w14:paraId="4D340082">
      <w:pPr>
        <w:pageBreakBefore w:val="0"/>
        <w:numPr>
          <w:ilvl w:val="0"/>
          <w:numId w:val="0"/>
        </w:numPr>
        <w:shd w:val="clear" w:color="auto" w:fill="auto"/>
        <w:kinsoku/>
        <w:wordWrap/>
        <w:overflowPunct/>
        <w:topLinePunct w:val="0"/>
        <w:bidi w:val="0"/>
        <w:adjustRightInd/>
        <w:snapToGrid w:val="0"/>
        <w:spacing w:beforeAutospacing="0" w:line="540" w:lineRule="exact"/>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27.验收</w:t>
      </w:r>
    </w:p>
    <w:p w14:paraId="623EDC92">
      <w:pPr>
        <w:pageBreakBefore w:val="0"/>
        <w:shd w:val="clear" w:color="auto" w:fill="auto"/>
        <w:tabs>
          <w:tab w:val="left" w:pos="0"/>
        </w:tabs>
        <w:kinsoku/>
        <w:wordWrap/>
        <w:overflowPunct/>
        <w:topLinePunct w:val="0"/>
        <w:bidi w:val="0"/>
        <w:spacing w:beforeAutospacing="0" w:line="540" w:lineRule="exact"/>
        <w:ind w:firstLine="48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27.1交易发起人应当组织对响应人履约的验收。</w:t>
      </w:r>
    </w:p>
    <w:bookmarkEnd w:id="10"/>
    <w:bookmarkEnd w:id="11"/>
    <w:bookmarkEnd w:id="12"/>
    <w:p w14:paraId="4A54AFF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36"/>
          <w:szCs w:val="36"/>
          <w:highlight w:val="none"/>
        </w:rPr>
      </w:pPr>
      <w:bookmarkStart w:id="13" w:name="第四部分"/>
      <w:r>
        <w:rPr>
          <w:rFonts w:hint="eastAsia" w:ascii="宋体" w:hAnsi="宋体" w:eastAsia="宋体" w:cs="宋体"/>
          <w:b/>
          <w:color w:val="000000"/>
          <w:sz w:val="36"/>
          <w:szCs w:val="36"/>
          <w:highlight w:val="none"/>
        </w:rPr>
        <w:br w:type="page"/>
      </w:r>
    </w:p>
    <w:p w14:paraId="672FCFC0">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t>第三部分   交易需求</w:t>
      </w:r>
    </w:p>
    <w:p w14:paraId="0FC77BDC">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p>
    <w:p w14:paraId="18DC0F16">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属于实质性要求条款的，请用符号“▲”标明，否则属于非实质性要求。</w:t>
      </w:r>
    </w:p>
    <w:p w14:paraId="1146D869">
      <w:pPr>
        <w:keepNext w:val="0"/>
        <w:keepLines w:val="0"/>
        <w:pageBreakBefore w:val="0"/>
        <w:widowControl w:val="0"/>
        <w:shd w:val="clear" w:color="auto" w:fill="auto"/>
        <w:kinsoku/>
        <w:wordWrap/>
        <w:overflowPunct/>
        <w:topLinePunct w:val="0"/>
        <w:autoSpaceDE/>
        <w:autoSpaceDN/>
        <w:bidi w:val="0"/>
        <w:adjustRightInd/>
        <w:snapToGrid/>
        <w:spacing w:beforeAutospacing="0" w:line="540" w:lineRule="exact"/>
        <w:ind w:firstLine="0" w:firstLineChars="0"/>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lang w:val="en-US" w:eastAsia="zh-CN"/>
        </w:rPr>
        <w:t>一、</w:t>
      </w:r>
      <w:r>
        <w:rPr>
          <w:rFonts w:hint="eastAsia" w:ascii="宋体" w:hAnsi="宋体" w:eastAsia="宋体" w:cs="宋体"/>
          <w:b/>
          <w:color w:val="000000"/>
          <w:sz w:val="32"/>
          <w:szCs w:val="20"/>
          <w:highlight w:val="none"/>
        </w:rPr>
        <w:t>交易一览表</w:t>
      </w:r>
    </w:p>
    <w:tbl>
      <w:tblPr>
        <w:tblStyle w:val="63"/>
        <w:tblpPr w:leftFromText="180" w:rightFromText="180" w:vertAnchor="text" w:horzAnchor="margin" w:tblpY="67"/>
        <w:tblOverlap w:val="never"/>
        <w:tblW w:w="4997" w:type="pct"/>
        <w:tblInd w:w="0" w:type="dxa"/>
        <w:tblLayout w:type="autofit"/>
        <w:tblCellMar>
          <w:top w:w="0" w:type="dxa"/>
          <w:left w:w="0" w:type="dxa"/>
          <w:bottom w:w="0" w:type="dxa"/>
          <w:right w:w="0" w:type="dxa"/>
        </w:tblCellMar>
      </w:tblPr>
      <w:tblGrid>
        <w:gridCol w:w="2486"/>
        <w:gridCol w:w="2211"/>
        <w:gridCol w:w="1815"/>
        <w:gridCol w:w="863"/>
        <w:gridCol w:w="925"/>
        <w:gridCol w:w="795"/>
      </w:tblGrid>
      <w:tr w14:paraId="5A276445">
        <w:tblPrEx>
          <w:tblCellMar>
            <w:top w:w="0" w:type="dxa"/>
            <w:left w:w="0" w:type="dxa"/>
            <w:bottom w:w="0" w:type="dxa"/>
            <w:right w:w="0" w:type="dxa"/>
          </w:tblCellMar>
        </w:tblPrEx>
        <w:trPr>
          <w:cantSplit/>
          <w:trHeight w:val="699" w:hRule="atLeast"/>
        </w:trPr>
        <w:tc>
          <w:tcPr>
            <w:tcW w:w="1366"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89859B8">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名称</w:t>
            </w:r>
          </w:p>
        </w:tc>
        <w:tc>
          <w:tcPr>
            <w:tcW w:w="1215"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2CB6F723">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标项</w:t>
            </w:r>
          </w:p>
        </w:tc>
        <w:tc>
          <w:tcPr>
            <w:tcW w:w="997"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463CDCC9">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具体服务</w:t>
            </w:r>
          </w:p>
        </w:tc>
        <w:tc>
          <w:tcPr>
            <w:tcW w:w="982"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EC65A">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最高限价（万元）</w:t>
            </w:r>
          </w:p>
        </w:tc>
        <w:tc>
          <w:tcPr>
            <w:tcW w:w="437"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464E2942">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单位</w:t>
            </w:r>
          </w:p>
        </w:tc>
      </w:tr>
      <w:tr w14:paraId="32345FCF">
        <w:tblPrEx>
          <w:tblCellMar>
            <w:top w:w="0" w:type="dxa"/>
            <w:left w:w="0" w:type="dxa"/>
            <w:bottom w:w="0" w:type="dxa"/>
            <w:right w:w="0" w:type="dxa"/>
          </w:tblCellMar>
        </w:tblPrEx>
        <w:trPr>
          <w:cantSplit/>
          <w:trHeight w:val="90" w:hRule="atLeast"/>
        </w:trPr>
        <w:tc>
          <w:tcPr>
            <w:tcW w:w="1366"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37A71D">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41A2B1AC">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997"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0EADA5AF">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2CA1C4">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单价</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0E8354">
            <w:pPr>
              <w:pageBreakBefore w:val="0"/>
              <w:kinsoku/>
              <w:wordWrap/>
              <w:overflowPunct/>
              <w:topLinePunct w:val="0"/>
              <w:bidi w:val="0"/>
              <w:spacing w:beforeAutospacing="0" w:line="540" w:lineRule="exact"/>
              <w:jc w:val="center"/>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年度</w:t>
            </w:r>
          </w:p>
        </w:tc>
        <w:tc>
          <w:tcPr>
            <w:tcW w:w="437"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2427CCBB">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r>
      <w:tr w14:paraId="0CF0584F">
        <w:tblPrEx>
          <w:tblCellMar>
            <w:top w:w="0" w:type="dxa"/>
            <w:left w:w="0" w:type="dxa"/>
            <w:bottom w:w="0" w:type="dxa"/>
            <w:right w:w="0" w:type="dxa"/>
          </w:tblCellMar>
        </w:tblPrEx>
        <w:trPr>
          <w:cantSplit/>
          <w:trHeight w:val="502" w:hRule="atLeast"/>
        </w:trPr>
        <w:tc>
          <w:tcPr>
            <w:tcW w:w="1366"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1E1B945">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萧山经开区国控集团及下属公司2025-2026年度法律顾问及非诉专项法律服务项目</w:t>
            </w:r>
          </w:p>
        </w:tc>
        <w:tc>
          <w:tcPr>
            <w:tcW w:w="1215"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433F712">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1.集团本级、资产与产业服务法律板块</w:t>
            </w:r>
          </w:p>
        </w:tc>
        <w:tc>
          <w:tcPr>
            <w:tcW w:w="997" w:type="pct"/>
            <w:tcBorders>
              <w:top w:val="single" w:color="auto" w:sz="4" w:space="0"/>
              <w:left w:val="nil"/>
              <w:right w:val="single" w:color="auto" w:sz="4" w:space="0"/>
            </w:tcBorders>
            <w:noWrap w:val="0"/>
            <w:tcMar>
              <w:top w:w="15" w:type="dxa"/>
              <w:left w:w="15" w:type="dxa"/>
              <w:bottom w:w="0" w:type="dxa"/>
              <w:right w:w="15" w:type="dxa"/>
            </w:tcMar>
            <w:vAlign w:val="center"/>
          </w:tcPr>
          <w:p w14:paraId="4422BF70">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基础顾问服务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10524A">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6E15D4">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default"/>
                <w:color w:val="000000"/>
                <w:kern w:val="2"/>
                <w:sz w:val="22"/>
                <w:szCs w:val="21"/>
                <w:highlight w:val="none"/>
                <w:lang w:val="en-US" w:eastAsia="zh-CN" w:bidi="ar-SA"/>
              </w:rPr>
              <w:t>40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B08621">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r w14:paraId="70A24FB5">
        <w:tblPrEx>
          <w:tblCellMar>
            <w:top w:w="0" w:type="dxa"/>
            <w:left w:w="0" w:type="dxa"/>
            <w:bottom w:w="0" w:type="dxa"/>
            <w:right w:w="0" w:type="dxa"/>
          </w:tblCellMar>
        </w:tblPrEx>
        <w:trPr>
          <w:cantSplit/>
          <w:trHeight w:val="324" w:hRule="atLeast"/>
        </w:trPr>
        <w:tc>
          <w:tcPr>
            <w:tcW w:w="1366" w:type="pct"/>
            <w:vMerge w:val="continue"/>
            <w:tcBorders>
              <w:left w:val="single" w:color="auto" w:sz="4" w:space="0"/>
              <w:right w:val="single" w:color="auto" w:sz="4" w:space="0"/>
            </w:tcBorders>
            <w:noWrap w:val="0"/>
            <w:tcMar>
              <w:top w:w="15" w:type="dxa"/>
              <w:left w:w="15" w:type="dxa"/>
              <w:bottom w:w="0" w:type="dxa"/>
              <w:right w:w="15" w:type="dxa"/>
            </w:tcMar>
            <w:vAlign w:val="center"/>
          </w:tcPr>
          <w:p w14:paraId="20B5708C">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DE1AC7">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997"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6813AB">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非诉项目服务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066B1F">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A69C21">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default"/>
                <w:color w:val="000000"/>
                <w:kern w:val="2"/>
                <w:sz w:val="22"/>
                <w:szCs w:val="21"/>
                <w:highlight w:val="none"/>
                <w:lang w:val="en-US" w:eastAsia="zh-CN" w:bidi="ar-SA"/>
              </w:rPr>
              <w:t>100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485749">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r w14:paraId="5293C58C">
        <w:tblPrEx>
          <w:tblCellMar>
            <w:top w:w="0" w:type="dxa"/>
            <w:left w:w="0" w:type="dxa"/>
            <w:bottom w:w="0" w:type="dxa"/>
            <w:right w:w="0" w:type="dxa"/>
          </w:tblCellMar>
        </w:tblPrEx>
        <w:trPr>
          <w:cantSplit/>
          <w:trHeight w:val="376" w:hRule="atLeast"/>
        </w:trPr>
        <w:tc>
          <w:tcPr>
            <w:tcW w:w="1366" w:type="pct"/>
            <w:vMerge w:val="continue"/>
            <w:tcBorders>
              <w:left w:val="single" w:color="auto" w:sz="4" w:space="0"/>
              <w:right w:val="single" w:color="auto" w:sz="4" w:space="0"/>
            </w:tcBorders>
            <w:noWrap w:val="0"/>
            <w:tcMar>
              <w:top w:w="15" w:type="dxa"/>
              <w:left w:w="15" w:type="dxa"/>
              <w:bottom w:w="0" w:type="dxa"/>
              <w:right w:w="15" w:type="dxa"/>
            </w:tcMar>
            <w:vAlign w:val="center"/>
          </w:tcPr>
          <w:p w14:paraId="6360B228">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87A5A75">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2.战略投资与绿色创新法律板块</w:t>
            </w:r>
          </w:p>
        </w:tc>
        <w:tc>
          <w:tcPr>
            <w:tcW w:w="997" w:type="pct"/>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162D0B">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基础顾问服务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B20A60">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1D276A">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eastAsia"/>
                <w:color w:val="000000"/>
                <w:kern w:val="2"/>
                <w:sz w:val="22"/>
                <w:szCs w:val="21"/>
                <w:highlight w:val="none"/>
                <w:lang w:val="en-US" w:eastAsia="zh-CN" w:bidi="ar-SA"/>
              </w:rPr>
              <w:t>40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40F50F">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r w14:paraId="7522D391">
        <w:tblPrEx>
          <w:tblCellMar>
            <w:top w:w="0" w:type="dxa"/>
            <w:left w:w="0" w:type="dxa"/>
            <w:bottom w:w="0" w:type="dxa"/>
            <w:right w:w="0" w:type="dxa"/>
          </w:tblCellMar>
        </w:tblPrEx>
        <w:trPr>
          <w:cantSplit/>
          <w:trHeight w:val="423" w:hRule="atLeast"/>
        </w:trPr>
        <w:tc>
          <w:tcPr>
            <w:tcW w:w="1366" w:type="pct"/>
            <w:vMerge w:val="continue"/>
            <w:tcBorders>
              <w:left w:val="single" w:color="auto" w:sz="4" w:space="0"/>
              <w:right w:val="single" w:color="auto" w:sz="4" w:space="0"/>
            </w:tcBorders>
            <w:noWrap w:val="0"/>
            <w:tcMar>
              <w:top w:w="15" w:type="dxa"/>
              <w:left w:w="15" w:type="dxa"/>
              <w:bottom w:w="0" w:type="dxa"/>
              <w:right w:w="15" w:type="dxa"/>
            </w:tcMar>
            <w:vAlign w:val="center"/>
          </w:tcPr>
          <w:p w14:paraId="2BA08DBF">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084FB">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99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AEE909">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非诉项目服务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D3FF7C">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D34DAD">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eastAsia"/>
                <w:color w:val="000000"/>
                <w:kern w:val="2"/>
                <w:sz w:val="22"/>
                <w:szCs w:val="21"/>
                <w:highlight w:val="none"/>
                <w:lang w:val="en-US" w:eastAsia="zh-CN" w:bidi="ar-SA"/>
              </w:rPr>
              <w:t>70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EECB0F">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r w14:paraId="49DFA48D">
        <w:tblPrEx>
          <w:tblCellMar>
            <w:top w:w="0" w:type="dxa"/>
            <w:left w:w="0" w:type="dxa"/>
            <w:bottom w:w="0" w:type="dxa"/>
            <w:right w:w="0" w:type="dxa"/>
          </w:tblCellMar>
        </w:tblPrEx>
        <w:trPr>
          <w:cantSplit/>
          <w:trHeight w:val="499" w:hRule="atLeast"/>
        </w:trPr>
        <w:tc>
          <w:tcPr>
            <w:tcW w:w="1366"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F694C">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F61C8AE">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3.城市建设法律板块</w:t>
            </w:r>
          </w:p>
        </w:tc>
        <w:tc>
          <w:tcPr>
            <w:tcW w:w="99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CBA5F6">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基础顾问服务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51F14">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A5B779">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eastAsia"/>
                <w:color w:val="000000"/>
                <w:kern w:val="2"/>
                <w:sz w:val="22"/>
                <w:szCs w:val="21"/>
                <w:highlight w:val="none"/>
                <w:lang w:val="en-US" w:eastAsia="zh-CN" w:bidi="ar-SA"/>
              </w:rPr>
              <w:t>50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5E44D">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r w14:paraId="6B307B08">
        <w:tblPrEx>
          <w:tblCellMar>
            <w:top w:w="0" w:type="dxa"/>
            <w:left w:w="0" w:type="dxa"/>
            <w:bottom w:w="0" w:type="dxa"/>
            <w:right w:w="0" w:type="dxa"/>
          </w:tblCellMar>
        </w:tblPrEx>
        <w:trPr>
          <w:cantSplit/>
          <w:trHeight w:val="410" w:hRule="atLeast"/>
        </w:trPr>
        <w:tc>
          <w:tcPr>
            <w:tcW w:w="1366"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86316">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1215"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0B276">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p>
        </w:tc>
        <w:tc>
          <w:tcPr>
            <w:tcW w:w="99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B9DDF5">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非诉项目服务</w:t>
            </w:r>
          </w:p>
        </w:tc>
        <w:tc>
          <w:tcPr>
            <w:tcW w:w="474"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3C4D59">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w:t>
            </w:r>
          </w:p>
        </w:tc>
        <w:tc>
          <w:tcPr>
            <w:tcW w:w="508"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F8F5A1">
            <w:pPr>
              <w:pageBreakBefore w:val="0"/>
              <w:kinsoku/>
              <w:wordWrap/>
              <w:overflowPunct/>
              <w:topLinePunct w:val="0"/>
              <w:bidi w:val="0"/>
              <w:spacing w:beforeAutospacing="0" w:line="540" w:lineRule="exact"/>
              <w:jc w:val="both"/>
              <w:textAlignment w:val="auto"/>
              <w:rPr>
                <w:rFonts w:hint="default"/>
                <w:color w:val="000000"/>
                <w:kern w:val="2"/>
                <w:sz w:val="22"/>
                <w:szCs w:val="21"/>
                <w:highlight w:val="none"/>
                <w:lang w:val="en-US" w:eastAsia="zh-CN" w:bidi="ar-SA"/>
              </w:rPr>
            </w:pPr>
            <w:r>
              <w:rPr>
                <w:rFonts w:hint="eastAsia"/>
                <w:color w:val="000000"/>
                <w:kern w:val="2"/>
                <w:sz w:val="22"/>
                <w:szCs w:val="21"/>
                <w:highlight w:val="none"/>
                <w:lang w:val="en-US" w:eastAsia="zh-CN" w:bidi="ar-SA"/>
              </w:rPr>
              <w:t>40</w:t>
            </w:r>
          </w:p>
        </w:tc>
        <w:tc>
          <w:tcPr>
            <w:tcW w:w="437"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E23A2">
            <w:pPr>
              <w:pageBreakBefore w:val="0"/>
              <w:kinsoku/>
              <w:wordWrap/>
              <w:overflowPunct/>
              <w:topLinePunct w:val="0"/>
              <w:bidi w:val="0"/>
              <w:spacing w:beforeAutospacing="0" w:line="540" w:lineRule="exact"/>
              <w:jc w:val="both"/>
              <w:textAlignment w:val="auto"/>
              <w:rPr>
                <w:color w:val="000000"/>
                <w:kern w:val="2"/>
                <w:sz w:val="22"/>
                <w:szCs w:val="21"/>
                <w:highlight w:val="none"/>
                <w:lang w:eastAsia="zh-CN" w:bidi="ar-SA"/>
              </w:rPr>
            </w:pPr>
            <w:r>
              <w:rPr>
                <w:rFonts w:hint="eastAsia"/>
                <w:color w:val="000000"/>
                <w:kern w:val="2"/>
                <w:sz w:val="22"/>
                <w:szCs w:val="21"/>
                <w:highlight w:val="none"/>
                <w:lang w:eastAsia="zh-CN" w:bidi="ar-SA"/>
              </w:rPr>
              <w:t>年</w:t>
            </w:r>
          </w:p>
        </w:tc>
      </w:tr>
    </w:tbl>
    <w:p w14:paraId="3208AFC0">
      <w:pPr>
        <w:pStyle w:val="121"/>
        <w:keepNext w:val="0"/>
        <w:keepLines w:val="0"/>
        <w:pageBreakBefore w:val="0"/>
        <w:widowControl w:val="0"/>
        <w:shd w:val="clear" w:color="auto" w:fill="auto"/>
        <w:kinsoku/>
        <w:wordWrap/>
        <w:overflowPunct/>
        <w:topLinePunct w:val="0"/>
        <w:autoSpaceDE w:val="0"/>
        <w:autoSpaceDN w:val="0"/>
        <w:bidi w:val="0"/>
        <w:adjustRightInd w:val="0"/>
        <w:snapToGrid/>
        <w:spacing w:beforeAutospacing="0" w:line="540" w:lineRule="exact"/>
        <w:ind w:firstLine="480" w:firstLineChars="200"/>
        <w:textAlignment w:val="auto"/>
        <w:rPr>
          <w:rFonts w:hint="eastAsia"/>
          <w:highlight w:val="none"/>
        </w:rPr>
      </w:pPr>
      <w:r>
        <w:rPr>
          <w:rFonts w:hint="eastAsia" w:ascii="宋体" w:hAnsi="宋体" w:eastAsia="宋体" w:cs="宋体"/>
          <w:color w:val="000000"/>
          <w:sz w:val="24"/>
          <w:highlight w:val="none"/>
        </w:rPr>
        <w:t>▲</w:t>
      </w:r>
      <w:r>
        <w:rPr>
          <w:rFonts w:hint="eastAsia" w:ascii="Times New Roman" w:eastAsia="宋体" w:cs="Times New Roman"/>
          <w:color w:val="auto"/>
          <w:kern w:val="2"/>
          <w:sz w:val="24"/>
          <w:szCs w:val="24"/>
          <w:highlight w:val="none"/>
          <w:lang w:val="en-US" w:eastAsia="zh-CN" w:bidi="ar-SA"/>
        </w:rPr>
        <w:t>注：</w:t>
      </w:r>
      <w:r>
        <w:rPr>
          <w:rFonts w:hint="eastAsia" w:ascii="Times New Roman" w:hAnsi="Times New Roman" w:eastAsia="宋体" w:cs="Times New Roman"/>
          <w:color w:val="auto"/>
          <w:kern w:val="2"/>
          <w:sz w:val="24"/>
          <w:szCs w:val="24"/>
          <w:highlight w:val="none"/>
          <w:lang w:val="en-US" w:eastAsia="zh-CN" w:bidi="ar-SA"/>
        </w:rPr>
        <w:t>本项目共分为</w:t>
      </w:r>
      <w:r>
        <w:rPr>
          <w:rFonts w:hint="eastAsia" w:ascii="Times New Roman" w:eastAsia="宋体" w:cs="Times New Roman"/>
          <w:color w:val="auto"/>
          <w:kern w:val="2"/>
          <w:sz w:val="24"/>
          <w:szCs w:val="24"/>
          <w:highlight w:val="none"/>
          <w:lang w:val="en-US" w:eastAsia="zh-CN" w:bidi="ar-SA"/>
        </w:rPr>
        <w:t xml:space="preserve"> 3 </w:t>
      </w:r>
      <w:r>
        <w:rPr>
          <w:rFonts w:hint="eastAsia" w:ascii="Times New Roman" w:hAnsi="Times New Roman" w:eastAsia="宋体" w:cs="Times New Roman"/>
          <w:color w:val="auto"/>
          <w:kern w:val="2"/>
          <w:sz w:val="24"/>
          <w:szCs w:val="24"/>
          <w:highlight w:val="none"/>
          <w:lang w:val="en-US" w:eastAsia="zh-CN" w:bidi="ar-SA"/>
        </w:rPr>
        <w:t>个标项，各投标人按所投标项依次投标，可重复投标，但不可重复中标，开标顺序按照标项顺序依次开标，前一标项中标单位自动视为放弃之后所有标项中标权利。</w:t>
      </w:r>
    </w:p>
    <w:p w14:paraId="117310B5">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p>
    <w:p w14:paraId="2DA75022">
      <w:pPr>
        <w:pageBreakBefore w:val="0"/>
        <w:shd w:val="clear" w:color="auto" w:fill="auto"/>
        <w:kinsoku/>
        <w:wordWrap/>
        <w:overflowPunct/>
        <w:topLinePunct w:val="0"/>
        <w:bidi w:val="0"/>
        <w:adjustRightInd/>
        <w:spacing w:beforeAutospacing="0" w:line="540" w:lineRule="exact"/>
        <w:ind w:firstLine="3845" w:firstLineChars="1197"/>
        <w:jc w:val="left"/>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二、交易需求</w:t>
      </w:r>
    </w:p>
    <w:p w14:paraId="570B93DC">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一）</w:t>
      </w:r>
      <w:r>
        <w:rPr>
          <w:rFonts w:hint="eastAsia" w:ascii="宋体" w:hAnsi="宋体" w:eastAsia="宋体" w:cs="宋体"/>
          <w:b/>
          <w:bCs/>
          <w:sz w:val="24"/>
          <w:highlight w:val="none"/>
          <w:lang w:eastAsia="zh-CN"/>
        </w:rPr>
        <w:t>项目情况</w:t>
      </w:r>
    </w:p>
    <w:p w14:paraId="6B8C186B">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 项目名称：萧山经开区国控集团及下属公司2025-2026年度法律顾问及非诉专项法律服务项目。</w:t>
      </w:r>
    </w:p>
    <w:p w14:paraId="34A39031">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 项目内容：杭州萧山经济技术开发区国有资本控股集团有限公司及下属公司（部分）提供2025-2026年度法律顾问及非诉专项法律服务。</w:t>
      </w:r>
    </w:p>
    <w:p w14:paraId="7B8BDFBF">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 项目金额：本项目总预算金额340万元，服务期限为一年。</w:t>
      </w:r>
    </w:p>
    <w:p w14:paraId="65371211">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（1）标项一：集团本级、资产与产业服务法律板块，预算金额为140万元：①基础顾问服务按总价包干方式计价，年度最高限价40万元；②非诉项目服务按单价包干方式计价，按“件”计费，年度最高限价为100万元</w:t>
      </w:r>
      <w:r>
        <w:rPr>
          <w:rFonts w:hint="eastAsia" w:ascii="宋体" w:hAnsi="宋体" w:cs="宋体"/>
          <w:sz w:val="24"/>
          <w:highlight w:val="none"/>
          <w:lang w:val="en-US" w:eastAsia="zh-CN"/>
        </w:rPr>
        <w:t>，年度支出金额最高不超过100万</w:t>
      </w:r>
      <w:r>
        <w:rPr>
          <w:rFonts w:hint="eastAsia" w:ascii="宋体" w:hAnsi="宋体" w:eastAsia="宋体" w:cs="宋体"/>
          <w:sz w:val="24"/>
          <w:highlight w:val="none"/>
          <w:lang w:val="en-US" w:eastAsia="zh-CN"/>
        </w:rPr>
        <w:t>。</w:t>
      </w:r>
    </w:p>
    <w:p w14:paraId="4D5F0AB5">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（2）标项二：战略新兴投资与绿色创新法律板块。预算金额为110万元：①基础顾问服务按总价包干方式计价，年度最高限价40万元；②非诉项目服务按单价包干方式计价，按“件”计费，年度最高限价为70万元</w:t>
      </w:r>
      <w:r>
        <w:rPr>
          <w:rFonts w:hint="eastAsia" w:ascii="宋体" w:hAnsi="宋体" w:cs="宋体"/>
          <w:sz w:val="24"/>
          <w:highlight w:val="none"/>
          <w:lang w:val="en-US" w:eastAsia="zh-CN"/>
        </w:rPr>
        <w:t>，年度支出金额最高不超过70万</w:t>
      </w:r>
      <w:r>
        <w:rPr>
          <w:rFonts w:hint="eastAsia" w:ascii="宋体" w:hAnsi="宋体" w:eastAsia="宋体" w:cs="宋体"/>
          <w:sz w:val="24"/>
          <w:highlight w:val="none"/>
          <w:lang w:val="en-US" w:eastAsia="zh-CN"/>
        </w:rPr>
        <w:t>。</w:t>
      </w:r>
    </w:p>
    <w:p w14:paraId="39F11D37">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（3）标项三：城市建设法律板块，预算金额为90万元：①基础顾问服务按总价包干方式计价，年度最高限价50万元；②非诉项目服务按单价包干方式计价，按“件”计费，年度最高限价为40万元</w:t>
      </w:r>
      <w:r>
        <w:rPr>
          <w:rFonts w:hint="eastAsia" w:ascii="宋体" w:hAnsi="宋体" w:cs="宋体"/>
          <w:sz w:val="24"/>
          <w:highlight w:val="none"/>
          <w:lang w:val="en-US" w:eastAsia="zh-CN"/>
        </w:rPr>
        <w:t>，年度支出金额最高不超过40万</w:t>
      </w:r>
      <w:r>
        <w:rPr>
          <w:rFonts w:hint="eastAsia" w:ascii="宋体" w:hAnsi="宋体" w:eastAsia="宋体" w:cs="宋体"/>
          <w:sz w:val="24"/>
          <w:highlight w:val="none"/>
          <w:lang w:val="en-US" w:eastAsia="zh-CN"/>
        </w:rPr>
        <w:t>。</w:t>
      </w:r>
    </w:p>
    <w:p w14:paraId="4D44858C">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（二）服务要求和工作方式</w:t>
      </w:r>
    </w:p>
    <w:p w14:paraId="7188F7C6">
      <w:pPr>
        <w:keepNext/>
        <w:keepLines/>
        <w:pageBreakBefore w:val="0"/>
        <w:widowControl w:val="0"/>
        <w:kinsoku/>
        <w:wordWrap/>
        <w:overflowPunct/>
        <w:topLinePunct w:val="0"/>
        <w:autoSpaceDE/>
        <w:autoSpaceDN/>
        <w:bidi w:val="0"/>
        <w:adjustRightInd w:val="0"/>
        <w:snapToGrid/>
        <w:spacing w:beforeAutospacing="0" w:line="540" w:lineRule="exact"/>
        <w:ind w:firstLine="482" w:firstLineChars="200"/>
        <w:jc w:val="both"/>
        <w:textAlignment w:val="auto"/>
        <w:outlineLvl w:val="1"/>
        <w:rPr>
          <w:rFonts w:hint="eastAsia" w:ascii="宋体" w:hAnsi="宋体" w:eastAsia="宋体" w:cs="宋体"/>
          <w:b/>
          <w:bCs/>
          <w:color w:val="000000"/>
          <w:kern w:val="2"/>
          <w:sz w:val="24"/>
          <w:szCs w:val="24"/>
          <w:highlight w:val="none"/>
          <w:lang w:eastAsia="zh-CN" w:bidi="ar-SA"/>
        </w:rPr>
      </w:pPr>
      <w:r>
        <w:rPr>
          <w:rFonts w:hint="eastAsia" w:ascii="宋体" w:hAnsi="宋体" w:eastAsia="宋体" w:cs="宋体"/>
          <w:b/>
          <w:bCs/>
          <w:color w:val="000000"/>
          <w:kern w:val="2"/>
          <w:sz w:val="24"/>
          <w:szCs w:val="24"/>
          <w:highlight w:val="none"/>
          <w:lang w:eastAsia="zh-CN" w:bidi="ar-SA"/>
        </w:rPr>
        <w:t>集团本级需求（各标项</w:t>
      </w:r>
      <w:r>
        <w:rPr>
          <w:rFonts w:hint="eastAsia" w:ascii="宋体" w:hAnsi="宋体" w:cs="宋体"/>
          <w:b/>
          <w:bCs/>
          <w:color w:val="000000"/>
          <w:kern w:val="2"/>
          <w:sz w:val="24"/>
          <w:szCs w:val="24"/>
          <w:highlight w:val="none"/>
          <w:lang w:eastAsia="zh-CN" w:bidi="ar-SA"/>
        </w:rPr>
        <w:t>成交供应商</w:t>
      </w:r>
      <w:r>
        <w:rPr>
          <w:rFonts w:hint="eastAsia" w:ascii="宋体" w:hAnsi="宋体" w:eastAsia="宋体" w:cs="宋体"/>
          <w:b/>
          <w:bCs/>
          <w:color w:val="000000"/>
          <w:kern w:val="2"/>
          <w:sz w:val="24"/>
          <w:szCs w:val="24"/>
          <w:highlight w:val="none"/>
          <w:lang w:eastAsia="zh-CN" w:bidi="ar-SA"/>
        </w:rPr>
        <w:t>协同提供服务）</w:t>
      </w:r>
      <w:r>
        <w:rPr>
          <w:rFonts w:hint="eastAsia" w:ascii="宋体" w:hAnsi="宋体" w:cs="宋体"/>
          <w:b/>
          <w:bCs/>
          <w:color w:val="000000"/>
          <w:kern w:val="2"/>
          <w:sz w:val="24"/>
          <w:szCs w:val="24"/>
          <w:highlight w:val="none"/>
          <w:lang w:eastAsia="zh-CN" w:bidi="ar-SA"/>
        </w:rPr>
        <w:t>：</w:t>
      </w:r>
    </w:p>
    <w:p w14:paraId="504148E0">
      <w:pPr>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val="en-US" w:eastAsia="zh-CN" w:bidi="ar"/>
        </w:rPr>
        <w:t xml:space="preserve">1. </w:t>
      </w:r>
      <w:r>
        <w:rPr>
          <w:rFonts w:hint="eastAsia" w:ascii="宋体" w:hAnsi="宋体" w:eastAsia="宋体" w:cs="宋体"/>
          <w:b/>
          <w:bCs/>
          <w:color w:val="000000"/>
          <w:sz w:val="24"/>
          <w:szCs w:val="24"/>
          <w:highlight w:val="none"/>
          <w:lang w:eastAsia="zh-CN" w:bidi="ar"/>
        </w:rPr>
        <w:t>日常运营与合规管理</w:t>
      </w:r>
    </w:p>
    <w:p w14:paraId="2707A252">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1）合同审核与</w:t>
      </w:r>
      <w:r>
        <w:rPr>
          <w:rFonts w:hint="eastAsia" w:ascii="宋体" w:hAnsi="宋体" w:eastAsia="宋体" w:cs="宋体"/>
          <w:color w:val="000000"/>
          <w:kern w:val="2"/>
          <w:sz w:val="24"/>
          <w:szCs w:val="24"/>
          <w:highlight w:val="none"/>
          <w:lang w:eastAsia="zh-CN" w:bidi="ar-SA"/>
        </w:rPr>
        <w:t>管理：起草、审查各类合同（采购、投资、劳务等），</w:t>
      </w:r>
      <w:r>
        <w:rPr>
          <w:rFonts w:hint="eastAsia" w:ascii="宋体" w:hAnsi="宋体" w:eastAsia="宋体" w:cs="宋体"/>
          <w:color w:val="000000"/>
          <w:kern w:val="2"/>
          <w:sz w:val="24"/>
          <w:szCs w:val="24"/>
          <w:highlight w:val="none"/>
          <w:lang w:val="en-US" w:eastAsia="zh-CN" w:bidi="ar-SA"/>
        </w:rPr>
        <w:t>协助采购人</w:t>
      </w:r>
      <w:r>
        <w:rPr>
          <w:rFonts w:hint="eastAsia" w:ascii="宋体" w:hAnsi="宋体" w:eastAsia="宋体" w:cs="宋体"/>
          <w:color w:val="000000"/>
          <w:kern w:val="2"/>
          <w:sz w:val="24"/>
          <w:szCs w:val="24"/>
          <w:highlight w:val="none"/>
          <w:lang w:eastAsia="zh-CN" w:bidi="ar-SA"/>
        </w:rPr>
        <w:t>制定标准模板、建立合同履行风险防控机制、跟踪履约情况。</w:t>
      </w:r>
    </w:p>
    <w:p w14:paraId="54CA6230">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eastAsia="zh-CN" w:bidi="ar-SA"/>
        </w:rPr>
        <w:t>规章制度建设：</w:t>
      </w:r>
      <w:r>
        <w:rPr>
          <w:rFonts w:hint="eastAsia" w:ascii="宋体" w:hAnsi="宋体" w:eastAsia="宋体" w:cs="宋体"/>
          <w:color w:val="000000"/>
          <w:kern w:val="2"/>
          <w:sz w:val="24"/>
          <w:szCs w:val="24"/>
          <w:highlight w:val="none"/>
          <w:lang w:val="en-US" w:eastAsia="zh-CN" w:bidi="ar-SA"/>
        </w:rPr>
        <w:t>协助采购人</w:t>
      </w:r>
      <w:r>
        <w:rPr>
          <w:rFonts w:hint="eastAsia" w:ascii="宋体" w:hAnsi="宋体" w:eastAsia="宋体" w:cs="宋体"/>
          <w:color w:val="000000"/>
          <w:kern w:val="2"/>
          <w:sz w:val="24"/>
          <w:szCs w:val="24"/>
          <w:highlight w:val="none"/>
          <w:lang w:eastAsia="zh-CN" w:bidi="ar-SA"/>
        </w:rPr>
        <w:t>审查内部制度合法性，修正法律漏洞。</w:t>
      </w:r>
    </w:p>
    <w:p w14:paraId="7717172B">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eastAsia="zh-CN" w:bidi="ar-SA"/>
        </w:rPr>
        <w:t>设计合规流程：如印章管理、合同审批</w:t>
      </w:r>
      <w:r>
        <w:rPr>
          <w:rFonts w:hint="eastAsia" w:ascii="宋体" w:hAnsi="宋体" w:eastAsia="宋体" w:cs="宋体"/>
          <w:color w:val="000000"/>
          <w:kern w:val="2"/>
          <w:sz w:val="24"/>
          <w:szCs w:val="24"/>
          <w:highlight w:val="none"/>
          <w:lang w:val="en-US" w:eastAsia="zh-CN" w:bidi="ar-SA"/>
        </w:rPr>
        <w:t>等</w:t>
      </w:r>
      <w:r>
        <w:rPr>
          <w:rFonts w:hint="eastAsia" w:ascii="宋体" w:hAnsi="宋体" w:eastAsia="宋体" w:cs="宋体"/>
          <w:color w:val="000000"/>
          <w:kern w:val="2"/>
          <w:sz w:val="24"/>
          <w:szCs w:val="24"/>
          <w:highlight w:val="none"/>
          <w:lang w:eastAsia="zh-CN" w:bidi="ar-SA"/>
        </w:rPr>
        <w:t>。</w:t>
      </w:r>
    </w:p>
    <w:p w14:paraId="0757BBF6">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b/>
          <w:bCs/>
          <w:color w:val="000000"/>
          <w:sz w:val="24"/>
          <w:szCs w:val="24"/>
          <w:highlight w:val="none"/>
          <w:lang w:eastAsia="zh-CN" w:bidi="ar"/>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eastAsia="zh-CN" w:bidi="ar-SA"/>
        </w:rPr>
        <w:t>法律咨询与培训：实时解答日常经营法律问题（如劳动用工、商业合作）；开展专题培训，</w:t>
      </w:r>
      <w:r>
        <w:rPr>
          <w:rFonts w:hint="eastAsia" w:ascii="宋体" w:hAnsi="宋体" w:eastAsia="宋体" w:cs="宋体"/>
          <w:color w:val="000000"/>
          <w:kern w:val="2"/>
          <w:sz w:val="24"/>
          <w:szCs w:val="24"/>
          <w:highlight w:val="none"/>
          <w:lang w:val="en-US" w:eastAsia="zh-CN" w:bidi="ar-SA"/>
        </w:rPr>
        <w:t>其中</w:t>
      </w:r>
      <w:r>
        <w:rPr>
          <w:rFonts w:hint="eastAsia" w:ascii="宋体" w:hAnsi="宋体" w:cs="宋体"/>
          <w:color w:val="000000"/>
          <w:kern w:val="2"/>
          <w:sz w:val="24"/>
          <w:szCs w:val="24"/>
          <w:highlight w:val="none"/>
          <w:lang w:eastAsia="zh-CN" w:bidi="ar-SA"/>
        </w:rPr>
        <w:t>管理岗</w:t>
      </w:r>
      <w:r>
        <w:rPr>
          <w:rFonts w:hint="eastAsia" w:ascii="宋体" w:hAnsi="宋体" w:eastAsia="宋体" w:cs="宋体"/>
          <w:color w:val="000000"/>
          <w:kern w:val="2"/>
          <w:sz w:val="24"/>
          <w:szCs w:val="24"/>
          <w:highlight w:val="none"/>
          <w:lang w:eastAsia="zh-CN" w:bidi="ar-SA"/>
        </w:rPr>
        <w:t>合规培训每年至少2次，内容涵盖国资监管法律法规、证券法（若涉及上市）等；员工法律培训</w:t>
      </w:r>
      <w:r>
        <w:rPr>
          <w:rFonts w:hint="eastAsia" w:ascii="宋体" w:hAnsi="宋体" w:eastAsia="宋体" w:cs="宋体"/>
          <w:color w:val="000000"/>
          <w:kern w:val="2"/>
          <w:sz w:val="24"/>
          <w:szCs w:val="24"/>
          <w:highlight w:val="none"/>
          <w:lang w:val="en-US" w:eastAsia="zh-CN" w:bidi="ar-SA"/>
        </w:rPr>
        <w:t>每年至少1次，</w:t>
      </w:r>
      <w:r>
        <w:rPr>
          <w:rFonts w:hint="eastAsia" w:ascii="宋体" w:hAnsi="宋体" w:eastAsia="宋体" w:cs="宋体"/>
          <w:color w:val="000000"/>
          <w:kern w:val="2"/>
          <w:sz w:val="24"/>
          <w:szCs w:val="24"/>
          <w:highlight w:val="none"/>
          <w:lang w:eastAsia="zh-CN" w:bidi="ar-SA"/>
        </w:rPr>
        <w:t>需针对重点岗位（如招投标、合同管理）开展培训及合规测试。</w:t>
      </w:r>
    </w:p>
    <w:p w14:paraId="699B9B20">
      <w:pPr>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 xml:space="preserve">2. </w:t>
      </w:r>
      <w:r>
        <w:rPr>
          <w:rFonts w:hint="eastAsia" w:ascii="宋体" w:hAnsi="宋体" w:eastAsia="宋体" w:cs="宋体"/>
          <w:b/>
          <w:bCs/>
          <w:color w:val="000000"/>
          <w:sz w:val="24"/>
          <w:szCs w:val="24"/>
          <w:highlight w:val="none"/>
          <w:lang w:eastAsia="zh-CN" w:bidi="ar"/>
        </w:rPr>
        <w:t>风险防控与合规监管</w:t>
      </w:r>
    </w:p>
    <w:p w14:paraId="0BAF5400">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eastAsia="zh-CN" w:bidi="ar-SA"/>
        </w:rPr>
        <w:t>合规审查：经营合规性评估（如广告宣传、数据安全）。应对监管检查，制定风险预案。</w:t>
      </w:r>
    </w:p>
    <w:p w14:paraId="1583E8A2">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eastAsia="zh-CN" w:bidi="ar-SA"/>
        </w:rPr>
        <w:t>法律体检与预警：定期对公司治理、</w:t>
      </w:r>
      <w:r>
        <w:rPr>
          <w:rFonts w:hint="eastAsia" w:ascii="宋体" w:hAnsi="宋体" w:eastAsia="宋体" w:cs="宋体"/>
          <w:color w:val="000000"/>
          <w:kern w:val="2"/>
          <w:sz w:val="24"/>
          <w:szCs w:val="24"/>
          <w:highlight w:val="none"/>
          <w:lang w:val="en-US" w:eastAsia="zh-CN" w:bidi="ar-SA"/>
        </w:rPr>
        <w:t>资产管理</w:t>
      </w:r>
      <w:r>
        <w:rPr>
          <w:rFonts w:hint="eastAsia" w:ascii="宋体" w:hAnsi="宋体" w:eastAsia="宋体" w:cs="宋体"/>
          <w:color w:val="000000"/>
          <w:kern w:val="2"/>
          <w:sz w:val="24"/>
          <w:szCs w:val="24"/>
          <w:highlight w:val="none"/>
          <w:lang w:eastAsia="zh-CN" w:bidi="ar-SA"/>
        </w:rPr>
        <w:t>等模块进行风险扫描，出具整改方案。监控政策法规变动（如行业新规），及时预警。</w:t>
      </w:r>
    </w:p>
    <w:p w14:paraId="0BF8AF3D">
      <w:pPr>
        <w:pageBreakBefore w:val="0"/>
        <w:widowControl w:val="0"/>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val="en-US" w:eastAsia="zh-CN" w:bidi="ar"/>
        </w:rPr>
        <w:t xml:space="preserve">3. </w:t>
      </w:r>
      <w:r>
        <w:rPr>
          <w:rFonts w:hint="eastAsia" w:ascii="宋体" w:hAnsi="宋体" w:eastAsia="宋体" w:cs="宋体"/>
          <w:b/>
          <w:bCs/>
          <w:color w:val="000000"/>
          <w:sz w:val="24"/>
          <w:szCs w:val="24"/>
          <w:highlight w:val="none"/>
          <w:lang w:eastAsia="zh-CN" w:bidi="ar"/>
        </w:rPr>
        <w:t>专项事务支持​</w:t>
      </w:r>
      <w:r>
        <w:rPr>
          <w:rFonts w:hint="eastAsia" w:ascii="宋体" w:hAnsi="宋体" w:eastAsia="宋体" w:cs="宋体"/>
          <w:color w:val="000000"/>
          <w:kern w:val="2"/>
          <w:sz w:val="24"/>
          <w:szCs w:val="24"/>
          <w:highlight w:val="none"/>
          <w:lang w:eastAsia="zh-CN" w:bidi="ar-SA"/>
        </w:rPr>
        <w:t>​</w:t>
      </w:r>
    </w:p>
    <w:p w14:paraId="17656358">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eastAsia="zh-CN" w:bidi="ar-SA"/>
        </w:rPr>
        <w:t>投融资：尽职调查、交易结构设计、文件起草（股权收购、资产重组），企业合并/分立、破产清算法律支持。</w:t>
      </w:r>
    </w:p>
    <w:p w14:paraId="3DFB225D">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eastAsia="zh-CN" w:bidi="ar-SA"/>
        </w:rPr>
        <w:t>税务与财务合规：税务筹划咨询。</w:t>
      </w:r>
    </w:p>
    <w:p w14:paraId="26628542">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3）集团战略中各板块的专项法律事务。</w:t>
      </w:r>
    </w:p>
    <w:p w14:paraId="3284F793">
      <w:pPr>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val="en-US" w:eastAsia="zh-CN" w:bidi="ar"/>
        </w:rPr>
        <w:t xml:space="preserve">4. </w:t>
      </w:r>
      <w:r>
        <w:rPr>
          <w:rFonts w:hint="eastAsia" w:ascii="宋体" w:hAnsi="宋体" w:eastAsia="宋体" w:cs="宋体"/>
          <w:b/>
          <w:bCs/>
          <w:color w:val="000000"/>
          <w:sz w:val="24"/>
          <w:szCs w:val="24"/>
          <w:highlight w:val="none"/>
          <w:lang w:eastAsia="zh-CN" w:bidi="ar"/>
        </w:rPr>
        <w:t>争议解决与危机应对​​</w:t>
      </w:r>
    </w:p>
    <w:p w14:paraId="66BA825F">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eastAsia="zh-CN" w:bidi="ar-SA"/>
        </w:rPr>
        <w:t>诉讼与仲裁</w:t>
      </w:r>
      <w:r>
        <w:rPr>
          <w:rFonts w:hint="eastAsia" w:ascii="宋体" w:hAnsi="宋体" w:eastAsia="宋体" w:cs="宋体"/>
          <w:color w:val="000000"/>
          <w:kern w:val="2"/>
          <w:sz w:val="24"/>
          <w:szCs w:val="24"/>
          <w:highlight w:val="none"/>
          <w:lang w:val="en-US" w:eastAsia="zh-CN" w:bidi="ar-SA"/>
        </w:rPr>
        <w:t>前期处理：</w:t>
      </w:r>
      <w:r>
        <w:rPr>
          <w:rFonts w:hint="eastAsia" w:ascii="宋体" w:hAnsi="宋体" w:eastAsia="宋体" w:cs="宋体"/>
          <w:color w:val="000000"/>
          <w:kern w:val="2"/>
          <w:sz w:val="24"/>
          <w:szCs w:val="24"/>
          <w:highlight w:val="none"/>
          <w:lang w:eastAsia="zh-CN" w:bidi="ar-SA"/>
        </w:rPr>
        <w:t>民商事纠纷（合同违约、</w:t>
      </w:r>
      <w:r>
        <w:rPr>
          <w:rFonts w:hint="eastAsia" w:ascii="宋体" w:hAnsi="宋体" w:cs="宋体"/>
          <w:color w:val="000000"/>
          <w:kern w:val="2"/>
          <w:sz w:val="24"/>
          <w:szCs w:val="24"/>
          <w:highlight w:val="none"/>
          <w:lang w:eastAsia="zh-CN" w:bidi="ar-SA"/>
        </w:rPr>
        <w:t>账款催收、</w:t>
      </w:r>
      <w:r>
        <w:rPr>
          <w:rFonts w:hint="eastAsia" w:ascii="宋体" w:hAnsi="宋体" w:eastAsia="宋体" w:cs="宋体"/>
          <w:color w:val="000000"/>
          <w:kern w:val="2"/>
          <w:sz w:val="24"/>
          <w:szCs w:val="24"/>
          <w:highlight w:val="none"/>
          <w:lang w:eastAsia="zh-CN" w:bidi="ar-SA"/>
        </w:rPr>
        <w:t>知识产权侵权）、劳动争议</w:t>
      </w:r>
      <w:r>
        <w:rPr>
          <w:rFonts w:hint="eastAsia" w:ascii="宋体" w:hAnsi="宋体" w:cs="宋体"/>
          <w:color w:val="000000"/>
          <w:kern w:val="2"/>
          <w:sz w:val="24"/>
          <w:szCs w:val="24"/>
          <w:highlight w:val="none"/>
          <w:lang w:eastAsia="zh-CN" w:bidi="ar-SA"/>
        </w:rPr>
        <w:t>等</w:t>
      </w:r>
      <w:r>
        <w:rPr>
          <w:rFonts w:hint="eastAsia" w:ascii="宋体" w:hAnsi="宋体" w:eastAsia="宋体" w:cs="宋体"/>
          <w:color w:val="000000"/>
          <w:kern w:val="2"/>
          <w:sz w:val="24"/>
          <w:szCs w:val="24"/>
          <w:highlight w:val="none"/>
          <w:lang w:eastAsia="zh-CN" w:bidi="ar-SA"/>
        </w:rPr>
        <w:t>纠纷</w:t>
      </w:r>
      <w:r>
        <w:rPr>
          <w:rFonts w:hint="eastAsia" w:ascii="宋体" w:hAnsi="宋体" w:eastAsia="宋体" w:cs="宋体"/>
          <w:color w:val="000000"/>
          <w:kern w:val="2"/>
          <w:sz w:val="24"/>
          <w:szCs w:val="24"/>
          <w:highlight w:val="none"/>
          <w:lang w:val="en-US" w:eastAsia="zh-CN" w:bidi="ar-SA"/>
        </w:rPr>
        <w:t>的前期处理</w:t>
      </w:r>
      <w:r>
        <w:rPr>
          <w:rFonts w:hint="eastAsia" w:ascii="宋体" w:hAnsi="宋体" w:eastAsia="宋体" w:cs="宋体"/>
          <w:color w:val="000000"/>
          <w:kern w:val="2"/>
          <w:sz w:val="24"/>
          <w:szCs w:val="24"/>
          <w:highlight w:val="none"/>
          <w:lang w:eastAsia="zh-CN" w:bidi="ar-SA"/>
        </w:rPr>
        <w:t>，与诉讼代理人做好衔接。</w:t>
      </w:r>
    </w:p>
    <w:p w14:paraId="03626A03">
      <w:pPr>
        <w:pageBreakBefore w:val="0"/>
        <w:widowControl w:val="0"/>
        <w:numPr>
          <w:ilvl w:val="0"/>
          <w:numId w:val="4"/>
        </w:numPr>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突发公共事件：制定《危机管理预案》，覆盖环保处罚、安全生产事故等场景。</w:t>
      </w:r>
    </w:p>
    <w:p w14:paraId="54C5821A">
      <w:pPr>
        <w:pageBreakBefore w:val="0"/>
        <w:widowControl w:val="0"/>
        <w:numPr>
          <w:ilvl w:val="0"/>
          <w:numId w:val="0"/>
        </w:numPr>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（3）规范沟通机制，避免引发信访、群体性事件。</w:t>
      </w:r>
    </w:p>
    <w:p w14:paraId="52D9FCE8">
      <w:pPr>
        <w:pageBreakBefore w:val="0"/>
        <w:widowControl w:val="0"/>
        <w:numPr>
          <w:ilvl w:val="0"/>
          <w:numId w:val="5"/>
        </w:numPr>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公司治理与战略支持​​</w:t>
      </w:r>
    </w:p>
    <w:p w14:paraId="1F87CD11">
      <w:pPr>
        <w:pageBreakBefore w:val="0"/>
        <w:widowControl w:val="0"/>
        <w:numPr>
          <w:ilvl w:val="0"/>
          <w:numId w:val="0"/>
        </w:numPr>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eastAsia="zh-CN" w:bidi="ar-SA"/>
        </w:rPr>
        <w:t>治理结构优化：设计股权架构、公司章程，规范</w:t>
      </w:r>
      <w:r>
        <w:rPr>
          <w:rFonts w:hint="eastAsia" w:ascii="宋体" w:hAnsi="宋体" w:eastAsia="宋体" w:cs="宋体"/>
          <w:color w:val="000000"/>
          <w:kern w:val="2"/>
          <w:sz w:val="24"/>
          <w:szCs w:val="24"/>
          <w:highlight w:val="none"/>
          <w:lang w:val="en-US" w:eastAsia="zh-CN" w:bidi="ar-SA"/>
        </w:rPr>
        <w:t>下属参股公司</w:t>
      </w:r>
      <w:r>
        <w:rPr>
          <w:rFonts w:hint="eastAsia" w:ascii="宋体" w:hAnsi="宋体" w:eastAsia="宋体" w:cs="宋体"/>
          <w:color w:val="000000"/>
          <w:kern w:val="2"/>
          <w:sz w:val="24"/>
          <w:szCs w:val="24"/>
          <w:highlight w:val="none"/>
          <w:lang w:eastAsia="zh-CN" w:bidi="ar-SA"/>
        </w:rPr>
        <w:t>股东会、董事会运作。</w:t>
      </w:r>
    </w:p>
    <w:p w14:paraId="22D0B72A">
      <w:pPr>
        <w:pageBreakBefore w:val="0"/>
        <w:widowControl w:val="0"/>
        <w:numPr>
          <w:ilvl w:val="0"/>
          <w:numId w:val="0"/>
        </w:numPr>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eastAsia="zh-CN" w:bidi="ar-SA"/>
        </w:rPr>
        <w:t>重大决策支持：列席经营会议，对投资、并购等</w:t>
      </w:r>
      <w:r>
        <w:rPr>
          <w:rFonts w:hint="eastAsia" w:ascii="宋体" w:hAnsi="宋体" w:eastAsia="宋体" w:cs="宋体"/>
          <w:color w:val="000000"/>
          <w:kern w:val="2"/>
          <w:sz w:val="24"/>
          <w:szCs w:val="24"/>
          <w:highlight w:val="none"/>
          <w:lang w:val="en-US" w:eastAsia="zh-CN" w:bidi="ar-SA"/>
        </w:rPr>
        <w:t>重大</w:t>
      </w:r>
      <w:r>
        <w:rPr>
          <w:rFonts w:hint="eastAsia" w:ascii="宋体" w:hAnsi="宋体" w:eastAsia="宋体" w:cs="宋体"/>
          <w:color w:val="000000"/>
          <w:kern w:val="2"/>
          <w:sz w:val="24"/>
          <w:szCs w:val="24"/>
          <w:highlight w:val="none"/>
          <w:lang w:eastAsia="zh-CN" w:bidi="ar-SA"/>
        </w:rPr>
        <w:t>决策进行法律论证。参与商务谈判，制定风险控制策略。</w:t>
      </w:r>
    </w:p>
    <w:p w14:paraId="422866FB">
      <w:pPr>
        <w:pageBreakBefore w:val="0"/>
        <w:widowControl w:val="0"/>
        <w:numPr>
          <w:ilvl w:val="0"/>
          <w:numId w:val="5"/>
        </w:numPr>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
        </w:rPr>
        <w:t>采购人所需的其他法律支持、关键风险提示：</w:t>
      </w:r>
      <w:r>
        <w:rPr>
          <w:rFonts w:hint="eastAsia" w:ascii="宋体" w:hAnsi="宋体" w:eastAsia="宋体" w:cs="宋体"/>
          <w:color w:val="000000"/>
          <w:kern w:val="2"/>
          <w:sz w:val="24"/>
          <w:szCs w:val="24"/>
          <w:highlight w:val="none"/>
          <w:lang w:val="en-US" w:eastAsia="zh-CN" w:bidi="ar-SA"/>
        </w:rPr>
        <w:t>如土地</w:t>
      </w:r>
      <w:r>
        <w:rPr>
          <w:rFonts w:hint="eastAsia" w:ascii="宋体" w:hAnsi="宋体" w:cs="宋体"/>
          <w:color w:val="000000"/>
          <w:kern w:val="2"/>
          <w:sz w:val="24"/>
          <w:szCs w:val="24"/>
          <w:highlight w:val="none"/>
          <w:lang w:val="en-US" w:eastAsia="zh-CN" w:bidi="ar-SA"/>
        </w:rPr>
        <w:t>出</w:t>
      </w:r>
      <w:r>
        <w:rPr>
          <w:rFonts w:hint="eastAsia" w:ascii="宋体" w:hAnsi="宋体" w:eastAsia="宋体" w:cs="宋体"/>
          <w:color w:val="000000"/>
          <w:kern w:val="2"/>
          <w:sz w:val="24"/>
          <w:szCs w:val="24"/>
          <w:highlight w:val="none"/>
          <w:lang w:eastAsia="zh-CN" w:bidi="ar-SA"/>
        </w:rPr>
        <w:t>让违规风险；新能源项目安全责任；招标文件条款风险</w:t>
      </w:r>
      <w:r>
        <w:rPr>
          <w:rFonts w:hint="eastAsia" w:ascii="宋体" w:hAnsi="宋体" w:eastAsia="宋体" w:cs="宋体"/>
          <w:color w:val="000000"/>
          <w:kern w:val="2"/>
          <w:sz w:val="24"/>
          <w:szCs w:val="24"/>
          <w:highlight w:val="none"/>
          <w:lang w:val="en-US" w:eastAsia="zh-CN" w:bidi="ar-SA"/>
        </w:rPr>
        <w:t>等</w:t>
      </w:r>
      <w:r>
        <w:rPr>
          <w:rFonts w:hint="eastAsia" w:ascii="宋体" w:hAnsi="宋体" w:eastAsia="宋体" w:cs="宋体"/>
          <w:color w:val="000000"/>
          <w:kern w:val="2"/>
          <w:sz w:val="24"/>
          <w:szCs w:val="24"/>
          <w:highlight w:val="none"/>
          <w:lang w:eastAsia="zh-CN" w:bidi="ar-SA"/>
        </w:rPr>
        <w:t>。</w:t>
      </w:r>
    </w:p>
    <w:p w14:paraId="2F087191">
      <w:pPr>
        <w:keepNext/>
        <w:keepLines/>
        <w:pageBreakBefore w:val="0"/>
        <w:widowControl w:val="0"/>
        <w:kinsoku/>
        <w:wordWrap/>
        <w:overflowPunct/>
        <w:topLinePunct w:val="0"/>
        <w:autoSpaceDE/>
        <w:autoSpaceDN/>
        <w:bidi w:val="0"/>
        <w:adjustRightInd w:val="0"/>
        <w:snapToGrid/>
        <w:spacing w:beforeAutospacing="0" w:line="540" w:lineRule="exact"/>
        <w:ind w:firstLine="482" w:firstLineChars="200"/>
        <w:jc w:val="both"/>
        <w:textAlignment w:val="auto"/>
        <w:outlineLvl w:val="1"/>
        <w:rPr>
          <w:rFonts w:hint="eastAsia" w:ascii="宋体" w:hAnsi="宋体" w:eastAsia="宋体" w:cs="宋体"/>
          <w:b/>
          <w:bCs/>
          <w:color w:val="000000"/>
          <w:kern w:val="2"/>
          <w:sz w:val="24"/>
          <w:szCs w:val="24"/>
          <w:highlight w:val="none"/>
          <w:lang w:eastAsia="zh-CN" w:bidi="ar-SA"/>
        </w:rPr>
      </w:pPr>
      <w:r>
        <w:rPr>
          <w:rFonts w:hint="eastAsia" w:ascii="宋体" w:hAnsi="宋体" w:eastAsia="宋体" w:cs="宋体"/>
          <w:b/>
          <w:bCs/>
          <w:color w:val="000000"/>
          <w:kern w:val="2"/>
          <w:sz w:val="24"/>
          <w:szCs w:val="24"/>
          <w:highlight w:val="none"/>
          <w:lang w:eastAsia="zh-CN" w:bidi="ar-SA"/>
        </w:rPr>
        <w:t>各标项涉及板块</w:t>
      </w:r>
      <w:r>
        <w:rPr>
          <w:rFonts w:hint="eastAsia" w:ascii="宋体" w:hAnsi="宋体" w:cs="宋体"/>
          <w:b/>
          <w:bCs/>
          <w:color w:val="000000"/>
          <w:kern w:val="2"/>
          <w:sz w:val="24"/>
          <w:szCs w:val="24"/>
          <w:highlight w:val="none"/>
          <w:lang w:eastAsia="zh-CN" w:bidi="ar-SA"/>
        </w:rPr>
        <w:t>需求：</w:t>
      </w:r>
    </w:p>
    <w:p w14:paraId="12A09DFC">
      <w:pPr>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标项</w:t>
      </w:r>
      <w:r>
        <w:rPr>
          <w:rFonts w:hint="eastAsia" w:ascii="宋体" w:hAnsi="宋体" w:eastAsia="宋体" w:cs="宋体"/>
          <w:b/>
          <w:bCs/>
          <w:color w:val="000000"/>
          <w:sz w:val="24"/>
          <w:szCs w:val="24"/>
          <w:highlight w:val="none"/>
          <w:lang w:val="en-US" w:eastAsia="zh-CN" w:bidi="ar"/>
        </w:rPr>
        <w:t>1</w:t>
      </w:r>
      <w:r>
        <w:rPr>
          <w:rFonts w:hint="eastAsia" w:ascii="宋体" w:hAnsi="宋体" w:eastAsia="宋体" w:cs="宋体"/>
          <w:b/>
          <w:bCs/>
          <w:color w:val="000000"/>
          <w:sz w:val="24"/>
          <w:szCs w:val="24"/>
          <w:highlight w:val="none"/>
          <w:lang w:eastAsia="zh-CN" w:bidi="ar"/>
        </w:rPr>
        <w:t>：集团本级、资产与产业服务法律板块</w:t>
      </w:r>
    </w:p>
    <w:p w14:paraId="177D2446">
      <w:pPr>
        <w:pageBreakBefore w:val="0"/>
        <w:widowControl w:val="0"/>
        <w:numPr>
          <w:ilvl w:val="0"/>
          <w:numId w:val="6"/>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涵盖业务：</w:t>
      </w:r>
      <w:r>
        <w:rPr>
          <w:rFonts w:hint="eastAsia" w:ascii="宋体" w:hAnsi="宋体" w:eastAsia="宋体" w:cs="宋体"/>
          <w:color w:val="000000"/>
          <w:kern w:val="2"/>
          <w:sz w:val="24"/>
          <w:szCs w:val="24"/>
          <w:highlight w:val="none"/>
          <w:lang w:eastAsia="zh-CN" w:bidi="ar-SA"/>
        </w:rPr>
        <w:t>集团本级法律事务、物业管理、园区招商运营（信息港七期等园区等）、大宗贸易等。</w:t>
      </w:r>
    </w:p>
    <w:p w14:paraId="5A463EB9">
      <w:pPr>
        <w:pageBreakBefore w:val="0"/>
        <w:widowControl w:val="0"/>
        <w:numPr>
          <w:ilvl w:val="0"/>
          <w:numId w:val="6"/>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主要涉及公司</w:t>
      </w:r>
      <w:r>
        <w:rPr>
          <w:rFonts w:hint="eastAsia" w:ascii="宋体" w:hAnsi="宋体" w:eastAsia="宋体" w:cs="宋体"/>
          <w:color w:val="000000"/>
          <w:kern w:val="2"/>
          <w:sz w:val="24"/>
          <w:szCs w:val="24"/>
          <w:highlight w:val="none"/>
          <w:lang w:eastAsia="zh-CN" w:bidi="ar-SA"/>
        </w:rPr>
        <w:t>：集团本级、金开物业、金开置业、金开实业、明怡物产、金开产业公司等。</w:t>
      </w:r>
    </w:p>
    <w:p w14:paraId="0F505096">
      <w:pPr>
        <w:pageBreakBefore w:val="0"/>
        <w:widowControl w:val="0"/>
        <w:numPr>
          <w:ilvl w:val="0"/>
          <w:numId w:val="6"/>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b/>
          <w:bCs/>
          <w:color w:val="000000"/>
          <w:kern w:val="2"/>
          <w:sz w:val="24"/>
          <w:szCs w:val="24"/>
          <w:highlight w:val="none"/>
          <w:lang w:eastAsia="zh-CN" w:bidi="ar-SA"/>
        </w:rPr>
      </w:pPr>
      <w:r>
        <w:rPr>
          <w:rFonts w:hint="eastAsia" w:ascii="宋体" w:hAnsi="宋体" w:eastAsia="宋体" w:cs="宋体"/>
          <w:b/>
          <w:bCs/>
          <w:color w:val="000000"/>
          <w:kern w:val="2"/>
          <w:sz w:val="24"/>
          <w:szCs w:val="24"/>
          <w:highlight w:val="none"/>
          <w:lang w:eastAsia="zh-CN" w:bidi="ar-SA"/>
        </w:rPr>
        <w:t>核心法律需求：</w:t>
      </w:r>
    </w:p>
    <w:p w14:paraId="18CAE3F2">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（1）集团本级</w:t>
      </w:r>
      <w:r>
        <w:rPr>
          <w:rFonts w:hint="eastAsia" w:ascii="宋体" w:hAnsi="宋体" w:cs="宋体"/>
          <w:color w:val="000000"/>
          <w:kern w:val="2"/>
          <w:sz w:val="24"/>
          <w:szCs w:val="24"/>
          <w:highlight w:val="none"/>
          <w:lang w:eastAsia="zh-CN" w:bidi="ar-SA"/>
        </w:rPr>
        <w:t>及涉及下属公司中</w:t>
      </w:r>
      <w:r>
        <w:rPr>
          <w:rFonts w:hint="eastAsia" w:ascii="宋体" w:hAnsi="宋体" w:eastAsia="宋体" w:cs="宋体"/>
          <w:color w:val="000000"/>
          <w:kern w:val="2"/>
          <w:sz w:val="24"/>
          <w:szCs w:val="24"/>
          <w:highlight w:val="none"/>
          <w:lang w:eastAsia="zh-CN" w:bidi="ar-SA"/>
        </w:rPr>
        <w:t>板块</w:t>
      </w:r>
      <w:r>
        <w:rPr>
          <w:rFonts w:hint="eastAsia" w:ascii="宋体" w:hAnsi="宋体" w:eastAsia="宋体" w:cs="宋体"/>
          <w:color w:val="000000"/>
          <w:kern w:val="2"/>
          <w:sz w:val="24"/>
          <w:szCs w:val="24"/>
          <w:highlight w:val="none"/>
          <w:lang w:val="en-US" w:eastAsia="zh-CN" w:bidi="ar-SA"/>
        </w:rPr>
        <w:t>一</w:t>
      </w:r>
      <w:r>
        <w:rPr>
          <w:rFonts w:hint="eastAsia" w:ascii="宋体" w:hAnsi="宋体" w:cs="宋体"/>
          <w:color w:val="000000"/>
          <w:kern w:val="2"/>
          <w:sz w:val="24"/>
          <w:szCs w:val="24"/>
          <w:highlight w:val="none"/>
          <w:lang w:val="en-US" w:eastAsia="zh-CN" w:bidi="ar-SA"/>
        </w:rPr>
        <w:t>事务</w:t>
      </w:r>
      <w:r>
        <w:rPr>
          <w:rFonts w:hint="eastAsia" w:ascii="宋体" w:hAnsi="宋体" w:eastAsia="宋体" w:cs="宋体"/>
          <w:color w:val="000000"/>
          <w:kern w:val="2"/>
          <w:sz w:val="24"/>
          <w:szCs w:val="24"/>
          <w:highlight w:val="none"/>
          <w:lang w:eastAsia="zh-CN" w:bidi="ar-SA"/>
        </w:rPr>
        <w:t>的主要处理及其他事务的协助处理；</w:t>
      </w:r>
    </w:p>
    <w:p w14:paraId="38EC3CBB">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（2）合同与合同方管理；</w:t>
      </w:r>
    </w:p>
    <w:p w14:paraId="240F8626">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（3）招商协议风险防控：园区重点企业的落地协议审核；</w:t>
      </w:r>
    </w:p>
    <w:p w14:paraId="55ED74DE">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（4）租赁纠纷处置（非诉）：物业板块中商户租金拖欠、解约争议的快速响应；</w:t>
      </w:r>
    </w:p>
    <w:p w14:paraId="004EED44">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（5）大宗贸易合同的合规审查；</w:t>
      </w:r>
    </w:p>
    <w:p w14:paraId="1062BD72">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（6）知识产权与数据安全（如有）；</w:t>
      </w:r>
    </w:p>
    <w:p w14:paraId="3F03A681">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（7）园区招商中技术秘密保护、物业管理中用户数据合规等；</w:t>
      </w:r>
    </w:p>
    <w:p w14:paraId="2FC206F6">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（8）集采平台的供应链金融协议审查等；</w:t>
      </w:r>
    </w:p>
    <w:p w14:paraId="560F909F">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b/>
          <w:bCs/>
          <w:color w:val="000000"/>
          <w:sz w:val="24"/>
          <w:szCs w:val="24"/>
          <w:highlight w:val="none"/>
          <w:lang w:eastAsia="zh-CN" w:bidi="ar"/>
        </w:rPr>
      </w:pPr>
      <w:r>
        <w:rPr>
          <w:rFonts w:hint="eastAsia" w:ascii="宋体" w:hAnsi="宋体" w:eastAsia="宋体" w:cs="宋体"/>
          <w:color w:val="000000"/>
          <w:kern w:val="2"/>
          <w:sz w:val="24"/>
          <w:szCs w:val="24"/>
          <w:highlight w:val="none"/>
          <w:lang w:eastAsia="zh-CN" w:bidi="ar-SA"/>
        </w:rPr>
        <w:t>（9）其他需要提供服务或协助其他律所的法律事务。</w:t>
      </w:r>
    </w:p>
    <w:p w14:paraId="1494CE58">
      <w:pPr>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标项</w:t>
      </w:r>
      <w:r>
        <w:rPr>
          <w:rFonts w:hint="eastAsia" w:ascii="宋体" w:hAnsi="宋体" w:eastAsia="宋体" w:cs="宋体"/>
          <w:b/>
          <w:bCs/>
          <w:color w:val="000000"/>
          <w:sz w:val="24"/>
          <w:szCs w:val="24"/>
          <w:highlight w:val="none"/>
          <w:lang w:val="en-US" w:eastAsia="zh-CN" w:bidi="ar"/>
        </w:rPr>
        <w:t>2</w:t>
      </w:r>
      <w:r>
        <w:rPr>
          <w:rFonts w:hint="eastAsia" w:ascii="宋体" w:hAnsi="宋体" w:eastAsia="宋体" w:cs="宋体"/>
          <w:b/>
          <w:bCs/>
          <w:color w:val="000000"/>
          <w:sz w:val="24"/>
          <w:szCs w:val="24"/>
          <w:highlight w:val="none"/>
          <w:lang w:eastAsia="zh-CN" w:bidi="ar"/>
        </w:rPr>
        <w:t>：战略投资</w:t>
      </w:r>
      <w:r>
        <w:rPr>
          <w:rFonts w:hint="eastAsia" w:ascii="宋体" w:hAnsi="宋体" w:eastAsia="宋体" w:cs="宋体"/>
          <w:b/>
          <w:bCs/>
          <w:color w:val="000000"/>
          <w:sz w:val="24"/>
          <w:szCs w:val="24"/>
          <w:highlight w:val="none"/>
          <w:lang w:val="en-US" w:eastAsia="zh-CN" w:bidi="ar"/>
        </w:rPr>
        <w:t>与</w:t>
      </w:r>
      <w:r>
        <w:rPr>
          <w:rFonts w:hint="eastAsia" w:ascii="宋体" w:hAnsi="宋体" w:eastAsia="宋体" w:cs="宋体"/>
          <w:b/>
          <w:bCs/>
          <w:color w:val="000000"/>
          <w:sz w:val="24"/>
          <w:szCs w:val="24"/>
          <w:highlight w:val="none"/>
          <w:lang w:eastAsia="zh-CN" w:bidi="ar"/>
        </w:rPr>
        <w:t>绿色创新板块</w:t>
      </w:r>
    </w:p>
    <w:p w14:paraId="22374404">
      <w:pPr>
        <w:pageBreakBefore w:val="0"/>
        <w:widowControl w:val="0"/>
        <w:numPr>
          <w:ilvl w:val="0"/>
          <w:numId w:val="7"/>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涵盖业务</w:t>
      </w:r>
      <w:r>
        <w:rPr>
          <w:rFonts w:hint="eastAsia" w:ascii="宋体" w:hAnsi="宋体" w:eastAsia="宋体" w:cs="宋体"/>
          <w:color w:val="000000"/>
          <w:kern w:val="2"/>
          <w:sz w:val="24"/>
          <w:szCs w:val="24"/>
          <w:highlight w:val="none"/>
          <w:lang w:eastAsia="zh-CN" w:bidi="ar-SA"/>
        </w:rPr>
        <w:t>：战略投资：新能源（充电桩/储能/光伏）、电力智造（智慧电力设备）、生命健康（医学检验中心）等领域的投资；基金投资：产业基金设立与管理、股权投资、并购重组、跨境资本运作；绿色创新：表面处理产业园、渣土资源化、零碳园区开发等。</w:t>
      </w:r>
    </w:p>
    <w:p w14:paraId="1B6EDB95">
      <w:pPr>
        <w:pageBreakBefore w:val="0"/>
        <w:widowControl w:val="0"/>
        <w:numPr>
          <w:ilvl w:val="0"/>
          <w:numId w:val="7"/>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主要涉及公司</w:t>
      </w:r>
      <w:r>
        <w:rPr>
          <w:rFonts w:hint="eastAsia" w:ascii="宋体" w:hAnsi="宋体" w:eastAsia="宋体" w:cs="宋体"/>
          <w:color w:val="000000"/>
          <w:kern w:val="2"/>
          <w:sz w:val="24"/>
          <w:szCs w:val="24"/>
          <w:highlight w:val="none"/>
          <w:lang w:eastAsia="zh-CN" w:bidi="ar-SA"/>
        </w:rPr>
        <w:t>：集团本级、开电能源、金开实业、医疗管理中心、绿电公司、金开产业公司等。</w:t>
      </w:r>
    </w:p>
    <w:p w14:paraId="278B3686">
      <w:pPr>
        <w:pageBreakBefore w:val="0"/>
        <w:widowControl w:val="0"/>
        <w:numPr>
          <w:ilvl w:val="0"/>
          <w:numId w:val="7"/>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核心法律需求</w:t>
      </w:r>
      <w:r>
        <w:rPr>
          <w:rFonts w:hint="eastAsia" w:ascii="宋体" w:hAnsi="宋体" w:eastAsia="宋体" w:cs="宋体"/>
          <w:color w:val="000000"/>
          <w:kern w:val="2"/>
          <w:sz w:val="24"/>
          <w:szCs w:val="24"/>
          <w:highlight w:val="none"/>
          <w:lang w:eastAsia="zh-CN" w:bidi="ar-SA"/>
        </w:rPr>
        <w:t>：</w:t>
      </w:r>
    </w:p>
    <w:p w14:paraId="5266B43F">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（1）集团本级</w:t>
      </w:r>
      <w:r>
        <w:rPr>
          <w:rFonts w:hint="eastAsia" w:ascii="宋体" w:hAnsi="宋体" w:cs="宋体"/>
          <w:color w:val="000000"/>
          <w:kern w:val="2"/>
          <w:sz w:val="24"/>
          <w:szCs w:val="24"/>
          <w:highlight w:val="none"/>
          <w:lang w:eastAsia="zh-CN" w:bidi="ar-SA"/>
        </w:rPr>
        <w:t>及涉及下属公司中</w:t>
      </w:r>
      <w:r>
        <w:rPr>
          <w:rFonts w:hint="eastAsia" w:ascii="宋体" w:hAnsi="宋体" w:eastAsia="宋体" w:cs="宋体"/>
          <w:color w:val="000000"/>
          <w:kern w:val="2"/>
          <w:sz w:val="24"/>
          <w:szCs w:val="24"/>
          <w:highlight w:val="none"/>
          <w:lang w:eastAsia="zh-CN" w:bidi="ar-SA"/>
        </w:rPr>
        <w:t>板块</w:t>
      </w:r>
      <w:r>
        <w:rPr>
          <w:rFonts w:hint="eastAsia" w:ascii="宋体" w:hAnsi="宋体" w:cs="宋体"/>
          <w:color w:val="000000"/>
          <w:kern w:val="2"/>
          <w:sz w:val="24"/>
          <w:szCs w:val="24"/>
          <w:highlight w:val="none"/>
          <w:lang w:val="en-US" w:eastAsia="zh-CN" w:bidi="ar-SA"/>
        </w:rPr>
        <w:t>二事务</w:t>
      </w:r>
      <w:r>
        <w:rPr>
          <w:rFonts w:hint="eastAsia" w:ascii="宋体" w:hAnsi="宋体" w:eastAsia="宋体" w:cs="宋体"/>
          <w:color w:val="000000"/>
          <w:kern w:val="2"/>
          <w:sz w:val="24"/>
          <w:szCs w:val="24"/>
          <w:highlight w:val="none"/>
          <w:lang w:eastAsia="zh-CN" w:bidi="ar-SA"/>
        </w:rPr>
        <w:t>的主要处理及其他事务的协助处理；</w:t>
      </w:r>
    </w:p>
    <w:p w14:paraId="0CCA9869">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（2）基金全周期合规管理</w:t>
      </w:r>
    </w:p>
    <w:p w14:paraId="6341BD81">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①基金设立：结构设计、投资方向设计等、协议审核、投决会法律支持、退出机制设计（IPO、股权回购等）；②跨境资本运作（如有）；③风险防控：利益冲突审查、对赌协议陷阱、国资监管合规等。</w:t>
      </w:r>
    </w:p>
    <w:p w14:paraId="0391802C">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（3）新能源项目合规</w:t>
      </w:r>
    </w:p>
    <w:p w14:paraId="68966403">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①储能电站投资风险：电网侧储能项目的协议审核；②光伏项目合法合规性审查；③熔盐储能供热项目的法律事务；④创新技术法律保护：电力智造板块、生命健康板块、环保与碳合规项目等法律框架设计、法律事务处理和咨询；⑤工程合同（条款审查、纠纷处置、项目合同争议、工程款支付争议等）安全合规、2000万以上项目参照国资管理办法出具合法合规性审查。</w:t>
      </w:r>
    </w:p>
    <w:p w14:paraId="407F03A7">
      <w:pPr>
        <w:keepNext w:val="0"/>
        <w:keepLines w:val="0"/>
        <w:pageBreakBefore w:val="0"/>
        <w:widowControl w:val="0"/>
        <w:numPr>
          <w:ilvl w:val="0"/>
          <w:numId w:val="8"/>
        </w:numPr>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2"/>
          <w:sz w:val="24"/>
          <w:szCs w:val="24"/>
          <w:highlight w:val="none"/>
          <w:lang w:eastAsia="zh-CN" w:bidi="ar-SA"/>
        </w:rPr>
        <w:t>其他需要提供服务或协助其他律所的法律事务。</w:t>
      </w:r>
    </w:p>
    <w:p w14:paraId="27775ABC">
      <w:pPr>
        <w:keepNext w:val="0"/>
        <w:keepLines w:val="0"/>
        <w:pageBreakBefore w:val="0"/>
        <w:widowControl w:val="0"/>
        <w:kinsoku/>
        <w:wordWrap/>
        <w:overflowPunct/>
        <w:topLinePunct w:val="0"/>
        <w:autoSpaceDE/>
        <w:autoSpaceDN/>
        <w:bidi w:val="0"/>
        <w:adjustRightInd w:val="0"/>
        <w:snapToGrid/>
        <w:spacing w:beforeAutospacing="0" w:line="540" w:lineRule="exact"/>
        <w:ind w:firstLine="482" w:firstLineChars="200"/>
        <w:textAlignment w:val="auto"/>
        <w:outlineLvl w:val="2"/>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标项3：城市建设法律板块</w:t>
      </w:r>
    </w:p>
    <w:p w14:paraId="5E14FCF0">
      <w:pPr>
        <w:pageBreakBefore w:val="0"/>
        <w:widowControl w:val="0"/>
        <w:numPr>
          <w:ilvl w:val="0"/>
          <w:numId w:val="9"/>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涵盖业务：</w:t>
      </w:r>
      <w:r>
        <w:rPr>
          <w:rFonts w:hint="eastAsia" w:ascii="宋体" w:hAnsi="宋体" w:eastAsia="宋体" w:cs="宋体"/>
          <w:color w:val="000000"/>
          <w:kern w:val="2"/>
          <w:sz w:val="24"/>
          <w:szCs w:val="24"/>
          <w:highlight w:val="none"/>
          <w:lang w:eastAsia="zh-CN" w:bidi="ar-SA"/>
        </w:rPr>
        <w:t>工程建设项目（政府投资</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eastAsia="zh-CN" w:bidi="ar-SA"/>
        </w:rPr>
        <w:t>“千项万亿”项目）、股权合作、土地出让（住宅/商业/工业用地）、房地产开发（住宅</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eastAsia="zh-CN" w:bidi="ar-SA"/>
        </w:rPr>
        <w:t>保障</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eastAsia="zh-CN" w:bidi="ar-SA"/>
        </w:rPr>
        <w:t>商业综合体及工业地产）等；</w:t>
      </w:r>
    </w:p>
    <w:p w14:paraId="4A93F826">
      <w:pPr>
        <w:pageBreakBefore w:val="0"/>
        <w:widowControl w:val="0"/>
        <w:numPr>
          <w:ilvl w:val="0"/>
          <w:numId w:val="9"/>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b/>
          <w:bCs/>
          <w:color w:val="000000"/>
          <w:sz w:val="24"/>
          <w:szCs w:val="24"/>
          <w:highlight w:val="none"/>
          <w:lang w:eastAsia="zh-CN" w:bidi="ar"/>
        </w:rPr>
        <w:t>主要涉及公司：</w:t>
      </w:r>
      <w:r>
        <w:rPr>
          <w:rFonts w:hint="eastAsia" w:ascii="宋体" w:hAnsi="宋体" w:eastAsia="宋体" w:cs="宋体"/>
          <w:color w:val="000000"/>
          <w:kern w:val="2"/>
          <w:sz w:val="24"/>
          <w:szCs w:val="24"/>
          <w:highlight w:val="none"/>
          <w:lang w:eastAsia="zh-CN" w:bidi="ar-SA"/>
        </w:rPr>
        <w:t>集团本级、经开建发、绿发公司、科技城投开、科创公司、金开置业等。</w:t>
      </w:r>
    </w:p>
    <w:p w14:paraId="30FF2054">
      <w:pPr>
        <w:pageBreakBefore w:val="0"/>
        <w:widowControl w:val="0"/>
        <w:numPr>
          <w:ilvl w:val="0"/>
          <w:numId w:val="9"/>
        </w:numPr>
        <w:kinsoku/>
        <w:wordWrap/>
        <w:overflowPunct/>
        <w:topLinePunct w:val="0"/>
        <w:autoSpaceDE/>
        <w:autoSpaceDN/>
        <w:bidi w:val="0"/>
        <w:adjustRightInd w:val="0"/>
        <w:snapToGrid/>
        <w:spacing w:beforeAutospacing="0" w:line="540" w:lineRule="exact"/>
        <w:ind w:firstLine="482" w:firstLineChars="200"/>
        <w:jc w:val="both"/>
        <w:textAlignment w:val="auto"/>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eastAsia="zh-CN" w:bidi="ar"/>
        </w:rPr>
        <w:t>核心法律需求：</w:t>
      </w:r>
    </w:p>
    <w:p w14:paraId="6AD80CFD">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（1）集团本级</w:t>
      </w:r>
      <w:r>
        <w:rPr>
          <w:rFonts w:hint="eastAsia" w:ascii="宋体" w:hAnsi="宋体" w:cs="宋体"/>
          <w:color w:val="000000"/>
          <w:kern w:val="2"/>
          <w:sz w:val="24"/>
          <w:szCs w:val="24"/>
          <w:highlight w:val="none"/>
          <w:lang w:eastAsia="zh-CN" w:bidi="ar-SA"/>
        </w:rPr>
        <w:t>及涉及下属公司中</w:t>
      </w:r>
      <w:r>
        <w:rPr>
          <w:rFonts w:hint="eastAsia" w:ascii="宋体" w:hAnsi="宋体" w:eastAsia="宋体" w:cs="宋体"/>
          <w:color w:val="000000"/>
          <w:kern w:val="2"/>
          <w:sz w:val="24"/>
          <w:szCs w:val="24"/>
          <w:highlight w:val="none"/>
          <w:lang w:eastAsia="zh-CN" w:bidi="ar-SA"/>
        </w:rPr>
        <w:t>板块</w:t>
      </w:r>
      <w:r>
        <w:rPr>
          <w:rFonts w:hint="eastAsia" w:ascii="宋体" w:hAnsi="宋体" w:cs="宋体"/>
          <w:color w:val="000000"/>
          <w:kern w:val="2"/>
          <w:sz w:val="24"/>
          <w:szCs w:val="24"/>
          <w:highlight w:val="none"/>
          <w:lang w:eastAsia="zh-CN" w:bidi="ar-SA"/>
        </w:rPr>
        <w:t>三</w:t>
      </w:r>
      <w:r>
        <w:rPr>
          <w:rFonts w:hint="eastAsia" w:ascii="宋体" w:hAnsi="宋体" w:cs="宋体"/>
          <w:color w:val="000000"/>
          <w:kern w:val="2"/>
          <w:sz w:val="24"/>
          <w:szCs w:val="24"/>
          <w:highlight w:val="none"/>
          <w:lang w:val="en-US" w:eastAsia="zh-CN" w:bidi="ar-SA"/>
        </w:rPr>
        <w:t>事务</w:t>
      </w:r>
      <w:r>
        <w:rPr>
          <w:rFonts w:hint="eastAsia" w:ascii="宋体" w:hAnsi="宋体" w:eastAsia="宋体" w:cs="宋体"/>
          <w:color w:val="000000"/>
          <w:kern w:val="2"/>
          <w:sz w:val="24"/>
          <w:szCs w:val="24"/>
          <w:highlight w:val="none"/>
          <w:lang w:eastAsia="zh-CN" w:bidi="ar-SA"/>
        </w:rPr>
        <w:t>的主要处理及其他事务的协助处理；</w:t>
      </w:r>
    </w:p>
    <w:p w14:paraId="390893FD">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（2）合规性管控</w:t>
      </w:r>
    </w:p>
    <w:p w14:paraId="11BA8D27">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①招投标合规：确保投资项目、建设项目符合《招标投标法》，规避串标、围标风险；②土地出让程序合法性：地块出让中的权属核查、拆迁安置协议审查；③环保合规：涉及入园的环评文件审核，规避行政处罚。</w:t>
      </w:r>
    </w:p>
    <w:p w14:paraId="45B9A487">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（3）履约风险管理</w:t>
      </w:r>
    </w:p>
    <w:p w14:paraId="64BCF375">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①工程合同纠纷处置（项目合同争议、工程款支付争议等）；②房地产开发中可能出现的预售合规、商品房买卖等法律事务；③上述项目可能涉及的信访、应急事件处理。</w:t>
      </w:r>
    </w:p>
    <w:p w14:paraId="5BBC9D54">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（4）非诉项目专项服务</w:t>
      </w:r>
    </w:p>
    <w:p w14:paraId="5118A106">
      <w:pPr>
        <w:pageBreakBefore w:val="0"/>
        <w:widowControl w:val="0"/>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①“千项万亿”项目的全流程法律支持：立项合规性审查、用地审批、融资协议风险审核；②新开工项目的应急预案设计，突发安全事故责任界定、保险索赔等。</w:t>
      </w:r>
    </w:p>
    <w:p w14:paraId="113BFFBC">
      <w:pPr>
        <w:keepNext w:val="0"/>
        <w:keepLines w:val="0"/>
        <w:pageBreakBefore w:val="0"/>
        <w:widowControl w:val="0"/>
        <w:numPr>
          <w:ilvl w:val="0"/>
          <w:numId w:val="10"/>
        </w:numPr>
        <w:shd w:val="clear" w:color="auto" w:fill="auto"/>
        <w:kinsoku/>
        <w:wordWrap/>
        <w:overflowPunct/>
        <w:topLinePunct w:val="0"/>
        <w:autoSpaceDE/>
        <w:autoSpaceDN/>
        <w:bidi w:val="0"/>
        <w:adjustRightInd w:val="0"/>
        <w:snapToGrid/>
        <w:spacing w:beforeAutospacing="0" w:line="540" w:lineRule="exact"/>
        <w:ind w:firstLine="480" w:firstLineChars="200"/>
        <w:jc w:val="both"/>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2"/>
          <w:sz w:val="24"/>
          <w:szCs w:val="24"/>
          <w:highlight w:val="none"/>
          <w:lang w:eastAsia="zh-CN" w:bidi="ar-SA"/>
        </w:rPr>
        <w:t>其他需要提供服务或协助其他律所的法律事务。</w:t>
      </w:r>
    </w:p>
    <w:p w14:paraId="25142488">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2" w:firstLineChars="200"/>
        <w:jc w:val="left"/>
        <w:textAlignment w:val="auto"/>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（三）服务要求</w:t>
      </w:r>
    </w:p>
    <w:p w14:paraId="3C742B95">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1.合规与风控管理：各方面全流程风险防控。</w:t>
      </w:r>
    </w:p>
    <w:p w14:paraId="36CA0D3A">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日常法律支持：普通咨询24小时内回复，紧急事务2小时内响应并到场；普通合同12小时内反馈，重大合同48小时内反馈，并出具合法性审核意见或书面法律意见书，完成台账梳理；法律培训与指导：年度法治宣传、舆情应对培训；内部法务、业务人员业务指导。</w:t>
      </w:r>
    </w:p>
    <w:p w14:paraId="77132227">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3.非诉项目支持服务：项目全流程合规支持，按照采购人要求</w:t>
      </w:r>
      <w:r>
        <w:rPr>
          <w:rFonts w:hint="eastAsia" w:ascii="宋体" w:hAnsi="宋体" w:cs="宋体"/>
          <w:sz w:val="24"/>
          <w:highlight w:val="none"/>
          <w:lang w:val="en-US" w:eastAsia="zh-CN"/>
        </w:rPr>
        <w:t>（含指定律师、指定方式等）</w:t>
      </w:r>
      <w:r>
        <w:rPr>
          <w:rFonts w:hint="eastAsia" w:ascii="宋体" w:hAnsi="宋体" w:eastAsia="宋体" w:cs="宋体"/>
          <w:sz w:val="24"/>
          <w:highlight w:val="none"/>
          <w:lang w:val="en-US" w:eastAsia="zh-CN"/>
        </w:rPr>
        <w:t>完成任务，并配合出具法律意见书。</w:t>
      </w:r>
    </w:p>
    <w:p w14:paraId="6964AD92">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跨板块协同服务：主导标项内业务，协助其他标项法律事务（如基金投资合规辅助等），跨标项服务由采购人明确主责方与辅助方，联席会议等协同推进工作由采购人主办，主责方统筹处理。如招商项目需要律所提供服务的，由标项</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成交供应商主导，投资类律师辅助融资合规等。</w:t>
      </w:r>
    </w:p>
    <w:p w14:paraId="2846DB8F">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5.保密与利益冲突禁止：不得泄露国家秘密、商业秘密；不得代理与集团有利害关系的案件。</w:t>
      </w:r>
    </w:p>
    <w:p w14:paraId="59DABAB9">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6.团队稳定性：固定指派10人以上</w:t>
      </w:r>
      <w:r>
        <w:rPr>
          <w:rFonts w:hint="eastAsia" w:ascii="宋体" w:hAnsi="宋体" w:cs="宋体"/>
          <w:sz w:val="24"/>
          <w:highlight w:val="none"/>
          <w:lang w:val="en-US" w:eastAsia="zh-CN"/>
        </w:rPr>
        <w:t>但是不超过15人的固定</w:t>
      </w:r>
      <w:r>
        <w:rPr>
          <w:rFonts w:hint="eastAsia" w:ascii="宋体" w:hAnsi="宋体" w:eastAsia="宋体" w:cs="宋体"/>
          <w:sz w:val="24"/>
          <w:highlight w:val="none"/>
          <w:lang w:val="en-US" w:eastAsia="zh-CN"/>
        </w:rPr>
        <w:t>团队（含1名5年以上经验负责人），指派需含通识律师，以及根据不同标项需求细分的专业领域律师，未经同意不得更换（需承诺函）。</w:t>
      </w:r>
    </w:p>
    <w:p w14:paraId="5A04A1CD">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7.服务采用线上/线下结合方式，每月团队负责人至少1次现场交流，其他人员至少2次现场办公（需承诺函）。</w:t>
      </w:r>
    </w:p>
    <w:p w14:paraId="3F57B8AB">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8.服务商资质要求律所资质：律师事务所及律师近3年无行业处分、行政处罚记录（总所</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分所单独计算）。</w:t>
      </w:r>
    </w:p>
    <w:p w14:paraId="1AD081B0">
      <w:pPr>
        <w:keepNext w:val="0"/>
        <w:keepLines w:val="0"/>
        <w:pageBreakBefore w:val="0"/>
        <w:widowControl w:val="0"/>
        <w:shd w:val="clear" w:color="auto" w:fill="auto"/>
        <w:kinsoku/>
        <w:wordWrap/>
        <w:overflowPunct/>
        <w:topLinePunct w:val="0"/>
        <w:autoSpaceDE/>
        <w:autoSpaceDN/>
        <w:bidi w:val="0"/>
        <w:adjustRightInd w:val="0"/>
        <w:snapToGrid/>
        <w:spacing w:beforeAutospacing="0" w:line="54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lang w:eastAsia="zh-CN"/>
        </w:rPr>
        <w:t>）考核</w:t>
      </w:r>
      <w:r>
        <w:rPr>
          <w:rFonts w:hint="eastAsia" w:ascii="宋体" w:hAnsi="宋体" w:eastAsia="宋体" w:cs="宋体"/>
          <w:b/>
          <w:bCs/>
          <w:sz w:val="24"/>
          <w:highlight w:val="none"/>
          <w:lang w:val="en-US" w:eastAsia="zh-CN"/>
        </w:rPr>
        <w:t>方式</w:t>
      </w:r>
    </w:p>
    <w:p w14:paraId="3EC07BA3">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人针对2025-2026年度法律顾问服务与中标人签订《常年法律顾问服务合同》。针对2025-2026年度需委托服务商代理的非诉项目服务，实行一案一签委托合同。服务商需按要求完成采购人各项需求，服务商应接受采购人考核及处理结果。考核结果作为项目支付的依据，考核依据为：①采购文件及采购文件确定的技术指标或服务要求；②响应文件承诺、询标回复；③服务合同。</w:t>
      </w:r>
      <w:r>
        <w:rPr>
          <w:rFonts w:hint="eastAsia" w:ascii="宋体" w:hAnsi="宋体" w:cs="宋体"/>
          <w:sz w:val="24"/>
          <w:highlight w:val="none"/>
          <w:lang w:val="en-US" w:eastAsia="zh-CN"/>
        </w:rPr>
        <w:t>考核细则详见下表：</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Layout w:type="fixed"/>
        <w:tblCellMar>
          <w:top w:w="0" w:type="dxa"/>
          <w:left w:w="0" w:type="dxa"/>
          <w:bottom w:w="0" w:type="dxa"/>
          <w:right w:w="0" w:type="dxa"/>
        </w:tblCellMar>
      </w:tblPr>
      <w:tblGrid>
        <w:gridCol w:w="1424"/>
        <w:gridCol w:w="5986"/>
        <w:gridCol w:w="1541"/>
      </w:tblGrid>
      <w:tr w14:paraId="30BE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rPr>
          <w:tblHeader/>
        </w:trPr>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18409834">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b/>
                <w:bCs/>
                <w:i w:val="0"/>
                <w:iCs w:val="0"/>
                <w:caps w:val="0"/>
                <w:spacing w:val="0"/>
                <w:sz w:val="20"/>
                <w:szCs w:val="20"/>
                <w:highlight w:val="none"/>
                <w:lang w:eastAsia="zh-CN"/>
              </w:rPr>
            </w:pPr>
            <w:r>
              <w:rPr>
                <w:rFonts w:hint="eastAsia" w:ascii="仿宋_GB2312" w:hAnsi="仿宋_GB2312" w:eastAsia="仿宋_GB2312" w:cs="仿宋_GB2312"/>
                <w:b/>
                <w:bCs/>
                <w:i w:val="0"/>
                <w:iCs w:val="0"/>
                <w:caps w:val="0"/>
                <w:spacing w:val="0"/>
                <w:sz w:val="20"/>
                <w:szCs w:val="20"/>
                <w:highlight w:val="none"/>
                <w:lang w:eastAsia="zh-CN"/>
              </w:rPr>
              <w:t>考核维度</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5595B669">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b/>
                <w:bCs/>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评分内容与标准</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22DA85FB">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b/>
                <w:bCs/>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分值</w:t>
            </w:r>
          </w:p>
        </w:tc>
      </w:tr>
      <w:tr w14:paraId="60E2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51162F4B">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服务规范</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48EDAF93">
            <w:pPr>
              <w:keepNext w:val="0"/>
              <w:keepLines w:val="0"/>
              <w:widowControl/>
              <w:numPr>
                <w:ilvl w:val="0"/>
                <w:numId w:val="11"/>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沟通主动热情，无推诿；</w:t>
            </w:r>
          </w:p>
          <w:p w14:paraId="72EE2F89">
            <w:pPr>
              <w:keepNext w:val="0"/>
              <w:keepLines w:val="0"/>
              <w:widowControl/>
              <w:numPr>
                <w:ilvl w:val="0"/>
                <w:numId w:val="11"/>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工作台账完整、真实、认真（时间/对象/内容），按月提交并配合汇报。</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532DF2D">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10分</w:t>
            </w:r>
          </w:p>
        </w:tc>
      </w:tr>
      <w:tr w14:paraId="19C5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30540471">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职责履行</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4FCA5F4">
            <w:pPr>
              <w:keepNext w:val="0"/>
              <w:keepLines w:val="0"/>
              <w:widowControl/>
              <w:numPr>
                <w:ilvl w:val="0"/>
                <w:numId w:val="0"/>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1.按合同完成全部服务（咨询/文件审查/会议列席等），无遗漏或延迟。</w:t>
            </w:r>
          </w:p>
          <w:p w14:paraId="3B509CFF">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2.采购人如通过书面形式指定特定团队律师前往现场服务，该律师按照要求前往现场进行服务，否则本项一次扣10分。</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05B1383">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15分</w:t>
            </w:r>
          </w:p>
        </w:tc>
      </w:tr>
      <w:tr w14:paraId="6C78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95BB527">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专业能力</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04E96D24">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1.法律顾问专业知识全面，能够准确无误地解答服务对象提出的咨询，对各类法律问题进行分析和判断。</w:t>
            </w:r>
          </w:p>
          <w:p w14:paraId="4D1C9546">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2.法律意见需满足：法律依据无误、风险分析全面、方案可操作且契合业务需求。</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4BB0F65D">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20分</w:t>
            </w:r>
          </w:p>
        </w:tc>
      </w:tr>
      <w:tr w14:paraId="6014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297908E3">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响应时效</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3436E6A">
            <w:pPr>
              <w:keepNext w:val="0"/>
              <w:keepLines w:val="0"/>
              <w:widowControl/>
              <w:numPr>
                <w:ilvl w:val="0"/>
                <w:numId w:val="12"/>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紧急咨询、文件审查：12-48小时内按承诺函时间反馈</w:t>
            </w:r>
            <w:r>
              <w:rPr>
                <w:rFonts w:hint="eastAsia" w:ascii="仿宋_GB2312" w:hAnsi="仿宋_GB2312" w:eastAsia="仿宋_GB2312" w:cs="仿宋_GB2312"/>
                <w:i w:val="0"/>
                <w:iCs w:val="0"/>
                <w:caps w:val="0"/>
                <w:spacing w:val="0"/>
                <w:sz w:val="20"/>
                <w:szCs w:val="20"/>
                <w:highlight w:val="none"/>
                <w:lang w:eastAsia="zh-CN"/>
              </w:rPr>
              <w:t>；</w:t>
            </w:r>
          </w:p>
          <w:p w14:paraId="29859F37">
            <w:pPr>
              <w:keepNext w:val="0"/>
              <w:keepLines w:val="0"/>
              <w:widowControl/>
              <w:numPr>
                <w:ilvl w:val="0"/>
                <w:numId w:val="12"/>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现场支持：0.5小时-2小时内按承诺函时间到达。</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335303E3">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15分</w:t>
            </w:r>
          </w:p>
        </w:tc>
      </w:tr>
      <w:tr w14:paraId="12A9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4EEC96DD">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风险防控</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3170EB9A">
            <w:pPr>
              <w:keepNext w:val="0"/>
              <w:keepLines w:val="0"/>
              <w:widowControl/>
              <w:numPr>
                <w:ilvl w:val="0"/>
                <w:numId w:val="13"/>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团队分工明确，专业匹配度高，人员流动小；</w:t>
            </w:r>
          </w:p>
          <w:p w14:paraId="1203D1BC">
            <w:pPr>
              <w:keepNext w:val="0"/>
              <w:keepLines w:val="0"/>
              <w:widowControl/>
              <w:numPr>
                <w:ilvl w:val="0"/>
                <w:numId w:val="13"/>
              </w:numPr>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服务期内因法律疏漏导致损失≤0次。</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26333954">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20分</w:t>
            </w:r>
          </w:p>
        </w:tc>
      </w:tr>
      <w:tr w14:paraId="14A3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08E40144">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制度执行</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1C42751E">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落实律所管理制度：案件讨论流程、文书审批制度、保密措施（涉密信息零泄露）。</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6C74008F">
            <w:pPr>
              <w:keepNext w:val="0"/>
              <w:keepLines w:val="0"/>
              <w:widowControl/>
              <w:suppressLineNumbers w:val="0"/>
              <w:spacing w:before="0" w:beforeAutospacing="0" w:after="0" w:afterAutospacing="0" w:line="240" w:lineRule="auto"/>
              <w:ind w:left="0" w:right="0"/>
              <w:jc w:val="center"/>
              <w:textAlignment w:val="center"/>
              <w:rPr>
                <w:rFonts w:hint="eastAsia" w:ascii="仿宋_GB2312" w:hAnsi="仿宋_GB2312" w:eastAsia="仿宋_GB2312" w:cs="仿宋_GB2312"/>
                <w:i w:val="0"/>
                <w:iCs w:val="0"/>
                <w:caps w:val="0"/>
                <w:spacing w:val="0"/>
                <w:sz w:val="20"/>
                <w:szCs w:val="20"/>
                <w:highlight w:val="none"/>
              </w:rPr>
            </w:pPr>
            <w:r>
              <w:rPr>
                <w:rFonts w:hint="eastAsia" w:ascii="仿宋_GB2312" w:hAnsi="仿宋_GB2312" w:eastAsia="仿宋_GB2312" w:cs="仿宋_GB2312"/>
                <w:i w:val="0"/>
                <w:iCs w:val="0"/>
                <w:caps w:val="0"/>
                <w:spacing w:val="0"/>
                <w:kern w:val="0"/>
                <w:sz w:val="20"/>
                <w:szCs w:val="20"/>
                <w:highlight w:val="none"/>
                <w:lang w:val="en-US" w:eastAsia="zh-CN" w:bidi="ar"/>
              </w:rPr>
              <w:t>10分</w:t>
            </w:r>
          </w:p>
        </w:tc>
      </w:tr>
      <w:tr w14:paraId="30E8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1424"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10733DCE">
            <w:pPr>
              <w:keepNext w:val="0"/>
              <w:keepLines w:val="0"/>
              <w:widowControl/>
              <w:suppressLineNumbers w:val="0"/>
              <w:spacing w:before="0" w:beforeAutospacing="0" w:after="0" w:afterAutospacing="0" w:line="240" w:lineRule="auto"/>
              <w:ind w:left="0" w:right="0"/>
              <w:jc w:val="center"/>
              <w:textAlignment w:val="cente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pPr>
            <w:r>
              <w:rPr>
                <w:rStyle w:val="71"/>
                <w:rFonts w:hint="eastAsia" w:ascii="仿宋_GB2312" w:hAnsi="仿宋_GB2312" w:eastAsia="仿宋_GB2312" w:cs="仿宋_GB2312"/>
                <w:b/>
                <w:bCs/>
                <w:i w:val="0"/>
                <w:iCs w:val="0"/>
                <w:caps w:val="0"/>
                <w:spacing w:val="0"/>
                <w:kern w:val="0"/>
                <w:sz w:val="20"/>
                <w:szCs w:val="20"/>
                <w:highlight w:val="none"/>
                <w:vertAlign w:val="baseline"/>
                <w:lang w:val="en-US" w:eastAsia="zh-CN" w:bidi="ar"/>
              </w:rPr>
              <w:t>协同情况</w:t>
            </w:r>
          </w:p>
        </w:tc>
        <w:tc>
          <w:tcPr>
            <w:tcW w:w="5986"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0E3EECCD">
            <w:pPr>
              <w:keepNext w:val="0"/>
              <w:keepLines w:val="0"/>
              <w:widowControl/>
              <w:suppressLineNumbers w:val="0"/>
              <w:spacing w:before="0" w:beforeAutospacing="0" w:after="0" w:afterAutospacing="0" w:line="240" w:lineRule="auto"/>
              <w:ind w:left="0" w:right="0"/>
              <w:jc w:val="left"/>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建立跨所协作顺畅，法律意见无冲突。协同中出现的分歧≤7日内解决。</w:t>
            </w:r>
          </w:p>
        </w:tc>
        <w:tc>
          <w:tcPr>
            <w:tcW w:w="1541" w:type="dxa"/>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4DFA20CC">
            <w:pPr>
              <w:keepNext w:val="0"/>
              <w:keepLines w:val="0"/>
              <w:widowControl/>
              <w:suppressLineNumbers w:val="0"/>
              <w:spacing w:before="0" w:beforeAutospacing="0" w:after="0" w:afterAutospacing="0" w:line="240" w:lineRule="auto"/>
              <w:ind w:left="0" w:right="0"/>
              <w:jc w:val="center"/>
              <w:textAlignment w:val="center"/>
              <w:rPr>
                <w:rFonts w:hint="default"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10分</w:t>
            </w:r>
          </w:p>
        </w:tc>
      </w:tr>
      <w:tr w14:paraId="4078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CFCFC"/>
          <w:tblCellMar>
            <w:top w:w="0" w:type="dxa"/>
            <w:left w:w="0" w:type="dxa"/>
            <w:bottom w:w="0" w:type="dxa"/>
            <w:right w:w="0" w:type="dxa"/>
          </w:tblCellMar>
        </w:tblPrEx>
        <w:tc>
          <w:tcPr>
            <w:tcW w:w="8951" w:type="dxa"/>
            <w:gridSpan w:val="3"/>
            <w:tcBorders>
              <w:top w:val="single" w:color="auto" w:sz="4" w:space="0"/>
              <w:left w:val="single" w:color="auto" w:sz="4" w:space="0"/>
              <w:bottom w:val="single" w:color="auto" w:sz="4" w:space="0"/>
              <w:right w:val="single" w:color="auto" w:sz="4" w:space="0"/>
            </w:tcBorders>
            <w:shd w:val="clear" w:color="auto" w:fill="FCFCFC"/>
            <w:noWrap w:val="0"/>
            <w:tcMar>
              <w:top w:w="180" w:type="dxa"/>
              <w:left w:w="240" w:type="dxa"/>
              <w:bottom w:w="180" w:type="dxa"/>
              <w:right w:w="240" w:type="dxa"/>
            </w:tcMar>
            <w:vAlign w:val="center"/>
          </w:tcPr>
          <w:p w14:paraId="51D8112E">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考核分数在85分-100分的，支付该期应付服务费用的100%；</w:t>
            </w:r>
          </w:p>
          <w:p w14:paraId="38C66BDA">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考核分数在70分-84分的，支付该期应付服务费用的80%；</w:t>
            </w:r>
          </w:p>
          <w:p w14:paraId="74EAB11D">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考核分数在70分以下（不含70分）的，支付该期应付服务费用的70%；</w:t>
            </w:r>
          </w:p>
          <w:p w14:paraId="4E813302">
            <w:pPr>
              <w:keepNext w:val="0"/>
              <w:keepLines w:val="0"/>
              <w:widowControl/>
              <w:suppressLineNumbers w:val="0"/>
              <w:spacing w:before="0" w:beforeAutospacing="0" w:after="0" w:afterAutospacing="0" w:line="240" w:lineRule="auto"/>
              <w:ind w:left="0" w:right="0"/>
              <w:jc w:val="both"/>
              <w:textAlignment w:val="center"/>
              <w:rPr>
                <w:rFonts w:hint="eastAsia" w:ascii="仿宋_GB2312" w:hAnsi="仿宋_GB2312" w:eastAsia="仿宋_GB2312" w:cs="仿宋_GB2312"/>
                <w:i w:val="0"/>
                <w:iCs w:val="0"/>
                <w:caps w:val="0"/>
                <w:spacing w:val="0"/>
                <w:kern w:val="0"/>
                <w:sz w:val="20"/>
                <w:szCs w:val="20"/>
                <w:highlight w:val="none"/>
                <w:lang w:val="en-US" w:eastAsia="zh-CN" w:bidi="ar"/>
              </w:rPr>
            </w:pPr>
            <w:r>
              <w:rPr>
                <w:rFonts w:hint="eastAsia" w:ascii="仿宋_GB2312" w:hAnsi="仿宋_GB2312" w:eastAsia="仿宋_GB2312" w:cs="仿宋_GB2312"/>
                <w:i w:val="0"/>
                <w:iCs w:val="0"/>
                <w:caps w:val="0"/>
                <w:spacing w:val="0"/>
                <w:kern w:val="0"/>
                <w:sz w:val="20"/>
                <w:szCs w:val="20"/>
                <w:highlight w:val="none"/>
                <w:lang w:val="en-US" w:eastAsia="zh-CN" w:bidi="ar"/>
              </w:rPr>
              <w:t>如成交供应商当期考核分数低于70分或连续两期（含）以上考核分数低于80分的，视为服务明显偏离考核所依据内容的，采购人有权拒绝支付服务费并要求解除合同，如给采购人造成损失的，采购人有权向成交供应商主张损失赔偿。</w:t>
            </w:r>
          </w:p>
        </w:tc>
      </w:tr>
    </w:tbl>
    <w:p w14:paraId="5A1A187C">
      <w:pPr>
        <w:pageBreakBefore w:val="0"/>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具体以合同签订内容为准。</w:t>
      </w:r>
    </w:p>
    <w:p w14:paraId="329F42FE">
      <w:pPr>
        <w:pageBreakBefore w:val="0"/>
        <w:shd w:val="clear" w:color="auto" w:fill="auto"/>
        <w:kinsoku/>
        <w:wordWrap/>
        <w:overflowPunct/>
        <w:topLinePunct w:val="0"/>
        <w:bidi w:val="0"/>
        <w:spacing w:beforeAutospacing="0" w:line="540" w:lineRule="exact"/>
        <w:ind w:firstLine="482" w:firstLineChars="200"/>
        <w:jc w:val="left"/>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商务需求</w:t>
      </w:r>
    </w:p>
    <w:p w14:paraId="6B53E402">
      <w:pPr>
        <w:pageBreakBefore w:val="0"/>
        <w:shd w:val="clear" w:color="auto" w:fill="auto"/>
        <w:kinsoku/>
        <w:wordWrap/>
        <w:overflowPunct/>
        <w:topLinePunct w:val="0"/>
        <w:bidi w:val="0"/>
        <w:spacing w:beforeAutospacing="0" w:line="54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1. </w:t>
      </w:r>
      <w:r>
        <w:rPr>
          <w:rFonts w:hint="eastAsia" w:ascii="宋体" w:hAnsi="宋体" w:eastAsia="宋体" w:cs="宋体"/>
          <w:sz w:val="24"/>
          <w:highlight w:val="none"/>
        </w:rPr>
        <w:t>服务期：合同签订之日起1年。</w:t>
      </w:r>
    </w:p>
    <w:p w14:paraId="370CC759">
      <w:pPr>
        <w:pageBreakBefore w:val="0"/>
        <w:shd w:val="clear" w:color="auto" w:fill="auto"/>
        <w:kinsoku/>
        <w:wordWrap/>
        <w:overflowPunct/>
        <w:topLinePunct w:val="0"/>
        <w:bidi w:val="0"/>
        <w:spacing w:beforeAutospacing="0" w:line="54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2. </w:t>
      </w:r>
      <w:r>
        <w:rPr>
          <w:rFonts w:hint="eastAsia" w:ascii="宋体" w:hAnsi="宋体" w:eastAsia="宋体" w:cs="宋体"/>
          <w:sz w:val="24"/>
          <w:highlight w:val="none"/>
        </w:rPr>
        <w:t>服务地点：采购人指定地点。</w:t>
      </w:r>
    </w:p>
    <w:p w14:paraId="2A85C73E">
      <w:pPr>
        <w:pageBreakBefore w:val="0"/>
        <w:shd w:val="clear" w:color="auto" w:fill="auto"/>
        <w:kinsoku/>
        <w:wordWrap/>
        <w:overflowPunct/>
        <w:topLinePunct w:val="0"/>
        <w:bidi w:val="0"/>
        <w:spacing w:beforeAutospacing="0" w:line="540" w:lineRule="exact"/>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3. </w:t>
      </w:r>
      <w:r>
        <w:rPr>
          <w:rFonts w:hint="eastAsia" w:ascii="宋体" w:hAnsi="宋体" w:eastAsia="宋体" w:cs="宋体"/>
          <w:sz w:val="24"/>
          <w:highlight w:val="none"/>
        </w:rPr>
        <w:t>付款方式：</w:t>
      </w:r>
    </w:p>
    <w:p w14:paraId="7197061B">
      <w:pPr>
        <w:pageBreakBefore w:val="0"/>
        <w:shd w:val="clear" w:color="auto" w:fill="auto"/>
        <w:kinsoku/>
        <w:wordWrap/>
        <w:overflowPunct/>
        <w:topLinePunct w:val="0"/>
        <w:bidi w:val="0"/>
        <w:spacing w:beforeAutospacing="0" w:line="540" w:lineRule="exact"/>
        <w:ind w:firstLine="475" w:firstLineChars="198"/>
        <w:textAlignment w:val="auto"/>
        <w:rPr>
          <w:rFonts w:hint="eastAsia" w:ascii="宋体" w:hAnsi="宋体" w:eastAsia="宋体" w:cs="宋体"/>
          <w:sz w:val="24"/>
          <w:highlight w:val="none"/>
        </w:rPr>
      </w:pPr>
      <w:r>
        <w:rPr>
          <w:rFonts w:hint="eastAsia" w:ascii="宋体" w:hAnsi="宋体" w:eastAsia="宋体" w:cs="宋体"/>
          <w:sz w:val="24"/>
          <w:highlight w:val="none"/>
        </w:rPr>
        <w:t>合同服务期内，费用总价封顶。费用封顶后，律师服务团队应继续提供服务；未超过年度标项预算金额的，按实际费用进行结算后支付。</w:t>
      </w:r>
    </w:p>
    <w:p w14:paraId="32492F00">
      <w:pPr>
        <w:pageBreakBefore w:val="0"/>
        <w:shd w:val="clear" w:color="auto" w:fill="auto"/>
        <w:kinsoku/>
        <w:wordWrap/>
        <w:overflowPunct/>
        <w:topLinePunct w:val="0"/>
        <w:bidi w:val="0"/>
        <w:spacing w:beforeAutospacing="0" w:line="540" w:lineRule="exact"/>
        <w:ind w:firstLine="475" w:firstLineChars="198"/>
        <w:textAlignment w:val="auto"/>
        <w:rPr>
          <w:rFonts w:hint="eastAsia" w:ascii="宋体" w:hAnsi="宋体" w:eastAsia="宋体" w:cs="宋体"/>
          <w:sz w:val="24"/>
          <w:highlight w:val="none"/>
        </w:rPr>
      </w:pPr>
      <w:r>
        <w:rPr>
          <w:rFonts w:hint="eastAsia" w:ascii="宋体" w:hAnsi="宋体" w:eastAsia="宋体" w:cs="宋体"/>
          <w:sz w:val="24"/>
          <w:highlight w:val="none"/>
        </w:rPr>
        <w:t>1.法律顾问基础服务费分四期支付，合同生效</w:t>
      </w:r>
      <w:r>
        <w:rPr>
          <w:rFonts w:hint="eastAsia" w:ascii="宋体" w:hAnsi="宋体" w:cs="宋体"/>
          <w:sz w:val="24"/>
          <w:highlight w:val="none"/>
          <w:lang w:eastAsia="zh-CN"/>
        </w:rPr>
        <w:t>后，</w:t>
      </w:r>
      <w:r>
        <w:rPr>
          <w:rFonts w:hint="eastAsia" w:ascii="宋体" w:hAnsi="宋体" w:eastAsia="宋体" w:cs="宋体"/>
          <w:sz w:val="24"/>
          <w:highlight w:val="none"/>
        </w:rPr>
        <w:t>每个季度完成考核</w:t>
      </w:r>
      <w:r>
        <w:rPr>
          <w:rFonts w:hint="eastAsia" w:ascii="宋体" w:hAnsi="宋体" w:cs="宋体"/>
          <w:sz w:val="24"/>
          <w:highlight w:val="none"/>
          <w:lang w:eastAsia="zh-CN"/>
        </w:rPr>
        <w:t>并</w:t>
      </w:r>
      <w:r>
        <w:rPr>
          <w:rFonts w:hint="eastAsia" w:ascii="宋体" w:hAnsi="宋体" w:eastAsia="宋体" w:cs="宋体"/>
          <w:sz w:val="24"/>
          <w:highlight w:val="none"/>
        </w:rPr>
        <w:t>具备实施条件</w:t>
      </w:r>
      <w:r>
        <w:rPr>
          <w:rFonts w:hint="eastAsia" w:ascii="宋体" w:hAnsi="宋体" w:cs="宋体"/>
          <w:sz w:val="24"/>
          <w:highlight w:val="none"/>
          <w:lang w:eastAsia="zh-CN"/>
        </w:rPr>
        <w:t>的</w:t>
      </w:r>
      <w:r>
        <w:rPr>
          <w:rFonts w:hint="eastAsia" w:ascii="宋体" w:hAnsi="宋体" w:eastAsia="宋体" w:cs="宋体"/>
          <w:sz w:val="24"/>
          <w:highlight w:val="none"/>
        </w:rPr>
        <w:t>10个工作日内，采购人向成交供应商支付。</w:t>
      </w:r>
    </w:p>
    <w:p w14:paraId="4A27B04E">
      <w:pPr>
        <w:pageBreakBefore w:val="0"/>
        <w:shd w:val="clear" w:color="auto" w:fill="auto"/>
        <w:kinsoku/>
        <w:wordWrap/>
        <w:overflowPunct/>
        <w:topLinePunct w:val="0"/>
        <w:bidi w:val="0"/>
        <w:spacing w:beforeAutospacing="0" w:line="540" w:lineRule="exact"/>
        <w:ind w:firstLine="475" w:firstLineChars="198"/>
        <w:textAlignment w:val="auto"/>
        <w:rPr>
          <w:rFonts w:hint="eastAsia" w:ascii="宋体" w:hAnsi="宋体" w:eastAsia="宋体" w:cs="宋体"/>
          <w:sz w:val="24"/>
          <w:highlight w:val="none"/>
        </w:rPr>
      </w:pPr>
      <w:r>
        <w:rPr>
          <w:rFonts w:hint="eastAsia" w:ascii="宋体" w:hAnsi="宋体" w:eastAsia="宋体" w:cs="宋体"/>
          <w:sz w:val="24"/>
          <w:highlight w:val="none"/>
        </w:rPr>
        <w:t>2.非诉项目一案一签代理合同，服务费根据服务单价，经采购人完成对中标人每一项目的考核后，且具备付款实施条件的15日内，一次性结算该项目费用。</w:t>
      </w:r>
    </w:p>
    <w:p w14:paraId="530AEBA0">
      <w:pPr>
        <w:pageBreakBefore w:val="0"/>
        <w:shd w:val="clear" w:color="auto" w:fill="auto"/>
        <w:kinsoku/>
        <w:wordWrap/>
        <w:overflowPunct/>
        <w:topLinePunct w:val="0"/>
        <w:bidi w:val="0"/>
        <w:spacing w:beforeAutospacing="0" w:line="540" w:lineRule="exact"/>
        <w:ind w:firstLine="475" w:firstLineChars="198"/>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69996A03">
      <w:pPr>
        <w:pageBreakBefore w:val="0"/>
        <w:shd w:val="clear" w:color="auto" w:fill="auto"/>
        <w:kinsoku/>
        <w:wordWrap/>
        <w:overflowPunct/>
        <w:topLinePunct w:val="0"/>
        <w:bidi w:val="0"/>
        <w:spacing w:beforeAutospacing="0" w:line="540" w:lineRule="exact"/>
        <w:ind w:firstLine="475" w:firstLineChars="198"/>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公开竞争文件中打▲内容为实质性要求，不允许有负偏离，否则将以涉及无效响应条款作无效响应。</w:t>
      </w:r>
    </w:p>
    <w:p w14:paraId="0EFB0277">
      <w:pPr>
        <w:pageBreakBefore w:val="0"/>
        <w:numPr>
          <w:ilvl w:val="0"/>
          <w:numId w:val="14"/>
        </w:numPr>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成交供应商所提供的货物、服务须与响应承诺一致，不得以次充好、</w:t>
      </w:r>
      <w:r>
        <w:rPr>
          <w:rFonts w:hint="eastAsia" w:ascii="宋体" w:hAnsi="宋体" w:eastAsia="宋体" w:cs="宋体"/>
          <w:color w:val="000000"/>
          <w:sz w:val="24"/>
          <w:highlight w:val="none"/>
          <w:lang w:val="en-US" w:eastAsia="zh-CN"/>
        </w:rPr>
        <w:t>推诿扯皮</w:t>
      </w:r>
      <w:r>
        <w:rPr>
          <w:rFonts w:hint="eastAsia" w:ascii="宋体" w:hAnsi="宋体" w:eastAsia="宋体" w:cs="宋体"/>
          <w:color w:val="000000"/>
          <w:sz w:val="24"/>
          <w:highlight w:val="none"/>
        </w:rPr>
        <w:t>，若在</w:t>
      </w:r>
      <w:r>
        <w:rPr>
          <w:rFonts w:hint="eastAsia" w:ascii="宋体" w:hAnsi="宋体" w:eastAsia="宋体" w:cs="宋体"/>
          <w:color w:val="000000"/>
          <w:sz w:val="24"/>
          <w:highlight w:val="none"/>
          <w:lang w:val="en-US" w:eastAsia="zh-CN"/>
        </w:rPr>
        <w:t>考核</w:t>
      </w:r>
      <w:r>
        <w:rPr>
          <w:rFonts w:hint="eastAsia" w:ascii="宋体" w:hAnsi="宋体" w:eastAsia="宋体" w:cs="宋体"/>
          <w:color w:val="000000"/>
          <w:sz w:val="24"/>
          <w:highlight w:val="none"/>
        </w:rPr>
        <w:t>中发现有上述情况，将向有关部门举报，根据相关规定进行处理。</w:t>
      </w:r>
    </w:p>
    <w:p w14:paraId="23058391">
      <w:pPr>
        <w:pStyle w:val="62"/>
        <w:pageBreakBefore w:val="0"/>
        <w:shd w:val="clear" w:color="auto" w:fill="auto"/>
        <w:kinsoku/>
        <w:wordWrap/>
        <w:overflowPunct/>
        <w:topLinePunct w:val="0"/>
        <w:bidi w:val="0"/>
        <w:spacing w:beforeAutospacing="0" w:after="0" w:line="540" w:lineRule="exact"/>
        <w:ind w:left="0" w:leftChars="0" w:firstLine="0" w:firstLineChars="0"/>
        <w:textAlignment w:val="auto"/>
        <w:rPr>
          <w:rFonts w:hint="eastAsia" w:ascii="宋体" w:hAnsi="宋体" w:eastAsia="宋体" w:cs="宋体"/>
          <w:highlight w:val="none"/>
        </w:rPr>
      </w:pPr>
    </w:p>
    <w:p w14:paraId="13B406F2">
      <w:pPr>
        <w:pStyle w:val="6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highlight w:val="none"/>
        </w:rPr>
      </w:pPr>
    </w:p>
    <w:p w14:paraId="0BB431FA">
      <w:pPr>
        <w:pageBreakBefore w:val="0"/>
        <w:shd w:val="clear" w:color="auto" w:fill="auto"/>
        <w:kinsoku/>
        <w:wordWrap/>
        <w:overflowPunct/>
        <w:topLinePunct w:val="0"/>
        <w:bidi w:val="0"/>
        <w:adjustRightInd/>
        <w:spacing w:beforeAutospacing="0" w:line="540" w:lineRule="exact"/>
        <w:jc w:val="center"/>
        <w:textAlignment w:val="auto"/>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20"/>
          <w:highlight w:val="none"/>
        </w:rPr>
        <w:t xml:space="preserve">第四部分   </w:t>
      </w:r>
      <w:bookmarkStart w:id="14" w:name="_Toc184310331"/>
      <w:bookmarkEnd w:id="14"/>
      <w:bookmarkStart w:id="15" w:name="_Toc184308063"/>
      <w:bookmarkEnd w:id="15"/>
      <w:bookmarkStart w:id="16" w:name="_Toc184314480"/>
      <w:bookmarkEnd w:id="16"/>
      <w:bookmarkStart w:id="17" w:name="_Toc184312085"/>
      <w:bookmarkEnd w:id="17"/>
      <w:bookmarkStart w:id="18" w:name="_Toc184312119"/>
      <w:bookmarkEnd w:id="18"/>
      <w:bookmarkStart w:id="19" w:name="_Toc184310323"/>
      <w:bookmarkEnd w:id="19"/>
      <w:bookmarkStart w:id="20" w:name="_Toc184308081"/>
      <w:bookmarkEnd w:id="20"/>
      <w:bookmarkStart w:id="21" w:name="_Toc184308069"/>
      <w:bookmarkEnd w:id="21"/>
      <w:bookmarkStart w:id="22" w:name="_Toc184313262"/>
      <w:bookmarkEnd w:id="22"/>
      <w:bookmarkStart w:id="23" w:name="_Toc184314461"/>
      <w:bookmarkEnd w:id="23"/>
      <w:bookmarkStart w:id="24" w:name="_Toc184310290"/>
      <w:bookmarkEnd w:id="24"/>
      <w:bookmarkStart w:id="25" w:name="_Toc184313277"/>
      <w:bookmarkEnd w:id="25"/>
      <w:bookmarkStart w:id="26" w:name="_Toc184314464"/>
      <w:bookmarkEnd w:id="26"/>
      <w:bookmarkStart w:id="27" w:name="_Toc184312110"/>
      <w:bookmarkEnd w:id="27"/>
      <w:bookmarkStart w:id="28" w:name="_Toc184310273"/>
      <w:bookmarkEnd w:id="28"/>
      <w:bookmarkStart w:id="29" w:name="_Toc184313276"/>
      <w:bookmarkEnd w:id="29"/>
      <w:bookmarkStart w:id="30" w:name="_Toc184310302"/>
      <w:bookmarkEnd w:id="30"/>
      <w:bookmarkStart w:id="31" w:name="_Toc184314428"/>
      <w:bookmarkEnd w:id="31"/>
      <w:bookmarkStart w:id="32" w:name="_Toc184314413"/>
      <w:bookmarkEnd w:id="32"/>
      <w:bookmarkStart w:id="33" w:name="_Toc184308047"/>
      <w:bookmarkEnd w:id="33"/>
      <w:bookmarkStart w:id="34" w:name="_Toc184310283"/>
      <w:bookmarkEnd w:id="34"/>
      <w:bookmarkStart w:id="35" w:name="_Toc184313298"/>
      <w:bookmarkEnd w:id="35"/>
      <w:bookmarkStart w:id="36" w:name="_Toc184308105"/>
      <w:bookmarkEnd w:id="36"/>
      <w:bookmarkStart w:id="37" w:name="_Toc184314449"/>
      <w:bookmarkEnd w:id="37"/>
      <w:bookmarkStart w:id="38" w:name="_Toc184314463"/>
      <w:bookmarkEnd w:id="38"/>
      <w:bookmarkStart w:id="39" w:name="_Toc184308072"/>
      <w:bookmarkEnd w:id="39"/>
      <w:bookmarkStart w:id="40" w:name="_Toc184312067"/>
      <w:bookmarkEnd w:id="40"/>
      <w:bookmarkStart w:id="41" w:name="_Toc184312134"/>
      <w:bookmarkEnd w:id="41"/>
      <w:bookmarkStart w:id="42" w:name="_Toc184314442"/>
      <w:bookmarkEnd w:id="42"/>
      <w:bookmarkStart w:id="43" w:name="_Toc184314465"/>
      <w:bookmarkEnd w:id="43"/>
      <w:bookmarkStart w:id="44" w:name="_Toc184310320"/>
      <w:bookmarkEnd w:id="44"/>
      <w:bookmarkStart w:id="45" w:name="_Toc184314454"/>
      <w:bookmarkEnd w:id="45"/>
      <w:bookmarkStart w:id="46" w:name="_Toc184314433"/>
      <w:bookmarkEnd w:id="46"/>
      <w:bookmarkStart w:id="47" w:name="_Toc184313242"/>
      <w:bookmarkEnd w:id="47"/>
      <w:bookmarkStart w:id="48" w:name="_Toc184313309"/>
      <w:bookmarkEnd w:id="48"/>
      <w:bookmarkStart w:id="49" w:name="_Toc184308097"/>
      <w:bookmarkEnd w:id="49"/>
      <w:bookmarkStart w:id="50" w:name="_Toc184310296"/>
      <w:bookmarkEnd w:id="50"/>
      <w:bookmarkStart w:id="51" w:name="_Toc184308044"/>
      <w:bookmarkEnd w:id="51"/>
      <w:bookmarkStart w:id="52" w:name="_Toc184310326"/>
      <w:bookmarkEnd w:id="52"/>
      <w:bookmarkStart w:id="53" w:name="_Toc184313295"/>
      <w:bookmarkEnd w:id="53"/>
      <w:bookmarkStart w:id="54" w:name="_Toc184308107"/>
      <w:bookmarkEnd w:id="54"/>
      <w:bookmarkStart w:id="55" w:name="_Toc184308088"/>
      <w:bookmarkEnd w:id="55"/>
      <w:bookmarkStart w:id="56" w:name="_Toc184308051"/>
      <w:bookmarkEnd w:id="56"/>
      <w:bookmarkStart w:id="57" w:name="_Toc184310342"/>
      <w:bookmarkEnd w:id="57"/>
      <w:bookmarkStart w:id="58" w:name="_Toc184308057"/>
      <w:bookmarkEnd w:id="58"/>
      <w:bookmarkStart w:id="59" w:name="_Toc184312125"/>
      <w:bookmarkEnd w:id="59"/>
      <w:bookmarkStart w:id="60" w:name="_Toc184313308"/>
      <w:bookmarkEnd w:id="60"/>
      <w:bookmarkStart w:id="61" w:name="_Toc184313302"/>
      <w:bookmarkEnd w:id="61"/>
      <w:bookmarkStart w:id="62" w:name="_Toc184310295"/>
      <w:bookmarkEnd w:id="62"/>
      <w:bookmarkStart w:id="63" w:name="_Toc184310288"/>
      <w:bookmarkEnd w:id="63"/>
      <w:bookmarkStart w:id="64" w:name="_Toc184313306"/>
      <w:bookmarkEnd w:id="64"/>
      <w:bookmarkStart w:id="65" w:name="_Toc184313239"/>
      <w:bookmarkEnd w:id="65"/>
      <w:bookmarkStart w:id="66" w:name="_Toc184313241"/>
      <w:bookmarkEnd w:id="66"/>
      <w:bookmarkStart w:id="67" w:name="_Toc184313284"/>
      <w:bookmarkEnd w:id="67"/>
      <w:bookmarkStart w:id="68" w:name="_Toc184313280"/>
      <w:bookmarkEnd w:id="68"/>
      <w:bookmarkStart w:id="69" w:name="_Toc184314482"/>
      <w:bookmarkEnd w:id="69"/>
      <w:bookmarkStart w:id="70" w:name="_Toc184314469"/>
      <w:bookmarkEnd w:id="70"/>
      <w:bookmarkStart w:id="71" w:name="_Toc184314481"/>
      <w:bookmarkEnd w:id="71"/>
      <w:bookmarkStart w:id="72" w:name="_Toc184314450"/>
      <w:bookmarkEnd w:id="72"/>
      <w:bookmarkStart w:id="73" w:name="_Toc184310285"/>
      <w:bookmarkEnd w:id="73"/>
      <w:bookmarkStart w:id="74" w:name="_Toc184312123"/>
      <w:bookmarkEnd w:id="74"/>
      <w:bookmarkStart w:id="75" w:name="_Toc184314458"/>
      <w:bookmarkEnd w:id="75"/>
      <w:bookmarkStart w:id="76" w:name="_Toc184313285"/>
      <w:bookmarkEnd w:id="76"/>
      <w:bookmarkStart w:id="77" w:name="_Toc184308039"/>
      <w:bookmarkEnd w:id="77"/>
      <w:bookmarkStart w:id="78" w:name="_Toc184312133"/>
      <w:bookmarkEnd w:id="78"/>
      <w:bookmarkStart w:id="79" w:name="_Toc184313281"/>
      <w:bookmarkEnd w:id="79"/>
      <w:bookmarkStart w:id="80" w:name="_Toc184314462"/>
      <w:bookmarkEnd w:id="80"/>
      <w:bookmarkStart w:id="81" w:name="_Toc184310292"/>
      <w:bookmarkEnd w:id="81"/>
      <w:bookmarkStart w:id="82" w:name="_Toc184308061"/>
      <w:bookmarkEnd w:id="82"/>
      <w:bookmarkStart w:id="83" w:name="_Toc184313278"/>
      <w:bookmarkEnd w:id="83"/>
      <w:bookmarkStart w:id="84" w:name="_Toc184308050"/>
      <w:bookmarkEnd w:id="84"/>
      <w:bookmarkStart w:id="85" w:name="_Toc184310293"/>
      <w:bookmarkEnd w:id="85"/>
      <w:bookmarkStart w:id="86" w:name="_Toc184308096"/>
      <w:bookmarkEnd w:id="86"/>
      <w:bookmarkStart w:id="87" w:name="_Toc184310332"/>
      <w:bookmarkEnd w:id="87"/>
      <w:bookmarkStart w:id="88" w:name="_Toc184308084"/>
      <w:bookmarkEnd w:id="88"/>
      <w:bookmarkStart w:id="89" w:name="_Toc184314421"/>
      <w:bookmarkEnd w:id="89"/>
      <w:bookmarkStart w:id="90" w:name="_Toc184313279"/>
      <w:bookmarkEnd w:id="90"/>
      <w:bookmarkStart w:id="91" w:name="_Toc184308093"/>
      <w:bookmarkEnd w:id="91"/>
      <w:bookmarkStart w:id="92" w:name="_Toc184313297"/>
      <w:bookmarkEnd w:id="92"/>
      <w:bookmarkStart w:id="93" w:name="_Toc184313271"/>
      <w:bookmarkEnd w:id="93"/>
      <w:bookmarkStart w:id="94" w:name="_Toc184310340"/>
      <w:bookmarkEnd w:id="94"/>
      <w:bookmarkStart w:id="95" w:name="_Toc184310286"/>
      <w:bookmarkEnd w:id="95"/>
      <w:bookmarkStart w:id="96" w:name="_Toc184308040"/>
      <w:bookmarkEnd w:id="96"/>
      <w:bookmarkStart w:id="97" w:name="_Toc184313245"/>
      <w:bookmarkEnd w:id="97"/>
      <w:bookmarkStart w:id="98" w:name="_Toc184313261"/>
      <w:bookmarkEnd w:id="98"/>
      <w:bookmarkStart w:id="99" w:name="_Toc184313246"/>
      <w:bookmarkEnd w:id="99"/>
      <w:bookmarkStart w:id="100" w:name="_Toc184308049"/>
      <w:bookmarkEnd w:id="100"/>
      <w:bookmarkStart w:id="101" w:name="_Toc184308103"/>
      <w:bookmarkEnd w:id="101"/>
      <w:bookmarkStart w:id="102" w:name="_Toc184313257"/>
      <w:bookmarkEnd w:id="102"/>
      <w:bookmarkStart w:id="103" w:name="_Toc184310309"/>
      <w:bookmarkEnd w:id="103"/>
      <w:bookmarkStart w:id="104" w:name="_Toc184310282"/>
      <w:bookmarkEnd w:id="104"/>
      <w:bookmarkStart w:id="105" w:name="_Toc184312074"/>
      <w:bookmarkEnd w:id="105"/>
      <w:bookmarkStart w:id="106" w:name="_Toc184312105"/>
      <w:bookmarkEnd w:id="106"/>
      <w:bookmarkStart w:id="107" w:name="_Toc184313300"/>
      <w:bookmarkEnd w:id="107"/>
      <w:bookmarkStart w:id="108" w:name="_Toc184310305"/>
      <w:bookmarkEnd w:id="108"/>
      <w:bookmarkStart w:id="109" w:name="_Toc184310321"/>
      <w:bookmarkEnd w:id="109"/>
      <w:bookmarkStart w:id="110" w:name="_Toc184312095"/>
      <w:bookmarkEnd w:id="110"/>
      <w:bookmarkStart w:id="111" w:name="_Toc184314479"/>
      <w:bookmarkEnd w:id="111"/>
      <w:bookmarkStart w:id="112" w:name="_Toc184312115"/>
      <w:bookmarkEnd w:id="112"/>
      <w:bookmarkStart w:id="113" w:name="_Toc184314417"/>
      <w:bookmarkEnd w:id="113"/>
      <w:bookmarkStart w:id="114" w:name="_Toc184308068"/>
      <w:bookmarkEnd w:id="114"/>
      <w:bookmarkStart w:id="115" w:name="_Toc184314475"/>
      <w:bookmarkEnd w:id="115"/>
      <w:bookmarkStart w:id="116" w:name="_Toc184313258"/>
      <w:bookmarkEnd w:id="116"/>
      <w:bookmarkStart w:id="117" w:name="_Toc184310334"/>
      <w:bookmarkEnd w:id="117"/>
      <w:bookmarkStart w:id="118" w:name="_Toc184312122"/>
      <w:bookmarkEnd w:id="118"/>
      <w:bookmarkStart w:id="119" w:name="_Toc184310325"/>
      <w:bookmarkEnd w:id="119"/>
      <w:bookmarkStart w:id="120" w:name="_Toc184310330"/>
      <w:bookmarkEnd w:id="120"/>
      <w:bookmarkStart w:id="121" w:name="_Toc184310313"/>
      <w:bookmarkEnd w:id="121"/>
      <w:bookmarkStart w:id="122" w:name="_Toc184308073"/>
      <w:bookmarkEnd w:id="122"/>
      <w:bookmarkStart w:id="123" w:name="_Toc184314467"/>
      <w:bookmarkEnd w:id="123"/>
      <w:bookmarkStart w:id="124" w:name="_Toc184310297"/>
      <w:bookmarkEnd w:id="124"/>
      <w:bookmarkStart w:id="125" w:name="_Toc184314431"/>
      <w:bookmarkEnd w:id="125"/>
      <w:bookmarkStart w:id="126" w:name="_Toc184313267"/>
      <w:bookmarkEnd w:id="126"/>
      <w:bookmarkStart w:id="127" w:name="_Toc184314476"/>
      <w:bookmarkEnd w:id="127"/>
      <w:bookmarkStart w:id="128" w:name="_Toc184308104"/>
      <w:bookmarkEnd w:id="128"/>
      <w:bookmarkStart w:id="129" w:name="_Toc184310322"/>
      <w:bookmarkEnd w:id="129"/>
      <w:bookmarkStart w:id="130" w:name="_Toc184312097"/>
      <w:bookmarkEnd w:id="130"/>
      <w:bookmarkStart w:id="131" w:name="_Toc184312102"/>
      <w:bookmarkEnd w:id="131"/>
      <w:bookmarkStart w:id="132" w:name="_Toc184313290"/>
      <w:bookmarkEnd w:id="132"/>
      <w:bookmarkStart w:id="133" w:name="_Toc184308080"/>
      <w:bookmarkEnd w:id="133"/>
      <w:bookmarkStart w:id="134" w:name="_Toc184313303"/>
      <w:bookmarkEnd w:id="134"/>
      <w:bookmarkStart w:id="135" w:name="_Toc184310272"/>
      <w:bookmarkEnd w:id="135"/>
      <w:bookmarkStart w:id="136" w:name="_Toc184308036"/>
      <w:bookmarkEnd w:id="136"/>
      <w:bookmarkStart w:id="137" w:name="_Toc184314466"/>
      <w:bookmarkEnd w:id="137"/>
      <w:bookmarkStart w:id="138" w:name="_Toc184310314"/>
      <w:bookmarkEnd w:id="138"/>
      <w:bookmarkStart w:id="139" w:name="_Toc184314472"/>
      <w:bookmarkEnd w:id="139"/>
      <w:bookmarkStart w:id="140" w:name="_Toc184314418"/>
      <w:bookmarkEnd w:id="140"/>
      <w:bookmarkStart w:id="141" w:name="_Toc184308100"/>
      <w:bookmarkEnd w:id="141"/>
      <w:bookmarkStart w:id="142" w:name="_Toc184312128"/>
      <w:bookmarkEnd w:id="142"/>
      <w:bookmarkStart w:id="143" w:name="_Toc184314412"/>
      <w:bookmarkEnd w:id="143"/>
      <w:bookmarkStart w:id="144" w:name="_Toc184308059"/>
      <w:bookmarkEnd w:id="144"/>
      <w:bookmarkStart w:id="145" w:name="_Toc184310276"/>
      <w:bookmarkEnd w:id="145"/>
      <w:bookmarkStart w:id="146" w:name="_Toc184310310"/>
      <w:bookmarkEnd w:id="146"/>
      <w:bookmarkStart w:id="147" w:name="_Toc184312116"/>
      <w:bookmarkEnd w:id="147"/>
      <w:bookmarkStart w:id="148" w:name="_Toc184310277"/>
      <w:bookmarkEnd w:id="148"/>
      <w:bookmarkStart w:id="149" w:name="_Toc184313272"/>
      <w:bookmarkEnd w:id="149"/>
      <w:bookmarkStart w:id="150" w:name="_Toc184308086"/>
      <w:bookmarkEnd w:id="150"/>
      <w:bookmarkStart w:id="151" w:name="_Toc184313307"/>
      <w:bookmarkEnd w:id="151"/>
      <w:bookmarkStart w:id="152" w:name="_Toc184312107"/>
      <w:bookmarkEnd w:id="152"/>
      <w:bookmarkStart w:id="153" w:name="_Toc184313275"/>
      <w:bookmarkEnd w:id="153"/>
      <w:bookmarkStart w:id="154" w:name="_Toc184314446"/>
      <w:bookmarkEnd w:id="154"/>
      <w:bookmarkStart w:id="155" w:name="_Toc184312089"/>
      <w:bookmarkEnd w:id="155"/>
      <w:bookmarkStart w:id="156" w:name="_Toc184314414"/>
      <w:bookmarkEnd w:id="156"/>
      <w:bookmarkStart w:id="157" w:name="_Toc184308092"/>
      <w:bookmarkEnd w:id="157"/>
      <w:bookmarkStart w:id="158" w:name="_Toc184313248"/>
      <w:bookmarkEnd w:id="158"/>
      <w:bookmarkStart w:id="159" w:name="_Toc184312087"/>
      <w:bookmarkEnd w:id="159"/>
      <w:bookmarkStart w:id="160" w:name="_Toc184314470"/>
      <w:bookmarkEnd w:id="160"/>
      <w:bookmarkStart w:id="161" w:name="_Toc184312137"/>
      <w:bookmarkEnd w:id="161"/>
      <w:bookmarkStart w:id="162" w:name="_Toc184313288"/>
      <w:bookmarkEnd w:id="162"/>
      <w:bookmarkStart w:id="163" w:name="_Toc184312098"/>
      <w:bookmarkEnd w:id="163"/>
      <w:bookmarkStart w:id="164" w:name="_Toc184310298"/>
      <w:bookmarkEnd w:id="164"/>
      <w:bookmarkStart w:id="165" w:name="_Toc184314445"/>
      <w:bookmarkEnd w:id="165"/>
      <w:bookmarkStart w:id="166" w:name="_Toc184310329"/>
      <w:bookmarkEnd w:id="166"/>
      <w:bookmarkStart w:id="167" w:name="_Toc184312136"/>
      <w:bookmarkEnd w:id="167"/>
      <w:bookmarkStart w:id="168" w:name="_Toc184312068"/>
      <w:bookmarkEnd w:id="168"/>
      <w:bookmarkStart w:id="169" w:name="_Toc184310299"/>
      <w:bookmarkEnd w:id="169"/>
      <w:bookmarkStart w:id="170" w:name="_Toc184308058"/>
      <w:bookmarkEnd w:id="170"/>
      <w:bookmarkStart w:id="171" w:name="_Toc184313304"/>
      <w:bookmarkEnd w:id="171"/>
      <w:bookmarkStart w:id="172" w:name="_Toc184314440"/>
      <w:bookmarkEnd w:id="172"/>
      <w:bookmarkStart w:id="173" w:name="_Toc184314435"/>
      <w:bookmarkEnd w:id="173"/>
      <w:bookmarkStart w:id="174" w:name="_Toc184312092"/>
      <w:bookmarkEnd w:id="174"/>
      <w:bookmarkStart w:id="175" w:name="_Toc184310304"/>
      <w:bookmarkEnd w:id="175"/>
      <w:bookmarkStart w:id="176" w:name="_Toc184308067"/>
      <w:bookmarkEnd w:id="176"/>
      <w:bookmarkStart w:id="177" w:name="_Toc184313305"/>
      <w:bookmarkEnd w:id="177"/>
      <w:bookmarkStart w:id="178" w:name="_Toc184310338"/>
      <w:bookmarkEnd w:id="178"/>
      <w:bookmarkStart w:id="179" w:name="_Toc184308038"/>
      <w:bookmarkEnd w:id="179"/>
      <w:bookmarkStart w:id="180" w:name="_Toc184310278"/>
      <w:bookmarkEnd w:id="180"/>
      <w:bookmarkStart w:id="181" w:name="_Toc184312130"/>
      <w:bookmarkEnd w:id="181"/>
      <w:bookmarkStart w:id="182" w:name="_Toc184314429"/>
      <w:bookmarkEnd w:id="182"/>
      <w:bookmarkStart w:id="183" w:name="_Toc184312111"/>
      <w:bookmarkEnd w:id="183"/>
      <w:bookmarkStart w:id="184" w:name="_Toc184314422"/>
      <w:bookmarkEnd w:id="184"/>
      <w:bookmarkStart w:id="185" w:name="_Toc184310318"/>
      <w:bookmarkEnd w:id="185"/>
      <w:bookmarkStart w:id="186" w:name="_Toc184310281"/>
      <w:bookmarkEnd w:id="186"/>
      <w:bookmarkStart w:id="187" w:name="_Toc184313286"/>
      <w:bookmarkEnd w:id="187"/>
      <w:bookmarkStart w:id="188" w:name="_Toc184308064"/>
      <w:bookmarkEnd w:id="188"/>
      <w:bookmarkStart w:id="189" w:name="_Toc184313260"/>
      <w:bookmarkEnd w:id="189"/>
      <w:bookmarkStart w:id="190" w:name="_Toc184308094"/>
      <w:bookmarkEnd w:id="190"/>
      <w:bookmarkStart w:id="191" w:name="_Toc184312100"/>
      <w:bookmarkEnd w:id="191"/>
      <w:bookmarkStart w:id="192" w:name="_Toc184314453"/>
      <w:bookmarkEnd w:id="192"/>
      <w:bookmarkStart w:id="193" w:name="_Toc184312073"/>
      <w:bookmarkEnd w:id="193"/>
      <w:bookmarkStart w:id="194" w:name="_Toc184310335"/>
      <w:bookmarkEnd w:id="194"/>
      <w:bookmarkStart w:id="195" w:name="_Toc184313238"/>
      <w:bookmarkEnd w:id="195"/>
      <w:bookmarkStart w:id="196" w:name="_Toc184313301"/>
      <w:bookmarkEnd w:id="196"/>
      <w:bookmarkStart w:id="197" w:name="_Toc184308041"/>
      <w:bookmarkEnd w:id="197"/>
      <w:bookmarkStart w:id="198" w:name="_Toc184312084"/>
      <w:bookmarkEnd w:id="198"/>
      <w:bookmarkStart w:id="199" w:name="_Toc184314426"/>
      <w:bookmarkEnd w:id="199"/>
      <w:bookmarkStart w:id="200" w:name="_Toc184313283"/>
      <w:bookmarkEnd w:id="200"/>
      <w:bookmarkStart w:id="201" w:name="_Toc184313250"/>
      <w:bookmarkEnd w:id="201"/>
      <w:bookmarkStart w:id="202" w:name="_Toc184312129"/>
      <w:bookmarkEnd w:id="202"/>
      <w:bookmarkStart w:id="203" w:name="_Toc184314452"/>
      <w:bookmarkEnd w:id="203"/>
      <w:bookmarkStart w:id="204" w:name="_Toc184314438"/>
      <w:bookmarkEnd w:id="204"/>
      <w:bookmarkStart w:id="205" w:name="_Toc184310311"/>
      <w:bookmarkEnd w:id="205"/>
      <w:bookmarkStart w:id="206" w:name="_Toc184308077"/>
      <w:bookmarkEnd w:id="206"/>
      <w:bookmarkStart w:id="207" w:name="_Toc184310291"/>
      <w:bookmarkEnd w:id="207"/>
      <w:bookmarkStart w:id="208" w:name="_Toc184310328"/>
      <w:bookmarkEnd w:id="208"/>
      <w:bookmarkStart w:id="209" w:name="_Toc184314441"/>
      <w:bookmarkEnd w:id="209"/>
      <w:bookmarkStart w:id="210" w:name="_Toc184310300"/>
      <w:bookmarkEnd w:id="210"/>
      <w:bookmarkStart w:id="211" w:name="_Toc184314424"/>
      <w:bookmarkEnd w:id="211"/>
      <w:bookmarkStart w:id="212" w:name="_Toc184312070"/>
      <w:bookmarkEnd w:id="212"/>
      <w:bookmarkStart w:id="213" w:name="_Toc184312093"/>
      <w:bookmarkEnd w:id="213"/>
      <w:bookmarkStart w:id="214" w:name="_Toc184314477"/>
      <w:bookmarkEnd w:id="214"/>
      <w:bookmarkStart w:id="215" w:name="_Toc184314410"/>
      <w:bookmarkEnd w:id="215"/>
      <w:bookmarkStart w:id="216" w:name="_Toc184308108"/>
      <w:bookmarkEnd w:id="216"/>
      <w:bookmarkStart w:id="217" w:name="_Toc184312075"/>
      <w:bookmarkEnd w:id="217"/>
      <w:bookmarkStart w:id="218" w:name="_Toc184312139"/>
      <w:bookmarkEnd w:id="218"/>
      <w:bookmarkStart w:id="219" w:name="_Toc184308046"/>
      <w:bookmarkEnd w:id="219"/>
      <w:bookmarkStart w:id="220" w:name="_Toc184310333"/>
      <w:bookmarkEnd w:id="220"/>
      <w:bookmarkStart w:id="221" w:name="_Toc184314432"/>
      <w:bookmarkEnd w:id="221"/>
      <w:bookmarkStart w:id="222" w:name="_Toc184308098"/>
      <w:bookmarkEnd w:id="222"/>
      <w:bookmarkStart w:id="223" w:name="_Toc184313292"/>
      <w:bookmarkEnd w:id="223"/>
      <w:bookmarkStart w:id="224" w:name="_Toc184312106"/>
      <w:bookmarkEnd w:id="224"/>
      <w:bookmarkStart w:id="225" w:name="_Toc184310324"/>
      <w:bookmarkEnd w:id="225"/>
      <w:bookmarkStart w:id="226" w:name="_Toc184308056"/>
      <w:bookmarkEnd w:id="226"/>
      <w:bookmarkStart w:id="227" w:name="_Toc184312101"/>
      <w:bookmarkEnd w:id="227"/>
      <w:bookmarkStart w:id="228" w:name="_Toc184313253"/>
      <w:bookmarkEnd w:id="228"/>
      <w:bookmarkStart w:id="229" w:name="_Toc184308089"/>
      <w:bookmarkEnd w:id="229"/>
      <w:bookmarkStart w:id="230" w:name="_Toc184308066"/>
      <w:bookmarkEnd w:id="230"/>
      <w:bookmarkStart w:id="231" w:name="_Toc184314451"/>
      <w:bookmarkEnd w:id="231"/>
      <w:bookmarkStart w:id="232" w:name="_Toc184312088"/>
      <w:bookmarkEnd w:id="232"/>
      <w:bookmarkStart w:id="233" w:name="_Toc184314420"/>
      <w:bookmarkEnd w:id="233"/>
      <w:bookmarkStart w:id="234" w:name="_Toc184313282"/>
      <w:bookmarkEnd w:id="234"/>
      <w:bookmarkStart w:id="235" w:name="_Toc184314456"/>
      <w:bookmarkEnd w:id="235"/>
      <w:bookmarkStart w:id="236" w:name="_Toc184312096"/>
      <w:bookmarkEnd w:id="236"/>
      <w:bookmarkStart w:id="237" w:name="_Toc184310274"/>
      <w:bookmarkEnd w:id="237"/>
      <w:bookmarkStart w:id="238" w:name="_Toc184314436"/>
      <w:bookmarkEnd w:id="238"/>
      <w:bookmarkStart w:id="239" w:name="_Toc184308095"/>
      <w:bookmarkEnd w:id="239"/>
      <w:bookmarkStart w:id="240" w:name="_Toc184313243"/>
      <w:bookmarkEnd w:id="240"/>
      <w:bookmarkStart w:id="241" w:name="_Toc184308087"/>
      <w:bookmarkEnd w:id="241"/>
      <w:bookmarkStart w:id="242" w:name="_Toc184312082"/>
      <w:bookmarkEnd w:id="242"/>
      <w:bookmarkStart w:id="243" w:name="_Toc184312109"/>
      <w:bookmarkEnd w:id="243"/>
      <w:bookmarkStart w:id="244" w:name="_Toc184314468"/>
      <w:bookmarkEnd w:id="244"/>
      <w:bookmarkStart w:id="245" w:name="_Toc184313270"/>
      <w:bookmarkEnd w:id="245"/>
      <w:bookmarkStart w:id="246" w:name="_Toc184312081"/>
      <w:bookmarkEnd w:id="246"/>
      <w:bookmarkStart w:id="247" w:name="_Toc184308048"/>
      <w:bookmarkEnd w:id="247"/>
      <w:bookmarkStart w:id="248" w:name="_Toc184308054"/>
      <w:bookmarkEnd w:id="248"/>
      <w:bookmarkStart w:id="249" w:name="_Toc184314411"/>
      <w:bookmarkEnd w:id="249"/>
      <w:bookmarkStart w:id="250" w:name="_Toc184308071"/>
      <w:bookmarkEnd w:id="250"/>
      <w:bookmarkStart w:id="251" w:name="_Toc184310336"/>
      <w:bookmarkEnd w:id="251"/>
      <w:bookmarkStart w:id="252" w:name="_Toc184313247"/>
      <w:bookmarkEnd w:id="252"/>
      <w:bookmarkStart w:id="253" w:name="_Toc184308082"/>
      <w:bookmarkEnd w:id="253"/>
      <w:bookmarkStart w:id="254" w:name="_Toc184312117"/>
      <w:bookmarkEnd w:id="254"/>
      <w:bookmarkStart w:id="255" w:name="_Toc184312113"/>
      <w:bookmarkEnd w:id="255"/>
      <w:bookmarkStart w:id="256" w:name="_Toc184314457"/>
      <w:bookmarkEnd w:id="256"/>
      <w:bookmarkStart w:id="257" w:name="_Toc184312112"/>
      <w:bookmarkEnd w:id="257"/>
      <w:bookmarkStart w:id="258" w:name="_Toc184313287"/>
      <w:bookmarkEnd w:id="258"/>
      <w:bookmarkStart w:id="259" w:name="_Toc184308075"/>
      <w:bookmarkEnd w:id="259"/>
      <w:bookmarkStart w:id="260" w:name="_Toc184310303"/>
      <w:bookmarkEnd w:id="260"/>
      <w:bookmarkStart w:id="261" w:name="_Toc184314478"/>
      <w:bookmarkEnd w:id="261"/>
      <w:bookmarkStart w:id="262" w:name="_Toc184312077"/>
      <w:bookmarkEnd w:id="262"/>
      <w:bookmarkStart w:id="263" w:name="_Toc184308045"/>
      <w:bookmarkEnd w:id="263"/>
      <w:bookmarkStart w:id="264" w:name="_Toc184310301"/>
      <w:bookmarkEnd w:id="264"/>
      <w:bookmarkStart w:id="265" w:name="_Toc184313255"/>
      <w:bookmarkEnd w:id="265"/>
      <w:bookmarkStart w:id="266" w:name="_Toc184314459"/>
      <w:bookmarkEnd w:id="266"/>
      <w:bookmarkStart w:id="267" w:name="_Toc184312079"/>
      <w:bookmarkEnd w:id="267"/>
      <w:bookmarkStart w:id="268" w:name="_Toc184313256"/>
      <w:bookmarkEnd w:id="268"/>
      <w:bookmarkStart w:id="269" w:name="_Toc184308101"/>
      <w:bookmarkEnd w:id="269"/>
      <w:bookmarkStart w:id="270" w:name="_Toc184310284"/>
      <w:bookmarkEnd w:id="270"/>
      <w:bookmarkStart w:id="271" w:name="_Toc184313291"/>
      <w:bookmarkEnd w:id="271"/>
      <w:bookmarkStart w:id="272" w:name="_Toc184310279"/>
      <w:bookmarkEnd w:id="272"/>
      <w:bookmarkStart w:id="273" w:name="_Toc184312135"/>
      <w:bookmarkEnd w:id="273"/>
      <w:bookmarkStart w:id="274" w:name="_Toc184313264"/>
      <w:bookmarkEnd w:id="274"/>
      <w:bookmarkStart w:id="275" w:name="_Toc184314444"/>
      <w:bookmarkEnd w:id="275"/>
      <w:bookmarkStart w:id="276" w:name="_Toc184314471"/>
      <w:bookmarkEnd w:id="276"/>
      <w:bookmarkStart w:id="277" w:name="_Toc184312080"/>
      <w:bookmarkEnd w:id="277"/>
      <w:bookmarkStart w:id="278" w:name="_Toc184310312"/>
      <w:bookmarkEnd w:id="278"/>
      <w:bookmarkStart w:id="279" w:name="_Toc184313254"/>
      <w:bookmarkEnd w:id="279"/>
      <w:bookmarkStart w:id="280" w:name="_Toc184312090"/>
      <w:bookmarkEnd w:id="280"/>
      <w:bookmarkStart w:id="281" w:name="_Toc184308065"/>
      <w:bookmarkEnd w:id="281"/>
      <w:bookmarkStart w:id="282" w:name="_Toc184314474"/>
      <w:bookmarkEnd w:id="282"/>
      <w:bookmarkStart w:id="283" w:name="_Toc184312083"/>
      <w:bookmarkEnd w:id="283"/>
      <w:bookmarkStart w:id="284" w:name="_Toc184314423"/>
      <w:bookmarkEnd w:id="284"/>
      <w:bookmarkStart w:id="285" w:name="_Toc184308078"/>
      <w:bookmarkEnd w:id="285"/>
      <w:bookmarkStart w:id="286" w:name="_Toc184308091"/>
      <w:bookmarkEnd w:id="286"/>
      <w:bookmarkStart w:id="287" w:name="_Toc184312121"/>
      <w:bookmarkEnd w:id="287"/>
      <w:bookmarkStart w:id="288" w:name="_Toc184312072"/>
      <w:bookmarkEnd w:id="288"/>
      <w:bookmarkStart w:id="289" w:name="_Toc184312094"/>
      <w:bookmarkEnd w:id="289"/>
      <w:bookmarkStart w:id="290" w:name="_Toc184310327"/>
      <w:bookmarkEnd w:id="290"/>
      <w:bookmarkStart w:id="291" w:name="_Toc184312091"/>
      <w:bookmarkEnd w:id="291"/>
      <w:bookmarkStart w:id="292" w:name="_Toc184312131"/>
      <w:bookmarkEnd w:id="292"/>
      <w:bookmarkStart w:id="293" w:name="_Toc184308070"/>
      <w:bookmarkEnd w:id="293"/>
      <w:bookmarkStart w:id="294" w:name="_Toc184308079"/>
      <w:bookmarkEnd w:id="294"/>
      <w:bookmarkStart w:id="295" w:name="_Toc184312108"/>
      <w:bookmarkEnd w:id="295"/>
      <w:bookmarkStart w:id="296" w:name="_Toc184308037"/>
      <w:bookmarkEnd w:id="296"/>
      <w:bookmarkStart w:id="297" w:name="_Toc184308074"/>
      <w:bookmarkEnd w:id="297"/>
      <w:bookmarkStart w:id="298" w:name="_Toc184314448"/>
      <w:bookmarkEnd w:id="298"/>
      <w:bookmarkStart w:id="299" w:name="_Toc184313268"/>
      <w:bookmarkEnd w:id="299"/>
      <w:bookmarkStart w:id="300" w:name="_Toc184313299"/>
      <w:bookmarkEnd w:id="300"/>
      <w:bookmarkStart w:id="301" w:name="_Toc184314427"/>
      <w:bookmarkEnd w:id="301"/>
      <w:bookmarkStart w:id="302" w:name="_Toc184312126"/>
      <w:bookmarkEnd w:id="302"/>
      <w:bookmarkStart w:id="303" w:name="_Toc184308053"/>
      <w:bookmarkEnd w:id="303"/>
      <w:bookmarkStart w:id="304" w:name="_Toc184310337"/>
      <w:bookmarkEnd w:id="304"/>
      <w:bookmarkStart w:id="305" w:name="_Toc184310287"/>
      <w:bookmarkEnd w:id="305"/>
      <w:bookmarkStart w:id="306" w:name="_Toc184308062"/>
      <w:bookmarkEnd w:id="306"/>
      <w:bookmarkStart w:id="307" w:name="_Toc184312114"/>
      <w:bookmarkEnd w:id="307"/>
      <w:bookmarkStart w:id="308" w:name="_Toc184312071"/>
      <w:bookmarkEnd w:id="308"/>
      <w:bookmarkStart w:id="309" w:name="_Toc184310308"/>
      <w:bookmarkEnd w:id="309"/>
      <w:bookmarkStart w:id="310" w:name="_Toc184310344"/>
      <w:bookmarkEnd w:id="310"/>
      <w:bookmarkStart w:id="311" w:name="_Toc184310319"/>
      <w:bookmarkEnd w:id="311"/>
      <w:bookmarkStart w:id="312" w:name="_Toc184310275"/>
      <w:bookmarkEnd w:id="312"/>
      <w:bookmarkStart w:id="313" w:name="_Toc184314473"/>
      <w:bookmarkEnd w:id="313"/>
      <w:bookmarkStart w:id="314" w:name="_Toc184310339"/>
      <w:bookmarkEnd w:id="314"/>
      <w:bookmarkStart w:id="315" w:name="_Toc184313289"/>
      <w:bookmarkEnd w:id="315"/>
      <w:bookmarkStart w:id="316" w:name="_Toc184308042"/>
      <w:bookmarkEnd w:id="316"/>
      <w:bookmarkStart w:id="317" w:name="_Toc184312078"/>
      <w:bookmarkEnd w:id="317"/>
      <w:bookmarkStart w:id="318" w:name="_Toc184312086"/>
      <w:bookmarkEnd w:id="318"/>
      <w:bookmarkStart w:id="319" w:name="_Toc184313269"/>
      <w:bookmarkEnd w:id="319"/>
      <w:bookmarkStart w:id="320" w:name="_Toc184312124"/>
      <w:bookmarkEnd w:id="320"/>
      <w:bookmarkStart w:id="321" w:name="_Toc184313296"/>
      <w:bookmarkEnd w:id="321"/>
      <w:bookmarkStart w:id="322" w:name="_Toc184313294"/>
      <w:bookmarkEnd w:id="322"/>
      <w:bookmarkStart w:id="323" w:name="_Toc184310317"/>
      <w:bookmarkEnd w:id="323"/>
      <w:bookmarkStart w:id="324" w:name="_Toc184308060"/>
      <w:bookmarkEnd w:id="324"/>
      <w:bookmarkStart w:id="325" w:name="_Toc184314447"/>
      <w:bookmarkEnd w:id="325"/>
      <w:bookmarkStart w:id="326" w:name="_Toc184313244"/>
      <w:bookmarkEnd w:id="326"/>
      <w:bookmarkStart w:id="327" w:name="_Toc184308083"/>
      <w:bookmarkEnd w:id="327"/>
      <w:bookmarkStart w:id="328" w:name="_Toc184310306"/>
      <w:bookmarkEnd w:id="328"/>
      <w:bookmarkStart w:id="329" w:name="_Toc184310316"/>
      <w:bookmarkEnd w:id="329"/>
      <w:bookmarkStart w:id="330" w:name="_Toc184314439"/>
      <w:bookmarkEnd w:id="330"/>
      <w:bookmarkStart w:id="331" w:name="_Toc184312104"/>
      <w:bookmarkEnd w:id="331"/>
      <w:bookmarkStart w:id="332" w:name="_Toc184312132"/>
      <w:bookmarkEnd w:id="332"/>
      <w:bookmarkStart w:id="333" w:name="_Toc184313251"/>
      <w:bookmarkEnd w:id="333"/>
      <w:bookmarkStart w:id="334" w:name="_Toc184310315"/>
      <w:bookmarkEnd w:id="334"/>
      <w:bookmarkStart w:id="335" w:name="_Toc184312103"/>
      <w:bookmarkEnd w:id="335"/>
      <w:bookmarkStart w:id="336" w:name="_Toc184308055"/>
      <w:bookmarkEnd w:id="336"/>
      <w:bookmarkStart w:id="337" w:name="_Toc184312120"/>
      <w:bookmarkEnd w:id="337"/>
      <w:bookmarkStart w:id="338" w:name="_Toc184310343"/>
      <w:bookmarkEnd w:id="338"/>
      <w:bookmarkStart w:id="339" w:name="_Toc184313274"/>
      <w:bookmarkEnd w:id="339"/>
      <w:bookmarkStart w:id="340" w:name="_Toc184310307"/>
      <w:bookmarkEnd w:id="340"/>
      <w:bookmarkStart w:id="341" w:name="_Toc184308106"/>
      <w:bookmarkEnd w:id="341"/>
      <w:bookmarkStart w:id="342" w:name="_Toc184312076"/>
      <w:bookmarkEnd w:id="342"/>
      <w:bookmarkStart w:id="343" w:name="_Toc184313259"/>
      <w:bookmarkEnd w:id="343"/>
      <w:bookmarkStart w:id="344" w:name="_Toc184314415"/>
      <w:bookmarkEnd w:id="344"/>
      <w:bookmarkStart w:id="345" w:name="_Toc184310341"/>
      <w:bookmarkEnd w:id="345"/>
      <w:bookmarkStart w:id="346" w:name="_Toc184313266"/>
      <w:bookmarkEnd w:id="346"/>
      <w:bookmarkStart w:id="347" w:name="_Toc184314443"/>
      <w:bookmarkEnd w:id="347"/>
      <w:bookmarkStart w:id="348" w:name="_Toc184310294"/>
      <w:bookmarkEnd w:id="348"/>
      <w:bookmarkStart w:id="349" w:name="_Toc184308043"/>
      <w:bookmarkEnd w:id="349"/>
      <w:bookmarkStart w:id="350" w:name="_Toc184313240"/>
      <w:bookmarkEnd w:id="350"/>
      <w:bookmarkStart w:id="351" w:name="_Toc184313265"/>
      <w:bookmarkEnd w:id="351"/>
      <w:bookmarkStart w:id="352" w:name="_Toc184314416"/>
      <w:bookmarkEnd w:id="352"/>
      <w:bookmarkStart w:id="353" w:name="_Toc184308090"/>
      <w:bookmarkEnd w:id="353"/>
      <w:bookmarkStart w:id="354" w:name="_Toc184314460"/>
      <w:bookmarkEnd w:id="354"/>
      <w:bookmarkStart w:id="355" w:name="_Toc184313310"/>
      <w:bookmarkEnd w:id="355"/>
      <w:bookmarkStart w:id="356" w:name="_Toc184312099"/>
      <w:bookmarkEnd w:id="356"/>
      <w:bookmarkStart w:id="357" w:name="_Toc184312118"/>
      <w:bookmarkEnd w:id="357"/>
      <w:bookmarkStart w:id="358" w:name="_Toc184313273"/>
      <w:bookmarkEnd w:id="358"/>
      <w:bookmarkStart w:id="359" w:name="_Toc184308085"/>
      <w:bookmarkEnd w:id="359"/>
      <w:bookmarkStart w:id="360" w:name="_Toc184314419"/>
      <w:bookmarkEnd w:id="360"/>
      <w:bookmarkStart w:id="361" w:name="_Toc184313293"/>
      <w:bookmarkEnd w:id="361"/>
      <w:bookmarkStart w:id="362" w:name="_Toc184312127"/>
      <w:bookmarkEnd w:id="362"/>
      <w:bookmarkStart w:id="363" w:name="_Toc184314434"/>
      <w:bookmarkEnd w:id="363"/>
      <w:bookmarkStart w:id="364" w:name="_Toc184313252"/>
      <w:bookmarkEnd w:id="364"/>
      <w:bookmarkStart w:id="365" w:name="_Toc184313263"/>
      <w:bookmarkEnd w:id="365"/>
      <w:bookmarkStart w:id="366" w:name="_Toc184314430"/>
      <w:bookmarkEnd w:id="366"/>
      <w:bookmarkStart w:id="367" w:name="_Toc184313249"/>
      <w:bookmarkEnd w:id="367"/>
      <w:bookmarkStart w:id="368" w:name="_Toc184314455"/>
      <w:bookmarkEnd w:id="368"/>
      <w:bookmarkStart w:id="369" w:name="_Toc184308052"/>
      <w:bookmarkEnd w:id="369"/>
      <w:bookmarkStart w:id="370" w:name="_Toc184308076"/>
      <w:bookmarkEnd w:id="370"/>
      <w:bookmarkStart w:id="371" w:name="_Toc184314425"/>
      <w:bookmarkEnd w:id="371"/>
      <w:bookmarkStart w:id="372" w:name="_Toc184308102"/>
      <w:bookmarkEnd w:id="372"/>
      <w:bookmarkStart w:id="373" w:name="_Toc184308099"/>
      <w:bookmarkEnd w:id="373"/>
      <w:bookmarkStart w:id="374" w:name="_Toc184310280"/>
      <w:bookmarkEnd w:id="374"/>
      <w:bookmarkStart w:id="375" w:name="_Toc184314437"/>
      <w:bookmarkEnd w:id="375"/>
      <w:bookmarkStart w:id="376" w:name="_Toc184312138"/>
      <w:bookmarkEnd w:id="376"/>
      <w:bookmarkStart w:id="377" w:name="_Toc184310289"/>
      <w:bookmarkEnd w:id="377"/>
      <w:bookmarkStart w:id="378" w:name="_Toc184312069"/>
      <w:bookmarkEnd w:id="378"/>
      <w:r>
        <w:rPr>
          <w:rFonts w:hint="eastAsia" w:ascii="宋体" w:hAnsi="宋体" w:eastAsia="宋体" w:cs="宋体"/>
          <w:b/>
          <w:color w:val="000000"/>
          <w:sz w:val="36"/>
          <w:szCs w:val="20"/>
          <w:highlight w:val="none"/>
        </w:rPr>
        <w:t>交易办法</w:t>
      </w:r>
    </w:p>
    <w:p w14:paraId="2AA879C7">
      <w:pPr>
        <w:pageBreakBefore w:val="0"/>
        <w:shd w:val="clear" w:color="auto" w:fill="auto"/>
        <w:kinsoku/>
        <w:wordWrap/>
        <w:overflowPunct/>
        <w:topLinePunct w:val="0"/>
        <w:bidi w:val="0"/>
        <w:adjustRightInd/>
        <w:snapToGrid/>
        <w:spacing w:beforeAutospacing="0" w:line="540" w:lineRule="exact"/>
        <w:ind w:firstLine="0" w:firstLineChars="0"/>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交易办法前附表</w:t>
      </w:r>
    </w:p>
    <w:p w14:paraId="1FB43EE7">
      <w:pPr>
        <w:pageBreakBefore w:val="0"/>
        <w:kinsoku/>
        <w:wordWrap/>
        <w:overflowPunct/>
        <w:topLinePunct w:val="0"/>
        <w:bidi w:val="0"/>
        <w:spacing w:beforeAutospacing="0" w:line="54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总分：100分（商务资信</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分+技术分</w:t>
      </w:r>
      <w:r>
        <w:rPr>
          <w:rFonts w:hint="eastAsia" w:ascii="宋体" w:hAnsi="宋体" w:cs="宋体"/>
          <w:sz w:val="24"/>
          <w:szCs w:val="24"/>
          <w:highlight w:val="none"/>
          <w:lang w:val="en-US" w:eastAsia="zh-CN"/>
        </w:rPr>
        <w:t>66</w:t>
      </w:r>
      <w:r>
        <w:rPr>
          <w:rFonts w:hint="eastAsia" w:ascii="宋体" w:hAnsi="宋体" w:eastAsia="宋体" w:cs="宋体"/>
          <w:sz w:val="24"/>
          <w:szCs w:val="24"/>
          <w:highlight w:val="none"/>
        </w:rPr>
        <w:t>分+标项差异化评分</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价格分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14:paraId="62B7C3C7">
      <w:pPr>
        <w:keepNext/>
        <w:keepLines/>
        <w:pageBreakBefore w:val="0"/>
        <w:tabs>
          <w:tab w:val="left" w:pos="432"/>
        </w:tabs>
        <w:kinsoku/>
        <w:wordWrap/>
        <w:overflowPunct/>
        <w:topLinePunct w:val="0"/>
        <w:bidi w:val="0"/>
        <w:spacing w:beforeAutospacing="0" w:line="540" w:lineRule="exact"/>
        <w:jc w:val="both"/>
        <w:textAlignment w:val="auto"/>
        <w:outlineLvl w:val="0"/>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（一）商务资信分</w:t>
      </w:r>
      <w:r>
        <w:rPr>
          <w:rFonts w:hint="eastAsia" w:ascii="宋体" w:hAnsi="宋体" w:eastAsia="宋体" w:cs="宋体"/>
          <w:bCs/>
          <w:color w:val="000000"/>
          <w:kern w:val="44"/>
          <w:sz w:val="24"/>
          <w:szCs w:val="24"/>
          <w:highlight w:val="none"/>
          <w:lang w:eastAsia="zh-CN" w:bidi="ar-SA"/>
        </w:rPr>
        <w:t>（适用于所有标项）</w:t>
      </w:r>
      <w:r>
        <w:rPr>
          <w:rFonts w:hint="eastAsia" w:ascii="宋体" w:hAnsi="宋体" w:eastAsia="宋体" w:cs="宋体"/>
          <w:color w:val="000000"/>
          <w:kern w:val="2"/>
          <w:sz w:val="24"/>
          <w:szCs w:val="24"/>
          <w:highlight w:val="none"/>
          <w:lang w:eastAsia="zh-CN" w:bidi="ar-SA"/>
        </w:rPr>
        <w:t>（</w:t>
      </w:r>
      <w:r>
        <w:rPr>
          <w:rFonts w:hint="eastAsia" w:ascii="宋体" w:hAnsi="宋体" w:cs="宋体"/>
          <w:color w:val="000000"/>
          <w:kern w:val="2"/>
          <w:sz w:val="24"/>
          <w:szCs w:val="24"/>
          <w:highlight w:val="none"/>
          <w:lang w:val="en-US" w:eastAsia="zh-CN" w:bidi="ar-SA"/>
        </w:rPr>
        <w:t>15</w:t>
      </w:r>
      <w:r>
        <w:rPr>
          <w:rFonts w:hint="eastAsia" w:ascii="宋体" w:hAnsi="宋体" w:eastAsia="宋体" w:cs="宋体"/>
          <w:color w:val="000000"/>
          <w:kern w:val="2"/>
          <w:sz w:val="24"/>
          <w:szCs w:val="24"/>
          <w:highlight w:val="none"/>
          <w:lang w:eastAsia="zh-CN" w:bidi="ar-SA"/>
        </w:rPr>
        <w:t>分）</w:t>
      </w:r>
    </w:p>
    <w:tbl>
      <w:tblPr>
        <w:tblStyle w:val="63"/>
        <w:tblW w:w="0" w:type="auto"/>
        <w:tblInd w:w="0" w:type="dxa"/>
        <w:tblLayout w:type="autofit"/>
        <w:tblCellMar>
          <w:top w:w="15" w:type="dxa"/>
          <w:left w:w="15" w:type="dxa"/>
          <w:bottom w:w="15" w:type="dxa"/>
          <w:right w:w="15" w:type="dxa"/>
        </w:tblCellMar>
      </w:tblPr>
      <w:tblGrid>
        <w:gridCol w:w="1324"/>
        <w:gridCol w:w="5697"/>
        <w:gridCol w:w="735"/>
        <w:gridCol w:w="740"/>
      </w:tblGrid>
      <w:tr w14:paraId="5A171C4D">
        <w:tblPrEx>
          <w:tblCellMar>
            <w:top w:w="15" w:type="dxa"/>
            <w:left w:w="15" w:type="dxa"/>
            <w:bottom w:w="15" w:type="dxa"/>
            <w:right w:w="15" w:type="dxa"/>
          </w:tblCellMar>
        </w:tblPrEx>
        <w:tc>
          <w:tcPr>
            <w:tcW w:w="132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10A396C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评分项</w:t>
            </w:r>
          </w:p>
        </w:tc>
        <w:tc>
          <w:tcPr>
            <w:tcW w:w="569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DDBF76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评分标准</w:t>
            </w:r>
          </w:p>
        </w:tc>
        <w:tc>
          <w:tcPr>
            <w:tcW w:w="73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A89F48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分值</w:t>
            </w:r>
          </w:p>
        </w:tc>
        <w:tc>
          <w:tcPr>
            <w:tcW w:w="74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C7381D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类型</w:t>
            </w:r>
          </w:p>
        </w:tc>
      </w:tr>
      <w:tr w14:paraId="0455C9E0">
        <w:tblPrEx>
          <w:tblCellMar>
            <w:top w:w="15" w:type="dxa"/>
            <w:left w:w="15" w:type="dxa"/>
            <w:bottom w:w="15" w:type="dxa"/>
            <w:right w:w="15" w:type="dxa"/>
          </w:tblCellMar>
        </w:tblPrEx>
        <w:trPr>
          <w:trHeight w:val="1659" w:hRule="atLeast"/>
        </w:trPr>
        <w:tc>
          <w:tcPr>
            <w:tcW w:w="1324" w:type="dxa"/>
            <w:vMerge w:val="restart"/>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72A97A1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1.律所资质</w:t>
            </w:r>
          </w:p>
        </w:tc>
        <w:tc>
          <w:tcPr>
            <w:tcW w:w="569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E1F5FC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①投标人单位获得优秀律师事务所荣誉的，国家级或省级（含直辖市级）表彰得</w:t>
            </w: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p>
          <w:p w14:paraId="6F8B4AB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②地市级（含直辖市区县级）表彰得</w:t>
            </w: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w:t>
            </w:r>
          </w:p>
          <w:p w14:paraId="2101127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注：</w:t>
            </w:r>
            <w:r>
              <w:rPr>
                <w:rFonts w:hint="eastAsia" w:ascii="宋体" w:hAnsi="宋体" w:cs="宋体"/>
                <w:color w:val="000000"/>
                <w:kern w:val="2"/>
                <w:sz w:val="22"/>
                <w:szCs w:val="22"/>
                <w:highlight w:val="none"/>
                <w:lang w:val="en-US" w:eastAsia="zh-CN" w:bidi="ar-SA"/>
              </w:rPr>
              <w:t>本项不可</w:t>
            </w:r>
            <w:r>
              <w:rPr>
                <w:rFonts w:hint="eastAsia" w:ascii="宋体" w:hAnsi="宋体" w:eastAsia="宋体" w:cs="宋体"/>
                <w:color w:val="000000"/>
                <w:kern w:val="2"/>
                <w:sz w:val="22"/>
                <w:szCs w:val="22"/>
                <w:highlight w:val="none"/>
                <w:lang w:eastAsia="zh-CN" w:bidi="ar-SA"/>
              </w:rPr>
              <w:t>累计加分，满分</w:t>
            </w: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r>
              <w:rPr>
                <w:rFonts w:hint="eastAsia" w:ascii="宋体" w:hAnsi="宋体" w:cs="宋体"/>
                <w:color w:val="000000"/>
                <w:kern w:val="2"/>
                <w:sz w:val="22"/>
                <w:szCs w:val="22"/>
                <w:highlight w:val="none"/>
                <w:lang w:eastAsia="zh-CN" w:bidi="ar-SA"/>
              </w:rPr>
              <w:t>需</w:t>
            </w:r>
            <w:r>
              <w:rPr>
                <w:rFonts w:hint="eastAsia" w:ascii="宋体" w:hAnsi="宋体" w:eastAsia="宋体" w:cs="宋体"/>
                <w:color w:val="000000"/>
                <w:kern w:val="2"/>
                <w:sz w:val="22"/>
                <w:szCs w:val="22"/>
                <w:highlight w:val="none"/>
                <w:lang w:eastAsia="zh-CN" w:bidi="ar-SA"/>
              </w:rPr>
              <w:t>提供荣誉证书等相关证明材料复印件。</w:t>
            </w:r>
          </w:p>
        </w:tc>
        <w:tc>
          <w:tcPr>
            <w:tcW w:w="73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C8AA35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2</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D26BE6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17A4D9DF">
        <w:tblPrEx>
          <w:tblCellMar>
            <w:top w:w="15" w:type="dxa"/>
            <w:left w:w="15" w:type="dxa"/>
            <w:bottom w:w="15" w:type="dxa"/>
            <w:right w:w="15" w:type="dxa"/>
          </w:tblCellMar>
        </w:tblPrEx>
        <w:trPr>
          <w:trHeight w:val="616" w:hRule="atLeast"/>
        </w:trPr>
        <w:tc>
          <w:tcPr>
            <w:tcW w:w="1324" w:type="dxa"/>
            <w:vMerge w:val="restart"/>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1413123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2.团队质量</w:t>
            </w:r>
          </w:p>
        </w:tc>
        <w:tc>
          <w:tcPr>
            <w:tcW w:w="569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F00031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①提供10人以上</w:t>
            </w:r>
            <w:r>
              <w:rPr>
                <w:rFonts w:hint="eastAsia" w:ascii="宋体" w:hAnsi="宋体" w:cs="宋体"/>
                <w:color w:val="000000"/>
                <w:kern w:val="2"/>
                <w:sz w:val="22"/>
                <w:szCs w:val="22"/>
                <w:highlight w:val="none"/>
                <w:lang w:val="en-US" w:eastAsia="zh-CN" w:bidi="ar-SA"/>
              </w:rPr>
              <w:t>但是不超过15人的固定</w:t>
            </w:r>
            <w:r>
              <w:rPr>
                <w:rFonts w:hint="eastAsia" w:ascii="宋体" w:hAnsi="宋体" w:eastAsia="宋体" w:cs="宋体"/>
                <w:color w:val="000000"/>
                <w:kern w:val="2"/>
                <w:sz w:val="22"/>
                <w:szCs w:val="22"/>
                <w:highlight w:val="none"/>
                <w:lang w:eastAsia="zh-CN" w:bidi="ar-SA"/>
              </w:rPr>
              <w:t>团队名单，未经同意不得更换（附承诺函），否则0分。</w:t>
            </w:r>
          </w:p>
          <w:p w14:paraId="26698BE6">
            <w:pPr>
              <w:pageBreakBefore w:val="0"/>
              <w:kinsoku/>
              <w:wordWrap/>
              <w:overflowPunct/>
              <w:topLinePunct w:val="0"/>
              <w:bidi w:val="0"/>
              <w:spacing w:beforeAutospacing="0" w:line="240" w:lineRule="auto"/>
              <w:jc w:val="left"/>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②团队名单中（不含负责人）正式执业年限≥</w:t>
            </w:r>
            <w:r>
              <w:rPr>
                <w:rFonts w:hint="eastAsia" w:ascii="宋体" w:hAnsi="宋体" w:eastAsia="宋体" w:cs="宋体"/>
                <w:color w:val="000000"/>
                <w:kern w:val="2"/>
                <w:sz w:val="22"/>
                <w:szCs w:val="22"/>
                <w:highlight w:val="none"/>
                <w:lang w:val="en-US" w:eastAsia="zh-CN" w:bidi="ar-SA"/>
              </w:rPr>
              <w:t>5</w:t>
            </w:r>
            <w:r>
              <w:rPr>
                <w:rFonts w:hint="eastAsia" w:ascii="宋体" w:hAnsi="宋体" w:cs="宋体"/>
                <w:color w:val="000000"/>
                <w:kern w:val="2"/>
                <w:sz w:val="22"/>
                <w:szCs w:val="22"/>
                <w:highlight w:val="none"/>
                <w:lang w:val="en-US" w:eastAsia="zh-CN" w:bidi="ar-SA"/>
              </w:rPr>
              <w:t>年且</w:t>
            </w:r>
            <w:r>
              <w:rPr>
                <w:rFonts w:hint="eastAsia" w:ascii="宋体" w:hAnsi="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val="en-US" w:eastAsia="zh-CN" w:bidi="ar-SA"/>
              </w:rPr>
              <w:t>10年的</w:t>
            </w:r>
            <w:r>
              <w:rPr>
                <w:rFonts w:hint="eastAsia" w:ascii="宋体" w:hAnsi="宋体" w:eastAsia="宋体" w:cs="宋体"/>
                <w:color w:val="000000"/>
                <w:kern w:val="2"/>
                <w:sz w:val="22"/>
                <w:szCs w:val="22"/>
                <w:highlight w:val="none"/>
                <w:lang w:eastAsia="zh-CN" w:bidi="ar-SA"/>
              </w:rPr>
              <w:t>，每</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名得0.5分</w:t>
            </w:r>
            <w:r>
              <w:rPr>
                <w:rFonts w:hint="eastAsia" w:ascii="宋体" w:hAnsi="宋体" w:cs="宋体"/>
                <w:color w:val="000000"/>
                <w:kern w:val="2"/>
                <w:sz w:val="22"/>
                <w:szCs w:val="22"/>
                <w:highlight w:val="none"/>
                <w:lang w:eastAsia="zh-CN" w:bidi="ar-SA"/>
              </w:rPr>
              <w:t>；</w:t>
            </w:r>
            <w:r>
              <w:rPr>
                <w:rFonts w:hint="eastAsia" w:ascii="宋体" w:hAnsi="宋体" w:eastAsia="宋体" w:cs="宋体"/>
                <w:color w:val="000000"/>
                <w:kern w:val="2"/>
                <w:sz w:val="22"/>
                <w:szCs w:val="22"/>
                <w:highlight w:val="none"/>
                <w:lang w:eastAsia="zh-CN" w:bidi="ar-SA"/>
              </w:rPr>
              <w:t>团队名单中（不含负责人）正式执业年限</w:t>
            </w:r>
            <w:r>
              <w:rPr>
                <w:rFonts w:hint="eastAsia" w:ascii="宋体" w:hAnsi="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val="en-US" w:eastAsia="zh-CN" w:bidi="ar-SA"/>
              </w:rPr>
              <w:t>10年的</w:t>
            </w:r>
            <w:r>
              <w:rPr>
                <w:rFonts w:hint="eastAsia" w:ascii="宋体" w:hAnsi="宋体" w:eastAsia="宋体" w:cs="宋体"/>
                <w:color w:val="000000"/>
                <w:kern w:val="2"/>
                <w:sz w:val="22"/>
                <w:szCs w:val="22"/>
                <w:highlight w:val="none"/>
                <w:lang w:eastAsia="zh-CN" w:bidi="ar-SA"/>
              </w:rPr>
              <w:t>，每</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名得</w:t>
            </w: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w:t>
            </w:r>
            <w:r>
              <w:rPr>
                <w:rFonts w:hint="eastAsia" w:ascii="宋体" w:hAnsi="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val="en-US" w:eastAsia="zh-CN" w:bidi="ar-SA"/>
              </w:rPr>
              <w:t>最多计7</w:t>
            </w:r>
            <w:r>
              <w:rPr>
                <w:rFonts w:hint="eastAsia" w:ascii="宋体" w:hAnsi="宋体" w:eastAsia="宋体" w:cs="宋体"/>
                <w:color w:val="000000"/>
                <w:kern w:val="2"/>
                <w:sz w:val="22"/>
                <w:szCs w:val="22"/>
                <w:highlight w:val="none"/>
                <w:lang w:eastAsia="zh-CN" w:bidi="ar-SA"/>
              </w:rPr>
              <w:t>分</w:t>
            </w:r>
            <w:r>
              <w:rPr>
                <w:rFonts w:hint="eastAsia" w:ascii="宋体" w:hAnsi="宋体" w:cs="宋体"/>
                <w:color w:val="000000"/>
                <w:kern w:val="2"/>
                <w:sz w:val="22"/>
                <w:szCs w:val="22"/>
                <w:highlight w:val="none"/>
                <w:lang w:eastAsia="zh-CN" w:bidi="ar-SA"/>
              </w:rPr>
              <w:t>。</w:t>
            </w:r>
          </w:p>
          <w:p w14:paraId="36F9D92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Calibri" w:hAnsi="Calibri" w:cs="Calibri"/>
                <w:color w:val="000000"/>
                <w:kern w:val="2"/>
                <w:sz w:val="22"/>
                <w:szCs w:val="22"/>
                <w:highlight w:val="none"/>
                <w:lang w:eastAsia="zh-CN" w:bidi="ar-SA"/>
              </w:rPr>
              <w:t>③</w:t>
            </w:r>
            <w:r>
              <w:rPr>
                <w:rFonts w:hint="eastAsia" w:ascii="宋体" w:hAnsi="宋体" w:eastAsia="宋体" w:cs="宋体"/>
                <w:color w:val="000000"/>
                <w:kern w:val="2"/>
                <w:sz w:val="22"/>
                <w:szCs w:val="22"/>
                <w:highlight w:val="none"/>
                <w:lang w:eastAsia="zh-CN" w:bidi="ar-SA"/>
              </w:rPr>
              <w:t>团队名单中的专职律师具有法学硕士研究生及以上学历的，每个计0.</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eastAsia="zh-CN" w:bidi="ar-SA"/>
              </w:rPr>
              <w:t>分，最多计</w:t>
            </w:r>
            <w:r>
              <w:rPr>
                <w:rFonts w:hint="eastAsia" w:ascii="宋体" w:hAnsi="宋体" w:eastAsia="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分。</w:t>
            </w:r>
          </w:p>
          <w:p w14:paraId="5EA7237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注：</w:t>
            </w:r>
            <w:r>
              <w:rPr>
                <w:rFonts w:hint="eastAsia" w:ascii="宋体" w:hAnsi="宋体" w:eastAsia="宋体" w:cs="宋体"/>
                <w:color w:val="000000"/>
                <w:kern w:val="2"/>
                <w:sz w:val="22"/>
                <w:szCs w:val="22"/>
                <w:highlight w:val="none"/>
                <w:lang w:eastAsia="zh-CN" w:bidi="ar-SA"/>
              </w:rPr>
              <w:t>需提供专职律师律师执业证书复印件</w:t>
            </w:r>
            <w:r>
              <w:rPr>
                <w:rFonts w:hint="eastAsia" w:ascii="宋体" w:hAnsi="宋体" w:cs="宋体"/>
                <w:color w:val="000000"/>
                <w:kern w:val="2"/>
                <w:sz w:val="22"/>
                <w:szCs w:val="22"/>
                <w:highlight w:val="none"/>
                <w:lang w:eastAsia="zh-CN" w:bidi="ar-SA"/>
              </w:rPr>
              <w:t>、</w:t>
            </w:r>
            <w:r>
              <w:rPr>
                <w:rFonts w:hint="eastAsia" w:ascii="宋体" w:hAnsi="宋体" w:eastAsia="宋体" w:cs="宋体"/>
                <w:color w:val="000000"/>
                <w:kern w:val="2"/>
                <w:sz w:val="22"/>
                <w:szCs w:val="22"/>
                <w:highlight w:val="none"/>
                <w:lang w:eastAsia="zh-CN" w:bidi="ar-SA"/>
              </w:rPr>
              <w:t>学历证明材料。</w:t>
            </w:r>
          </w:p>
        </w:tc>
        <w:tc>
          <w:tcPr>
            <w:tcW w:w="73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31B78B9">
            <w:pPr>
              <w:pageBreakBefore w:val="0"/>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10</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23ABD2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69149829">
        <w:tblPrEx>
          <w:tblCellMar>
            <w:top w:w="15" w:type="dxa"/>
            <w:left w:w="15" w:type="dxa"/>
            <w:bottom w:w="15" w:type="dxa"/>
            <w:right w:w="15" w:type="dxa"/>
          </w:tblCellMar>
        </w:tblPrEx>
        <w:trPr>
          <w:trHeight w:val="90" w:hRule="atLeast"/>
        </w:trPr>
        <w:tc>
          <w:tcPr>
            <w:tcW w:w="1324" w:type="dxa"/>
            <w:vMerge w:val="continue"/>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5D20127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p>
        </w:tc>
        <w:tc>
          <w:tcPr>
            <w:tcW w:w="569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546937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①团队负责人执业时间≥1</w:t>
            </w:r>
            <w:r>
              <w:rPr>
                <w:rFonts w:hint="eastAsia" w:ascii="宋体" w:hAnsi="宋体" w:eastAsia="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eastAsia="zh-CN" w:bidi="ar-SA"/>
              </w:rPr>
              <w:t>年的，得</w:t>
            </w: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分；执业时间≥</w:t>
            </w:r>
            <w:r>
              <w:rPr>
                <w:rFonts w:hint="eastAsia" w:ascii="宋体" w:hAnsi="宋体" w:eastAsia="宋体" w:cs="宋体"/>
                <w:color w:val="000000"/>
                <w:kern w:val="2"/>
                <w:sz w:val="22"/>
                <w:szCs w:val="22"/>
                <w:highlight w:val="none"/>
                <w:lang w:val="en-US" w:eastAsia="zh-CN" w:bidi="ar-SA"/>
              </w:rPr>
              <w:t>20</w:t>
            </w:r>
            <w:r>
              <w:rPr>
                <w:rFonts w:hint="eastAsia" w:ascii="宋体" w:hAnsi="宋体" w:eastAsia="宋体" w:cs="宋体"/>
                <w:color w:val="000000"/>
                <w:kern w:val="2"/>
                <w:sz w:val="22"/>
                <w:szCs w:val="22"/>
                <w:highlight w:val="none"/>
                <w:lang w:eastAsia="zh-CN" w:bidi="ar-SA"/>
              </w:rPr>
              <w:t>年的，得</w:t>
            </w: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p>
          <w:p w14:paraId="7147EAF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②团队负责人为</w:t>
            </w:r>
            <w:r>
              <w:rPr>
                <w:rFonts w:hint="eastAsia" w:ascii="宋体" w:hAnsi="宋体" w:eastAsia="宋体" w:cs="宋体"/>
                <w:color w:val="000000"/>
                <w:kern w:val="2"/>
                <w:sz w:val="22"/>
                <w:szCs w:val="22"/>
                <w:highlight w:val="none"/>
                <w:lang w:val="en-US" w:eastAsia="zh-CN" w:bidi="ar-SA"/>
              </w:rPr>
              <w:t>一级</w:t>
            </w:r>
            <w:r>
              <w:rPr>
                <w:rFonts w:hint="eastAsia" w:ascii="宋体" w:hAnsi="宋体" w:eastAsia="宋体" w:cs="宋体"/>
                <w:color w:val="000000"/>
                <w:kern w:val="2"/>
                <w:sz w:val="22"/>
                <w:szCs w:val="22"/>
                <w:highlight w:val="none"/>
                <w:lang w:eastAsia="zh-CN" w:bidi="ar-SA"/>
              </w:rPr>
              <w:t>律师</w:t>
            </w:r>
            <w:r>
              <w:rPr>
                <w:rFonts w:hint="eastAsia" w:ascii="宋体" w:hAnsi="宋体" w:eastAsia="宋体" w:cs="宋体"/>
                <w:color w:val="000000"/>
                <w:kern w:val="2"/>
                <w:sz w:val="22"/>
                <w:szCs w:val="22"/>
                <w:highlight w:val="none"/>
                <w:lang w:val="en-US" w:eastAsia="zh-CN" w:bidi="ar-SA"/>
              </w:rPr>
              <w:t>或二</w:t>
            </w:r>
            <w:r>
              <w:rPr>
                <w:rFonts w:hint="eastAsia" w:ascii="宋体" w:hAnsi="宋体" w:eastAsia="宋体" w:cs="宋体"/>
                <w:color w:val="000000"/>
                <w:kern w:val="2"/>
                <w:sz w:val="22"/>
                <w:szCs w:val="22"/>
                <w:highlight w:val="none"/>
                <w:lang w:eastAsia="zh-CN" w:bidi="ar-SA"/>
              </w:rPr>
              <w:t>级律师的，得</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w:t>
            </w:r>
          </w:p>
          <w:p w14:paraId="29B77D7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注：</w:t>
            </w:r>
            <w:r>
              <w:rPr>
                <w:rFonts w:hint="eastAsia" w:ascii="宋体" w:hAnsi="宋体" w:eastAsia="宋体" w:cs="宋体"/>
                <w:color w:val="000000"/>
                <w:kern w:val="2"/>
                <w:sz w:val="22"/>
                <w:szCs w:val="22"/>
                <w:highlight w:val="none"/>
                <w:lang w:eastAsia="zh-CN" w:bidi="ar-SA"/>
              </w:rPr>
              <w:t>提供律师执业证书、</w:t>
            </w:r>
            <w:r>
              <w:rPr>
                <w:rFonts w:hint="eastAsia" w:ascii="宋体" w:hAnsi="宋体" w:eastAsia="宋体" w:cs="宋体"/>
                <w:color w:val="000000"/>
                <w:kern w:val="2"/>
                <w:sz w:val="22"/>
                <w:szCs w:val="22"/>
                <w:highlight w:val="none"/>
                <w:lang w:val="en-US" w:eastAsia="zh-CN" w:bidi="ar-SA"/>
              </w:rPr>
              <w:t>证明文件、</w:t>
            </w:r>
            <w:r>
              <w:rPr>
                <w:rFonts w:hint="eastAsia" w:ascii="宋体" w:hAnsi="宋体" w:eastAsia="宋体" w:cs="宋体"/>
                <w:color w:val="000000"/>
                <w:kern w:val="2"/>
                <w:sz w:val="22"/>
                <w:szCs w:val="22"/>
                <w:highlight w:val="none"/>
                <w:lang w:eastAsia="zh-CN" w:bidi="ar-SA"/>
              </w:rPr>
              <w:t>供应商为其缴纳社保的证明材料。</w:t>
            </w:r>
          </w:p>
        </w:tc>
        <w:tc>
          <w:tcPr>
            <w:tcW w:w="73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4BB46D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val="en-US" w:eastAsia="zh-CN" w:bidi="ar-SA"/>
              </w:rPr>
              <w:t>3</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3520371">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p>
        </w:tc>
      </w:tr>
    </w:tbl>
    <w:p w14:paraId="03D57B1D">
      <w:pPr>
        <w:keepNext/>
        <w:keepLines/>
        <w:pageBreakBefore w:val="0"/>
        <w:kinsoku/>
        <w:wordWrap/>
        <w:overflowPunct/>
        <w:topLinePunct w:val="0"/>
        <w:bidi w:val="0"/>
        <w:spacing w:beforeAutospacing="0" w:line="540" w:lineRule="exact"/>
        <w:jc w:val="both"/>
        <w:textAlignment w:val="auto"/>
        <w:outlineLvl w:val="1"/>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（二）技术分（</w:t>
      </w:r>
      <w:r>
        <w:rPr>
          <w:rFonts w:hint="eastAsia" w:ascii="宋体" w:hAnsi="宋体" w:cs="宋体"/>
          <w:color w:val="000000"/>
          <w:kern w:val="2"/>
          <w:sz w:val="24"/>
          <w:szCs w:val="24"/>
          <w:highlight w:val="none"/>
          <w:lang w:val="en-US" w:eastAsia="zh-CN" w:bidi="ar-SA"/>
        </w:rPr>
        <w:t>66</w:t>
      </w:r>
      <w:r>
        <w:rPr>
          <w:rFonts w:hint="eastAsia" w:ascii="宋体" w:hAnsi="宋体" w:eastAsia="宋体" w:cs="宋体"/>
          <w:color w:val="000000"/>
          <w:kern w:val="2"/>
          <w:sz w:val="24"/>
          <w:szCs w:val="24"/>
          <w:highlight w:val="none"/>
          <w:lang w:eastAsia="zh-CN" w:bidi="ar-SA"/>
        </w:rPr>
        <w:t>分）</w:t>
      </w:r>
    </w:p>
    <w:tbl>
      <w:tblPr>
        <w:tblStyle w:val="63"/>
        <w:tblW w:w="0" w:type="auto"/>
        <w:tblInd w:w="0" w:type="dxa"/>
        <w:tblLayout w:type="autofit"/>
        <w:tblCellMar>
          <w:top w:w="15" w:type="dxa"/>
          <w:left w:w="15" w:type="dxa"/>
          <w:bottom w:w="15" w:type="dxa"/>
          <w:right w:w="15" w:type="dxa"/>
        </w:tblCellMar>
      </w:tblPr>
      <w:tblGrid>
        <w:gridCol w:w="1334"/>
        <w:gridCol w:w="5700"/>
        <w:gridCol w:w="705"/>
        <w:gridCol w:w="705"/>
      </w:tblGrid>
      <w:tr w14:paraId="31CD0499">
        <w:tblPrEx>
          <w:tblCellMar>
            <w:top w:w="15" w:type="dxa"/>
            <w:left w:w="15" w:type="dxa"/>
            <w:bottom w:w="15" w:type="dxa"/>
            <w:right w:w="15" w:type="dxa"/>
          </w:tblCellMar>
        </w:tblPrEx>
        <w:trPr>
          <w:tblHeader/>
        </w:trPr>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4A1A33A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评分项</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BF4C9C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评分标准</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ABC2D47">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分值</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52FF53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类型</w:t>
            </w:r>
          </w:p>
        </w:tc>
      </w:tr>
      <w:tr w14:paraId="111988D6">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3E0D090C">
            <w:pPr>
              <w:pageBreakBefore w:val="0"/>
              <w:numPr>
                <w:ilvl w:val="0"/>
                <w:numId w:val="15"/>
              </w:numPr>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基本技术分</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D0D7DAE">
            <w:pPr>
              <w:pageBreakBefore w:val="0"/>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eastAsia="zh-CN" w:bidi="ar-SA"/>
              </w:rPr>
              <w:t>全部满足招标文件</w:t>
            </w:r>
            <w:r>
              <w:rPr>
                <w:rFonts w:hint="eastAsia" w:ascii="宋体" w:hAnsi="宋体" w:cs="宋体"/>
                <w:color w:val="000000"/>
                <w:kern w:val="2"/>
                <w:sz w:val="22"/>
                <w:szCs w:val="22"/>
                <w:highlight w:val="none"/>
                <w:lang w:eastAsia="zh-CN" w:bidi="ar-SA"/>
              </w:rPr>
              <w:t>交易</w:t>
            </w:r>
            <w:r>
              <w:rPr>
                <w:rFonts w:hint="eastAsia" w:ascii="宋体" w:hAnsi="宋体" w:eastAsia="宋体" w:cs="宋体"/>
                <w:color w:val="000000"/>
                <w:kern w:val="2"/>
                <w:sz w:val="22"/>
                <w:szCs w:val="22"/>
                <w:highlight w:val="none"/>
                <w:lang w:eastAsia="zh-CN" w:bidi="ar-SA"/>
              </w:rPr>
              <w:t>需求的得</w:t>
            </w: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分。有一项不满足</w:t>
            </w:r>
            <w:r>
              <w:rPr>
                <w:rFonts w:hint="eastAsia" w:ascii="宋体" w:hAnsi="宋体" w:cs="宋体"/>
                <w:color w:val="000000"/>
                <w:kern w:val="2"/>
                <w:sz w:val="22"/>
                <w:szCs w:val="22"/>
                <w:highlight w:val="none"/>
                <w:lang w:eastAsia="zh-CN" w:bidi="ar-SA"/>
              </w:rPr>
              <w:t>的作无效标处理。</w:t>
            </w:r>
          </w:p>
          <w:p w14:paraId="4001C5C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eastAsia="zh-CN" w:bidi="ar-SA"/>
              </w:rPr>
              <w:t>注：</w:t>
            </w:r>
            <w:r>
              <w:rPr>
                <w:rFonts w:hint="eastAsia" w:ascii="宋体" w:hAnsi="宋体" w:eastAsia="宋体" w:cs="宋体"/>
                <w:color w:val="000000"/>
                <w:kern w:val="2"/>
                <w:sz w:val="22"/>
                <w:szCs w:val="22"/>
                <w:highlight w:val="none"/>
                <w:lang w:eastAsia="zh-CN" w:bidi="ar-SA"/>
              </w:rPr>
              <w:t>评审依据</w:t>
            </w:r>
            <w:r>
              <w:rPr>
                <w:rFonts w:hint="eastAsia" w:ascii="宋体" w:hAnsi="宋体" w:cs="宋体"/>
                <w:color w:val="000000"/>
                <w:kern w:val="2"/>
                <w:sz w:val="22"/>
                <w:szCs w:val="22"/>
                <w:highlight w:val="none"/>
                <w:lang w:eastAsia="zh-CN" w:bidi="ar-SA"/>
              </w:rPr>
              <w:t>为</w:t>
            </w:r>
            <w:r>
              <w:rPr>
                <w:rFonts w:hint="eastAsia" w:ascii="宋体" w:hAnsi="宋体" w:eastAsia="宋体" w:cs="宋体"/>
                <w:color w:val="000000"/>
                <w:kern w:val="2"/>
                <w:sz w:val="22"/>
                <w:szCs w:val="22"/>
                <w:highlight w:val="none"/>
                <w:lang w:eastAsia="zh-CN" w:bidi="ar-SA"/>
              </w:rPr>
              <w:t>提供投标人承诺函</w:t>
            </w:r>
            <w:r>
              <w:rPr>
                <w:rFonts w:hint="eastAsia" w:ascii="宋体" w:hAnsi="宋体" w:cs="宋体"/>
                <w:color w:val="000000"/>
                <w:kern w:val="2"/>
                <w:sz w:val="22"/>
                <w:szCs w:val="22"/>
                <w:highlight w:val="none"/>
                <w:lang w:eastAsia="zh-CN" w:bidi="ar-SA"/>
              </w:rPr>
              <w:t>。</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7E2008A">
            <w:pPr>
              <w:pageBreakBefore w:val="0"/>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07F24B7">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eastAsia="zh-CN" w:bidi="ar-SA"/>
              </w:rPr>
              <w:t>客观</w:t>
            </w:r>
          </w:p>
        </w:tc>
      </w:tr>
      <w:tr w14:paraId="1DEE39F5">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3AB4264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 团队适配方案</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DCBB22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投标人拟派团队人员配置：需安排合理、岗位分工设置完整，并明确拟安排的日常工作主要对接人员（填报的对接人与实际履行对接人必须一致，除非人员调动，经采购人同意可安排同等及更高级别人员）。提供拟派团队一览表、简历、律师执业证等证明材料进行打分（包括但不限于项目负责人、主要对接人员、其他团队成员）：</w:t>
            </w:r>
          </w:p>
          <w:p w14:paraId="2678AAF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①团队人数配置全面合理，专业资历深厚，各类经验丰富，分工细致，且有详尽的人员安排得12-15分；</w:t>
            </w:r>
          </w:p>
          <w:p w14:paraId="22F2B97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②团队人数配置较为合理，部分专业资历，经验较丰富，分工明确，且有较清楚的人员安排得8-11分；</w:t>
            </w:r>
          </w:p>
          <w:p w14:paraId="3FDE4CD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③团队人数符合需求，相关资历一般，经验较弱，分工较明确，有明确人员安排得3-7分；</w:t>
            </w:r>
          </w:p>
          <w:p w14:paraId="2E64EDE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④团队人数符合需求，从业资质、经验均较弱、分工有待完善，人员安排笼统得1-2分；</w:t>
            </w:r>
          </w:p>
          <w:p w14:paraId="79AE15E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⑤方案严重不合理、重大缺漏或未提供则不得分。</w:t>
            </w:r>
          </w:p>
          <w:p w14:paraId="70397A5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【注】专业资历证明材料包括但不限于：团队成员的法律执业资格证照、全国律师执业诚信信息公示平台网页截图、团队成员学历证明材料、团队成员参与政府机关、企事业单位</w:t>
            </w:r>
            <w:r>
              <w:rPr>
                <w:rFonts w:hint="eastAsia" w:ascii="宋体" w:hAnsi="宋体" w:eastAsia="宋体" w:cs="宋体"/>
                <w:color w:val="000000"/>
                <w:kern w:val="2"/>
                <w:sz w:val="22"/>
                <w:szCs w:val="22"/>
                <w:highlight w:val="none"/>
                <w:lang w:val="en-US" w:eastAsia="zh-CN" w:bidi="ar-SA"/>
              </w:rPr>
              <w:t>等接受服务单位的</w:t>
            </w:r>
            <w:r>
              <w:rPr>
                <w:rFonts w:hint="eastAsia" w:ascii="宋体" w:hAnsi="宋体" w:eastAsia="宋体" w:cs="宋体"/>
                <w:color w:val="000000"/>
                <w:kern w:val="2"/>
                <w:sz w:val="22"/>
                <w:szCs w:val="22"/>
                <w:highlight w:val="none"/>
                <w:lang w:eastAsia="zh-CN" w:bidi="ar-SA"/>
              </w:rPr>
              <w:t>立法决策咨询、规范制度建设的经历等。</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C695A2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15</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312D9A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r w14:paraId="7382E7DA">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70F88BD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2.项目服务方案</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4D5C55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投标人根据采购人提供的需求内容拟定本项目的服务方案，特别是突出集团本级服务的重点方向结合标项服务要求，有针对性地提供全面、科学、严谨细致的服务计划、方式、流程等，综合横向对比评判——上述集团本级服务、所投标项服务内容：</w:t>
            </w:r>
          </w:p>
          <w:p w14:paraId="18D0294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①每项方案说明分析全面、科学合理完善、流程节点清晰、针对性可行性最强、服务响应最迅捷得12-15分；</w:t>
            </w:r>
          </w:p>
          <w:p w14:paraId="38D10CD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②每项方案说明基本全面、科学合理、流程节点完整、针对性可行性较好、服务响应满足要求得8-1</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w:t>
            </w:r>
          </w:p>
          <w:p w14:paraId="408BDFF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③每项方案说明分析含糊、合理性欠缺、流程节点不清、针对性可行性较弱、服务响应较弱得1-7分；</w:t>
            </w:r>
          </w:p>
          <w:p w14:paraId="4D6B2CF5">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④其他有明显严重缺漏缺陷的或未提供的相应项不得分。</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A3D7B6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15</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C41F6F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r w14:paraId="6D106E96">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4F10592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3. 协同机制</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F719F4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协同方案，含作为主承办团队方案及协办团队时的方案：①主导流程清晰，责任分工明确，含冲突解决机制；有跨部门协作模式的，得</w:t>
            </w:r>
            <w:r>
              <w:rPr>
                <w:rFonts w:hint="eastAsia" w:ascii="宋体" w:hAnsi="宋体" w:cs="宋体"/>
                <w:color w:val="000000"/>
                <w:kern w:val="2"/>
                <w:sz w:val="22"/>
                <w:szCs w:val="22"/>
                <w:highlight w:val="none"/>
                <w:lang w:val="en-US" w:eastAsia="zh-CN" w:bidi="ar-SA"/>
              </w:rPr>
              <w:t>8-10</w:t>
            </w:r>
            <w:r>
              <w:rPr>
                <w:rFonts w:hint="eastAsia" w:ascii="宋体" w:hAnsi="宋体" w:eastAsia="宋体" w:cs="宋体"/>
                <w:color w:val="000000"/>
                <w:kern w:val="2"/>
                <w:sz w:val="22"/>
                <w:szCs w:val="22"/>
                <w:highlight w:val="none"/>
                <w:lang w:eastAsia="zh-CN" w:bidi="ar-SA"/>
              </w:rPr>
              <w:t>分；②流程完整但缺乏细化模板；责任分工明确，但未涉及冲突解决，得</w:t>
            </w:r>
            <w:r>
              <w:rPr>
                <w:rFonts w:hint="eastAsia" w:ascii="宋体" w:hAnsi="宋体" w:cs="宋体"/>
                <w:color w:val="000000"/>
                <w:kern w:val="2"/>
                <w:sz w:val="22"/>
                <w:szCs w:val="22"/>
                <w:highlight w:val="none"/>
                <w:lang w:val="en-US" w:eastAsia="zh-CN" w:bidi="ar-SA"/>
              </w:rPr>
              <w:t>5-7</w:t>
            </w:r>
            <w:r>
              <w:rPr>
                <w:rFonts w:hint="eastAsia" w:ascii="宋体" w:hAnsi="宋体" w:eastAsia="宋体" w:cs="宋体"/>
                <w:color w:val="000000"/>
                <w:kern w:val="2"/>
                <w:sz w:val="22"/>
                <w:szCs w:val="22"/>
                <w:highlight w:val="none"/>
                <w:lang w:eastAsia="zh-CN" w:bidi="ar-SA"/>
              </w:rPr>
              <w:t>分；③流程框架存在漏洞，责任分工重叠或模糊，得</w:t>
            </w:r>
            <w:r>
              <w:rPr>
                <w:rFonts w:hint="eastAsia" w:ascii="宋体" w:hAnsi="宋体" w:cs="宋体"/>
                <w:color w:val="000000"/>
                <w:kern w:val="2"/>
                <w:sz w:val="22"/>
                <w:szCs w:val="22"/>
                <w:highlight w:val="none"/>
                <w:lang w:val="en-US" w:eastAsia="zh-CN" w:bidi="ar-SA"/>
              </w:rPr>
              <w:t>2-4</w:t>
            </w:r>
            <w:r>
              <w:rPr>
                <w:rFonts w:hint="eastAsia" w:ascii="宋体" w:hAnsi="宋体" w:eastAsia="宋体" w:cs="宋体"/>
                <w:color w:val="000000"/>
                <w:kern w:val="2"/>
                <w:sz w:val="22"/>
                <w:szCs w:val="22"/>
                <w:highlight w:val="none"/>
                <w:lang w:eastAsia="zh-CN" w:bidi="ar-SA"/>
              </w:rPr>
              <w:t>分；④流程缺失核心步骤（如无主责人）；方案与标项业务无关联，得0</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BE02A12">
            <w:pPr>
              <w:pageBreakBefore w:val="0"/>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10</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8BFE32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r w14:paraId="637FFF80">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773A28C0">
            <w:pPr>
              <w:pageBreakBefore w:val="0"/>
              <w:numPr>
                <w:ilvl w:val="0"/>
                <w:numId w:val="7"/>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律所管理制度</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98A100D">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人员管理（考核制度）情况、分配机制、财务制度、案件讨论制度、服务质量和风险防控制度情况、律师分派制度、律所决策和文书审批制度情况，根据以上制度的可落实性、与项目的匹配性进行评分。制度落实性好，项目匹配度好的得</w:t>
            </w:r>
            <w:r>
              <w:rPr>
                <w:rFonts w:hint="eastAsia" w:ascii="宋体" w:hAnsi="宋体" w:cs="宋体"/>
                <w:color w:val="000000"/>
                <w:kern w:val="2"/>
                <w:sz w:val="22"/>
                <w:szCs w:val="22"/>
                <w:highlight w:val="none"/>
                <w:lang w:val="en-US" w:eastAsia="zh-CN" w:bidi="ar-SA"/>
              </w:rPr>
              <w:t>7-10</w:t>
            </w:r>
            <w:r>
              <w:rPr>
                <w:rFonts w:hint="eastAsia" w:ascii="宋体" w:hAnsi="宋体" w:eastAsia="宋体" w:cs="宋体"/>
                <w:color w:val="000000"/>
                <w:kern w:val="2"/>
                <w:sz w:val="22"/>
                <w:szCs w:val="22"/>
                <w:highlight w:val="none"/>
                <w:lang w:eastAsia="zh-CN" w:bidi="ar-SA"/>
              </w:rPr>
              <w:t>分；制度落实性、项目匹配度较高的，得</w:t>
            </w:r>
            <w:r>
              <w:rPr>
                <w:rFonts w:hint="eastAsia" w:ascii="宋体" w:hAnsi="宋体" w:cs="宋体"/>
                <w:color w:val="000000"/>
                <w:kern w:val="2"/>
                <w:sz w:val="22"/>
                <w:szCs w:val="22"/>
                <w:highlight w:val="none"/>
                <w:lang w:val="en-US" w:eastAsia="zh-CN" w:bidi="ar-SA"/>
              </w:rPr>
              <w:t>3-6</w:t>
            </w:r>
            <w:r>
              <w:rPr>
                <w:rFonts w:hint="eastAsia" w:ascii="宋体" w:hAnsi="宋体" w:eastAsia="宋体" w:cs="宋体"/>
                <w:color w:val="000000"/>
                <w:kern w:val="2"/>
                <w:sz w:val="22"/>
                <w:szCs w:val="22"/>
                <w:highlight w:val="none"/>
                <w:lang w:eastAsia="zh-CN" w:bidi="ar-SA"/>
              </w:rPr>
              <w:t>分；制度落实性、项目匹配度较差或没有制度的，得0</w:t>
            </w: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16E441D">
            <w:pPr>
              <w:pageBreakBefore w:val="0"/>
              <w:kinsoku/>
              <w:wordWrap/>
              <w:overflowPunct/>
              <w:topLinePunct w:val="0"/>
              <w:bidi w:val="0"/>
              <w:spacing w:beforeAutospacing="0" w:line="240" w:lineRule="auto"/>
              <w:jc w:val="both"/>
              <w:textAlignment w:val="auto"/>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10</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6496A3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r w14:paraId="5E4A20BA">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097F358A">
            <w:pPr>
              <w:pageBreakBefore w:val="0"/>
              <w:numPr>
                <w:ilvl w:val="0"/>
                <w:numId w:val="7"/>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响应能力</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0C57FEA">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①如采购人需指定团队律师提供现场服务的，供应商应及时</w:t>
            </w:r>
            <w:r>
              <w:rPr>
                <w:rFonts w:hint="eastAsia" w:ascii="宋体" w:hAnsi="宋体" w:cs="宋体"/>
                <w:color w:val="000000"/>
                <w:kern w:val="2"/>
                <w:sz w:val="22"/>
                <w:szCs w:val="22"/>
                <w:highlight w:val="none"/>
                <w:lang w:eastAsia="zh-CN" w:bidi="ar-SA"/>
              </w:rPr>
              <w:t>应要求派</w:t>
            </w:r>
            <w:r>
              <w:rPr>
                <w:rFonts w:hint="eastAsia" w:ascii="宋体" w:hAnsi="宋体" w:eastAsia="宋体" w:cs="宋体"/>
                <w:color w:val="000000"/>
                <w:kern w:val="2"/>
                <w:sz w:val="22"/>
                <w:szCs w:val="22"/>
                <w:highlight w:val="none"/>
                <w:lang w:eastAsia="zh-CN" w:bidi="ar-SA"/>
              </w:rPr>
              <w:t>指定律师</w:t>
            </w:r>
            <w:r>
              <w:rPr>
                <w:rFonts w:hint="eastAsia" w:ascii="宋体" w:hAnsi="宋体" w:cs="宋体"/>
                <w:color w:val="000000"/>
                <w:kern w:val="2"/>
                <w:sz w:val="22"/>
                <w:szCs w:val="22"/>
                <w:highlight w:val="none"/>
                <w:lang w:eastAsia="zh-CN" w:bidi="ar-SA"/>
              </w:rPr>
              <w:t>到场，指定律师</w:t>
            </w:r>
            <w:r>
              <w:rPr>
                <w:rFonts w:hint="eastAsia" w:ascii="宋体" w:hAnsi="宋体" w:eastAsia="宋体" w:cs="宋体"/>
                <w:color w:val="000000"/>
                <w:kern w:val="2"/>
                <w:sz w:val="22"/>
                <w:szCs w:val="22"/>
                <w:highlight w:val="none"/>
                <w:lang w:eastAsia="zh-CN" w:bidi="ar-SA"/>
              </w:rPr>
              <w:t>不能到场的，需经协商一致后更换指定律师人选响应</w:t>
            </w:r>
            <w:r>
              <w:rPr>
                <w:rFonts w:hint="eastAsia" w:ascii="宋体" w:hAnsi="宋体" w:cs="宋体"/>
                <w:color w:val="000000"/>
                <w:kern w:val="2"/>
                <w:sz w:val="22"/>
                <w:szCs w:val="22"/>
                <w:highlight w:val="none"/>
                <w:lang w:eastAsia="zh-CN" w:bidi="ar-SA"/>
              </w:rPr>
              <w:t>。能</w:t>
            </w:r>
            <w:r>
              <w:rPr>
                <w:rFonts w:hint="eastAsia" w:ascii="宋体" w:hAnsi="宋体" w:eastAsia="宋体" w:cs="宋体"/>
                <w:color w:val="000000"/>
                <w:kern w:val="2"/>
                <w:sz w:val="22"/>
                <w:szCs w:val="22"/>
                <w:highlight w:val="none"/>
                <w:lang w:eastAsia="zh-CN" w:bidi="ar-SA"/>
              </w:rPr>
              <w:t>在</w:t>
            </w:r>
            <w:r>
              <w:rPr>
                <w:rFonts w:hint="eastAsia" w:ascii="宋体" w:hAnsi="宋体" w:cs="宋体"/>
                <w:color w:val="000000"/>
                <w:kern w:val="2"/>
                <w:sz w:val="22"/>
                <w:szCs w:val="22"/>
                <w:highlight w:val="none"/>
                <w:lang w:val="en-US" w:eastAsia="zh-CN" w:bidi="ar-SA"/>
              </w:rPr>
              <w:t>0.5</w:t>
            </w:r>
            <w:r>
              <w:rPr>
                <w:rFonts w:hint="eastAsia" w:ascii="宋体" w:hAnsi="宋体" w:eastAsia="宋体" w:cs="宋体"/>
                <w:color w:val="000000"/>
                <w:kern w:val="2"/>
                <w:sz w:val="22"/>
                <w:szCs w:val="22"/>
                <w:highlight w:val="none"/>
                <w:lang w:eastAsia="zh-CN" w:bidi="ar-SA"/>
              </w:rPr>
              <w:t>小时内到达现场</w:t>
            </w:r>
            <w:r>
              <w:rPr>
                <w:rFonts w:hint="eastAsia" w:ascii="宋体" w:hAnsi="宋体" w:cs="宋体"/>
                <w:color w:val="000000"/>
                <w:kern w:val="2"/>
                <w:sz w:val="22"/>
                <w:szCs w:val="22"/>
                <w:highlight w:val="none"/>
                <w:lang w:eastAsia="zh-CN" w:bidi="ar-SA"/>
              </w:rPr>
              <w:t>的</w:t>
            </w:r>
            <w:r>
              <w:rPr>
                <w:rFonts w:hint="eastAsia" w:ascii="宋体" w:hAnsi="宋体" w:eastAsia="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eastAsia="zh-CN" w:bidi="ar-SA"/>
              </w:rPr>
              <w:t>得</w:t>
            </w:r>
            <w:r>
              <w:rPr>
                <w:rFonts w:hint="eastAsia" w:ascii="宋体" w:hAnsi="宋体" w:cs="宋体"/>
                <w:color w:val="000000"/>
                <w:kern w:val="2"/>
                <w:sz w:val="22"/>
                <w:szCs w:val="22"/>
                <w:highlight w:val="none"/>
                <w:lang w:val="en-US" w:eastAsia="zh-CN" w:bidi="ar-SA"/>
              </w:rPr>
              <w:t>4分；</w:t>
            </w:r>
            <w:r>
              <w:rPr>
                <w:rFonts w:hint="eastAsia" w:ascii="宋体" w:hAnsi="宋体" w:cs="宋体"/>
                <w:color w:val="000000"/>
                <w:kern w:val="2"/>
                <w:sz w:val="22"/>
                <w:szCs w:val="22"/>
                <w:highlight w:val="none"/>
                <w:lang w:eastAsia="zh-CN" w:bidi="ar-SA"/>
              </w:rPr>
              <w:t>能</w:t>
            </w:r>
            <w:r>
              <w:rPr>
                <w:rFonts w:hint="eastAsia" w:ascii="宋体" w:hAnsi="宋体" w:eastAsia="宋体" w:cs="宋体"/>
                <w:color w:val="000000"/>
                <w:kern w:val="2"/>
                <w:sz w:val="22"/>
                <w:szCs w:val="22"/>
                <w:highlight w:val="none"/>
                <w:lang w:eastAsia="zh-CN" w:bidi="ar-SA"/>
              </w:rPr>
              <w:t>在</w:t>
            </w:r>
            <w:r>
              <w:rPr>
                <w:rFonts w:hint="eastAsia" w:ascii="宋体" w:hAnsi="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小时内到达现场</w:t>
            </w:r>
            <w:r>
              <w:rPr>
                <w:rFonts w:hint="eastAsia" w:ascii="宋体" w:hAnsi="宋体" w:cs="宋体"/>
                <w:color w:val="000000"/>
                <w:kern w:val="2"/>
                <w:sz w:val="22"/>
                <w:szCs w:val="22"/>
                <w:highlight w:val="none"/>
                <w:lang w:eastAsia="zh-CN" w:bidi="ar-SA"/>
              </w:rPr>
              <w:t>的</w:t>
            </w:r>
            <w:r>
              <w:rPr>
                <w:rFonts w:hint="eastAsia" w:ascii="宋体" w:hAnsi="宋体" w:eastAsia="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eastAsia="zh-CN" w:bidi="ar-SA"/>
              </w:rPr>
              <w:t>得</w:t>
            </w:r>
            <w:r>
              <w:rPr>
                <w:rFonts w:hint="eastAsia" w:ascii="宋体" w:hAnsi="宋体" w:cs="宋体"/>
                <w:color w:val="000000"/>
                <w:kern w:val="2"/>
                <w:sz w:val="22"/>
                <w:szCs w:val="22"/>
                <w:highlight w:val="none"/>
                <w:lang w:val="en-US" w:eastAsia="zh-CN" w:bidi="ar-SA"/>
              </w:rPr>
              <w:t>3分；</w:t>
            </w:r>
            <w:r>
              <w:rPr>
                <w:rFonts w:hint="eastAsia" w:ascii="宋体" w:hAnsi="宋体" w:cs="宋体"/>
                <w:color w:val="000000"/>
                <w:kern w:val="2"/>
                <w:sz w:val="22"/>
                <w:szCs w:val="22"/>
                <w:highlight w:val="none"/>
                <w:lang w:eastAsia="zh-CN" w:bidi="ar-SA"/>
              </w:rPr>
              <w:t>能</w:t>
            </w:r>
            <w:r>
              <w:rPr>
                <w:rFonts w:hint="eastAsia" w:ascii="宋体" w:hAnsi="宋体" w:eastAsia="宋体" w:cs="宋体"/>
                <w:color w:val="000000"/>
                <w:kern w:val="2"/>
                <w:sz w:val="22"/>
                <w:szCs w:val="22"/>
                <w:highlight w:val="none"/>
                <w:lang w:eastAsia="zh-CN" w:bidi="ar-SA"/>
              </w:rPr>
              <w:t>在</w:t>
            </w: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小时内到达现场</w:t>
            </w:r>
            <w:r>
              <w:rPr>
                <w:rFonts w:hint="eastAsia" w:ascii="宋体" w:hAnsi="宋体" w:cs="宋体"/>
                <w:color w:val="000000"/>
                <w:kern w:val="2"/>
                <w:sz w:val="22"/>
                <w:szCs w:val="22"/>
                <w:highlight w:val="none"/>
                <w:lang w:eastAsia="zh-CN" w:bidi="ar-SA"/>
              </w:rPr>
              <w:t>的</w:t>
            </w:r>
            <w:r>
              <w:rPr>
                <w:rFonts w:hint="eastAsia" w:ascii="宋体" w:hAnsi="宋体" w:eastAsia="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eastAsia="zh-CN" w:bidi="ar-SA"/>
              </w:rPr>
              <w:t>得</w:t>
            </w:r>
            <w:r>
              <w:rPr>
                <w:rFonts w:hint="eastAsia" w:ascii="宋体" w:hAnsi="宋体" w:cs="宋体"/>
                <w:color w:val="000000"/>
                <w:kern w:val="2"/>
                <w:sz w:val="22"/>
                <w:szCs w:val="22"/>
                <w:highlight w:val="none"/>
                <w:lang w:val="en-US" w:eastAsia="zh-CN" w:bidi="ar-SA"/>
              </w:rPr>
              <w:t>2分；其余不得分。</w:t>
            </w:r>
          </w:p>
          <w:p w14:paraId="228BB1AA">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eastAsia="zh-CN" w:bidi="ar-SA"/>
              </w:rPr>
              <w:t>②</w:t>
            </w:r>
            <w:r>
              <w:rPr>
                <w:rFonts w:hint="eastAsia" w:ascii="宋体" w:hAnsi="宋体" w:eastAsia="宋体" w:cs="宋体"/>
                <w:color w:val="000000"/>
                <w:kern w:val="2"/>
                <w:sz w:val="22"/>
                <w:szCs w:val="22"/>
                <w:highlight w:val="none"/>
                <w:lang w:eastAsia="zh-CN" w:bidi="ar-SA"/>
              </w:rPr>
              <w:t>对于紧急的突发性任务，</w:t>
            </w:r>
            <w:r>
              <w:rPr>
                <w:rFonts w:hint="eastAsia" w:ascii="宋体" w:hAnsi="宋体" w:cs="宋体"/>
                <w:color w:val="000000"/>
                <w:kern w:val="2"/>
                <w:sz w:val="22"/>
                <w:szCs w:val="22"/>
                <w:highlight w:val="none"/>
                <w:lang w:eastAsia="zh-CN" w:bidi="ar-SA"/>
              </w:rPr>
              <w:t>应尽快作出响应并给出</w:t>
            </w:r>
            <w:r>
              <w:rPr>
                <w:rFonts w:hint="eastAsia" w:ascii="宋体" w:hAnsi="宋体" w:eastAsia="宋体" w:cs="宋体"/>
                <w:color w:val="000000"/>
                <w:kern w:val="2"/>
                <w:sz w:val="22"/>
                <w:szCs w:val="22"/>
                <w:highlight w:val="none"/>
                <w:lang w:eastAsia="zh-CN" w:bidi="ar-SA"/>
              </w:rPr>
              <w:t>法律意见</w:t>
            </w:r>
            <w:r>
              <w:rPr>
                <w:rFonts w:hint="eastAsia" w:ascii="宋体" w:hAnsi="宋体" w:cs="宋体"/>
                <w:color w:val="000000"/>
                <w:kern w:val="2"/>
                <w:sz w:val="22"/>
                <w:szCs w:val="22"/>
                <w:highlight w:val="none"/>
                <w:lang w:eastAsia="zh-CN" w:bidi="ar-SA"/>
              </w:rPr>
              <w:t>、</w:t>
            </w:r>
            <w:r>
              <w:rPr>
                <w:rFonts w:hint="eastAsia" w:ascii="宋体" w:hAnsi="宋体" w:eastAsia="宋体" w:cs="宋体"/>
                <w:color w:val="000000"/>
                <w:kern w:val="2"/>
                <w:sz w:val="22"/>
                <w:szCs w:val="22"/>
                <w:highlight w:val="none"/>
                <w:lang w:eastAsia="zh-CN" w:bidi="ar-SA"/>
              </w:rPr>
              <w:t>工作方案</w:t>
            </w:r>
            <w:r>
              <w:rPr>
                <w:rFonts w:hint="eastAsia" w:ascii="宋体" w:hAnsi="宋体" w:cs="宋体"/>
                <w:color w:val="000000"/>
                <w:kern w:val="2"/>
                <w:sz w:val="22"/>
                <w:szCs w:val="22"/>
                <w:highlight w:val="none"/>
                <w:lang w:eastAsia="zh-CN" w:bidi="ar-SA"/>
              </w:rPr>
              <w:t>。</w:t>
            </w:r>
            <w:r>
              <w:rPr>
                <w:rFonts w:hint="eastAsia" w:ascii="宋体" w:hAnsi="宋体" w:eastAsia="宋体" w:cs="宋体"/>
                <w:color w:val="000000"/>
                <w:kern w:val="2"/>
                <w:sz w:val="22"/>
                <w:szCs w:val="22"/>
                <w:highlight w:val="none"/>
                <w:lang w:eastAsia="zh-CN" w:bidi="ar-SA"/>
              </w:rPr>
              <w:t>能够在</w:t>
            </w:r>
            <w:r>
              <w:rPr>
                <w:rFonts w:hint="eastAsia" w:ascii="宋体" w:hAnsi="宋体" w:cs="宋体"/>
                <w:color w:val="000000"/>
                <w:kern w:val="2"/>
                <w:sz w:val="22"/>
                <w:szCs w:val="22"/>
                <w:highlight w:val="none"/>
                <w:lang w:val="en-US" w:eastAsia="zh-CN" w:bidi="ar-SA"/>
              </w:rPr>
              <w:t>12</w:t>
            </w:r>
            <w:r>
              <w:rPr>
                <w:rFonts w:hint="eastAsia" w:ascii="宋体" w:hAnsi="宋体" w:eastAsia="宋体" w:cs="宋体"/>
                <w:color w:val="000000"/>
                <w:kern w:val="2"/>
                <w:sz w:val="22"/>
                <w:szCs w:val="22"/>
                <w:highlight w:val="none"/>
                <w:lang w:eastAsia="zh-CN" w:bidi="ar-SA"/>
              </w:rPr>
              <w:t>小时内响应</w:t>
            </w:r>
            <w:r>
              <w:rPr>
                <w:rFonts w:hint="eastAsia" w:ascii="宋体" w:hAnsi="宋体" w:cs="宋体"/>
                <w:color w:val="000000"/>
                <w:kern w:val="2"/>
                <w:sz w:val="22"/>
                <w:szCs w:val="22"/>
                <w:highlight w:val="none"/>
                <w:lang w:eastAsia="zh-CN" w:bidi="ar-SA"/>
              </w:rPr>
              <w:t>的，得</w:t>
            </w:r>
            <w:r>
              <w:rPr>
                <w:rFonts w:hint="eastAsia" w:ascii="宋体" w:hAnsi="宋体" w:cs="宋体"/>
                <w:color w:val="000000"/>
                <w:kern w:val="2"/>
                <w:sz w:val="22"/>
                <w:szCs w:val="22"/>
                <w:highlight w:val="none"/>
                <w:lang w:val="en-US" w:eastAsia="zh-CN" w:bidi="ar-SA"/>
              </w:rPr>
              <w:t>4分；</w:t>
            </w:r>
            <w:r>
              <w:rPr>
                <w:rFonts w:hint="eastAsia" w:ascii="宋体" w:hAnsi="宋体" w:eastAsia="宋体" w:cs="宋体"/>
                <w:color w:val="000000"/>
                <w:kern w:val="2"/>
                <w:sz w:val="22"/>
                <w:szCs w:val="22"/>
                <w:highlight w:val="none"/>
                <w:lang w:eastAsia="zh-CN" w:bidi="ar-SA"/>
              </w:rPr>
              <w:t>能够在</w:t>
            </w:r>
            <w:r>
              <w:rPr>
                <w:rFonts w:hint="eastAsia" w:ascii="宋体" w:hAnsi="宋体" w:cs="宋体"/>
                <w:color w:val="000000"/>
                <w:kern w:val="2"/>
                <w:sz w:val="22"/>
                <w:szCs w:val="22"/>
                <w:highlight w:val="none"/>
                <w:lang w:val="en-US" w:eastAsia="zh-CN" w:bidi="ar-SA"/>
              </w:rPr>
              <w:t>24</w:t>
            </w:r>
            <w:r>
              <w:rPr>
                <w:rFonts w:hint="eastAsia" w:ascii="宋体" w:hAnsi="宋体" w:eastAsia="宋体" w:cs="宋体"/>
                <w:color w:val="000000"/>
                <w:kern w:val="2"/>
                <w:sz w:val="22"/>
                <w:szCs w:val="22"/>
                <w:highlight w:val="none"/>
                <w:lang w:eastAsia="zh-CN" w:bidi="ar-SA"/>
              </w:rPr>
              <w:t>小时内响应</w:t>
            </w:r>
            <w:r>
              <w:rPr>
                <w:rFonts w:hint="eastAsia" w:ascii="宋体" w:hAnsi="宋体" w:cs="宋体"/>
                <w:color w:val="000000"/>
                <w:kern w:val="2"/>
                <w:sz w:val="22"/>
                <w:szCs w:val="22"/>
                <w:highlight w:val="none"/>
                <w:lang w:eastAsia="zh-CN" w:bidi="ar-SA"/>
              </w:rPr>
              <w:t>的，得</w:t>
            </w:r>
            <w:r>
              <w:rPr>
                <w:rFonts w:hint="eastAsia" w:ascii="宋体" w:hAnsi="宋体" w:cs="宋体"/>
                <w:color w:val="000000"/>
                <w:kern w:val="2"/>
                <w:sz w:val="22"/>
                <w:szCs w:val="22"/>
                <w:highlight w:val="none"/>
                <w:lang w:val="en-US" w:eastAsia="zh-CN" w:bidi="ar-SA"/>
              </w:rPr>
              <w:t>2分；</w:t>
            </w:r>
            <w:r>
              <w:rPr>
                <w:rFonts w:hint="eastAsia" w:ascii="宋体" w:hAnsi="宋体" w:eastAsia="宋体" w:cs="宋体"/>
                <w:color w:val="000000"/>
                <w:kern w:val="2"/>
                <w:sz w:val="22"/>
                <w:szCs w:val="22"/>
                <w:highlight w:val="none"/>
                <w:lang w:eastAsia="zh-CN" w:bidi="ar-SA"/>
              </w:rPr>
              <w:t>其他不得分。</w:t>
            </w:r>
          </w:p>
          <w:p w14:paraId="46BE032A">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eastAsia="zh-CN" w:bidi="ar-SA"/>
              </w:rPr>
              <w:t>注：以上两项需提供承诺函并接受考核。</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21AECDE">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val="en-US" w:eastAsia="zh-CN" w:bidi="ar-SA"/>
              </w:rPr>
              <w:t>8</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839FAE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r w14:paraId="6296EC74">
        <w:tblPrEx>
          <w:tblCellMar>
            <w:top w:w="15" w:type="dxa"/>
            <w:left w:w="15" w:type="dxa"/>
            <w:bottom w:w="15" w:type="dxa"/>
            <w:right w:w="15" w:type="dxa"/>
          </w:tblCellMar>
        </w:tblPrEx>
        <w:tc>
          <w:tcPr>
            <w:tcW w:w="1334"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3DDEA887">
            <w:pPr>
              <w:pageBreakBefore w:val="0"/>
              <w:numPr>
                <w:ilvl w:val="0"/>
                <w:numId w:val="7"/>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保密措施</w:t>
            </w:r>
          </w:p>
        </w:tc>
        <w:tc>
          <w:tcPr>
            <w:tcW w:w="5700"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F14EE11">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在服务期间，涉及采购人涉密信息、资料的保密措施，提供相关保密制度及证明材料。全部承诺且保密措施合理可行的得5分；保密措施基本可行的得3</w:t>
            </w:r>
            <w:r>
              <w:rPr>
                <w:rFonts w:hint="eastAsia" w:ascii="宋体" w:hAnsi="宋体" w:cs="宋体"/>
                <w:color w:val="000000"/>
                <w:kern w:val="2"/>
                <w:sz w:val="22"/>
                <w:szCs w:val="22"/>
                <w:highlight w:val="none"/>
                <w:lang w:val="en-US" w:eastAsia="zh-CN" w:bidi="ar-SA"/>
              </w:rPr>
              <w:t>-4</w:t>
            </w:r>
            <w:r>
              <w:rPr>
                <w:rFonts w:hint="eastAsia" w:ascii="宋体" w:hAnsi="宋体" w:eastAsia="宋体" w:cs="宋体"/>
                <w:color w:val="000000"/>
                <w:kern w:val="2"/>
                <w:sz w:val="22"/>
                <w:szCs w:val="22"/>
                <w:highlight w:val="none"/>
                <w:lang w:eastAsia="zh-CN" w:bidi="ar-SA"/>
              </w:rPr>
              <w:t>分；承诺且保密措施部分合理可行的得1</w:t>
            </w: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分；不提供承诺书的不得分。</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D06CAB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5</w:t>
            </w:r>
          </w:p>
        </w:tc>
        <w:tc>
          <w:tcPr>
            <w:tcW w:w="70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E1B05E5">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bl>
    <w:p w14:paraId="2C9641FA">
      <w:pPr>
        <w:pageBreakBefore w:val="0"/>
        <w:kinsoku/>
        <w:wordWrap/>
        <w:overflowPunct/>
        <w:topLinePunct w:val="0"/>
        <w:bidi w:val="0"/>
        <w:spacing w:beforeAutospacing="0" w:line="540" w:lineRule="exact"/>
        <w:jc w:val="both"/>
        <w:textAlignment w:val="auto"/>
        <w:rPr>
          <w:rFonts w:hint="eastAsia" w:ascii="宋体" w:hAnsi="宋体" w:eastAsia="宋体" w:cs="宋体"/>
          <w:b w:val="0"/>
          <w:bCs w:val="0"/>
          <w:color w:val="000000"/>
          <w:kern w:val="2"/>
          <w:sz w:val="24"/>
          <w:szCs w:val="24"/>
          <w:highlight w:val="none"/>
          <w:lang w:eastAsia="zh-CN" w:bidi="ar-SA"/>
        </w:rPr>
      </w:pPr>
      <w:r>
        <w:rPr>
          <w:rFonts w:hint="eastAsia" w:ascii="宋体" w:hAnsi="宋体" w:cs="宋体"/>
          <w:b w:val="0"/>
          <w:bCs w:val="0"/>
          <w:color w:val="000000"/>
          <w:kern w:val="2"/>
          <w:sz w:val="24"/>
          <w:szCs w:val="24"/>
          <w:highlight w:val="none"/>
          <w:lang w:eastAsia="zh-CN" w:bidi="ar-SA"/>
        </w:rPr>
        <w:t>（三）</w:t>
      </w:r>
      <w:r>
        <w:rPr>
          <w:rFonts w:hint="eastAsia" w:ascii="宋体" w:hAnsi="宋体" w:eastAsia="宋体" w:cs="宋体"/>
          <w:b w:val="0"/>
          <w:bCs w:val="0"/>
          <w:color w:val="000000"/>
          <w:kern w:val="2"/>
          <w:sz w:val="24"/>
          <w:szCs w:val="24"/>
          <w:highlight w:val="none"/>
          <w:lang w:eastAsia="zh-CN" w:bidi="ar-SA"/>
        </w:rPr>
        <w:t>标项差异化评分标准（专项部分）</w:t>
      </w:r>
    </w:p>
    <w:p w14:paraId="5200E390">
      <w:pPr>
        <w:pageBreakBefore w:val="0"/>
        <w:kinsoku/>
        <w:wordWrap/>
        <w:overflowPunct/>
        <w:topLinePunct w:val="0"/>
        <w:bidi w:val="0"/>
        <w:spacing w:beforeAutospacing="0" w:line="540" w:lineRule="exact"/>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标项</w:t>
      </w: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eastAsia="zh-CN" w:bidi="ar-SA"/>
        </w:rPr>
        <w:t>：集团本级、资产与产业服务法律板块（</w:t>
      </w:r>
      <w:r>
        <w:rPr>
          <w:rFonts w:hint="eastAsia" w:ascii="宋体" w:hAnsi="宋体" w:eastAsia="宋体" w:cs="宋体"/>
          <w:color w:val="000000"/>
          <w:kern w:val="2"/>
          <w:sz w:val="24"/>
          <w:szCs w:val="24"/>
          <w:highlight w:val="none"/>
          <w:lang w:val="en-US" w:eastAsia="zh-CN" w:bidi="ar-SA"/>
        </w:rPr>
        <w:t>9</w:t>
      </w:r>
      <w:r>
        <w:rPr>
          <w:rFonts w:hint="eastAsia" w:ascii="宋体" w:hAnsi="宋体" w:eastAsia="宋体" w:cs="宋体"/>
          <w:color w:val="000000"/>
          <w:kern w:val="2"/>
          <w:sz w:val="24"/>
          <w:szCs w:val="24"/>
          <w:highlight w:val="none"/>
          <w:lang w:eastAsia="zh-CN" w:bidi="ar-SA"/>
        </w:rPr>
        <w:t>分）</w:t>
      </w:r>
    </w:p>
    <w:tbl>
      <w:tblPr>
        <w:tblStyle w:val="63"/>
        <w:tblW w:w="8489" w:type="dxa"/>
        <w:tblInd w:w="0" w:type="dxa"/>
        <w:tblLayout w:type="fixed"/>
        <w:tblCellMar>
          <w:top w:w="15" w:type="dxa"/>
          <w:left w:w="15" w:type="dxa"/>
          <w:bottom w:w="15" w:type="dxa"/>
          <w:right w:w="15" w:type="dxa"/>
        </w:tblCellMar>
      </w:tblPr>
      <w:tblGrid>
        <w:gridCol w:w="1330"/>
        <w:gridCol w:w="5708"/>
        <w:gridCol w:w="692"/>
        <w:gridCol w:w="759"/>
      </w:tblGrid>
      <w:tr w14:paraId="432B6455">
        <w:tblPrEx>
          <w:tblCellMar>
            <w:top w:w="15" w:type="dxa"/>
            <w:left w:w="15" w:type="dxa"/>
            <w:bottom w:w="15" w:type="dxa"/>
            <w:right w:w="15" w:type="dxa"/>
          </w:tblCellMar>
        </w:tblPrEx>
        <w:trPr>
          <w:tblHeader/>
        </w:trPr>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45A30F8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评分项</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49BFBDD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评分标准</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1F1287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分值</w:t>
            </w:r>
          </w:p>
        </w:tc>
        <w:tc>
          <w:tcPr>
            <w:tcW w:w="759"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F8E0A5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类型</w:t>
            </w:r>
          </w:p>
        </w:tc>
      </w:tr>
      <w:tr w14:paraId="24F8B2F4">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3DE396D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1.专业资质</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149F51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eastAsia="zh-CN" w:bidi="ar-SA"/>
              </w:rPr>
              <w:t>团队律师担任上市公司独立董事，每1个得</w:t>
            </w: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r>
              <w:rPr>
                <w:rFonts w:hint="eastAsia" w:ascii="宋体" w:hAnsi="宋体" w:eastAsia="宋体" w:cs="宋体"/>
                <w:color w:val="000000"/>
                <w:kern w:val="2"/>
                <w:sz w:val="22"/>
                <w:szCs w:val="22"/>
                <w:highlight w:val="none"/>
                <w:lang w:val="en-US" w:eastAsia="zh-CN" w:bidi="ar-SA"/>
              </w:rPr>
              <w:t>最高4分</w:t>
            </w:r>
            <w:r>
              <w:rPr>
                <w:rFonts w:hint="eastAsia" w:ascii="宋体" w:hAnsi="宋体" w:eastAsia="宋体" w:cs="宋体"/>
                <w:color w:val="000000"/>
                <w:kern w:val="2"/>
                <w:sz w:val="22"/>
                <w:szCs w:val="22"/>
                <w:highlight w:val="none"/>
                <w:lang w:eastAsia="zh-CN" w:bidi="ar-SA"/>
              </w:rPr>
              <w:t>。</w:t>
            </w:r>
            <w:r>
              <w:rPr>
                <w:rFonts w:hint="eastAsia" w:ascii="宋体" w:hAnsi="宋体" w:eastAsia="宋体" w:cs="宋体"/>
                <w:color w:val="000000"/>
                <w:kern w:val="2"/>
                <w:sz w:val="22"/>
                <w:szCs w:val="22"/>
                <w:highlight w:val="none"/>
                <w:lang w:val="en-US" w:eastAsia="zh-CN" w:bidi="ar-SA"/>
              </w:rPr>
              <w:t>注：需提供证明材料。</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5B1D99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w:t>
            </w:r>
          </w:p>
        </w:tc>
        <w:tc>
          <w:tcPr>
            <w:tcW w:w="759"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9EDB73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6517DE5B">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07F2EE2C">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2.业绩成绩</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F29B8A5">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eastAsia="zh-CN" w:bidi="ar-SA"/>
              </w:rPr>
              <w:t>①自</w:t>
            </w:r>
            <w:r>
              <w:rPr>
                <w:rFonts w:hint="eastAsia" w:ascii="宋体" w:hAnsi="宋体" w:eastAsia="宋体" w:cs="宋体"/>
                <w:color w:val="000000"/>
                <w:kern w:val="2"/>
                <w:sz w:val="22"/>
                <w:szCs w:val="22"/>
                <w:highlight w:val="none"/>
                <w:lang w:val="en-US" w:eastAsia="zh-CN" w:bidi="ar-SA"/>
              </w:rPr>
              <w:t>2023年1月1日至今，服务团队律师具有为行政单位（镇、街）、事业单位、国企出具社会风险评估报告相关经验的，每提供一个备案证书得0.5分，最高得2分。注：需提供社会风险评估备案材料。</w:t>
            </w:r>
          </w:p>
          <w:p w14:paraId="378BF63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eastAsia="zh-CN" w:bidi="ar-SA"/>
              </w:rPr>
              <w:t>②团队律师近3年服务以下项目：招商引资专项法律服务</w:t>
            </w:r>
            <w:r>
              <w:rPr>
                <w:rFonts w:hint="eastAsia" w:ascii="宋体" w:hAnsi="宋体" w:eastAsia="宋体" w:cs="宋体"/>
                <w:color w:val="000000"/>
                <w:kern w:val="2"/>
                <w:sz w:val="22"/>
                <w:szCs w:val="22"/>
                <w:highlight w:val="none"/>
                <w:lang w:val="en-US" w:eastAsia="zh-CN" w:bidi="ar-SA"/>
              </w:rPr>
              <w:t>及</w:t>
            </w:r>
            <w:r>
              <w:rPr>
                <w:rFonts w:hint="eastAsia" w:ascii="宋体" w:hAnsi="宋体" w:eastAsia="宋体" w:cs="宋体"/>
                <w:color w:val="000000"/>
                <w:kern w:val="2"/>
                <w:sz w:val="22"/>
                <w:szCs w:val="22"/>
                <w:highlight w:val="none"/>
                <w:lang w:eastAsia="zh-CN" w:bidi="ar-SA"/>
              </w:rPr>
              <w:t>物业服务企业常年法律服务，每1个得1分，最高得2分。</w:t>
            </w:r>
            <w:r>
              <w:rPr>
                <w:rFonts w:hint="eastAsia" w:ascii="宋体" w:hAnsi="宋体" w:eastAsia="宋体" w:cs="宋体"/>
                <w:color w:val="000000"/>
                <w:kern w:val="2"/>
                <w:sz w:val="22"/>
                <w:szCs w:val="22"/>
                <w:highlight w:val="none"/>
                <w:lang w:val="en-US" w:eastAsia="zh-CN" w:bidi="ar-SA"/>
              </w:rPr>
              <w:t>注：</w:t>
            </w:r>
            <w:r>
              <w:rPr>
                <w:rFonts w:hint="eastAsia" w:ascii="宋体" w:hAnsi="宋体" w:eastAsia="宋体" w:cs="宋体"/>
                <w:color w:val="000000"/>
                <w:kern w:val="2"/>
                <w:sz w:val="22"/>
                <w:szCs w:val="22"/>
                <w:highlight w:val="none"/>
                <w:lang w:eastAsia="zh-CN" w:bidi="ar-SA"/>
              </w:rPr>
              <w:t>需提供法律服务合同</w:t>
            </w:r>
            <w:r>
              <w:rPr>
                <w:rFonts w:hint="eastAsia" w:ascii="宋体" w:hAnsi="宋体" w:eastAsia="宋体" w:cs="宋体"/>
                <w:color w:val="000000"/>
                <w:kern w:val="2"/>
                <w:sz w:val="22"/>
                <w:szCs w:val="22"/>
                <w:highlight w:val="none"/>
                <w:lang w:val="en-US" w:eastAsia="zh-CN" w:bidi="ar-SA"/>
              </w:rPr>
              <w:t>。</w:t>
            </w:r>
          </w:p>
          <w:p w14:paraId="06B91171">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上述两项</w:t>
            </w:r>
            <w:r>
              <w:rPr>
                <w:rFonts w:hint="eastAsia" w:ascii="宋体" w:hAnsi="宋体" w:cs="宋体"/>
                <w:color w:val="000000"/>
                <w:kern w:val="2"/>
                <w:sz w:val="22"/>
                <w:szCs w:val="22"/>
                <w:highlight w:val="none"/>
                <w:lang w:val="en-US" w:eastAsia="zh-CN" w:bidi="ar-SA"/>
              </w:rPr>
              <w:t>可</w:t>
            </w:r>
            <w:r>
              <w:rPr>
                <w:rFonts w:hint="eastAsia" w:ascii="宋体" w:hAnsi="宋体" w:eastAsia="宋体" w:cs="宋体"/>
                <w:color w:val="000000"/>
                <w:kern w:val="2"/>
                <w:sz w:val="22"/>
                <w:szCs w:val="22"/>
                <w:highlight w:val="none"/>
                <w:lang w:val="en-US" w:eastAsia="zh-CN" w:bidi="ar-SA"/>
              </w:rPr>
              <w:t>重复记分，本项最高2分。</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1110B8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759"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90313C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5940DA3F">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725BFE4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.内控体系建设方案</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995085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聚焦</w:t>
            </w:r>
            <w:r>
              <w:rPr>
                <w:rFonts w:hint="eastAsia" w:ascii="宋体" w:hAnsi="宋体" w:cs="宋体"/>
                <w:color w:val="000000"/>
                <w:kern w:val="2"/>
                <w:sz w:val="22"/>
                <w:szCs w:val="22"/>
                <w:highlight w:val="none"/>
                <w:lang w:eastAsia="zh-CN" w:bidi="ar-SA"/>
              </w:rPr>
              <w:t>企业</w:t>
            </w:r>
            <w:r>
              <w:rPr>
                <w:rFonts w:hint="eastAsia" w:ascii="宋体" w:hAnsi="宋体" w:eastAsia="宋体" w:cs="宋体"/>
                <w:color w:val="000000"/>
                <w:kern w:val="2"/>
                <w:sz w:val="22"/>
                <w:szCs w:val="22"/>
                <w:highlight w:val="none"/>
                <w:lang w:eastAsia="zh-CN" w:bidi="ar-SA"/>
              </w:rPr>
              <w:t>内控体系与国资监管合规</w:t>
            </w:r>
            <w:r>
              <w:rPr>
                <w:rFonts w:hint="eastAsia" w:ascii="宋体" w:hAnsi="宋体" w:eastAsia="宋体" w:cs="宋体"/>
                <w:color w:val="000000"/>
                <w:kern w:val="2"/>
                <w:sz w:val="22"/>
                <w:szCs w:val="22"/>
                <w:highlight w:val="none"/>
                <w:lang w:val="en-US" w:eastAsia="zh-CN" w:bidi="ar-SA"/>
              </w:rPr>
              <w:t>服务</w:t>
            </w:r>
            <w:r>
              <w:rPr>
                <w:rFonts w:hint="eastAsia" w:ascii="宋体" w:hAnsi="宋体" w:eastAsia="宋体" w:cs="宋体"/>
                <w:color w:val="000000"/>
                <w:kern w:val="2"/>
                <w:sz w:val="22"/>
                <w:szCs w:val="22"/>
                <w:highlight w:val="none"/>
                <w:lang w:eastAsia="zh-CN" w:bidi="ar-SA"/>
              </w:rPr>
              <w:t>，要求提供</w:t>
            </w:r>
            <w:r>
              <w:rPr>
                <w:rFonts w:hint="eastAsia" w:ascii="宋体" w:hAnsi="宋体" w:cs="宋体"/>
                <w:color w:val="000000"/>
                <w:kern w:val="2"/>
                <w:sz w:val="22"/>
                <w:szCs w:val="22"/>
                <w:highlight w:val="none"/>
                <w:lang w:eastAsia="zh-CN" w:bidi="ar-SA"/>
              </w:rPr>
              <w:t>体系建设与国资监管合规的方案，提及主要流程和主要内容</w:t>
            </w:r>
            <w:r>
              <w:rPr>
                <w:rFonts w:hint="eastAsia" w:ascii="宋体" w:hAnsi="宋体" w:eastAsia="宋体" w:cs="宋体"/>
                <w:color w:val="000000"/>
                <w:kern w:val="2"/>
                <w:sz w:val="22"/>
                <w:szCs w:val="22"/>
                <w:highlight w:val="none"/>
                <w:lang w:eastAsia="zh-CN" w:bidi="ar-SA"/>
              </w:rPr>
              <w:t>，</w:t>
            </w:r>
            <w:r>
              <w:rPr>
                <w:rFonts w:hint="eastAsia" w:ascii="宋体" w:hAnsi="宋体" w:cs="宋体"/>
                <w:color w:val="000000"/>
                <w:kern w:val="2"/>
                <w:sz w:val="22"/>
                <w:szCs w:val="22"/>
                <w:highlight w:val="none"/>
                <w:lang w:eastAsia="zh-CN" w:bidi="ar-SA"/>
              </w:rPr>
              <w:t>方案</w:t>
            </w:r>
            <w:r>
              <w:rPr>
                <w:rFonts w:hint="eastAsia" w:ascii="宋体" w:hAnsi="宋体" w:eastAsia="宋体" w:cs="宋体"/>
                <w:color w:val="000000"/>
                <w:kern w:val="2"/>
                <w:sz w:val="22"/>
                <w:szCs w:val="22"/>
                <w:highlight w:val="none"/>
                <w:lang w:eastAsia="zh-CN" w:bidi="ar-SA"/>
              </w:rPr>
              <w:t>优</w:t>
            </w:r>
            <w:r>
              <w:rPr>
                <w:rFonts w:hint="eastAsia" w:ascii="宋体" w:hAnsi="宋体" w:cs="宋体"/>
                <w:color w:val="000000"/>
                <w:kern w:val="2"/>
                <w:sz w:val="22"/>
                <w:szCs w:val="22"/>
                <w:highlight w:val="none"/>
                <w:lang w:eastAsia="zh-CN" w:bidi="ar-SA"/>
              </w:rPr>
              <w:t>得</w:t>
            </w:r>
            <w:r>
              <w:rPr>
                <w:rFonts w:hint="eastAsia" w:ascii="宋体" w:hAnsi="宋体" w:eastAsia="宋体" w:cs="宋体"/>
                <w:color w:val="000000"/>
                <w:kern w:val="2"/>
                <w:sz w:val="22"/>
                <w:szCs w:val="22"/>
                <w:highlight w:val="none"/>
                <w:lang w:val="en-US" w:eastAsia="zh-CN" w:bidi="ar-SA"/>
              </w:rPr>
              <w:t>2-3</w:t>
            </w:r>
            <w:r>
              <w:rPr>
                <w:rFonts w:hint="eastAsia" w:ascii="宋体" w:hAnsi="宋体" w:eastAsia="宋体" w:cs="宋体"/>
                <w:color w:val="000000"/>
                <w:kern w:val="2"/>
                <w:sz w:val="22"/>
                <w:szCs w:val="22"/>
                <w:highlight w:val="none"/>
                <w:lang w:eastAsia="zh-CN" w:bidi="ar-SA"/>
              </w:rPr>
              <w:t>分，良</w:t>
            </w:r>
            <w:r>
              <w:rPr>
                <w:rFonts w:hint="eastAsia" w:ascii="宋体" w:hAnsi="宋体" w:cs="宋体"/>
                <w:color w:val="000000"/>
                <w:kern w:val="2"/>
                <w:sz w:val="22"/>
                <w:szCs w:val="22"/>
                <w:highlight w:val="none"/>
                <w:lang w:eastAsia="zh-CN" w:bidi="ar-SA"/>
              </w:rPr>
              <w:t>得</w:t>
            </w:r>
            <w:r>
              <w:rPr>
                <w:rFonts w:hint="eastAsia" w:ascii="宋体" w:hAnsi="宋体" w:eastAsia="宋体" w:cs="宋体"/>
                <w:color w:val="000000"/>
                <w:kern w:val="2"/>
                <w:sz w:val="22"/>
                <w:szCs w:val="22"/>
                <w:highlight w:val="none"/>
                <w:lang w:eastAsia="zh-CN" w:bidi="ar-SA"/>
              </w:rPr>
              <w:t>1分，差</w:t>
            </w:r>
            <w:r>
              <w:rPr>
                <w:rFonts w:hint="eastAsia" w:ascii="宋体" w:hAnsi="宋体" w:cs="宋体"/>
                <w:color w:val="000000"/>
                <w:kern w:val="2"/>
                <w:sz w:val="22"/>
                <w:szCs w:val="22"/>
                <w:highlight w:val="none"/>
                <w:lang w:eastAsia="zh-CN" w:bidi="ar-SA"/>
              </w:rPr>
              <w:t>不得分</w:t>
            </w:r>
            <w:r>
              <w:rPr>
                <w:rFonts w:hint="eastAsia" w:ascii="宋体" w:hAnsi="宋体" w:eastAsia="宋体" w:cs="宋体"/>
                <w:color w:val="000000"/>
                <w:kern w:val="2"/>
                <w:sz w:val="22"/>
                <w:szCs w:val="22"/>
                <w:highlight w:val="none"/>
                <w:lang w:eastAsia="zh-CN" w:bidi="ar-SA"/>
              </w:rPr>
              <w:t>。</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E02D145">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759"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5F3A87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bl>
    <w:p w14:paraId="3AFBF8DA">
      <w:pPr>
        <w:pageBreakBefore w:val="0"/>
        <w:kinsoku/>
        <w:wordWrap/>
        <w:overflowPunct/>
        <w:topLinePunct w:val="0"/>
        <w:bidi w:val="0"/>
        <w:spacing w:beforeAutospacing="0" w:line="540" w:lineRule="exact"/>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标项</w:t>
      </w: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eastAsia="zh-CN" w:bidi="ar-SA"/>
        </w:rPr>
        <w:t>：战略投资与绿色创新板块（</w:t>
      </w:r>
      <w:r>
        <w:rPr>
          <w:rFonts w:hint="eastAsia" w:ascii="宋体" w:hAnsi="宋体" w:eastAsia="宋体" w:cs="宋体"/>
          <w:color w:val="000000"/>
          <w:kern w:val="2"/>
          <w:sz w:val="24"/>
          <w:szCs w:val="24"/>
          <w:highlight w:val="none"/>
          <w:lang w:val="en-US" w:eastAsia="zh-CN" w:bidi="ar-SA"/>
        </w:rPr>
        <w:t>9</w:t>
      </w:r>
      <w:r>
        <w:rPr>
          <w:rFonts w:hint="eastAsia" w:ascii="宋体" w:hAnsi="宋体" w:eastAsia="宋体" w:cs="宋体"/>
          <w:color w:val="000000"/>
          <w:kern w:val="2"/>
          <w:sz w:val="24"/>
          <w:szCs w:val="24"/>
          <w:highlight w:val="none"/>
          <w:lang w:eastAsia="zh-CN" w:bidi="ar-SA"/>
        </w:rPr>
        <w:t>分）</w:t>
      </w:r>
    </w:p>
    <w:tbl>
      <w:tblPr>
        <w:tblStyle w:val="63"/>
        <w:tblW w:w="0" w:type="auto"/>
        <w:tblInd w:w="0" w:type="dxa"/>
        <w:tblLayout w:type="autofit"/>
        <w:tblCellMar>
          <w:top w:w="15" w:type="dxa"/>
          <w:left w:w="15" w:type="dxa"/>
          <w:bottom w:w="15" w:type="dxa"/>
          <w:right w:w="15" w:type="dxa"/>
        </w:tblCellMar>
      </w:tblPr>
      <w:tblGrid>
        <w:gridCol w:w="1330"/>
        <w:gridCol w:w="5723"/>
        <w:gridCol w:w="677"/>
        <w:gridCol w:w="785"/>
      </w:tblGrid>
      <w:tr w14:paraId="682E7C50">
        <w:tblPrEx>
          <w:tblCellMar>
            <w:top w:w="15" w:type="dxa"/>
            <w:left w:w="15" w:type="dxa"/>
            <w:bottom w:w="15" w:type="dxa"/>
            <w:right w:w="15" w:type="dxa"/>
          </w:tblCellMar>
        </w:tblPrEx>
        <w:trPr>
          <w:tblHeader/>
        </w:trPr>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06B5AF3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评分项</w:t>
            </w:r>
          </w:p>
        </w:tc>
        <w:tc>
          <w:tcPr>
            <w:tcW w:w="5723"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7967AF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评分标准</w:t>
            </w:r>
          </w:p>
        </w:tc>
        <w:tc>
          <w:tcPr>
            <w:tcW w:w="67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BBC514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分值</w:t>
            </w:r>
          </w:p>
        </w:tc>
        <w:tc>
          <w:tcPr>
            <w:tcW w:w="78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CE34421">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类型</w:t>
            </w:r>
          </w:p>
        </w:tc>
      </w:tr>
      <w:tr w14:paraId="4E3436F3">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58066D3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1.专业资质</w:t>
            </w:r>
          </w:p>
        </w:tc>
        <w:tc>
          <w:tcPr>
            <w:tcW w:w="5723"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437F343">
            <w:pPr>
              <w:pageBreakBefore w:val="0"/>
              <w:kinsoku/>
              <w:wordWrap/>
              <w:overflowPunct/>
              <w:topLinePunct w:val="0"/>
              <w:bidi w:val="0"/>
              <w:spacing w:beforeAutospacing="0" w:line="240" w:lineRule="auto"/>
              <w:jc w:val="both"/>
              <w:textAlignment w:val="auto"/>
              <w:rPr>
                <w:rFonts w:hint="default" w:ascii="宋体" w:hAnsi="宋体" w:cs="宋体"/>
                <w:color w:val="000000"/>
                <w:kern w:val="2"/>
                <w:sz w:val="22"/>
                <w:szCs w:val="22"/>
                <w:highlight w:val="none"/>
                <w:lang w:val="en-US" w:eastAsia="zh-CN" w:bidi="ar-SA"/>
              </w:rPr>
            </w:pPr>
            <w:r>
              <w:rPr>
                <w:rFonts w:hint="default" w:ascii="宋体" w:hAnsi="宋体" w:cs="宋体"/>
                <w:color w:val="000000"/>
                <w:kern w:val="2"/>
                <w:sz w:val="22"/>
                <w:szCs w:val="22"/>
                <w:highlight w:val="none"/>
                <w:lang w:val="en-US" w:eastAsia="zh-CN" w:bidi="ar-SA"/>
              </w:rPr>
              <w:t>①团队律师核心成员近3年承办股权投融资（单笔金额≥5000万）、跨境并购、QDLP/QFLP/ODI等投融资业务总量≥3件的，得2分。</w:t>
            </w:r>
          </w:p>
          <w:p w14:paraId="7AC4CE66">
            <w:pPr>
              <w:pageBreakBefore w:val="0"/>
              <w:kinsoku/>
              <w:wordWrap/>
              <w:overflowPunct/>
              <w:topLinePunct w:val="0"/>
              <w:bidi w:val="0"/>
              <w:spacing w:beforeAutospacing="0" w:line="240" w:lineRule="auto"/>
              <w:jc w:val="both"/>
              <w:textAlignment w:val="auto"/>
              <w:rPr>
                <w:rFonts w:hint="default" w:ascii="宋体" w:hAnsi="宋体" w:cs="宋体"/>
                <w:color w:val="000000"/>
                <w:kern w:val="2"/>
                <w:sz w:val="22"/>
                <w:szCs w:val="22"/>
                <w:highlight w:val="none"/>
                <w:lang w:val="en-US" w:eastAsia="zh-CN" w:bidi="ar-SA"/>
              </w:rPr>
            </w:pPr>
            <w:r>
              <w:rPr>
                <w:rFonts w:hint="default" w:ascii="宋体" w:hAnsi="宋体" w:cs="宋体"/>
                <w:color w:val="000000"/>
                <w:kern w:val="2"/>
                <w:sz w:val="22"/>
                <w:szCs w:val="22"/>
                <w:highlight w:val="none"/>
                <w:lang w:val="en-US" w:eastAsia="zh-CN" w:bidi="ar-SA"/>
              </w:rPr>
              <w:t>②团队律师担任上市公司独立董事的，得2分。</w:t>
            </w:r>
          </w:p>
        </w:tc>
        <w:tc>
          <w:tcPr>
            <w:tcW w:w="67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D9D54F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4</w:t>
            </w:r>
          </w:p>
        </w:tc>
        <w:tc>
          <w:tcPr>
            <w:tcW w:w="78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1CCF232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4B8D8E7A">
        <w:tblPrEx>
          <w:tblCellMar>
            <w:top w:w="15" w:type="dxa"/>
            <w:left w:w="15" w:type="dxa"/>
            <w:bottom w:w="15" w:type="dxa"/>
            <w:right w:w="15" w:type="dxa"/>
          </w:tblCellMar>
        </w:tblPrEx>
        <w:trPr>
          <w:trHeight w:val="1959" w:hRule="atLeast"/>
        </w:trPr>
        <w:tc>
          <w:tcPr>
            <w:tcW w:w="1330" w:type="dxa"/>
            <w:tcBorders>
              <w:top w:val="single" w:color="auto" w:sz="4" w:space="0"/>
              <w:left w:val="single" w:color="auto" w:sz="4" w:space="0"/>
              <w:right w:val="single" w:color="auto" w:sz="4" w:space="0"/>
            </w:tcBorders>
            <w:noWrap w:val="0"/>
            <w:tcMar>
              <w:top w:w="150" w:type="dxa"/>
              <w:left w:w="0" w:type="dxa"/>
              <w:bottom w:w="150" w:type="dxa"/>
              <w:right w:w="150" w:type="dxa"/>
            </w:tcMar>
            <w:vAlign w:val="center"/>
          </w:tcPr>
          <w:p w14:paraId="1106D4C9">
            <w:pPr>
              <w:pageBreakBefore w:val="0"/>
              <w:numPr>
                <w:ilvl w:val="0"/>
                <w:numId w:val="0"/>
              </w:numPr>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2.业绩成绩</w:t>
            </w:r>
          </w:p>
        </w:tc>
        <w:tc>
          <w:tcPr>
            <w:tcW w:w="5723"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3F7E13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①团队律师最近三年具有为政府或国企投资基金提供法律服务项目业绩经验，每提供1个得</w:t>
            </w: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分，最高</w:t>
            </w: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r>
              <w:rPr>
                <w:rFonts w:hint="eastAsia" w:ascii="宋体" w:hAnsi="宋体" w:eastAsia="宋体" w:cs="宋体"/>
                <w:color w:val="000000"/>
                <w:kern w:val="2"/>
                <w:sz w:val="22"/>
                <w:szCs w:val="22"/>
                <w:highlight w:val="none"/>
                <w:lang w:val="en-US" w:eastAsia="zh-CN" w:bidi="ar-SA"/>
              </w:rPr>
              <w:t>注：</w:t>
            </w:r>
            <w:r>
              <w:rPr>
                <w:rFonts w:hint="eastAsia" w:ascii="宋体" w:hAnsi="宋体" w:eastAsia="宋体" w:cs="宋体"/>
                <w:color w:val="000000"/>
                <w:kern w:val="2"/>
                <w:sz w:val="22"/>
                <w:szCs w:val="22"/>
                <w:highlight w:val="none"/>
                <w:lang w:eastAsia="zh-CN" w:bidi="ar-SA"/>
              </w:rPr>
              <w:t>需提供法律服务委托合同。</w:t>
            </w:r>
          </w:p>
          <w:p w14:paraId="27EAA21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②团队律师最近三年具有至少一项为并购重组</w:t>
            </w:r>
            <w:r>
              <w:rPr>
                <w:rFonts w:hint="eastAsia" w:ascii="宋体" w:hAnsi="宋体" w:eastAsia="宋体" w:cs="宋体"/>
                <w:color w:val="000000"/>
                <w:kern w:val="2"/>
                <w:sz w:val="22"/>
                <w:szCs w:val="22"/>
                <w:highlight w:val="none"/>
                <w:lang w:val="en-US" w:eastAsia="zh-CN" w:bidi="ar-SA"/>
              </w:rPr>
              <w:t>或</w:t>
            </w:r>
            <w:r>
              <w:rPr>
                <w:rFonts w:hint="eastAsia" w:ascii="宋体" w:hAnsi="宋体" w:eastAsia="宋体" w:cs="宋体"/>
                <w:color w:val="000000"/>
                <w:kern w:val="2"/>
                <w:sz w:val="22"/>
                <w:szCs w:val="22"/>
                <w:highlight w:val="none"/>
                <w:lang w:eastAsia="zh-CN" w:bidi="ar-SA"/>
              </w:rPr>
              <w:t>为新能源项目提供法律服务项目业绩经验，每提供1个得</w:t>
            </w:r>
            <w:r>
              <w:rPr>
                <w:rFonts w:hint="eastAsia" w:ascii="宋体" w:hAnsi="宋体" w:eastAsia="宋体" w:cs="宋体"/>
                <w:color w:val="000000"/>
                <w:kern w:val="2"/>
                <w:sz w:val="22"/>
                <w:szCs w:val="22"/>
                <w:highlight w:val="none"/>
                <w:lang w:val="en-US" w:eastAsia="zh-CN" w:bidi="ar-SA"/>
              </w:rPr>
              <w:t>1</w:t>
            </w:r>
            <w:r>
              <w:rPr>
                <w:rFonts w:hint="eastAsia" w:ascii="宋体" w:hAnsi="宋体" w:eastAsia="宋体" w:cs="宋体"/>
                <w:color w:val="000000"/>
                <w:kern w:val="2"/>
                <w:sz w:val="22"/>
                <w:szCs w:val="22"/>
                <w:highlight w:val="none"/>
                <w:lang w:eastAsia="zh-CN" w:bidi="ar-SA"/>
              </w:rPr>
              <w:t>分，最高</w:t>
            </w:r>
            <w:r>
              <w:rPr>
                <w:rFonts w:hint="eastAsia" w:ascii="宋体" w:hAnsi="宋体" w:eastAsia="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eastAsia="zh-CN" w:bidi="ar-SA"/>
              </w:rPr>
              <w:t>分。</w:t>
            </w:r>
            <w:r>
              <w:rPr>
                <w:rFonts w:hint="eastAsia" w:ascii="宋体" w:hAnsi="宋体" w:eastAsia="宋体" w:cs="宋体"/>
                <w:color w:val="000000"/>
                <w:kern w:val="2"/>
                <w:sz w:val="22"/>
                <w:szCs w:val="22"/>
                <w:highlight w:val="none"/>
                <w:lang w:val="en-US" w:eastAsia="zh-CN" w:bidi="ar-SA"/>
              </w:rPr>
              <w:t>注：</w:t>
            </w:r>
            <w:r>
              <w:rPr>
                <w:rFonts w:hint="eastAsia" w:ascii="宋体" w:hAnsi="宋体" w:eastAsia="宋体" w:cs="宋体"/>
                <w:color w:val="000000"/>
                <w:kern w:val="2"/>
                <w:sz w:val="22"/>
                <w:szCs w:val="22"/>
                <w:highlight w:val="none"/>
                <w:lang w:eastAsia="zh-CN" w:bidi="ar-SA"/>
              </w:rPr>
              <w:t>需提供法律服务委托合同。</w:t>
            </w:r>
          </w:p>
          <w:p w14:paraId="46122253">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上述两项</w:t>
            </w:r>
            <w:r>
              <w:rPr>
                <w:rFonts w:hint="eastAsia" w:ascii="宋体" w:hAnsi="宋体" w:cs="宋体"/>
                <w:color w:val="000000"/>
                <w:kern w:val="2"/>
                <w:sz w:val="22"/>
                <w:szCs w:val="22"/>
                <w:highlight w:val="none"/>
                <w:lang w:val="en-US" w:eastAsia="zh-CN" w:bidi="ar-SA"/>
              </w:rPr>
              <w:t>可</w:t>
            </w:r>
            <w:r>
              <w:rPr>
                <w:rFonts w:hint="eastAsia" w:ascii="宋体" w:hAnsi="宋体" w:eastAsia="宋体" w:cs="宋体"/>
                <w:color w:val="000000"/>
                <w:kern w:val="2"/>
                <w:sz w:val="22"/>
                <w:szCs w:val="22"/>
                <w:highlight w:val="none"/>
                <w:lang w:val="en-US" w:eastAsia="zh-CN" w:bidi="ar-SA"/>
              </w:rPr>
              <w:t>重复记分，本项最高2分。</w:t>
            </w:r>
          </w:p>
        </w:tc>
        <w:tc>
          <w:tcPr>
            <w:tcW w:w="677" w:type="dxa"/>
            <w:tcBorders>
              <w:top w:val="single" w:color="auto" w:sz="4" w:space="0"/>
              <w:left w:val="single" w:color="auto" w:sz="4" w:space="0"/>
              <w:right w:val="single" w:color="auto" w:sz="4" w:space="0"/>
            </w:tcBorders>
            <w:noWrap w:val="0"/>
            <w:tcMar>
              <w:top w:w="150" w:type="dxa"/>
              <w:left w:w="150" w:type="dxa"/>
              <w:bottom w:w="150" w:type="dxa"/>
              <w:right w:w="150" w:type="dxa"/>
            </w:tcMar>
            <w:vAlign w:val="center"/>
          </w:tcPr>
          <w:p w14:paraId="18A7D3F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2</w:t>
            </w:r>
          </w:p>
        </w:tc>
        <w:tc>
          <w:tcPr>
            <w:tcW w:w="785" w:type="dxa"/>
            <w:tcBorders>
              <w:top w:val="single" w:color="auto" w:sz="4" w:space="0"/>
              <w:left w:val="single" w:color="auto" w:sz="4" w:space="0"/>
              <w:right w:val="single" w:color="auto" w:sz="4" w:space="0"/>
            </w:tcBorders>
            <w:noWrap w:val="0"/>
            <w:tcMar>
              <w:top w:w="150" w:type="dxa"/>
              <w:left w:w="150" w:type="dxa"/>
              <w:bottom w:w="150" w:type="dxa"/>
              <w:right w:w="150" w:type="dxa"/>
            </w:tcMar>
            <w:vAlign w:val="center"/>
          </w:tcPr>
          <w:p w14:paraId="3D0C805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22354AA2">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0EEF59E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.方案设计</w:t>
            </w:r>
          </w:p>
        </w:tc>
        <w:tc>
          <w:tcPr>
            <w:tcW w:w="5723"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4E2E2A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提供以下方案：</w:t>
            </w:r>
          </w:p>
          <w:p w14:paraId="752DB4CD">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① 基金全周期风控方案：涵盖结构设计、对赌协议审核、退出机制设计；</w:t>
            </w:r>
          </w:p>
          <w:p w14:paraId="79A0702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② 新能源项目合规审查方案：包括项目尽调关注要点、合规审查建议等。</w:t>
            </w:r>
            <w:r>
              <w:rPr>
                <w:rFonts w:hint="eastAsia" w:ascii="宋体" w:hAnsi="宋体" w:eastAsia="宋体" w:cs="宋体"/>
                <w:color w:val="000000"/>
                <w:kern w:val="2"/>
                <w:sz w:val="22"/>
                <w:szCs w:val="22"/>
                <w:highlight w:val="none"/>
                <w:lang w:eastAsia="zh-CN" w:bidi="ar-SA"/>
              </w:rPr>
              <w:br w:type="textWrapping"/>
            </w:r>
            <w:r>
              <w:rPr>
                <w:rFonts w:hint="eastAsia" w:ascii="宋体" w:hAnsi="宋体" w:eastAsia="宋体" w:cs="宋体"/>
                <w:color w:val="000000"/>
                <w:kern w:val="2"/>
                <w:sz w:val="22"/>
                <w:szCs w:val="22"/>
                <w:highlight w:val="none"/>
                <w:lang w:val="en-US" w:eastAsia="zh-CN" w:bidi="ar-SA"/>
              </w:rPr>
              <w:t>两个方案的完整度、清晰度、合理</w:t>
            </w:r>
            <w:r>
              <w:rPr>
                <w:rFonts w:hint="eastAsia" w:ascii="宋体" w:hAnsi="宋体" w:eastAsia="宋体" w:cs="宋体"/>
                <w:color w:val="000000"/>
                <w:kern w:val="2"/>
                <w:sz w:val="22"/>
                <w:szCs w:val="22"/>
                <w:highlight w:val="none"/>
                <w:lang w:eastAsia="zh-CN" w:bidi="ar-SA"/>
              </w:rPr>
              <w:t>度，优2</w:t>
            </w:r>
            <w:r>
              <w:rPr>
                <w:rFonts w:hint="eastAsia" w:ascii="宋体" w:hAnsi="宋体" w:eastAsia="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分，良1分，差0分。</w:t>
            </w:r>
          </w:p>
        </w:tc>
        <w:tc>
          <w:tcPr>
            <w:tcW w:w="677"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2B4667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3</w:t>
            </w:r>
          </w:p>
        </w:tc>
        <w:tc>
          <w:tcPr>
            <w:tcW w:w="785"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0C1AED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bl>
    <w:p w14:paraId="2762CCAC">
      <w:pPr>
        <w:pageBreakBefore w:val="0"/>
        <w:kinsoku/>
        <w:wordWrap/>
        <w:overflowPunct/>
        <w:topLinePunct w:val="0"/>
        <w:bidi w:val="0"/>
        <w:spacing w:beforeAutospacing="0" w:line="540" w:lineRule="exact"/>
        <w:jc w:val="both"/>
        <w:textAlignment w:val="auto"/>
        <w:rPr>
          <w:rFonts w:hint="eastAsia" w:ascii="宋体" w:hAnsi="宋体" w:eastAsia="宋体" w:cs="宋体"/>
          <w:color w:val="000000"/>
          <w:kern w:val="2"/>
          <w:sz w:val="24"/>
          <w:szCs w:val="24"/>
          <w:highlight w:val="none"/>
          <w:lang w:eastAsia="zh-CN" w:bidi="ar-SA"/>
        </w:rPr>
      </w:pPr>
      <w:r>
        <w:rPr>
          <w:rFonts w:hint="eastAsia" w:ascii="宋体" w:hAnsi="宋体" w:eastAsia="宋体" w:cs="宋体"/>
          <w:color w:val="000000"/>
          <w:kern w:val="2"/>
          <w:sz w:val="24"/>
          <w:szCs w:val="24"/>
          <w:highlight w:val="none"/>
          <w:lang w:eastAsia="zh-CN" w:bidi="ar-SA"/>
        </w:rPr>
        <w:t>标项3：城市建设板块（</w:t>
      </w:r>
      <w:r>
        <w:rPr>
          <w:rFonts w:hint="eastAsia" w:ascii="宋体" w:hAnsi="宋体" w:eastAsia="宋体" w:cs="宋体"/>
          <w:color w:val="000000"/>
          <w:kern w:val="2"/>
          <w:sz w:val="24"/>
          <w:szCs w:val="24"/>
          <w:highlight w:val="none"/>
          <w:lang w:val="en-US" w:eastAsia="zh-CN" w:bidi="ar-SA"/>
        </w:rPr>
        <w:t>9</w:t>
      </w:r>
      <w:r>
        <w:rPr>
          <w:rFonts w:hint="eastAsia" w:ascii="宋体" w:hAnsi="宋体" w:eastAsia="宋体" w:cs="宋体"/>
          <w:color w:val="000000"/>
          <w:kern w:val="2"/>
          <w:sz w:val="24"/>
          <w:szCs w:val="24"/>
          <w:highlight w:val="none"/>
          <w:lang w:eastAsia="zh-CN" w:bidi="ar-SA"/>
        </w:rPr>
        <w:t>分）</w:t>
      </w:r>
    </w:p>
    <w:tbl>
      <w:tblPr>
        <w:tblStyle w:val="63"/>
        <w:tblW w:w="0" w:type="auto"/>
        <w:tblInd w:w="0" w:type="dxa"/>
        <w:tblLayout w:type="autofit"/>
        <w:tblCellMar>
          <w:top w:w="15" w:type="dxa"/>
          <w:left w:w="15" w:type="dxa"/>
          <w:bottom w:w="15" w:type="dxa"/>
          <w:right w:w="15" w:type="dxa"/>
        </w:tblCellMar>
      </w:tblPr>
      <w:tblGrid>
        <w:gridCol w:w="1330"/>
        <w:gridCol w:w="5708"/>
        <w:gridCol w:w="692"/>
        <w:gridCol w:w="816"/>
      </w:tblGrid>
      <w:tr w14:paraId="389FDDBC">
        <w:tblPrEx>
          <w:tblCellMar>
            <w:top w:w="15" w:type="dxa"/>
            <w:left w:w="15" w:type="dxa"/>
            <w:bottom w:w="15" w:type="dxa"/>
            <w:right w:w="15" w:type="dxa"/>
          </w:tblCellMar>
        </w:tblPrEx>
        <w:trPr>
          <w:tblHeader/>
        </w:trPr>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49FC421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评分项</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1516E7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评分标准</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5965C00">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分值</w:t>
            </w:r>
          </w:p>
        </w:tc>
        <w:tc>
          <w:tcPr>
            <w:tcW w:w="816"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AD4B67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类型</w:t>
            </w:r>
          </w:p>
        </w:tc>
      </w:tr>
      <w:tr w14:paraId="3C633545">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6DE7C464">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1.专业资质</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5CCB3A6">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团队律师持有企业合规师证书（</w:t>
            </w:r>
            <w:r>
              <w:rPr>
                <w:rFonts w:hint="eastAsia" w:ascii="宋体" w:hAnsi="宋体" w:eastAsia="宋体" w:cs="宋体"/>
                <w:color w:val="000000"/>
                <w:kern w:val="2"/>
                <w:sz w:val="22"/>
                <w:szCs w:val="22"/>
                <w:highlight w:val="none"/>
                <w:lang w:val="en-US" w:eastAsia="zh-CN" w:bidi="ar-SA"/>
              </w:rPr>
              <w:t>需证书），每1个</w:t>
            </w:r>
            <w:r>
              <w:rPr>
                <w:rFonts w:hint="eastAsia" w:ascii="宋体" w:hAnsi="宋体" w:eastAsia="宋体" w:cs="宋体"/>
                <w:color w:val="000000"/>
                <w:kern w:val="2"/>
                <w:sz w:val="22"/>
                <w:szCs w:val="22"/>
                <w:highlight w:val="none"/>
                <w:lang w:eastAsia="zh-CN" w:bidi="ar-SA"/>
              </w:rPr>
              <w:t>得1分，最高得2分。</w:t>
            </w:r>
          </w:p>
          <w:p w14:paraId="67CF20AB">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注：需</w:t>
            </w:r>
            <w:r>
              <w:rPr>
                <w:rFonts w:hint="eastAsia" w:ascii="宋体" w:hAnsi="宋体" w:eastAsia="宋体" w:cs="宋体"/>
                <w:color w:val="000000"/>
                <w:kern w:val="2"/>
                <w:sz w:val="22"/>
                <w:szCs w:val="22"/>
                <w:highlight w:val="none"/>
                <w:lang w:eastAsia="zh-CN" w:bidi="ar-SA"/>
              </w:rPr>
              <w:t>提供证书复印件。</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04106A08">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val="en-US" w:eastAsia="zh-CN" w:bidi="ar-SA"/>
              </w:rPr>
              <w:t>2</w:t>
            </w:r>
          </w:p>
        </w:tc>
        <w:tc>
          <w:tcPr>
            <w:tcW w:w="816"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04274B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2B5C4D85">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386C19F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2.</w:t>
            </w:r>
            <w:r>
              <w:rPr>
                <w:rFonts w:hint="eastAsia" w:ascii="宋体" w:hAnsi="宋体" w:eastAsia="宋体" w:cs="宋体"/>
                <w:color w:val="000000"/>
                <w:kern w:val="2"/>
                <w:sz w:val="22"/>
                <w:szCs w:val="22"/>
                <w:highlight w:val="none"/>
                <w:lang w:val="en-US" w:eastAsia="zh-CN" w:bidi="ar-SA"/>
              </w:rPr>
              <w:t>业绩成绩</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54BE478A">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①团队律师近3年为建设工程项目（总预算≥10亿）提供过法律顾问服务的，得1分。</w:t>
            </w:r>
          </w:p>
          <w:p w14:paraId="614C00B1">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②团队律师近3年为建设工程项目（总预算≥30亿）提供过法律顾问服务的，得2分。</w:t>
            </w:r>
          </w:p>
          <w:p w14:paraId="02ABE95F">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不含诉讼/仲裁，本项满分2分。注：需提供法律服务委托合同、证明资料等</w:t>
            </w:r>
            <w:r>
              <w:rPr>
                <w:rFonts w:hint="eastAsia" w:ascii="宋体" w:hAnsi="宋体" w:cs="宋体"/>
                <w:color w:val="000000"/>
                <w:kern w:val="2"/>
                <w:sz w:val="22"/>
                <w:szCs w:val="22"/>
                <w:highlight w:val="none"/>
                <w:lang w:val="en-US" w:eastAsia="zh-CN" w:bidi="ar-SA"/>
              </w:rPr>
              <w:t>。</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F09CAE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2</w:t>
            </w:r>
          </w:p>
        </w:tc>
        <w:tc>
          <w:tcPr>
            <w:tcW w:w="816"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22B3B707">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客观</w:t>
            </w:r>
          </w:p>
        </w:tc>
      </w:tr>
      <w:tr w14:paraId="21D32200">
        <w:tblPrEx>
          <w:tblCellMar>
            <w:top w:w="15" w:type="dxa"/>
            <w:left w:w="15" w:type="dxa"/>
            <w:bottom w:w="15" w:type="dxa"/>
            <w:right w:w="15" w:type="dxa"/>
          </w:tblCellMar>
        </w:tblPrEx>
        <w:tc>
          <w:tcPr>
            <w:tcW w:w="1330" w:type="dxa"/>
            <w:tcBorders>
              <w:top w:val="single" w:color="auto" w:sz="4" w:space="0"/>
              <w:left w:val="single" w:color="auto" w:sz="4" w:space="0"/>
              <w:bottom w:val="single" w:color="auto" w:sz="4" w:space="0"/>
              <w:right w:val="single" w:color="auto" w:sz="4" w:space="0"/>
            </w:tcBorders>
            <w:noWrap w:val="0"/>
            <w:tcMar>
              <w:top w:w="150" w:type="dxa"/>
              <w:left w:w="0" w:type="dxa"/>
              <w:bottom w:w="150" w:type="dxa"/>
              <w:right w:w="150" w:type="dxa"/>
            </w:tcMar>
            <w:vAlign w:val="center"/>
          </w:tcPr>
          <w:p w14:paraId="71E216A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eastAsia="zh-CN" w:bidi="ar-SA"/>
              </w:rPr>
              <w:t>3.风险防控</w:t>
            </w:r>
            <w:r>
              <w:rPr>
                <w:rFonts w:hint="eastAsia" w:ascii="宋体" w:hAnsi="宋体" w:eastAsia="宋体" w:cs="宋体"/>
                <w:color w:val="000000"/>
                <w:kern w:val="2"/>
                <w:sz w:val="22"/>
                <w:szCs w:val="22"/>
                <w:highlight w:val="none"/>
                <w:lang w:val="en-US" w:eastAsia="zh-CN" w:bidi="ar-SA"/>
              </w:rPr>
              <w:t>方案建设</w:t>
            </w:r>
          </w:p>
        </w:tc>
        <w:tc>
          <w:tcPr>
            <w:tcW w:w="5708"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3B77BD99">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val="en-US" w:eastAsia="zh-CN" w:bidi="ar-SA"/>
              </w:rPr>
              <w:t>提供</w:t>
            </w:r>
            <w:r>
              <w:rPr>
                <w:rFonts w:hint="eastAsia" w:ascii="宋体" w:hAnsi="宋体" w:eastAsia="宋体" w:cs="宋体"/>
                <w:color w:val="000000"/>
                <w:kern w:val="2"/>
                <w:sz w:val="22"/>
                <w:szCs w:val="22"/>
                <w:highlight w:val="none"/>
                <w:lang w:eastAsia="zh-CN" w:bidi="ar-SA"/>
              </w:rPr>
              <w:t>工程领域信访事件解决流程方案、重大安全事故解决流程方案，</w:t>
            </w:r>
            <w:r>
              <w:rPr>
                <w:rFonts w:hint="eastAsia" w:ascii="宋体" w:hAnsi="宋体" w:eastAsia="宋体" w:cs="宋体"/>
                <w:color w:val="000000"/>
                <w:kern w:val="2"/>
                <w:sz w:val="22"/>
                <w:szCs w:val="22"/>
                <w:highlight w:val="none"/>
                <w:lang w:val="en-US" w:eastAsia="zh-CN" w:bidi="ar-SA"/>
              </w:rPr>
              <w:t>两个方案的完整度、清晰度、合理</w:t>
            </w:r>
            <w:r>
              <w:rPr>
                <w:rFonts w:hint="eastAsia" w:ascii="宋体" w:hAnsi="宋体" w:eastAsia="宋体" w:cs="宋体"/>
                <w:color w:val="000000"/>
                <w:kern w:val="2"/>
                <w:sz w:val="22"/>
                <w:szCs w:val="22"/>
                <w:highlight w:val="none"/>
                <w:lang w:eastAsia="zh-CN" w:bidi="ar-SA"/>
              </w:rPr>
              <w:t>度，优</w:t>
            </w:r>
            <w:r>
              <w:rPr>
                <w:rFonts w:hint="eastAsia" w:ascii="宋体" w:hAnsi="宋体" w:cs="宋体"/>
                <w:color w:val="000000"/>
                <w:kern w:val="2"/>
                <w:sz w:val="22"/>
                <w:szCs w:val="22"/>
                <w:highlight w:val="none"/>
                <w:lang w:val="en-US" w:eastAsia="zh-CN" w:bidi="ar-SA"/>
              </w:rPr>
              <w:t>4</w:t>
            </w:r>
            <w:r>
              <w:rPr>
                <w:rFonts w:hint="eastAsia" w:ascii="宋体" w:hAnsi="宋体" w:eastAsia="宋体" w:cs="宋体"/>
                <w:color w:val="000000"/>
                <w:kern w:val="2"/>
                <w:sz w:val="22"/>
                <w:szCs w:val="22"/>
                <w:highlight w:val="none"/>
                <w:lang w:val="en-US" w:eastAsia="zh-CN" w:bidi="ar-SA"/>
              </w:rPr>
              <w:t>-</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eastAsia="zh-CN" w:bidi="ar-SA"/>
              </w:rPr>
              <w:t>分，良1</w:t>
            </w:r>
            <w:r>
              <w:rPr>
                <w:rFonts w:hint="eastAsia" w:ascii="宋体" w:hAnsi="宋体" w:cs="宋体"/>
                <w:color w:val="000000"/>
                <w:kern w:val="2"/>
                <w:sz w:val="22"/>
                <w:szCs w:val="22"/>
                <w:highlight w:val="none"/>
                <w:lang w:val="en-US" w:eastAsia="zh-CN" w:bidi="ar-SA"/>
              </w:rPr>
              <w:t>-3</w:t>
            </w:r>
            <w:r>
              <w:rPr>
                <w:rFonts w:hint="eastAsia" w:ascii="宋体" w:hAnsi="宋体" w:eastAsia="宋体" w:cs="宋体"/>
                <w:color w:val="000000"/>
                <w:kern w:val="2"/>
                <w:sz w:val="22"/>
                <w:szCs w:val="22"/>
                <w:highlight w:val="none"/>
                <w:lang w:eastAsia="zh-CN" w:bidi="ar-SA"/>
              </w:rPr>
              <w:t>分，差0分。</w:t>
            </w:r>
            <w:r>
              <w:rPr>
                <w:rFonts w:hint="eastAsia" w:ascii="宋体" w:hAnsi="宋体" w:eastAsia="宋体" w:cs="宋体"/>
                <w:color w:val="000000"/>
                <w:kern w:val="2"/>
                <w:sz w:val="22"/>
                <w:szCs w:val="22"/>
                <w:highlight w:val="none"/>
                <w:lang w:val="en-US" w:eastAsia="zh-CN" w:bidi="ar-SA"/>
              </w:rPr>
              <w:t>注：需</w:t>
            </w:r>
            <w:r>
              <w:rPr>
                <w:rFonts w:hint="eastAsia" w:ascii="宋体" w:hAnsi="宋体" w:eastAsia="宋体" w:cs="宋体"/>
                <w:color w:val="000000"/>
                <w:kern w:val="2"/>
                <w:sz w:val="22"/>
                <w:szCs w:val="22"/>
                <w:highlight w:val="none"/>
                <w:lang w:eastAsia="zh-CN" w:bidi="ar-SA"/>
              </w:rPr>
              <w:t>提供流程图+应急预案模板。</w:t>
            </w:r>
          </w:p>
        </w:tc>
        <w:tc>
          <w:tcPr>
            <w:tcW w:w="692"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769AA55C">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cs="宋体"/>
                <w:color w:val="000000"/>
                <w:kern w:val="2"/>
                <w:sz w:val="22"/>
                <w:szCs w:val="22"/>
                <w:highlight w:val="none"/>
                <w:lang w:val="en-US" w:eastAsia="zh-CN" w:bidi="ar-SA"/>
              </w:rPr>
              <w:t>5</w:t>
            </w:r>
          </w:p>
        </w:tc>
        <w:tc>
          <w:tcPr>
            <w:tcW w:w="816" w:type="dxa"/>
            <w:tcBorders>
              <w:top w:val="single" w:color="auto" w:sz="4" w:space="0"/>
              <w:left w:val="single" w:color="auto" w:sz="4" w:space="0"/>
              <w:bottom w:val="single" w:color="auto" w:sz="4" w:space="0"/>
              <w:right w:val="single" w:color="auto" w:sz="4" w:space="0"/>
            </w:tcBorders>
            <w:noWrap w:val="0"/>
            <w:tcMar>
              <w:top w:w="150" w:type="dxa"/>
              <w:left w:w="150" w:type="dxa"/>
              <w:bottom w:w="150" w:type="dxa"/>
              <w:right w:w="150" w:type="dxa"/>
            </w:tcMar>
            <w:vAlign w:val="center"/>
          </w:tcPr>
          <w:p w14:paraId="60D27352">
            <w:pPr>
              <w:pageBreakBefore w:val="0"/>
              <w:kinsoku/>
              <w:wordWrap/>
              <w:overflowPunct/>
              <w:topLinePunct w:val="0"/>
              <w:bidi w:val="0"/>
              <w:spacing w:beforeAutospacing="0" w:line="240" w:lineRule="auto"/>
              <w:jc w:val="both"/>
              <w:textAlignment w:val="auto"/>
              <w:rPr>
                <w:rFonts w:hint="eastAsia" w:ascii="宋体" w:hAnsi="宋体" w:eastAsia="宋体" w:cs="宋体"/>
                <w:color w:val="000000"/>
                <w:kern w:val="2"/>
                <w:sz w:val="22"/>
                <w:szCs w:val="22"/>
                <w:highlight w:val="none"/>
                <w:lang w:eastAsia="zh-CN" w:bidi="ar-SA"/>
              </w:rPr>
            </w:pPr>
            <w:r>
              <w:rPr>
                <w:rFonts w:hint="eastAsia" w:ascii="宋体" w:hAnsi="宋体" w:eastAsia="宋体" w:cs="宋体"/>
                <w:color w:val="000000"/>
                <w:kern w:val="2"/>
                <w:sz w:val="22"/>
                <w:szCs w:val="22"/>
                <w:highlight w:val="none"/>
                <w:lang w:eastAsia="zh-CN" w:bidi="ar-SA"/>
              </w:rPr>
              <w:t>主观</w:t>
            </w:r>
          </w:p>
        </w:tc>
      </w:tr>
    </w:tbl>
    <w:p w14:paraId="02F80A4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
          <w:bCs/>
          <w:color w:val="auto"/>
          <w:sz w:val="24"/>
          <w:highlight w:val="none"/>
        </w:rPr>
      </w:pPr>
      <w:r>
        <w:rPr>
          <w:rFonts w:hint="eastAsia" w:ascii="宋体" w:hAnsi="宋体" w:cs="宋体"/>
          <w:b/>
          <w:bCs w:val="0"/>
          <w:color w:val="000000"/>
          <w:sz w:val="24"/>
          <w:highlight w:val="none"/>
          <w:lang w:val="en-US" w:eastAsia="zh-CN"/>
        </w:rPr>
        <w:t>（四）</w:t>
      </w:r>
      <w:r>
        <w:rPr>
          <w:rFonts w:hint="eastAsia" w:ascii="宋体" w:hAnsi="宋体" w:eastAsia="宋体" w:cs="宋体"/>
          <w:b/>
          <w:bCs w:val="0"/>
          <w:color w:val="000000"/>
          <w:sz w:val="24"/>
          <w:highlight w:val="none"/>
        </w:rPr>
        <w:t>报价部分（</w:t>
      </w:r>
      <w:r>
        <w:rPr>
          <w:rFonts w:hint="eastAsia" w:ascii="宋体" w:hAnsi="宋体" w:cs="宋体"/>
          <w:b/>
          <w:bCs w:val="0"/>
          <w:color w:val="000000"/>
          <w:sz w:val="24"/>
          <w:highlight w:val="none"/>
          <w:lang w:val="en-US" w:eastAsia="zh-CN"/>
        </w:rPr>
        <w:t>1</w:t>
      </w:r>
      <w:r>
        <w:rPr>
          <w:rFonts w:hint="eastAsia" w:ascii="宋体" w:hAnsi="宋体" w:eastAsia="宋体" w:cs="宋体"/>
          <w:b/>
          <w:bCs w:val="0"/>
          <w:color w:val="000000"/>
          <w:sz w:val="24"/>
          <w:highlight w:val="none"/>
          <w:lang w:val="en-US" w:eastAsia="zh-CN"/>
        </w:rPr>
        <w:t>0</w:t>
      </w:r>
      <w:r>
        <w:rPr>
          <w:rFonts w:hint="eastAsia" w:ascii="宋体" w:hAnsi="宋体" w:eastAsia="宋体" w:cs="宋体"/>
          <w:b/>
          <w:bCs w:val="0"/>
          <w:color w:val="000000"/>
          <w:sz w:val="24"/>
          <w:highlight w:val="none"/>
        </w:rPr>
        <w:t>分）</w:t>
      </w:r>
    </w:p>
    <w:p w14:paraId="1AB31D0F">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2261C2A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7A6E1C1F">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sz w:val="24"/>
          <w:highlight w:val="none"/>
        </w:rPr>
      </w:pPr>
      <w:r>
        <w:rPr>
          <w:rFonts w:hint="eastAsia" w:ascii="宋体" w:hAnsi="宋体" w:eastAsia="宋体" w:cs="宋体"/>
          <w:b/>
          <w:bCs/>
          <w:color w:val="auto"/>
          <w:sz w:val="24"/>
          <w:highlight w:val="none"/>
          <w:lang w:val="en-US" w:eastAsia="zh-CN"/>
        </w:rPr>
        <w:t>本项目中：</w:t>
      </w:r>
    </w:p>
    <w:p w14:paraId="028E42F8">
      <w:pPr>
        <w:pageBreakBefore w:val="0"/>
        <w:shd w:val="clear" w:color="auto" w:fill="auto"/>
        <w:kinsoku/>
        <w:wordWrap/>
        <w:overflowPunct/>
        <w:topLinePunct w:val="0"/>
        <w:bidi w:val="0"/>
        <w:snapToGrid w:val="0"/>
        <w:spacing w:beforeAutospacing="0" w:line="5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报价分为报价A、报价B。报价分=报价A得分+报价B得分，满分为</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p>
    <w:p w14:paraId="4097D5C8">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报价A</w:t>
      </w:r>
      <w:r>
        <w:rPr>
          <w:rFonts w:hint="eastAsia" w:ascii="宋体" w:hAnsi="宋体" w:eastAsia="宋体" w:cs="宋体"/>
          <w:color w:val="auto"/>
          <w:sz w:val="24"/>
          <w:highlight w:val="none"/>
          <w:lang w:eastAsia="zh-CN"/>
        </w:rPr>
        <w:t>　</w:t>
      </w:r>
      <w:r>
        <w:rPr>
          <w:rFonts w:hint="eastAsia" w:ascii="宋体" w:hAnsi="宋体" w:eastAsia="宋体" w:cs="宋体"/>
          <w:color w:val="auto"/>
          <w:sz w:val="24"/>
          <w:highlight w:val="none"/>
        </w:rPr>
        <w:t>基础顾问服务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评审时以</w:t>
      </w:r>
      <w:r>
        <w:rPr>
          <w:rFonts w:hint="eastAsia" w:ascii="宋体" w:hAnsi="宋体" w:eastAsia="宋体" w:cs="宋体"/>
          <w:color w:val="auto"/>
          <w:sz w:val="24"/>
          <w:highlight w:val="none"/>
        </w:rPr>
        <w:t>基础顾问服务</w:t>
      </w:r>
      <w:r>
        <w:rPr>
          <w:rFonts w:hint="eastAsia" w:ascii="宋体" w:hAnsi="宋体" w:eastAsia="宋体" w:cs="宋体"/>
          <w:color w:val="auto"/>
          <w:sz w:val="24"/>
          <w:highlight w:val="none"/>
          <w:lang w:val="en-US" w:eastAsia="zh-CN"/>
        </w:rPr>
        <w:t>费用计算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，报价方式为总价</w:t>
      </w:r>
      <w:r>
        <w:rPr>
          <w:rFonts w:hint="eastAsia" w:ascii="宋体" w:hAnsi="宋体" w:eastAsia="宋体" w:cs="宋体"/>
          <w:color w:val="auto"/>
          <w:sz w:val="24"/>
          <w:highlight w:val="none"/>
          <w:lang w:eastAsia="zh-CN"/>
        </w:rPr>
        <w:t>。</w:t>
      </w:r>
    </w:p>
    <w:p w14:paraId="175F3423">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553A4DA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报价得分=（基准价/投标报价）×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%×100</w:t>
      </w:r>
    </w:p>
    <w:p w14:paraId="1404E022">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报价B</w:t>
      </w:r>
      <w:r>
        <w:rPr>
          <w:rFonts w:hint="eastAsia" w:ascii="宋体" w:hAnsi="宋体" w:eastAsia="宋体" w:cs="宋体"/>
          <w:color w:val="auto"/>
          <w:sz w:val="24"/>
          <w:highlight w:val="none"/>
          <w:lang w:eastAsia="zh-CN"/>
        </w:rPr>
        <w:t>　非诉项目服务</w:t>
      </w:r>
      <w:r>
        <w:rPr>
          <w:rFonts w:hint="eastAsia" w:ascii="宋体" w:hAnsi="宋体" w:eastAsia="宋体" w:cs="宋体"/>
          <w:color w:val="auto"/>
          <w:sz w:val="24"/>
          <w:highlight w:val="none"/>
        </w:rPr>
        <w:t>，报价方式</w:t>
      </w:r>
      <w:r>
        <w:rPr>
          <w:rFonts w:hint="eastAsia" w:ascii="宋体" w:hAnsi="宋体" w:eastAsia="宋体" w:cs="宋体"/>
          <w:b/>
          <w:bCs/>
          <w:color w:val="auto"/>
          <w:sz w:val="24"/>
          <w:highlight w:val="none"/>
        </w:rPr>
        <w:t>单价</w:t>
      </w:r>
      <w:r>
        <w:rPr>
          <w:rFonts w:hint="eastAsia" w:ascii="宋体" w:hAnsi="宋体" w:cs="宋体"/>
          <w:b/>
          <w:bCs/>
          <w:color w:val="auto"/>
          <w:sz w:val="24"/>
          <w:highlight w:val="none"/>
          <w:lang w:val="en-US" w:eastAsia="zh-CN"/>
        </w:rPr>
        <w:t>/件</w:t>
      </w:r>
      <w:r>
        <w:rPr>
          <w:rFonts w:hint="eastAsia" w:ascii="宋体" w:hAnsi="宋体" w:eastAsia="宋体" w:cs="宋体"/>
          <w:color w:val="auto"/>
          <w:sz w:val="24"/>
          <w:highlight w:val="none"/>
          <w:lang w:eastAsia="zh-CN"/>
        </w:rPr>
        <w:t>。</w:t>
      </w:r>
    </w:p>
    <w:p w14:paraId="41C839E0">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综合评分法中的价格分统一采用低价优先法计算，即满足采购文件要求且报价最低的供应商的价格为基准价，其价格分为满分。其他供应商的价格分统一按照下列公式计算：</w:t>
      </w:r>
    </w:p>
    <w:p w14:paraId="0B9C34CC">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报价得分=（基准价/投标报价）×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%×100</w:t>
      </w:r>
    </w:p>
    <w:p w14:paraId="13D46113">
      <w:pPr>
        <w:pageBreakBefore w:val="0"/>
        <w:widowControl/>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w:t>
      </w:r>
    </w:p>
    <w:p w14:paraId="0B789174">
      <w:pPr>
        <w:pageBreakBefore w:val="0"/>
        <w:widowControl/>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评分条款中涉及的业绩、荣誉、人员、社保等分公司均有效</w:t>
      </w:r>
      <w:r>
        <w:rPr>
          <w:rFonts w:hint="eastAsia" w:ascii="宋体" w:hAnsi="宋体" w:eastAsia="宋体" w:cs="宋体"/>
          <w:color w:val="000000"/>
          <w:sz w:val="24"/>
          <w:highlight w:val="none"/>
          <w:lang w:eastAsia="zh-CN"/>
        </w:rPr>
        <w:t>；</w:t>
      </w:r>
    </w:p>
    <w:p w14:paraId="200C18B1">
      <w:pPr>
        <w:pageBreakBefore w:val="0"/>
        <w:widowControl/>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highlight w:val="none"/>
          <w:lang w:eastAsia="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响应文件中如附有外文资料，必须逐一对应翻译成中文并加盖响应人公章后附在相关外文资料后面，否则外文资料不予认可。翻译的中文资料与外文资料不符的，均不予认可。翻译严重错误的，将视同提供虚假资料</w:t>
      </w:r>
      <w:r>
        <w:rPr>
          <w:rFonts w:hint="eastAsia" w:ascii="宋体" w:hAnsi="宋体" w:eastAsia="宋体" w:cs="宋体"/>
          <w:color w:val="000000"/>
          <w:sz w:val="24"/>
          <w:highlight w:val="none"/>
          <w:lang w:eastAsia="zh-CN"/>
        </w:rPr>
        <w:t>；</w:t>
      </w:r>
    </w:p>
    <w:p w14:paraId="58BCD221">
      <w:pPr>
        <w:pageBreakBefore w:val="0"/>
        <w:widowControl/>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响应人编制响应文件（商务技术文件部分）时，建议按此目录（序号和内容）提供评审标准相应的商务技术资料</w:t>
      </w:r>
      <w:r>
        <w:rPr>
          <w:rFonts w:hint="eastAsia" w:ascii="宋体" w:hAnsi="宋体" w:eastAsia="宋体" w:cs="宋体"/>
          <w:color w:val="000000"/>
          <w:sz w:val="24"/>
          <w:highlight w:val="none"/>
          <w:lang w:eastAsia="zh-CN"/>
        </w:rPr>
        <w:t>；</w:t>
      </w:r>
    </w:p>
    <w:p w14:paraId="57ED9DF5">
      <w:pPr>
        <w:pageBreakBefore w:val="0"/>
        <w:widowControl/>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 供应商为分所的，总所的业绩不得作为证明材料参与评审</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供应商为</w:t>
      </w:r>
      <w:r>
        <w:rPr>
          <w:rFonts w:hint="eastAsia" w:ascii="宋体" w:hAnsi="宋体" w:cs="宋体"/>
          <w:color w:val="000000"/>
          <w:sz w:val="24"/>
          <w:highlight w:val="none"/>
          <w:lang w:val="en-US" w:eastAsia="zh-CN"/>
        </w:rPr>
        <w:t>总所</w:t>
      </w:r>
      <w:r>
        <w:rPr>
          <w:rFonts w:hint="eastAsia" w:ascii="宋体" w:hAnsi="宋体" w:eastAsia="宋体" w:cs="宋体"/>
          <w:color w:val="000000"/>
          <w:sz w:val="24"/>
          <w:highlight w:val="none"/>
          <w:lang w:val="en-US" w:eastAsia="zh-CN"/>
        </w:rPr>
        <w:t>的，</w:t>
      </w:r>
      <w:r>
        <w:rPr>
          <w:rFonts w:hint="eastAsia" w:ascii="宋体" w:hAnsi="宋体" w:cs="宋体"/>
          <w:color w:val="000000"/>
          <w:sz w:val="24"/>
          <w:highlight w:val="none"/>
          <w:lang w:val="en-US" w:eastAsia="zh-CN"/>
        </w:rPr>
        <w:t>分</w:t>
      </w:r>
      <w:r>
        <w:rPr>
          <w:rFonts w:hint="eastAsia" w:ascii="宋体" w:hAnsi="宋体" w:eastAsia="宋体" w:cs="宋体"/>
          <w:color w:val="000000"/>
          <w:sz w:val="24"/>
          <w:highlight w:val="none"/>
          <w:lang w:val="en-US" w:eastAsia="zh-CN"/>
        </w:rPr>
        <w:t>所的业绩不得作为证明材料参与评审；</w:t>
      </w:r>
    </w:p>
    <w:p w14:paraId="06559E5F">
      <w:pPr>
        <w:pageBreakBefore w:val="0"/>
        <w:widowControl/>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b/>
          <w:color w:val="000000"/>
          <w:sz w:val="24"/>
          <w:highlight w:val="none"/>
        </w:rPr>
      </w:pPr>
      <w:r>
        <w:rPr>
          <w:rFonts w:hint="eastAsia" w:ascii="宋体" w:hAnsi="宋体" w:eastAsia="宋体" w:cs="宋体"/>
          <w:color w:val="000000"/>
          <w:sz w:val="24"/>
          <w:highlight w:val="none"/>
          <w:lang w:val="en-US" w:eastAsia="zh-CN"/>
        </w:rPr>
        <w:t>5. 不接受联合体投标。</w:t>
      </w:r>
    </w:p>
    <w:p w14:paraId="203189F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32"/>
          <w:highlight w:val="none"/>
        </w:rPr>
        <w:br w:type="page"/>
      </w:r>
      <w:r>
        <w:rPr>
          <w:rFonts w:hint="eastAsia" w:ascii="宋体" w:hAnsi="宋体" w:eastAsia="宋体" w:cs="宋体"/>
          <w:b/>
          <w:color w:val="000000"/>
          <w:sz w:val="32"/>
          <w:szCs w:val="20"/>
          <w:highlight w:val="none"/>
        </w:rPr>
        <w:t>一、交易方法</w:t>
      </w:r>
    </w:p>
    <w:p w14:paraId="00935C95">
      <w:pPr>
        <w:pageBreakBefore w:val="0"/>
        <w:shd w:val="clear" w:color="auto" w:fill="auto"/>
        <w:kinsoku/>
        <w:wordWrap/>
        <w:overflowPunct/>
        <w:topLinePunct w:val="0"/>
        <w:bidi w:val="0"/>
        <w:adjustRightInd/>
        <w:spacing w:beforeAutospacing="0" w:line="540" w:lineRule="exact"/>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本项目采用综合评分法。</w:t>
      </w:r>
      <w:r>
        <w:rPr>
          <w:rFonts w:hint="eastAsia" w:ascii="宋体" w:hAnsi="宋体" w:eastAsia="宋体" w:cs="宋体"/>
          <w:color w:val="000000"/>
          <w:kern w:val="0"/>
          <w:sz w:val="24"/>
          <w:highlight w:val="none"/>
        </w:rPr>
        <w:t>综合评分法，是指响应文件满足公开竞争文件全部实质性要求，且按照评审因素的量化指标评审得分最高的响应人为成交候选人的评标方法。</w:t>
      </w:r>
    </w:p>
    <w:p w14:paraId="5260F156">
      <w:pPr>
        <w:pageBreakBefore w:val="0"/>
        <w:shd w:val="clear" w:color="auto" w:fill="auto"/>
        <w:kinsoku/>
        <w:wordWrap/>
        <w:overflowPunct/>
        <w:topLinePunct w:val="0"/>
        <w:bidi w:val="0"/>
        <w:adjustRightInd/>
        <w:snapToGrid/>
        <w:spacing w:beforeAutospacing="0" w:line="540" w:lineRule="exact"/>
        <w:ind w:firstLine="0" w:firstLineChars="0"/>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二、交易标准</w:t>
      </w:r>
    </w:p>
    <w:p w14:paraId="25E5309D">
      <w:pPr>
        <w:pageBreakBefore w:val="0"/>
        <w:shd w:val="clear" w:color="auto" w:fill="auto"/>
        <w:kinsoku/>
        <w:wordWrap/>
        <w:overflowPunct/>
        <w:topLinePunct w:val="0"/>
        <w:bidi w:val="0"/>
        <w:spacing w:beforeAutospacing="0" w:line="540" w:lineRule="exact"/>
        <w:ind w:firstLine="472" w:firstLineChars="196"/>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评标标准：</w:t>
      </w:r>
      <w:r>
        <w:rPr>
          <w:rFonts w:hint="eastAsia" w:ascii="宋体" w:hAnsi="宋体" w:eastAsia="宋体" w:cs="宋体"/>
          <w:color w:val="000000"/>
          <w:kern w:val="0"/>
          <w:sz w:val="24"/>
          <w:highlight w:val="none"/>
        </w:rPr>
        <w:t>见交易办法前附表。</w:t>
      </w:r>
    </w:p>
    <w:p w14:paraId="22B3E653">
      <w:pPr>
        <w:pageBreakBefore w:val="0"/>
        <w:shd w:val="clear" w:color="auto" w:fill="auto"/>
        <w:kinsoku/>
        <w:wordWrap/>
        <w:overflowPunct/>
        <w:topLinePunct w:val="0"/>
        <w:bidi w:val="0"/>
        <w:adjustRightInd/>
        <w:snapToGrid/>
        <w:spacing w:beforeAutospacing="0" w:line="540" w:lineRule="exact"/>
        <w:ind w:firstLine="0" w:firstLineChars="0"/>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三、交易程序</w:t>
      </w:r>
    </w:p>
    <w:bookmarkEnd w:id="13"/>
    <w:p w14:paraId="4B5BEB6D">
      <w:pPr>
        <w:pageBreakBefore w:val="0"/>
        <w:shd w:val="clear" w:color="auto" w:fill="auto"/>
        <w:kinsoku/>
        <w:wordWrap/>
        <w:overflowPunct/>
        <w:topLinePunct w:val="0"/>
        <w:bidi w:val="0"/>
        <w:spacing w:beforeAutospacing="0" w:line="540" w:lineRule="exact"/>
        <w:ind w:firstLine="472" w:firstLineChars="196"/>
        <w:textAlignment w:val="auto"/>
        <w:rPr>
          <w:rFonts w:hint="eastAsia" w:ascii="宋体" w:hAnsi="宋体" w:eastAsia="宋体" w:cs="宋体"/>
          <w:color w:val="000000"/>
          <w:kern w:val="0"/>
          <w:sz w:val="24"/>
          <w:highlight w:val="none"/>
        </w:rPr>
      </w:pPr>
      <w:bookmarkStart w:id="379" w:name="第五部分"/>
      <w:bookmarkStart w:id="380" w:name="_Toc86217003"/>
      <w:r>
        <w:rPr>
          <w:rFonts w:hint="eastAsia" w:ascii="宋体" w:hAnsi="宋体" w:eastAsia="宋体" w:cs="宋体"/>
          <w:b/>
          <w:color w:val="000000"/>
          <w:kern w:val="2"/>
          <w:sz w:val="24"/>
          <w:highlight w:val="none"/>
        </w:rPr>
        <w:t>3.1符合性审查。</w:t>
      </w:r>
      <w:r>
        <w:rPr>
          <w:rFonts w:hint="eastAsia" w:ascii="宋体" w:hAnsi="宋体" w:eastAsia="宋体" w:cs="宋体"/>
          <w:color w:val="000000"/>
          <w:kern w:val="0"/>
          <w:sz w:val="24"/>
          <w:highlight w:val="none"/>
        </w:rPr>
        <w:t>评审委员会应当对符合资格的响应人的响应文件进行符合性审查，以确定其是否满足公开竞争文件的实质性要求。不满足公开竞争文件的实质性要求的，交易无效。</w:t>
      </w:r>
    </w:p>
    <w:p w14:paraId="2B94D7BD">
      <w:pPr>
        <w:pageBreakBefore w:val="0"/>
        <w:shd w:val="clear" w:color="auto" w:fill="auto"/>
        <w:kinsoku/>
        <w:wordWrap/>
        <w:overflowPunct/>
        <w:topLinePunct w:val="0"/>
        <w:bidi w:val="0"/>
        <w:spacing w:beforeAutospacing="0" w:line="540" w:lineRule="exact"/>
        <w:ind w:firstLine="472" w:firstLineChars="196"/>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2"/>
          <w:sz w:val="24"/>
          <w:highlight w:val="none"/>
        </w:rPr>
        <w:t>3.2比较与评价。</w:t>
      </w:r>
      <w:r>
        <w:rPr>
          <w:rFonts w:hint="eastAsia" w:ascii="宋体" w:hAnsi="宋体" w:eastAsia="宋体" w:cs="宋体"/>
          <w:color w:val="000000"/>
          <w:kern w:val="0"/>
          <w:sz w:val="24"/>
          <w:highlight w:val="none"/>
        </w:rPr>
        <w:t>评审委员会应当按照公开竞争文件中规定的评标方法和标准，对符合性审查合格的响应文件进行商务和技术评估，综合比较与评价。</w:t>
      </w:r>
    </w:p>
    <w:p w14:paraId="41AE529C">
      <w:pPr>
        <w:pageBreakBefore w:val="0"/>
        <w:shd w:val="clear" w:color="auto" w:fill="auto"/>
        <w:kinsoku/>
        <w:wordWrap/>
        <w:overflowPunct/>
        <w:topLinePunct w:val="0"/>
        <w:bidi w:val="0"/>
        <w:spacing w:beforeAutospacing="0" w:line="540" w:lineRule="exact"/>
        <w:ind w:firstLine="472" w:firstLineChars="196"/>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2"/>
          <w:sz w:val="24"/>
          <w:highlight w:val="none"/>
        </w:rPr>
        <w:t>3.3汇总商务技术得分。</w:t>
      </w:r>
      <w:r>
        <w:rPr>
          <w:rFonts w:hint="eastAsia" w:ascii="宋体" w:hAnsi="宋体" w:eastAsia="宋体" w:cs="宋体"/>
          <w:color w:val="000000"/>
          <w:kern w:val="0"/>
          <w:sz w:val="24"/>
          <w:highlight w:val="none"/>
        </w:rPr>
        <w:t>评审委员会各成员应当独立对每个响应人的商务和技术文件进行评价，并汇总商务技术得分情况。</w:t>
      </w:r>
    </w:p>
    <w:p w14:paraId="1A0D360D">
      <w:pPr>
        <w:pageBreakBefore w:val="0"/>
        <w:numPr>
          <w:ilvl w:val="0"/>
          <w:numId w:val="0"/>
        </w:numPr>
        <w:shd w:val="clear" w:color="auto" w:fill="auto"/>
        <w:kinsoku/>
        <w:wordWrap/>
        <w:overflowPunct/>
        <w:topLinePunct w:val="0"/>
        <w:bidi w:val="0"/>
        <w:adjustRightInd/>
        <w:snapToGrid w:val="0"/>
        <w:spacing w:beforeAutospacing="0" w:line="540" w:lineRule="exact"/>
        <w:ind w:firstLine="482" w:firstLineChars="200"/>
        <w:jc w:val="left"/>
        <w:textAlignment w:val="auto"/>
        <w:outlineLvl w:val="1"/>
        <w:rPr>
          <w:rFonts w:hint="eastAsia" w:ascii="宋体" w:hAnsi="宋体" w:eastAsia="宋体" w:cs="宋体"/>
          <w:b/>
          <w:color w:val="000000"/>
          <w:kern w:val="2"/>
          <w:sz w:val="24"/>
          <w:highlight w:val="none"/>
        </w:rPr>
      </w:pPr>
      <w:r>
        <w:rPr>
          <w:rFonts w:hint="eastAsia" w:ascii="宋体" w:hAnsi="宋体" w:eastAsia="宋体" w:cs="宋体"/>
          <w:b/>
          <w:color w:val="000000"/>
          <w:kern w:val="2"/>
          <w:sz w:val="24"/>
          <w:highlight w:val="none"/>
        </w:rPr>
        <w:t>3.4报价评审。</w:t>
      </w:r>
    </w:p>
    <w:p w14:paraId="401A458C">
      <w:pPr>
        <w:pStyle w:val="117"/>
        <w:pageBreakBefore w:val="0"/>
        <w:shd w:val="clear" w:color="auto" w:fill="auto"/>
        <w:kinsoku/>
        <w:wordWrap/>
        <w:overflowPunct/>
        <w:topLinePunct w:val="0"/>
        <w:bidi w:val="0"/>
        <w:spacing w:before="0" w:beforeAutospacing="0" w:line="540" w:lineRule="exact"/>
        <w:ind w:firstLine="508" w:firstLineChars="212"/>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3.4.1响应文件报价出现前后不一致的，按照下列规定修正：</w:t>
      </w:r>
    </w:p>
    <w:p w14:paraId="5F7CD6AD">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3.4.1.1响应文件中交易一览表</w:t>
      </w:r>
      <w:r>
        <w:rPr>
          <w:rFonts w:hint="eastAsia" w:ascii="宋体" w:hAnsi="宋体" w:cs="宋体"/>
          <w:color w:val="000000"/>
          <w:kern w:val="0"/>
          <w:szCs w:val="24"/>
          <w:highlight w:val="none"/>
          <w:lang w:eastAsia="zh-CN"/>
        </w:rPr>
        <w:t>（</w:t>
      </w:r>
      <w:r>
        <w:rPr>
          <w:rFonts w:hint="eastAsia" w:ascii="宋体" w:hAnsi="宋体" w:eastAsia="宋体" w:cs="宋体"/>
          <w:color w:val="000000"/>
          <w:kern w:val="0"/>
          <w:szCs w:val="24"/>
          <w:highlight w:val="none"/>
        </w:rPr>
        <w:t>报价表</w:t>
      </w:r>
      <w:r>
        <w:rPr>
          <w:rFonts w:hint="eastAsia" w:ascii="宋体" w:hAnsi="宋体" w:cs="宋体"/>
          <w:color w:val="000000"/>
          <w:kern w:val="0"/>
          <w:szCs w:val="24"/>
          <w:highlight w:val="none"/>
          <w:lang w:eastAsia="zh-CN"/>
        </w:rPr>
        <w:t>）</w:t>
      </w:r>
      <w:r>
        <w:rPr>
          <w:rFonts w:hint="eastAsia" w:ascii="宋体" w:hAnsi="宋体" w:eastAsia="宋体" w:cs="宋体"/>
          <w:color w:val="000000"/>
          <w:kern w:val="0"/>
          <w:szCs w:val="24"/>
          <w:highlight w:val="none"/>
        </w:rPr>
        <w:t>内容与响应文件中相应内容不一致的，以交易一览表</w:t>
      </w:r>
      <w:r>
        <w:rPr>
          <w:rFonts w:hint="eastAsia" w:ascii="宋体" w:hAnsi="宋体" w:cs="宋体"/>
          <w:color w:val="000000"/>
          <w:kern w:val="0"/>
          <w:szCs w:val="24"/>
          <w:highlight w:val="none"/>
          <w:lang w:eastAsia="zh-CN"/>
        </w:rPr>
        <w:t>（</w:t>
      </w:r>
      <w:r>
        <w:rPr>
          <w:rFonts w:hint="eastAsia" w:ascii="宋体" w:hAnsi="宋体" w:eastAsia="宋体" w:cs="宋体"/>
          <w:color w:val="000000"/>
          <w:kern w:val="0"/>
          <w:szCs w:val="24"/>
          <w:highlight w:val="none"/>
        </w:rPr>
        <w:t>报价表</w:t>
      </w:r>
      <w:r>
        <w:rPr>
          <w:rFonts w:hint="eastAsia" w:ascii="宋体" w:hAnsi="宋体" w:cs="宋体"/>
          <w:color w:val="000000"/>
          <w:kern w:val="0"/>
          <w:szCs w:val="24"/>
          <w:highlight w:val="none"/>
          <w:lang w:eastAsia="zh-CN"/>
        </w:rPr>
        <w:t>）</w:t>
      </w:r>
      <w:r>
        <w:rPr>
          <w:rFonts w:hint="eastAsia" w:ascii="宋体" w:hAnsi="宋体" w:eastAsia="宋体" w:cs="宋体"/>
          <w:color w:val="000000"/>
          <w:kern w:val="0"/>
          <w:szCs w:val="24"/>
          <w:highlight w:val="none"/>
        </w:rPr>
        <w:t>为准；</w:t>
      </w:r>
    </w:p>
    <w:p w14:paraId="54A4DAAB">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3.4.1.2大写金额和小写金额不一致的，以大写金额为准；</w:t>
      </w:r>
    </w:p>
    <w:p w14:paraId="3B817229">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3.4.1.3单价金额小数点或者百分比有明显错位的，以交易一览表的总价为准，并修改单价；</w:t>
      </w:r>
    </w:p>
    <w:p w14:paraId="41E8DCBB">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3.4.1.4总价金额与按单价汇总金额不一致的，以单价金额计算结果为准；</w:t>
      </w:r>
    </w:p>
    <w:p w14:paraId="5D9CC491">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3.4.1.5同时出现两种以上不一致的，按照3.4.1规定的顺序修正。</w:t>
      </w:r>
    </w:p>
    <w:p w14:paraId="078B7423">
      <w:pPr>
        <w:pageBreakBefore w:val="0"/>
        <w:shd w:val="clear" w:color="auto" w:fill="auto"/>
        <w:kinsoku/>
        <w:wordWrap/>
        <w:overflowPunct/>
        <w:topLinePunct w:val="0"/>
        <w:bidi w:val="0"/>
        <w:snapToGrid w:val="0"/>
        <w:spacing w:beforeAutospacing="0" w:line="54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3.4.2响应文件出现不是唯一的、有选择性交易报价的，交易无效。</w:t>
      </w:r>
    </w:p>
    <w:p w14:paraId="2C79AA2C">
      <w:pPr>
        <w:pageBreakBefore w:val="0"/>
        <w:shd w:val="clear" w:color="auto" w:fill="auto"/>
        <w:kinsoku/>
        <w:wordWrap/>
        <w:overflowPunct/>
        <w:topLinePunct w:val="0"/>
        <w:bidi w:val="0"/>
        <w:snapToGrid w:val="0"/>
        <w:spacing w:beforeAutospacing="0" w:line="54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3.4.3交易报价超过公开竞争文件中规定的预算金额或者最高限价的，交易无效。</w:t>
      </w:r>
    </w:p>
    <w:p w14:paraId="3B6799C6">
      <w:pPr>
        <w:pStyle w:val="117"/>
        <w:pageBreakBefore w:val="0"/>
        <w:shd w:val="clear" w:color="auto" w:fill="auto"/>
        <w:kinsoku/>
        <w:wordWrap/>
        <w:overflowPunct/>
        <w:topLinePunct w:val="0"/>
        <w:bidi w:val="0"/>
        <w:spacing w:before="0" w:beforeAutospacing="0" w:line="540" w:lineRule="exact"/>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4E38D682">
      <w:pPr>
        <w:pageBreakBefore w:val="0"/>
        <w:shd w:val="clear" w:color="auto" w:fill="auto"/>
        <w:kinsoku/>
        <w:wordWrap/>
        <w:overflowPunct/>
        <w:topLinePunct w:val="0"/>
        <w:bidi w:val="0"/>
        <w:spacing w:beforeAutospacing="0" w:line="540" w:lineRule="exact"/>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3.5排序与推荐。</w:t>
      </w:r>
      <w:r>
        <w:rPr>
          <w:rFonts w:hint="eastAsia" w:ascii="宋体" w:hAnsi="宋体" w:eastAsia="宋体" w:cs="宋体"/>
          <w:color w:val="000000"/>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5702F5DF">
      <w:pPr>
        <w:pageBreakBefore w:val="0"/>
        <w:shd w:val="clear" w:color="auto" w:fill="auto"/>
        <w:kinsoku/>
        <w:wordWrap/>
        <w:overflowPunct/>
        <w:topLinePunct w:val="0"/>
        <w:bidi w:val="0"/>
        <w:spacing w:beforeAutospacing="0" w:line="540" w:lineRule="exact"/>
        <w:ind w:firstLine="472" w:firstLineChars="196"/>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3.6编写评审报告。</w:t>
      </w:r>
      <w:r>
        <w:rPr>
          <w:rFonts w:hint="eastAsia" w:ascii="宋体" w:hAnsi="宋体" w:eastAsia="宋体" w:cs="宋体"/>
          <w:color w:val="000000"/>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A1F1185">
      <w:pPr>
        <w:pageBreakBefore w:val="0"/>
        <w:shd w:val="clear" w:color="auto" w:fill="auto"/>
        <w:kinsoku/>
        <w:wordWrap/>
        <w:overflowPunct/>
        <w:topLinePunct w:val="0"/>
        <w:bidi w:val="0"/>
        <w:adjustRightInd/>
        <w:snapToGrid/>
        <w:spacing w:beforeAutospacing="0" w:line="540" w:lineRule="exact"/>
        <w:ind w:firstLine="2891" w:firstLineChars="900"/>
        <w:jc w:val="left"/>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四、评标中的其他事项</w:t>
      </w:r>
    </w:p>
    <w:p w14:paraId="326D0580">
      <w:pPr>
        <w:pStyle w:val="117"/>
        <w:pageBreakBefore w:val="0"/>
        <w:shd w:val="clear" w:color="auto" w:fill="auto"/>
        <w:kinsoku/>
        <w:wordWrap/>
        <w:overflowPunct/>
        <w:topLinePunct w:val="0"/>
        <w:bidi w:val="0"/>
        <w:spacing w:before="0" w:beforeAutospacing="0" w:line="540" w:lineRule="exact"/>
        <w:ind w:firstLine="472" w:firstLineChars="196"/>
        <w:textAlignment w:val="auto"/>
        <w:rPr>
          <w:rFonts w:hint="eastAsia" w:ascii="宋体" w:hAnsi="宋体" w:eastAsia="宋体" w:cs="宋体"/>
          <w:color w:val="000000"/>
          <w:kern w:val="0"/>
          <w:szCs w:val="24"/>
          <w:highlight w:val="none"/>
        </w:rPr>
      </w:pPr>
      <w:r>
        <w:rPr>
          <w:rFonts w:hint="eastAsia" w:ascii="宋体" w:hAnsi="宋体" w:eastAsia="宋体" w:cs="宋体"/>
          <w:b/>
          <w:color w:val="000000"/>
          <w:kern w:val="0"/>
          <w:szCs w:val="24"/>
          <w:highlight w:val="none"/>
        </w:rPr>
        <w:t>4.1响应人澄清、说明或者补正。</w:t>
      </w:r>
      <w:r>
        <w:rPr>
          <w:rFonts w:hint="eastAsia" w:ascii="宋体" w:hAnsi="宋体" w:eastAsia="宋体" w:cs="宋体"/>
          <w:color w:val="000000"/>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61DF617">
      <w:pPr>
        <w:pStyle w:val="25"/>
        <w:pageBreakBefore w:val="0"/>
        <w:shd w:val="clear" w:color="auto" w:fill="auto"/>
        <w:kinsoku/>
        <w:wordWrap/>
        <w:overflowPunct/>
        <w:topLinePunct w:val="0"/>
        <w:bidi w:val="0"/>
        <w:spacing w:beforeAutospacing="0" w:line="540" w:lineRule="exact"/>
        <w:ind w:left="954" w:leftChars="226" w:hanging="479" w:firstLineChars="0"/>
        <w:textAlignment w:val="auto"/>
        <w:rPr>
          <w:rFonts w:hint="eastAsia" w:ascii="宋体" w:hAnsi="宋体" w:eastAsia="宋体" w:cs="宋体"/>
          <w:color w:val="000000"/>
          <w:szCs w:val="21"/>
          <w:highlight w:val="none"/>
        </w:rPr>
      </w:pPr>
      <w:r>
        <w:rPr>
          <w:rFonts w:hint="eastAsia" w:ascii="宋体" w:hAnsi="宋体" w:eastAsia="宋体" w:cs="宋体"/>
          <w:b/>
          <w:color w:val="000000"/>
          <w:kern w:val="0"/>
          <w:highlight w:val="none"/>
        </w:rPr>
        <w:t>4.2交易无效。</w:t>
      </w:r>
      <w:r>
        <w:rPr>
          <w:rFonts w:hint="eastAsia" w:ascii="宋体" w:hAnsi="宋体" w:eastAsia="宋体" w:cs="宋体"/>
          <w:color w:val="000000"/>
          <w:szCs w:val="21"/>
          <w:highlight w:val="none"/>
        </w:rPr>
        <w:t>有下列情形之一的，交易无效：</w:t>
      </w:r>
    </w:p>
    <w:p w14:paraId="0FF2DE1C">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4.2.1响应人不具备公开竞争文件中规定的资格要求的（响应人未提供有效的资格文件的，视为响应人不具备公开竞争文件中规定的资格要求）；</w:t>
      </w:r>
    </w:p>
    <w:p w14:paraId="525E7BB7">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4.2.2响应文件未按照公开竞争文件要求签署、盖章的；</w:t>
      </w:r>
    </w:p>
    <w:p w14:paraId="0B7EF6F2">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4.2.3响应文件含有交易发起人不能接受的附加条件的；</w:t>
      </w:r>
    </w:p>
    <w:p w14:paraId="75A12128">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4.2.4响应文件中承诺的交易有效期少于公开竞争文件中载明的交易有效期的；</w:t>
      </w:r>
    </w:p>
    <w:p w14:paraId="490C0D3B">
      <w:pPr>
        <w:pageBreakBefore w:val="0"/>
        <w:shd w:val="clear" w:color="auto" w:fill="auto"/>
        <w:kinsoku/>
        <w:wordWrap/>
        <w:overflowPunct/>
        <w:topLinePunct w:val="0"/>
        <w:bidi w:val="0"/>
        <w:snapToGrid w:val="0"/>
        <w:spacing w:beforeAutospacing="0" w:line="540" w:lineRule="exact"/>
        <w:ind w:firstLine="120" w:firstLineChars="5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4.2.5响应文件出现不是唯一的、有选择性交易报价的；</w:t>
      </w:r>
    </w:p>
    <w:p w14:paraId="4935B088">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4.2.6交易报价超过公开竞争文件中规定的预算金额或者最高限价的；</w:t>
      </w:r>
    </w:p>
    <w:p w14:paraId="4D0A4683">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0A9F518">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4.2.8响应人对根据修正原则修正后的报价不确认的；</w:t>
      </w:r>
    </w:p>
    <w:p w14:paraId="72CBD782">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4.2.9响应人提供虚假材料投标的；</w:t>
      </w:r>
    </w:p>
    <w:p w14:paraId="6A2C0B76">
      <w:pPr>
        <w:pageBreakBefore w:val="0"/>
        <w:shd w:val="clear" w:color="auto" w:fill="auto"/>
        <w:kinsoku/>
        <w:wordWrap/>
        <w:overflowPunct/>
        <w:topLinePunct w:val="0"/>
        <w:bidi w:val="0"/>
        <w:spacing w:beforeAutospacing="0" w:line="540" w:lineRule="exact"/>
        <w:ind w:firstLine="240" w:firstLineChars="1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4.2.10响应人有恶意串通、妨碍其他响应人的竞争行为、损害交易发起人或者其他响应人的合法权益情形的；</w:t>
      </w:r>
    </w:p>
    <w:p w14:paraId="34667ECA">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4.2.11响应人未在电子交易平台传输递交响应文件的，交易无效；</w:t>
      </w:r>
    </w:p>
    <w:p w14:paraId="0022568A">
      <w:pPr>
        <w:pStyle w:val="3"/>
        <w:pageBreakBefore w:val="0"/>
        <w:shd w:val="clear" w:color="auto" w:fill="auto"/>
        <w:kinsoku/>
        <w:wordWrap/>
        <w:overflowPunct/>
        <w:topLinePunct w:val="0"/>
        <w:bidi w:val="0"/>
        <w:spacing w:beforeAutospacing="0" w:line="540" w:lineRule="exact"/>
        <w:ind w:left="862" w:leftChars="205"/>
        <w:textAlignment w:val="auto"/>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4.2.12响应文件不满足公开竞争文件</w:t>
      </w:r>
      <w:r>
        <w:rPr>
          <w:rFonts w:hint="eastAsia" w:ascii="宋体" w:hAnsi="宋体" w:eastAsia="宋体" w:cs="宋体"/>
          <w:color w:val="000000"/>
          <w:kern w:val="0"/>
          <w:sz w:val="24"/>
          <w:szCs w:val="24"/>
          <w:highlight w:val="none"/>
          <w:lang w:val="en-US" w:eastAsia="zh-CN"/>
        </w:rPr>
        <w:t>的其他</w:t>
      </w:r>
      <w:r>
        <w:rPr>
          <w:rFonts w:hint="eastAsia" w:ascii="宋体" w:hAnsi="宋体" w:eastAsia="宋体" w:cs="宋体"/>
          <w:color w:val="000000"/>
          <w:kern w:val="0"/>
          <w:sz w:val="24"/>
          <w:szCs w:val="24"/>
          <w:highlight w:val="none"/>
          <w:lang w:val="en-US"/>
        </w:rPr>
        <w:t>实质性要求的；</w:t>
      </w:r>
    </w:p>
    <w:p w14:paraId="290920AF">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4.2.13法律、法规、规章（适用本市的）及省级以上规范性文件（适用本市的）规定的其他无效情形。</w:t>
      </w:r>
    </w:p>
    <w:p w14:paraId="1542D1F7">
      <w:pPr>
        <w:pStyle w:val="25"/>
        <w:pageBreakBefore w:val="0"/>
        <w:shd w:val="clear" w:color="auto" w:fill="auto"/>
        <w:kinsoku/>
        <w:wordWrap/>
        <w:overflowPunct/>
        <w:topLinePunct w:val="0"/>
        <w:bidi w:val="0"/>
        <w:snapToGrid w:val="0"/>
        <w:spacing w:beforeAutospacing="0" w:line="540" w:lineRule="exact"/>
        <w:ind w:firstLine="472" w:firstLineChars="196"/>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5.废标。</w:t>
      </w:r>
      <w:r>
        <w:rPr>
          <w:rFonts w:hint="eastAsia" w:ascii="宋体" w:hAnsi="宋体" w:eastAsia="宋体" w:cs="宋体"/>
          <w:color w:val="000000"/>
          <w:highlight w:val="none"/>
        </w:rPr>
        <w:t>根据《中华人民共和国政府采购法》第三十六条之规定，在交易过程中，出现下列情形之一的，应予废标：</w:t>
      </w:r>
    </w:p>
    <w:p w14:paraId="6A8372B3">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5.1符合专业条件的响应人或者对公开竞争文件作实质响应的响应人不足3家的；</w:t>
      </w:r>
    </w:p>
    <w:p w14:paraId="554AFC9B">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5.2出现影响采购公正的违法、违规行为的；</w:t>
      </w:r>
    </w:p>
    <w:p w14:paraId="58DC43D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5.3响应人的报价均超过了采购预算，交易发起人不能支付的；</w:t>
      </w:r>
    </w:p>
    <w:p w14:paraId="18B6B670">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5.4因重大变故，采购任务取消的。</w:t>
      </w:r>
    </w:p>
    <w:p w14:paraId="315EDEE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废标后，代理机构应当将废标理由通知所有响应人。</w:t>
      </w:r>
    </w:p>
    <w:p w14:paraId="7409CD7A">
      <w:pPr>
        <w:pStyle w:val="25"/>
        <w:pageBreakBefore w:val="0"/>
        <w:shd w:val="clear" w:color="auto" w:fill="auto"/>
        <w:kinsoku/>
        <w:wordWrap/>
        <w:overflowPunct/>
        <w:topLinePunct w:val="0"/>
        <w:bidi w:val="0"/>
        <w:snapToGrid w:val="0"/>
        <w:spacing w:beforeAutospacing="0" w:line="540" w:lineRule="exact"/>
        <w:ind w:firstLine="590" w:firstLineChars="245"/>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6.修改公开竞争文件，重新组织交易活动。</w:t>
      </w:r>
      <w:r>
        <w:rPr>
          <w:rFonts w:hint="eastAsia" w:ascii="宋体" w:hAnsi="宋体" w:eastAsia="宋体" w:cs="宋体"/>
          <w:color w:val="000000"/>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4418F4BB">
      <w:pPr>
        <w:pStyle w:val="25"/>
        <w:pageBreakBefore w:val="0"/>
        <w:shd w:val="clear" w:color="auto" w:fill="auto"/>
        <w:kinsoku/>
        <w:wordWrap/>
        <w:overflowPunct/>
        <w:topLinePunct w:val="0"/>
        <w:bidi w:val="0"/>
        <w:snapToGrid w:val="0"/>
        <w:spacing w:beforeAutospacing="0" w:line="540" w:lineRule="exact"/>
        <w:ind w:firstLine="590" w:firstLineChars="245"/>
        <w:textAlignment w:val="auto"/>
        <w:rPr>
          <w:rFonts w:hint="eastAsia" w:ascii="宋体" w:hAnsi="宋体" w:eastAsia="宋体" w:cs="宋体"/>
          <w:color w:val="000000"/>
          <w:highlight w:val="none"/>
        </w:rPr>
      </w:pPr>
      <w:r>
        <w:rPr>
          <w:rFonts w:hint="eastAsia" w:ascii="宋体" w:hAnsi="宋体" w:eastAsia="宋体" w:cs="宋体"/>
          <w:b/>
          <w:color w:val="000000"/>
          <w:kern w:val="0"/>
          <w:highlight w:val="none"/>
        </w:rPr>
        <w:t>7.重新开展交易。</w:t>
      </w:r>
      <w:r>
        <w:rPr>
          <w:rFonts w:hint="eastAsia" w:ascii="宋体" w:hAnsi="宋体" w:eastAsia="宋体" w:cs="宋体"/>
          <w:color w:val="000000"/>
          <w:highlight w:val="none"/>
        </w:rPr>
        <w:t>影响或者可能影响</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、成交结果的，依照下列规定处理：</w:t>
      </w:r>
    </w:p>
    <w:p w14:paraId="35ED8BC4">
      <w:pPr>
        <w:pStyle w:val="25"/>
        <w:pageBreakBefore w:val="0"/>
        <w:shd w:val="clear" w:color="auto" w:fill="auto"/>
        <w:kinsoku/>
        <w:wordWrap/>
        <w:overflowPunct/>
        <w:topLinePunct w:val="0"/>
        <w:bidi w:val="0"/>
        <w:snapToGrid w:val="0"/>
        <w:spacing w:beforeAutospacing="0" w:line="540" w:lineRule="exact"/>
        <w:ind w:firstLine="600" w:firstLineChars="25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7.1未确定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或者成交人的，终止本次交易活动，重新开展交易活动。</w:t>
      </w:r>
    </w:p>
    <w:p w14:paraId="1F30C325">
      <w:pPr>
        <w:pStyle w:val="25"/>
        <w:pageBreakBefore w:val="0"/>
        <w:shd w:val="clear" w:color="auto" w:fill="auto"/>
        <w:kinsoku/>
        <w:wordWrap/>
        <w:overflowPunct/>
        <w:topLinePunct w:val="0"/>
        <w:bidi w:val="0"/>
        <w:snapToGrid w:val="0"/>
        <w:spacing w:beforeAutospacing="0" w:line="540" w:lineRule="exact"/>
        <w:ind w:firstLine="600" w:firstLineChars="25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7.2已确定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或者成交人但尚未签订合同的，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或者成交结果无效，从合格的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或者成交候选人中另行确定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或者成交人；没有合格的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或者成交候选人的，重新开展交易活动。</w:t>
      </w:r>
    </w:p>
    <w:p w14:paraId="23F733C2">
      <w:pPr>
        <w:pStyle w:val="25"/>
        <w:pageBreakBefore w:val="0"/>
        <w:shd w:val="clear" w:color="auto" w:fill="auto"/>
        <w:kinsoku/>
        <w:wordWrap/>
        <w:overflowPunct/>
        <w:topLinePunct w:val="0"/>
        <w:bidi w:val="0"/>
        <w:snapToGrid w:val="0"/>
        <w:spacing w:beforeAutospacing="0" w:line="540" w:lineRule="exact"/>
        <w:ind w:firstLine="600" w:firstLineChars="25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7.3书面合同已签订但尚未履行的，撤销合同，从合格的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或者成交候选人中另行确定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或者成交人；没有合格的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或者成交候选人的，重新开展交易活动。</w:t>
      </w:r>
    </w:p>
    <w:p w14:paraId="6D6969A1">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7.4书面合同已经履行，给交易发起人、响应人造成损失的，由责任人承担赔偿责任。</w:t>
      </w:r>
    </w:p>
    <w:p w14:paraId="3B6C69B6">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7.5交易当事人有其他违反政府采购法</w:t>
      </w:r>
      <w:r>
        <w:rPr>
          <w:rFonts w:hint="eastAsia" w:ascii="宋体" w:hAnsi="宋体" w:eastAsia="宋体" w:cs="宋体"/>
          <w:color w:val="000000"/>
          <w:kern w:val="0"/>
          <w:highlight w:val="none"/>
        </w:rPr>
        <w:t>或者政府采购法实施条例等法律法规规定</w:t>
      </w:r>
      <w:r>
        <w:rPr>
          <w:rFonts w:hint="eastAsia" w:ascii="宋体" w:hAnsi="宋体" w:eastAsia="宋体" w:cs="宋体"/>
          <w:color w:val="000000"/>
          <w:highlight w:val="none"/>
        </w:rPr>
        <w:t>的行为，经改正后仍然影响或者可能影响</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、成交结果或者依法被认定为</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、成交无效的，依照7.1-7.4规定处理。</w:t>
      </w:r>
    </w:p>
    <w:p w14:paraId="73C80B4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3B697CA1">
      <w:pPr>
        <w:pStyle w:val="16"/>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highlight w:val="none"/>
        </w:rPr>
      </w:pPr>
    </w:p>
    <w:p w14:paraId="5E09BEC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55A00313">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第五部分 拟签订的合同文本</w:t>
      </w:r>
    </w:p>
    <w:p w14:paraId="047A3ADC">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cs="宋体"/>
          <w:b/>
          <w:bCs/>
          <w:color w:val="000000"/>
          <w:sz w:val="28"/>
          <w:szCs w:val="28"/>
          <w:highlight w:val="none"/>
        </w:rPr>
      </w:pPr>
      <w:r>
        <w:rPr>
          <w:rFonts w:hint="eastAsia" w:cs="宋体"/>
          <w:b/>
          <w:bCs/>
          <w:color w:val="000000"/>
          <w:sz w:val="28"/>
          <w:szCs w:val="28"/>
          <w:highlight w:val="none"/>
        </w:rPr>
        <w:t>萧山经开区国控集团及下属公司</w:t>
      </w:r>
    </w:p>
    <w:p w14:paraId="5F4A879C">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cs="宋体"/>
          <w:b/>
          <w:bCs/>
          <w:color w:val="000000"/>
          <w:sz w:val="28"/>
          <w:szCs w:val="28"/>
          <w:highlight w:val="none"/>
        </w:rPr>
      </w:pPr>
      <w:r>
        <w:rPr>
          <w:rFonts w:hint="eastAsia" w:cs="宋体"/>
          <w:b/>
          <w:bCs/>
          <w:color w:val="000000"/>
          <w:sz w:val="28"/>
          <w:szCs w:val="28"/>
          <w:highlight w:val="none"/>
        </w:rPr>
        <w:t>2025-2026年度法律顾问及非诉专项法律服务项目</w:t>
      </w:r>
    </w:p>
    <w:p w14:paraId="05C48AE1">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default" w:eastAsia="宋体" w:cs="宋体"/>
          <w:b/>
          <w:bCs/>
          <w:color w:val="000000"/>
          <w:sz w:val="28"/>
          <w:szCs w:val="28"/>
          <w:highlight w:val="none"/>
          <w:lang w:val="en-US" w:eastAsia="zh-CN"/>
        </w:rPr>
      </w:pPr>
      <w:r>
        <w:rPr>
          <w:rFonts w:hint="eastAsia" w:cs="宋体"/>
          <w:b/>
          <w:bCs/>
          <w:color w:val="000000"/>
          <w:sz w:val="28"/>
          <w:szCs w:val="28"/>
          <w:highlight w:val="none"/>
          <w:lang w:val="en-US" w:eastAsia="zh-CN"/>
        </w:rPr>
        <w:t>服务合同</w:t>
      </w:r>
    </w:p>
    <w:p w14:paraId="1411B386">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合同编号：</w:t>
      </w:r>
    </w:p>
    <w:p w14:paraId="1516E385">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签订地点：                                  签订时间：20* 年  月  日</w:t>
      </w:r>
    </w:p>
    <w:p w14:paraId="398B7D5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项目名称：萧山经开区国控集团及下属公司2025-2026年度法律顾问及非诉专项法律服务项目</w:t>
      </w:r>
    </w:p>
    <w:p w14:paraId="1295151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甲方（需方）：                                     </w:t>
      </w:r>
    </w:p>
    <w:p w14:paraId="00D06FC6">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乙方（供方）：                                     </w:t>
      </w:r>
    </w:p>
    <w:p w14:paraId="16F9717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供、需双方根据杭州市萧山区                             项目（招标编号-  -  -   ）招标结果和招标文件的要求，并经双方协调一致，订立本采购合同。</w:t>
      </w:r>
    </w:p>
    <w:p w14:paraId="079162D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一、合同文件：</w:t>
      </w:r>
    </w:p>
    <w:p w14:paraId="1B215C2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合同条款。</w:t>
      </w:r>
    </w:p>
    <w:p w14:paraId="4882E5BA">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中标通知书。</w:t>
      </w:r>
    </w:p>
    <w:p w14:paraId="1E80E94F">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 xml:space="preserve">. </w:t>
      </w:r>
      <w:r>
        <w:rPr>
          <w:rFonts w:hint="eastAsia" w:cs="宋体"/>
          <w:color w:val="000000"/>
          <w:highlight w:val="none"/>
          <w:lang w:val="en-US" w:eastAsia="zh-CN"/>
        </w:rPr>
        <w:t>公开竞争</w:t>
      </w:r>
      <w:r>
        <w:rPr>
          <w:rFonts w:hint="eastAsia" w:ascii="宋体" w:hAnsi="宋体" w:eastAsia="宋体" w:cs="宋体"/>
          <w:color w:val="000000"/>
          <w:highlight w:val="none"/>
        </w:rPr>
        <w:t>文件。</w:t>
      </w:r>
    </w:p>
    <w:p w14:paraId="130E2F9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更正公告。</w:t>
      </w:r>
    </w:p>
    <w:p w14:paraId="79EE202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中标单位投标文件、响应文件、承诺。</w:t>
      </w:r>
    </w:p>
    <w:p w14:paraId="66D7DB82">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其他。</w:t>
      </w:r>
    </w:p>
    <w:p w14:paraId="709024D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二、合同金额</w:t>
      </w:r>
      <w:r>
        <w:rPr>
          <w:rFonts w:hint="eastAsia" w:cs="宋体"/>
          <w:color w:val="000000"/>
          <w:highlight w:val="none"/>
          <w:lang w:eastAsia="zh-CN"/>
        </w:rPr>
        <w:t>：</w:t>
      </w:r>
      <w:r>
        <w:rPr>
          <w:rFonts w:hint="eastAsia" w:ascii="宋体" w:hAnsi="宋体" w:eastAsia="宋体" w:cs="宋体"/>
          <w:color w:val="000000"/>
          <w:highlight w:val="none"/>
        </w:rPr>
        <w:t>合同金额为基本审价费</w:t>
      </w:r>
      <w:r>
        <w:rPr>
          <w:rFonts w:hint="eastAsia" w:cs="宋体"/>
          <w:color w:val="000000"/>
          <w:highlight w:val="none"/>
          <w:lang w:eastAsia="zh-CN"/>
        </w:rPr>
        <w:t>（</w:t>
      </w:r>
      <w:r>
        <w:rPr>
          <w:rFonts w:hint="eastAsia" w:ascii="宋体" w:hAnsi="宋体" w:eastAsia="宋体" w:cs="宋体"/>
          <w:color w:val="000000"/>
          <w:highlight w:val="none"/>
        </w:rPr>
        <w:t>大写</w:t>
      </w:r>
      <w:r>
        <w:rPr>
          <w:rFonts w:hint="eastAsia" w:cs="宋体"/>
          <w:color w:val="000000"/>
          <w:highlight w:val="none"/>
          <w:lang w:eastAsia="zh-CN"/>
        </w:rPr>
        <w:t>）</w:t>
      </w:r>
      <w:r>
        <w:rPr>
          <w:rFonts w:hint="eastAsia" w:ascii="宋体" w:hAnsi="宋体" w:eastAsia="宋体" w:cs="宋体"/>
          <w:color w:val="000000"/>
          <w:highlight w:val="none"/>
        </w:rPr>
        <w:t>_________________元（￥　　　　元）人民币。</w:t>
      </w:r>
    </w:p>
    <w:p w14:paraId="4F46D07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附《采购项目清单内容》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7C80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noWrap w:val="0"/>
            <w:vAlign w:val="center"/>
          </w:tcPr>
          <w:p w14:paraId="424E2D16">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692" w:type="dxa"/>
            <w:noWrap w:val="0"/>
            <w:vAlign w:val="center"/>
          </w:tcPr>
          <w:p w14:paraId="2F8C29F4">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采购项目</w:t>
            </w:r>
          </w:p>
        </w:tc>
        <w:tc>
          <w:tcPr>
            <w:tcW w:w="1800" w:type="dxa"/>
            <w:noWrap w:val="0"/>
            <w:vAlign w:val="center"/>
          </w:tcPr>
          <w:p w14:paraId="78E5DF56">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中标内容</w:t>
            </w:r>
          </w:p>
        </w:tc>
        <w:tc>
          <w:tcPr>
            <w:tcW w:w="1758" w:type="dxa"/>
            <w:noWrap w:val="0"/>
            <w:vAlign w:val="center"/>
          </w:tcPr>
          <w:p w14:paraId="18B8BEEE">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中标单价（元）</w:t>
            </w:r>
          </w:p>
        </w:tc>
        <w:tc>
          <w:tcPr>
            <w:tcW w:w="762" w:type="dxa"/>
            <w:noWrap w:val="0"/>
            <w:vAlign w:val="center"/>
          </w:tcPr>
          <w:p w14:paraId="0F1E6596">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532" w:type="dxa"/>
            <w:noWrap w:val="0"/>
            <w:vAlign w:val="center"/>
          </w:tcPr>
          <w:p w14:paraId="3B36263A">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中标总价（元）</w:t>
            </w:r>
          </w:p>
        </w:tc>
      </w:tr>
      <w:tr w14:paraId="23AE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noWrap w:val="0"/>
            <w:vAlign w:val="center"/>
          </w:tcPr>
          <w:p w14:paraId="272B4831">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692" w:type="dxa"/>
            <w:vMerge w:val="restart"/>
            <w:noWrap w:val="0"/>
            <w:vAlign w:val="center"/>
          </w:tcPr>
          <w:p w14:paraId="215CE25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1800" w:type="dxa"/>
            <w:noWrap w:val="0"/>
            <w:vAlign w:val="center"/>
          </w:tcPr>
          <w:p w14:paraId="4862FA9B">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基础顾问服务</w:t>
            </w:r>
          </w:p>
        </w:tc>
        <w:tc>
          <w:tcPr>
            <w:tcW w:w="1758" w:type="dxa"/>
            <w:noWrap w:val="0"/>
            <w:vAlign w:val="center"/>
          </w:tcPr>
          <w:p w14:paraId="4389D6B5">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762" w:type="dxa"/>
            <w:noWrap w:val="0"/>
            <w:vAlign w:val="center"/>
          </w:tcPr>
          <w:p w14:paraId="05A25152">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1532" w:type="dxa"/>
            <w:noWrap w:val="0"/>
            <w:vAlign w:val="top"/>
          </w:tcPr>
          <w:p w14:paraId="634F87FE">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r>
      <w:tr w14:paraId="57BA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noWrap w:val="0"/>
            <w:vAlign w:val="center"/>
          </w:tcPr>
          <w:p w14:paraId="16445949">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692" w:type="dxa"/>
            <w:vMerge w:val="continue"/>
            <w:noWrap w:val="0"/>
            <w:vAlign w:val="center"/>
          </w:tcPr>
          <w:p w14:paraId="32208A3B">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1800" w:type="dxa"/>
            <w:noWrap w:val="0"/>
            <w:vAlign w:val="center"/>
          </w:tcPr>
          <w:p w14:paraId="2C743511">
            <w:pPr>
              <w:pStyle w:val="25"/>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default" w:ascii="宋体" w:hAnsi="宋体" w:eastAsia="宋体" w:cs="宋体"/>
                <w:color w:val="000000"/>
                <w:highlight w:val="none"/>
                <w:lang w:val="en-US" w:eastAsia="zh-CN"/>
              </w:rPr>
            </w:pPr>
            <w:r>
              <w:rPr>
                <w:rFonts w:hint="eastAsia" w:cs="宋体"/>
                <w:color w:val="000000"/>
                <w:highlight w:val="none"/>
                <w:lang w:val="en-US" w:eastAsia="zh-CN"/>
              </w:rPr>
              <w:t>非诉项目服务</w:t>
            </w:r>
          </w:p>
        </w:tc>
        <w:tc>
          <w:tcPr>
            <w:tcW w:w="1758" w:type="dxa"/>
            <w:noWrap w:val="0"/>
            <w:vAlign w:val="top"/>
          </w:tcPr>
          <w:p w14:paraId="080AC7CF">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762" w:type="dxa"/>
            <w:noWrap w:val="0"/>
            <w:vAlign w:val="center"/>
          </w:tcPr>
          <w:p w14:paraId="7223F06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c>
          <w:tcPr>
            <w:tcW w:w="1532" w:type="dxa"/>
            <w:noWrap w:val="0"/>
            <w:vAlign w:val="top"/>
          </w:tcPr>
          <w:p w14:paraId="4DEEC09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p>
        </w:tc>
      </w:tr>
    </w:tbl>
    <w:p w14:paraId="65F51B2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合同金额说明：</w:t>
      </w:r>
    </w:p>
    <w:p w14:paraId="417A639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①基础顾问服务按总价包干方式计价，中标总价为</w:t>
      </w:r>
      <w:r>
        <w:rPr>
          <w:rFonts w:hint="eastAsia" w:cs="宋体"/>
          <w:color w:val="000000"/>
          <w:highlight w:val="none"/>
          <w:lang w:eastAsia="zh-CN"/>
        </w:rPr>
        <w:t>【</w:t>
      </w:r>
      <w:r>
        <w:rPr>
          <w:rFonts w:hint="eastAsia" w:cs="宋体"/>
          <w:color w:val="000000"/>
          <w:highlight w:val="none"/>
          <w:u w:val="single"/>
          <w:lang w:val="en-US" w:eastAsia="zh-CN"/>
        </w:rPr>
        <w:t xml:space="preserve">     </w:t>
      </w:r>
      <w:r>
        <w:rPr>
          <w:rFonts w:hint="eastAsia" w:cs="宋体"/>
          <w:color w:val="000000"/>
          <w:highlight w:val="none"/>
          <w:lang w:eastAsia="zh-CN"/>
        </w:rPr>
        <w:t>】</w:t>
      </w:r>
      <w:r>
        <w:rPr>
          <w:rFonts w:hint="eastAsia" w:ascii="宋体" w:hAnsi="宋体" w:eastAsia="宋体" w:cs="宋体"/>
          <w:color w:val="000000"/>
          <w:highlight w:val="none"/>
        </w:rPr>
        <w:t>元；</w:t>
      </w:r>
    </w:p>
    <w:p w14:paraId="3CAC9E4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②非诉</w:t>
      </w:r>
      <w:r>
        <w:rPr>
          <w:rFonts w:hint="eastAsia" w:cs="宋体"/>
          <w:color w:val="000000"/>
          <w:highlight w:val="none"/>
          <w:lang w:val="en-US" w:eastAsia="zh-CN"/>
        </w:rPr>
        <w:t>项目</w:t>
      </w:r>
      <w:r>
        <w:rPr>
          <w:rFonts w:hint="eastAsia" w:ascii="宋体" w:hAnsi="宋体" w:eastAsia="宋体" w:cs="宋体"/>
          <w:color w:val="000000"/>
          <w:highlight w:val="none"/>
        </w:rPr>
        <w:t>服务按单价包干方式计价，按“件”计费，中标单价为</w:t>
      </w:r>
      <w:r>
        <w:rPr>
          <w:rFonts w:hint="eastAsia" w:cs="宋体"/>
          <w:color w:val="000000"/>
          <w:highlight w:val="none"/>
          <w:lang w:eastAsia="zh-CN"/>
        </w:rPr>
        <w:t>【</w:t>
      </w:r>
      <w:r>
        <w:rPr>
          <w:rFonts w:hint="eastAsia" w:cs="宋体"/>
          <w:color w:val="000000"/>
          <w:highlight w:val="none"/>
          <w:u w:val="single"/>
          <w:lang w:val="en-US" w:eastAsia="zh-CN"/>
        </w:rPr>
        <w:t xml:space="preserve">     </w:t>
      </w:r>
      <w:r>
        <w:rPr>
          <w:rFonts w:hint="eastAsia" w:cs="宋体"/>
          <w:color w:val="000000"/>
          <w:highlight w:val="none"/>
          <w:lang w:eastAsia="zh-CN"/>
        </w:rPr>
        <w:t>】</w:t>
      </w:r>
      <w:r>
        <w:rPr>
          <w:rFonts w:hint="eastAsia" w:ascii="宋体" w:hAnsi="宋体" w:eastAsia="宋体" w:cs="宋体"/>
          <w:color w:val="000000"/>
          <w:highlight w:val="none"/>
        </w:rPr>
        <w:t>元/件，年度最高限价为</w:t>
      </w:r>
      <w:r>
        <w:rPr>
          <w:rFonts w:hint="eastAsia" w:cs="宋体"/>
          <w:color w:val="000000"/>
          <w:highlight w:val="none"/>
          <w:lang w:eastAsia="zh-CN"/>
        </w:rPr>
        <w:t>【</w:t>
      </w:r>
      <w:r>
        <w:rPr>
          <w:rFonts w:hint="eastAsia" w:cs="宋体"/>
          <w:color w:val="000000"/>
          <w:highlight w:val="none"/>
          <w:u w:val="single"/>
          <w:lang w:val="en-US" w:eastAsia="zh-CN"/>
        </w:rPr>
        <w:t xml:space="preserve">     </w:t>
      </w:r>
      <w:r>
        <w:rPr>
          <w:rFonts w:hint="eastAsia" w:cs="宋体"/>
          <w:color w:val="000000"/>
          <w:highlight w:val="none"/>
          <w:lang w:eastAsia="zh-CN"/>
        </w:rPr>
        <w:t>】</w:t>
      </w:r>
      <w:r>
        <w:rPr>
          <w:rFonts w:hint="eastAsia" w:ascii="宋体" w:hAnsi="宋体" w:eastAsia="宋体" w:cs="宋体"/>
          <w:color w:val="000000"/>
          <w:highlight w:val="none"/>
        </w:rPr>
        <w:t>元；非诉项目服务，实行一案一签委托合同。</w:t>
      </w:r>
    </w:p>
    <w:p w14:paraId="5B56CE6A">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④合同服务期内，费用总价封顶（封顶价为</w:t>
      </w:r>
      <w:r>
        <w:rPr>
          <w:rFonts w:hint="eastAsia" w:cs="宋体"/>
          <w:color w:val="000000"/>
          <w:highlight w:val="none"/>
          <w:lang w:eastAsia="zh-CN"/>
        </w:rPr>
        <w:t>【</w:t>
      </w:r>
      <w:r>
        <w:rPr>
          <w:rFonts w:hint="eastAsia" w:cs="宋体"/>
          <w:color w:val="000000"/>
          <w:highlight w:val="none"/>
          <w:u w:val="single"/>
          <w:lang w:val="en-US" w:eastAsia="zh-CN"/>
        </w:rPr>
        <w:t xml:space="preserve">     </w:t>
      </w:r>
      <w:r>
        <w:rPr>
          <w:rFonts w:hint="eastAsia" w:cs="宋体"/>
          <w:color w:val="000000"/>
          <w:highlight w:val="none"/>
          <w:lang w:eastAsia="zh-CN"/>
        </w:rPr>
        <w:t>】</w:t>
      </w:r>
      <w:r>
        <w:rPr>
          <w:rFonts w:hint="eastAsia" w:ascii="宋体" w:hAnsi="宋体" w:eastAsia="宋体" w:cs="宋体"/>
          <w:color w:val="000000"/>
          <w:highlight w:val="none"/>
        </w:rPr>
        <w:t>元）。费用封顶后，供方应继续提供服务</w:t>
      </w:r>
      <w:r>
        <w:rPr>
          <w:rFonts w:hint="eastAsia" w:cs="宋体"/>
          <w:color w:val="000000"/>
          <w:highlight w:val="none"/>
          <w:lang w:eastAsia="zh-CN"/>
        </w:rPr>
        <w:t>。</w:t>
      </w:r>
      <w:r>
        <w:rPr>
          <w:rFonts w:hint="eastAsia" w:ascii="宋体" w:hAnsi="宋体" w:eastAsia="宋体" w:cs="宋体"/>
          <w:color w:val="000000"/>
          <w:highlight w:val="none"/>
        </w:rPr>
        <w:t>未超过年度费用总价的，按实际费用进行结算后支付。</w:t>
      </w:r>
    </w:p>
    <w:p w14:paraId="4AFBF35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⑤法律服务费用不包含法律事务办理过程中发生的行政、鉴定、评估、拍卖、翻译、公证等费用，上述费用由甲方直接承担。法律服务费用不包含律师代理或办理相关法律事务的差旅费用（包含浙江省内、省外），具体由甲方和乙方另行协商确定承担和支付方式并直接结算。除前述约定外，法律服务费用已包含乙方履行本合同项下义务的费用和税金。</w:t>
      </w:r>
    </w:p>
    <w:p w14:paraId="53064BFA">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ascii="宋体" w:hAnsi="宋体" w:eastAsia="宋体" w:cs="宋体"/>
          <w:color w:val="000000"/>
          <w:highlight w:val="none"/>
        </w:rPr>
        <w:t>三、</w:t>
      </w:r>
      <w:r>
        <w:rPr>
          <w:rFonts w:hint="eastAsia" w:cs="宋体"/>
          <w:color w:val="000000"/>
          <w:highlight w:val="none"/>
          <w:lang w:val="en-US" w:eastAsia="zh-CN"/>
        </w:rPr>
        <w:t>服务对象和服务内容</w:t>
      </w:r>
    </w:p>
    <w:p w14:paraId="2B399631">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cs="宋体"/>
          <w:color w:val="000000"/>
          <w:highlight w:val="none"/>
          <w:lang w:val="en-US" w:eastAsia="zh-CN"/>
        </w:rPr>
        <w:t>1. 年度法律顾问专项提供以下法律服务</w:t>
      </w:r>
    </w:p>
    <w:p w14:paraId="1AE48106">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cs="宋体"/>
          <w:color w:val="000000"/>
          <w:highlight w:val="none"/>
          <w:lang w:val="en-US" w:eastAsia="zh-CN"/>
        </w:rPr>
        <w:t>标项一使用：</w:t>
      </w:r>
    </w:p>
    <w:p w14:paraId="3FC09236">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1</w:t>
      </w:r>
      <w:r>
        <w:rPr>
          <w:rFonts w:hint="eastAsia" w:cs="宋体"/>
          <w:color w:val="000000"/>
          <w:highlight w:val="none"/>
          <w:lang w:eastAsia="zh-CN"/>
        </w:rPr>
        <w:t>）</w:t>
      </w:r>
      <w:r>
        <w:rPr>
          <w:rFonts w:hint="eastAsia" w:cs="宋体"/>
          <w:color w:val="000000"/>
          <w:highlight w:val="none"/>
        </w:rPr>
        <w:t>涵盖业务：集团本级法律事务、物业管理、园区招商运营（信息港七期等园区等）、大宗贸易等。</w:t>
      </w:r>
    </w:p>
    <w:p w14:paraId="1AE21551">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2</w:t>
      </w:r>
      <w:r>
        <w:rPr>
          <w:rFonts w:hint="eastAsia" w:cs="宋体"/>
          <w:color w:val="000000"/>
          <w:highlight w:val="none"/>
          <w:lang w:eastAsia="zh-CN"/>
        </w:rPr>
        <w:t>）</w:t>
      </w:r>
      <w:r>
        <w:rPr>
          <w:rFonts w:hint="eastAsia" w:cs="宋体"/>
          <w:color w:val="000000"/>
          <w:highlight w:val="none"/>
        </w:rPr>
        <w:t>主要涉及公司：集团本级、金开物业、金开置业、金开实业、明怡物产、金开产业公司等。</w:t>
      </w:r>
    </w:p>
    <w:p w14:paraId="7D3B2E2B">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3</w:t>
      </w:r>
      <w:r>
        <w:rPr>
          <w:rFonts w:hint="eastAsia" w:cs="宋体"/>
          <w:color w:val="000000"/>
          <w:highlight w:val="none"/>
          <w:lang w:eastAsia="zh-CN"/>
        </w:rPr>
        <w:t>）</w:t>
      </w:r>
      <w:r>
        <w:rPr>
          <w:rFonts w:hint="eastAsia" w:cs="宋体"/>
          <w:color w:val="000000"/>
          <w:highlight w:val="none"/>
          <w:lang w:val="en-US" w:eastAsia="zh-CN"/>
        </w:rPr>
        <w:t>主要法律服务内容</w:t>
      </w:r>
      <w:r>
        <w:rPr>
          <w:rFonts w:hint="eastAsia" w:cs="宋体"/>
          <w:color w:val="000000"/>
          <w:highlight w:val="none"/>
        </w:rPr>
        <w:t>：</w:t>
      </w:r>
    </w:p>
    <w:p w14:paraId="34CF1BAC">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①</w:t>
      </w:r>
      <w:r>
        <w:rPr>
          <w:rFonts w:hint="eastAsia" w:cs="宋体"/>
          <w:color w:val="000000"/>
          <w:highlight w:val="none"/>
        </w:rPr>
        <w:t>集团本级</w:t>
      </w:r>
      <w:r>
        <w:rPr>
          <w:rFonts w:hint="eastAsia" w:cs="宋体"/>
          <w:color w:val="000000"/>
          <w:highlight w:val="none"/>
          <w:lang w:eastAsia="zh-CN"/>
        </w:rPr>
        <w:t>及涉及下属公司板块一</w:t>
      </w:r>
      <w:r>
        <w:rPr>
          <w:rFonts w:hint="eastAsia" w:cs="宋体"/>
          <w:color w:val="000000"/>
          <w:highlight w:val="none"/>
        </w:rPr>
        <w:t>法律事务的主要处理及其他事务的协助处理；</w:t>
      </w:r>
    </w:p>
    <w:p w14:paraId="0D77B907">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②</w:t>
      </w:r>
      <w:r>
        <w:rPr>
          <w:rFonts w:hint="eastAsia" w:cs="宋体"/>
          <w:color w:val="000000"/>
          <w:highlight w:val="none"/>
        </w:rPr>
        <w:t>合同与合同方管理；</w:t>
      </w:r>
    </w:p>
    <w:p w14:paraId="7F091C69">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③</w:t>
      </w:r>
      <w:r>
        <w:rPr>
          <w:rFonts w:hint="eastAsia" w:cs="宋体"/>
          <w:color w:val="000000"/>
          <w:highlight w:val="none"/>
        </w:rPr>
        <w:t>招商协议风险防控：园区重点企业的落地协议审核；</w:t>
      </w:r>
    </w:p>
    <w:p w14:paraId="2835FD4B">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④</w:t>
      </w:r>
      <w:r>
        <w:rPr>
          <w:rFonts w:hint="eastAsia" w:cs="宋体"/>
          <w:color w:val="000000"/>
          <w:highlight w:val="none"/>
        </w:rPr>
        <w:t>租赁纠纷处置（非诉）：物业板块中商户租金拖欠、解约争议的快速响应；</w:t>
      </w:r>
    </w:p>
    <w:p w14:paraId="41D7772C">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⑤</w:t>
      </w:r>
      <w:r>
        <w:rPr>
          <w:rFonts w:hint="eastAsia" w:cs="宋体"/>
          <w:color w:val="000000"/>
          <w:highlight w:val="none"/>
        </w:rPr>
        <w:t>大宗贸易合同的合规审查；</w:t>
      </w:r>
    </w:p>
    <w:p w14:paraId="0B1EA268">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⑥</w:t>
      </w:r>
      <w:r>
        <w:rPr>
          <w:rFonts w:hint="eastAsia" w:cs="宋体"/>
          <w:color w:val="000000"/>
          <w:highlight w:val="none"/>
        </w:rPr>
        <w:t>知识产权与数据安全（如有）；</w:t>
      </w:r>
    </w:p>
    <w:p w14:paraId="46424C29">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⑦</w:t>
      </w:r>
      <w:r>
        <w:rPr>
          <w:rFonts w:hint="eastAsia" w:cs="宋体"/>
          <w:color w:val="000000"/>
          <w:highlight w:val="none"/>
        </w:rPr>
        <w:t>园区招商中技术秘密保护、物业管理中用户数据合规等；</w:t>
      </w:r>
    </w:p>
    <w:p w14:paraId="65029CC1">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⑧</w:t>
      </w:r>
      <w:r>
        <w:rPr>
          <w:rFonts w:hint="eastAsia" w:cs="宋体"/>
          <w:color w:val="000000"/>
          <w:highlight w:val="none"/>
        </w:rPr>
        <w:t>集采平台的供应链金融协议审查等；</w:t>
      </w:r>
    </w:p>
    <w:p w14:paraId="19FB0F6C">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ascii="宋体" w:hAnsi="宋体" w:eastAsia="宋体" w:cs="宋体"/>
          <w:color w:val="000000"/>
          <w:highlight w:val="none"/>
        </w:rPr>
        <w:t>⑨</w:t>
      </w:r>
      <w:r>
        <w:rPr>
          <w:rFonts w:hint="eastAsia" w:cs="宋体"/>
          <w:color w:val="000000"/>
          <w:highlight w:val="none"/>
        </w:rPr>
        <w:t>其他需要提供服务或协助其他律所的法律事务。</w:t>
      </w:r>
    </w:p>
    <w:p w14:paraId="0DC0CA0E">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cs="宋体"/>
          <w:color w:val="000000"/>
          <w:highlight w:val="none"/>
          <w:lang w:val="en-US" w:eastAsia="zh-CN"/>
        </w:rPr>
        <w:t>标项二使用：</w:t>
      </w:r>
    </w:p>
    <w:p w14:paraId="7E1AAC9A">
      <w:pPr>
        <w:pStyle w:val="25"/>
        <w:shd w:val="clear" w:color="auto" w:fill="auto"/>
        <w:spacing w:line="540" w:lineRule="exact"/>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1）</w:t>
      </w:r>
      <w:r>
        <w:rPr>
          <w:rFonts w:hint="eastAsia" w:cs="宋体"/>
          <w:color w:val="000000"/>
          <w:highlight w:val="none"/>
        </w:rPr>
        <w:t>涵盖业务：战略投资：新能源（充电桩/储能/光伏）、电力智造（智慧电力设备）、生命健康（医学检验中心）等领域的投资；基金投资：产业基金设立与管理、股权投资、并购重组、跨境资本运作；绿色创新：表面处理产业园、渣土资源化、零碳园区开发等。</w:t>
      </w:r>
    </w:p>
    <w:p w14:paraId="1B5299DF">
      <w:pPr>
        <w:pStyle w:val="25"/>
        <w:shd w:val="clear" w:color="auto" w:fill="auto"/>
        <w:spacing w:line="540" w:lineRule="exact"/>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2</w:t>
      </w:r>
      <w:r>
        <w:rPr>
          <w:rFonts w:hint="eastAsia" w:cs="宋体"/>
          <w:color w:val="000000"/>
          <w:highlight w:val="none"/>
          <w:lang w:eastAsia="zh-CN"/>
        </w:rPr>
        <w:t>）</w:t>
      </w:r>
      <w:r>
        <w:rPr>
          <w:rFonts w:hint="eastAsia" w:cs="宋体"/>
          <w:color w:val="000000"/>
          <w:highlight w:val="none"/>
        </w:rPr>
        <w:t>主要涉及公司：集团本级、开电能源、金开实业、医疗管理中心、绿电公司、金开产业公司等。</w:t>
      </w:r>
    </w:p>
    <w:p w14:paraId="6F763E4F">
      <w:pPr>
        <w:pStyle w:val="25"/>
        <w:shd w:val="clear" w:color="auto" w:fill="auto"/>
        <w:spacing w:line="540" w:lineRule="exact"/>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3</w:t>
      </w:r>
      <w:r>
        <w:rPr>
          <w:rFonts w:hint="eastAsia" w:cs="宋体"/>
          <w:color w:val="000000"/>
          <w:highlight w:val="none"/>
          <w:lang w:eastAsia="zh-CN"/>
        </w:rPr>
        <w:t>）</w:t>
      </w:r>
      <w:r>
        <w:rPr>
          <w:rFonts w:hint="eastAsia" w:cs="宋体"/>
          <w:color w:val="000000"/>
          <w:highlight w:val="none"/>
          <w:lang w:val="en-US" w:eastAsia="zh-CN"/>
        </w:rPr>
        <w:t>主要法律服务内容</w:t>
      </w:r>
      <w:r>
        <w:rPr>
          <w:rFonts w:hint="eastAsia" w:cs="宋体"/>
          <w:color w:val="000000"/>
          <w:highlight w:val="none"/>
        </w:rPr>
        <w:t>：</w:t>
      </w:r>
    </w:p>
    <w:p w14:paraId="31B4DF97">
      <w:pPr>
        <w:pStyle w:val="25"/>
        <w:shd w:val="clear" w:color="auto" w:fill="auto"/>
        <w:snapToGrid w:val="0"/>
        <w:spacing w:line="540" w:lineRule="exact"/>
        <w:rPr>
          <w:rFonts w:hint="eastAsia" w:cs="宋体"/>
          <w:color w:val="000000"/>
          <w:highlight w:val="none"/>
        </w:rPr>
      </w:pPr>
      <w:r>
        <w:rPr>
          <w:rFonts w:hint="eastAsia" w:ascii="宋体" w:hAnsi="宋体" w:eastAsia="宋体" w:cs="宋体"/>
          <w:color w:val="000000"/>
          <w:highlight w:val="none"/>
        </w:rPr>
        <w:t>①</w:t>
      </w:r>
      <w:r>
        <w:rPr>
          <w:rFonts w:hint="eastAsia" w:cs="宋体"/>
          <w:color w:val="000000"/>
          <w:highlight w:val="none"/>
        </w:rPr>
        <w:t>集团本级</w:t>
      </w:r>
      <w:r>
        <w:rPr>
          <w:rFonts w:hint="eastAsia" w:cs="宋体"/>
          <w:color w:val="000000"/>
          <w:highlight w:val="none"/>
          <w:lang w:eastAsia="zh-CN"/>
        </w:rPr>
        <w:t>及涉及下属公司板块二</w:t>
      </w:r>
      <w:r>
        <w:rPr>
          <w:rFonts w:hint="eastAsia" w:cs="宋体"/>
          <w:color w:val="000000"/>
          <w:highlight w:val="none"/>
        </w:rPr>
        <w:t>法律事务的主要处理及其他事务的协助处理；</w:t>
      </w:r>
    </w:p>
    <w:p w14:paraId="67A39CA3">
      <w:pPr>
        <w:pStyle w:val="25"/>
        <w:shd w:val="clear" w:color="auto" w:fill="auto"/>
        <w:spacing w:line="540" w:lineRule="exact"/>
        <w:rPr>
          <w:rFonts w:hint="eastAsia" w:cs="宋体"/>
          <w:color w:val="000000"/>
          <w:highlight w:val="none"/>
        </w:rPr>
      </w:pPr>
      <w:r>
        <w:rPr>
          <w:rFonts w:hint="eastAsia" w:ascii="宋体" w:hAnsi="宋体" w:eastAsia="宋体" w:cs="宋体"/>
          <w:color w:val="000000"/>
          <w:highlight w:val="none"/>
        </w:rPr>
        <w:t>②</w:t>
      </w:r>
      <w:r>
        <w:rPr>
          <w:rFonts w:hint="eastAsia" w:cs="宋体"/>
          <w:color w:val="000000"/>
          <w:highlight w:val="none"/>
        </w:rPr>
        <w:t>基金全周期合规管理</w:t>
      </w:r>
    </w:p>
    <w:p w14:paraId="663AF0FA">
      <w:pPr>
        <w:pStyle w:val="25"/>
        <w:shd w:val="clear" w:color="auto" w:fill="auto"/>
        <w:spacing w:line="540" w:lineRule="exact"/>
        <w:rPr>
          <w:rFonts w:hint="eastAsia" w:cs="宋体"/>
          <w:color w:val="000000"/>
          <w:highlight w:val="none"/>
        </w:rPr>
      </w:pPr>
      <w:r>
        <w:rPr>
          <w:rFonts w:hint="eastAsia" w:cs="宋体"/>
          <w:color w:val="000000"/>
          <w:highlight w:val="none"/>
          <w:lang w:eastAsia="zh-CN"/>
        </w:rPr>
        <w:t>A</w:t>
      </w:r>
      <w:r>
        <w:rPr>
          <w:rFonts w:hint="eastAsia" w:cs="宋体"/>
          <w:color w:val="000000"/>
          <w:highlight w:val="none"/>
          <w:lang w:val="en-US" w:eastAsia="zh-CN"/>
        </w:rPr>
        <w:t>.</w:t>
      </w:r>
      <w:r>
        <w:rPr>
          <w:rFonts w:hint="eastAsia" w:cs="宋体"/>
          <w:color w:val="000000"/>
          <w:highlight w:val="none"/>
        </w:rPr>
        <w:t>基金设立：结构设计、投资方向设计等、协议审核、投决会法律支持、退出机制设计（IPO、股权回购等）；</w:t>
      </w:r>
      <w:r>
        <w:rPr>
          <w:rFonts w:hint="eastAsia" w:cs="宋体"/>
          <w:color w:val="000000"/>
          <w:highlight w:val="none"/>
          <w:lang w:eastAsia="zh-CN"/>
        </w:rPr>
        <w:t>B</w:t>
      </w:r>
      <w:r>
        <w:rPr>
          <w:rFonts w:hint="eastAsia" w:cs="宋体"/>
          <w:color w:val="000000"/>
          <w:highlight w:val="none"/>
          <w:lang w:val="en-US" w:eastAsia="zh-CN"/>
        </w:rPr>
        <w:t>.</w:t>
      </w:r>
      <w:r>
        <w:rPr>
          <w:rFonts w:hint="eastAsia" w:cs="宋体"/>
          <w:color w:val="000000"/>
          <w:highlight w:val="none"/>
        </w:rPr>
        <w:t>跨境资本运作（如有）；</w:t>
      </w:r>
      <w:r>
        <w:rPr>
          <w:rFonts w:hint="eastAsia" w:cs="宋体"/>
          <w:color w:val="000000"/>
          <w:highlight w:val="none"/>
          <w:lang w:val="en-US" w:eastAsia="zh-CN"/>
        </w:rPr>
        <w:t>C.</w:t>
      </w:r>
      <w:r>
        <w:rPr>
          <w:rFonts w:hint="eastAsia" w:cs="宋体"/>
          <w:color w:val="000000"/>
          <w:highlight w:val="none"/>
        </w:rPr>
        <w:t>风险防控：利益冲突审查、对赌协议陷阱、国资监管合规等。</w:t>
      </w:r>
    </w:p>
    <w:p w14:paraId="64A248F8">
      <w:pPr>
        <w:pStyle w:val="25"/>
        <w:shd w:val="clear" w:color="auto" w:fill="auto"/>
        <w:spacing w:line="540" w:lineRule="exact"/>
        <w:rPr>
          <w:rFonts w:hint="eastAsia" w:cs="宋体"/>
          <w:color w:val="000000"/>
          <w:highlight w:val="none"/>
        </w:rPr>
      </w:pPr>
      <w:r>
        <w:rPr>
          <w:rFonts w:hint="eastAsia" w:ascii="宋体" w:hAnsi="宋体" w:eastAsia="宋体" w:cs="宋体"/>
          <w:color w:val="000000"/>
          <w:highlight w:val="none"/>
        </w:rPr>
        <w:t>③</w:t>
      </w:r>
      <w:r>
        <w:rPr>
          <w:rFonts w:hint="eastAsia" w:cs="宋体"/>
          <w:color w:val="000000"/>
          <w:highlight w:val="none"/>
        </w:rPr>
        <w:t>新能源项目合规</w:t>
      </w:r>
    </w:p>
    <w:p w14:paraId="6A59793C">
      <w:pPr>
        <w:pStyle w:val="25"/>
        <w:shd w:val="clear" w:color="auto" w:fill="auto"/>
        <w:spacing w:line="540" w:lineRule="exact"/>
        <w:rPr>
          <w:rFonts w:hint="eastAsia" w:cs="宋体"/>
          <w:color w:val="000000"/>
          <w:highlight w:val="none"/>
        </w:rPr>
      </w:pPr>
      <w:r>
        <w:rPr>
          <w:rFonts w:hint="eastAsia" w:cs="宋体"/>
          <w:color w:val="000000"/>
          <w:highlight w:val="none"/>
          <w:lang w:eastAsia="zh-CN"/>
        </w:rPr>
        <w:t>A</w:t>
      </w:r>
      <w:r>
        <w:rPr>
          <w:rFonts w:hint="eastAsia" w:cs="宋体"/>
          <w:color w:val="000000"/>
          <w:highlight w:val="none"/>
          <w:lang w:val="en-US" w:eastAsia="zh-CN"/>
        </w:rPr>
        <w:t>.</w:t>
      </w:r>
      <w:r>
        <w:rPr>
          <w:rFonts w:hint="eastAsia" w:cs="宋体"/>
          <w:color w:val="000000"/>
          <w:highlight w:val="none"/>
        </w:rPr>
        <w:t>储能电站投资风险：电网侧储能项目的协议审核；</w:t>
      </w:r>
      <w:r>
        <w:rPr>
          <w:rFonts w:hint="eastAsia" w:cs="宋体"/>
          <w:color w:val="000000"/>
          <w:highlight w:val="none"/>
          <w:lang w:val="en-US" w:eastAsia="zh-CN"/>
        </w:rPr>
        <w:t>B.</w:t>
      </w:r>
      <w:r>
        <w:rPr>
          <w:rFonts w:hint="eastAsia" w:cs="宋体"/>
          <w:color w:val="000000"/>
          <w:highlight w:val="none"/>
        </w:rPr>
        <w:t>光伏项目合法合规性审查；</w:t>
      </w:r>
      <w:r>
        <w:rPr>
          <w:rFonts w:hint="eastAsia" w:cs="宋体"/>
          <w:color w:val="000000"/>
          <w:highlight w:val="none"/>
          <w:lang w:eastAsia="zh-CN"/>
        </w:rPr>
        <w:t>C</w:t>
      </w:r>
      <w:r>
        <w:rPr>
          <w:rFonts w:hint="eastAsia" w:cs="宋体"/>
          <w:color w:val="000000"/>
          <w:highlight w:val="none"/>
          <w:lang w:val="en-US" w:eastAsia="zh-CN"/>
        </w:rPr>
        <w:t>.</w:t>
      </w:r>
      <w:r>
        <w:rPr>
          <w:rFonts w:hint="eastAsia" w:cs="宋体"/>
          <w:color w:val="000000"/>
          <w:highlight w:val="none"/>
        </w:rPr>
        <w:t>熔盐储能供热项目的法律事务；</w:t>
      </w:r>
      <w:r>
        <w:rPr>
          <w:rFonts w:hint="eastAsia" w:cs="宋体"/>
          <w:color w:val="000000"/>
          <w:highlight w:val="none"/>
          <w:lang w:eastAsia="zh-CN"/>
        </w:rPr>
        <w:t>D</w:t>
      </w:r>
      <w:r>
        <w:rPr>
          <w:rFonts w:hint="eastAsia" w:cs="宋体"/>
          <w:color w:val="000000"/>
          <w:highlight w:val="none"/>
          <w:lang w:val="en-US" w:eastAsia="zh-CN"/>
        </w:rPr>
        <w:t>.</w:t>
      </w:r>
      <w:r>
        <w:rPr>
          <w:rFonts w:hint="eastAsia" w:cs="宋体"/>
          <w:color w:val="000000"/>
          <w:highlight w:val="none"/>
        </w:rPr>
        <w:t>创新技术法律保护：电力智造板块、生命健康板块、环保与碳合规项目等法律框架设计、法律事务处理和咨询；工程合同（条款审查、纠纷处置、项目合同争议、工程款支付争议等）安全合规、2000万以上项目参照国资管理办法出具合法合规性审查。</w:t>
      </w:r>
    </w:p>
    <w:p w14:paraId="3EBC7749">
      <w:pPr>
        <w:pStyle w:val="25"/>
        <w:shd w:val="clear" w:color="auto" w:fill="auto"/>
        <w:spacing w:line="540" w:lineRule="exact"/>
        <w:rPr>
          <w:rFonts w:hint="eastAsia" w:cs="宋体"/>
          <w:color w:val="000000"/>
          <w:highlight w:val="none"/>
          <w:lang w:val="en-US" w:eastAsia="zh-CN"/>
        </w:rPr>
      </w:pPr>
      <w:r>
        <w:rPr>
          <w:rFonts w:hint="eastAsia" w:ascii="宋体" w:hAnsi="宋体" w:eastAsia="宋体" w:cs="宋体"/>
          <w:color w:val="000000"/>
          <w:highlight w:val="none"/>
        </w:rPr>
        <w:t>④</w:t>
      </w:r>
      <w:r>
        <w:rPr>
          <w:rFonts w:hint="eastAsia" w:cs="宋体"/>
          <w:color w:val="000000"/>
          <w:highlight w:val="none"/>
        </w:rPr>
        <w:t>其他需要提供服务或协助其他律所的法律事务。</w:t>
      </w:r>
    </w:p>
    <w:p w14:paraId="3F49B19F">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lang w:val="en-US" w:eastAsia="zh-CN"/>
        </w:rPr>
      </w:pPr>
      <w:r>
        <w:rPr>
          <w:rFonts w:hint="eastAsia" w:cs="宋体"/>
          <w:color w:val="000000"/>
          <w:highlight w:val="none"/>
          <w:lang w:val="en-US" w:eastAsia="zh-CN"/>
        </w:rPr>
        <w:t>标项三使用：</w:t>
      </w:r>
    </w:p>
    <w:p w14:paraId="45E44D0C">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1</w:t>
      </w:r>
      <w:r>
        <w:rPr>
          <w:rFonts w:hint="eastAsia" w:cs="宋体"/>
          <w:color w:val="000000"/>
          <w:highlight w:val="none"/>
          <w:lang w:eastAsia="zh-CN"/>
        </w:rPr>
        <w:t>）</w:t>
      </w:r>
      <w:r>
        <w:rPr>
          <w:rFonts w:hint="eastAsia" w:cs="宋体"/>
          <w:color w:val="000000"/>
          <w:highlight w:val="none"/>
        </w:rPr>
        <w:t>涵盖业务：工程建设项目（政府投资/“千项万亿”项目）、股权合作、土地出让（住宅/商业/工业用地）、房地产开发（住宅/保障/商业综合体及工业地产）等；</w:t>
      </w:r>
    </w:p>
    <w:p w14:paraId="50B7525A">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2</w:t>
      </w:r>
      <w:r>
        <w:rPr>
          <w:rFonts w:hint="eastAsia" w:cs="宋体"/>
          <w:color w:val="000000"/>
          <w:highlight w:val="none"/>
          <w:lang w:eastAsia="zh-CN"/>
        </w:rPr>
        <w:t>）</w:t>
      </w:r>
      <w:r>
        <w:rPr>
          <w:rFonts w:hint="eastAsia" w:cs="宋体"/>
          <w:color w:val="000000"/>
          <w:highlight w:val="none"/>
        </w:rPr>
        <w:t>主要涉及公司：集团本级、经开建发、绿发公司、科技城投开、科创公司、金开置业等。</w:t>
      </w:r>
    </w:p>
    <w:p w14:paraId="27CA2E2E">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w:t>
      </w:r>
      <w:r>
        <w:rPr>
          <w:rFonts w:hint="eastAsia" w:cs="宋体"/>
          <w:color w:val="000000"/>
          <w:highlight w:val="none"/>
          <w:lang w:val="en-US" w:eastAsia="zh-CN"/>
        </w:rPr>
        <w:t>3</w:t>
      </w:r>
      <w:r>
        <w:rPr>
          <w:rFonts w:hint="eastAsia" w:cs="宋体"/>
          <w:color w:val="000000"/>
          <w:highlight w:val="none"/>
          <w:lang w:eastAsia="zh-CN"/>
        </w:rPr>
        <w:t>）</w:t>
      </w:r>
      <w:r>
        <w:rPr>
          <w:rFonts w:hint="eastAsia" w:cs="宋体"/>
          <w:color w:val="000000"/>
          <w:highlight w:val="none"/>
          <w:lang w:val="en-US" w:eastAsia="zh-CN"/>
        </w:rPr>
        <w:t>主要法律服务内容</w:t>
      </w:r>
      <w:r>
        <w:rPr>
          <w:rFonts w:hint="eastAsia" w:cs="宋体"/>
          <w:color w:val="000000"/>
          <w:highlight w:val="none"/>
        </w:rPr>
        <w:t>：</w:t>
      </w:r>
    </w:p>
    <w:p w14:paraId="4B8F3777">
      <w:pPr>
        <w:pStyle w:val="25"/>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cs="宋体"/>
          <w:color w:val="000000"/>
          <w:highlight w:val="none"/>
        </w:rPr>
      </w:pPr>
      <w:r>
        <w:rPr>
          <w:rFonts w:hint="eastAsia" w:ascii="宋体" w:hAnsi="宋体" w:eastAsia="宋体" w:cs="宋体"/>
          <w:color w:val="000000"/>
          <w:highlight w:val="none"/>
        </w:rPr>
        <w:t>①</w:t>
      </w:r>
      <w:r>
        <w:rPr>
          <w:rFonts w:hint="eastAsia" w:cs="宋体"/>
          <w:color w:val="000000"/>
          <w:highlight w:val="none"/>
        </w:rPr>
        <w:t>集团本级</w:t>
      </w:r>
      <w:r>
        <w:rPr>
          <w:rFonts w:hint="eastAsia" w:cs="宋体"/>
          <w:color w:val="000000"/>
          <w:highlight w:val="none"/>
          <w:lang w:eastAsia="zh-CN"/>
        </w:rPr>
        <w:t>及涉及下属公司板块三</w:t>
      </w:r>
      <w:r>
        <w:rPr>
          <w:rFonts w:hint="eastAsia" w:cs="宋体"/>
          <w:color w:val="000000"/>
          <w:highlight w:val="none"/>
        </w:rPr>
        <w:t>法律事务的主要处理及其他事务的协助处理；</w:t>
      </w:r>
    </w:p>
    <w:p w14:paraId="7B2EB62D">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②</w:t>
      </w:r>
      <w:r>
        <w:rPr>
          <w:rFonts w:hint="eastAsia" w:cs="宋体"/>
          <w:color w:val="000000"/>
          <w:highlight w:val="none"/>
        </w:rPr>
        <w:t>合规性管控</w:t>
      </w:r>
    </w:p>
    <w:p w14:paraId="2AE7E553">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A</w:t>
      </w:r>
      <w:r>
        <w:rPr>
          <w:rFonts w:hint="eastAsia" w:cs="宋体"/>
          <w:color w:val="000000"/>
          <w:highlight w:val="none"/>
          <w:lang w:val="en-US" w:eastAsia="zh-CN"/>
        </w:rPr>
        <w:t>.</w:t>
      </w:r>
      <w:r>
        <w:rPr>
          <w:rFonts w:hint="eastAsia" w:cs="宋体"/>
          <w:color w:val="000000"/>
          <w:highlight w:val="none"/>
        </w:rPr>
        <w:t>招投标合规：确保投资项目、建设项目符合《招标投标法》，规避串标、围标风险；</w:t>
      </w:r>
      <w:r>
        <w:rPr>
          <w:rFonts w:hint="eastAsia" w:cs="宋体"/>
          <w:color w:val="000000"/>
          <w:highlight w:val="none"/>
          <w:lang w:eastAsia="zh-CN"/>
        </w:rPr>
        <w:t>B</w:t>
      </w:r>
      <w:r>
        <w:rPr>
          <w:rFonts w:hint="eastAsia" w:cs="宋体"/>
          <w:color w:val="000000"/>
          <w:highlight w:val="none"/>
          <w:lang w:val="en-US" w:eastAsia="zh-CN"/>
        </w:rPr>
        <w:t>.</w:t>
      </w:r>
      <w:r>
        <w:rPr>
          <w:rFonts w:hint="eastAsia" w:cs="宋体"/>
          <w:color w:val="000000"/>
          <w:highlight w:val="none"/>
        </w:rPr>
        <w:t>土地出让程序合法性：地块出让中的权属核查、拆迁安置协议审查；</w:t>
      </w:r>
      <w:r>
        <w:rPr>
          <w:rFonts w:hint="eastAsia" w:cs="宋体"/>
          <w:color w:val="000000"/>
          <w:highlight w:val="none"/>
          <w:lang w:eastAsia="zh-CN"/>
        </w:rPr>
        <w:t>C</w:t>
      </w:r>
      <w:r>
        <w:rPr>
          <w:rFonts w:hint="eastAsia" w:cs="宋体"/>
          <w:color w:val="000000"/>
          <w:highlight w:val="none"/>
          <w:lang w:val="en-US" w:eastAsia="zh-CN"/>
        </w:rPr>
        <w:t>.</w:t>
      </w:r>
      <w:r>
        <w:rPr>
          <w:rFonts w:hint="eastAsia" w:cs="宋体"/>
          <w:color w:val="000000"/>
          <w:highlight w:val="none"/>
        </w:rPr>
        <w:t>环保合规：涉及入园的环评文件审核，规避行政处罚。</w:t>
      </w:r>
    </w:p>
    <w:p w14:paraId="1BC075B7">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③</w:t>
      </w:r>
      <w:r>
        <w:rPr>
          <w:rFonts w:hint="eastAsia" w:cs="宋体"/>
          <w:color w:val="000000"/>
          <w:highlight w:val="none"/>
        </w:rPr>
        <w:t>履约风险管理</w:t>
      </w:r>
    </w:p>
    <w:p w14:paraId="38976CE5">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A</w:t>
      </w:r>
      <w:r>
        <w:rPr>
          <w:rFonts w:hint="eastAsia" w:cs="宋体"/>
          <w:color w:val="000000"/>
          <w:highlight w:val="none"/>
          <w:lang w:val="en-US" w:eastAsia="zh-CN"/>
        </w:rPr>
        <w:t>.</w:t>
      </w:r>
      <w:r>
        <w:rPr>
          <w:rFonts w:hint="eastAsia" w:cs="宋体"/>
          <w:color w:val="000000"/>
          <w:highlight w:val="none"/>
        </w:rPr>
        <w:t>工程合同纠纷处置（项目合同争议、工程款支付争议等）；</w:t>
      </w:r>
      <w:r>
        <w:rPr>
          <w:rFonts w:hint="eastAsia" w:cs="宋体"/>
          <w:color w:val="000000"/>
          <w:highlight w:val="none"/>
          <w:lang w:eastAsia="zh-CN"/>
        </w:rPr>
        <w:t>B</w:t>
      </w:r>
      <w:r>
        <w:rPr>
          <w:rFonts w:hint="eastAsia" w:cs="宋体"/>
          <w:color w:val="000000"/>
          <w:highlight w:val="none"/>
          <w:lang w:val="en-US" w:eastAsia="zh-CN"/>
        </w:rPr>
        <w:t>.</w:t>
      </w:r>
      <w:r>
        <w:rPr>
          <w:rFonts w:hint="eastAsia" w:cs="宋体"/>
          <w:color w:val="000000"/>
          <w:highlight w:val="none"/>
        </w:rPr>
        <w:t>房地产开发中可能出现的预售合规、商品房买卖等法律事务；</w:t>
      </w:r>
      <w:r>
        <w:rPr>
          <w:rFonts w:hint="eastAsia" w:cs="宋体"/>
          <w:color w:val="000000"/>
          <w:highlight w:val="none"/>
          <w:lang w:val="en-US" w:eastAsia="zh-CN"/>
        </w:rPr>
        <w:t>C.</w:t>
      </w:r>
      <w:r>
        <w:rPr>
          <w:rFonts w:hint="eastAsia" w:cs="宋体"/>
          <w:color w:val="000000"/>
          <w:highlight w:val="none"/>
        </w:rPr>
        <w:t>上述项目可能涉及的信访、应急事件处理。</w:t>
      </w:r>
    </w:p>
    <w:p w14:paraId="76D6A984">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④</w:t>
      </w:r>
      <w:r>
        <w:rPr>
          <w:rFonts w:hint="eastAsia" w:cs="宋体"/>
          <w:color w:val="000000"/>
          <w:highlight w:val="none"/>
        </w:rPr>
        <w:t>非诉项目专项服务</w:t>
      </w:r>
    </w:p>
    <w:p w14:paraId="24366149">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lang w:eastAsia="zh-CN"/>
        </w:rPr>
        <w:t>A</w:t>
      </w:r>
      <w:r>
        <w:rPr>
          <w:rFonts w:hint="eastAsia" w:cs="宋体"/>
          <w:color w:val="000000"/>
          <w:highlight w:val="none"/>
          <w:lang w:val="en-US" w:eastAsia="zh-CN"/>
        </w:rPr>
        <w:t>.</w:t>
      </w:r>
      <w:r>
        <w:rPr>
          <w:rFonts w:hint="eastAsia" w:cs="宋体"/>
          <w:color w:val="000000"/>
          <w:highlight w:val="none"/>
        </w:rPr>
        <w:t>“千项万亿”项目的全流程法律支持：立项合规性审查、用地审批、融资协议风险审核；</w:t>
      </w:r>
      <w:r>
        <w:rPr>
          <w:rFonts w:hint="eastAsia" w:cs="宋体"/>
          <w:color w:val="000000"/>
          <w:highlight w:val="none"/>
          <w:lang w:eastAsia="zh-CN"/>
        </w:rPr>
        <w:t>B</w:t>
      </w:r>
      <w:r>
        <w:rPr>
          <w:rFonts w:hint="eastAsia" w:cs="宋体"/>
          <w:color w:val="000000"/>
          <w:highlight w:val="none"/>
          <w:lang w:val="en-US" w:eastAsia="zh-CN"/>
        </w:rPr>
        <w:t>.</w:t>
      </w:r>
      <w:r>
        <w:rPr>
          <w:rFonts w:hint="eastAsia" w:cs="宋体"/>
          <w:color w:val="000000"/>
          <w:highlight w:val="none"/>
        </w:rPr>
        <w:t>新开工项目的应急预案设计，突发安全事故责任界定、保险索赔等。</w:t>
      </w:r>
    </w:p>
    <w:p w14:paraId="4CE4D506">
      <w:pPr>
        <w:pStyle w:val="16"/>
        <w:ind w:firstLine="480" w:firstLineChars="200"/>
        <w:rPr>
          <w:rFonts w:hint="eastAsia" w:ascii="宋体" w:hAnsi="宋体" w:eastAsia="宋体" w:cs="宋体"/>
          <w:b w:val="0"/>
          <w:bCs w:val="0"/>
          <w:snapToGrid/>
          <w:kern w:val="2"/>
          <w:sz w:val="24"/>
          <w:szCs w:val="24"/>
          <w:highlight w:val="none"/>
        </w:rPr>
      </w:pPr>
      <w:r>
        <w:rPr>
          <w:rFonts w:hint="eastAsia" w:ascii="宋体" w:hAnsi="宋体" w:eastAsia="宋体" w:cs="宋体"/>
          <w:snapToGrid/>
          <w:color w:val="000000"/>
          <w:kern w:val="2"/>
          <w:sz w:val="24"/>
          <w:szCs w:val="24"/>
          <w:highlight w:val="none"/>
        </w:rPr>
        <w:t>⑤其他需要提供服务或协助其他律所的法律事务。</w:t>
      </w:r>
    </w:p>
    <w:p w14:paraId="370887D2">
      <w:pPr>
        <w:pStyle w:val="16"/>
        <w:ind w:firstLine="480" w:firstLineChars="200"/>
        <w:rPr>
          <w:rFonts w:hint="eastAsia" w:hAnsi="宋体" w:eastAsia="宋体" w:cs="宋体"/>
          <w:b w:val="0"/>
          <w:bCs w:val="0"/>
          <w:snapToGrid/>
          <w:kern w:val="2"/>
          <w:sz w:val="24"/>
          <w:szCs w:val="24"/>
          <w:highlight w:val="none"/>
          <w:lang w:eastAsia="zh-CN"/>
        </w:rPr>
      </w:pPr>
      <w:r>
        <w:rPr>
          <w:rFonts w:hint="eastAsia" w:hAnsi="宋体" w:cs="宋体"/>
          <w:b w:val="0"/>
          <w:bCs w:val="0"/>
          <w:snapToGrid/>
          <w:kern w:val="2"/>
          <w:sz w:val="24"/>
          <w:szCs w:val="24"/>
          <w:highlight w:val="none"/>
          <w:lang w:val="en-US" w:eastAsia="zh-CN"/>
        </w:rPr>
        <w:t>2. 年度法律顾问</w:t>
      </w:r>
      <w:r>
        <w:rPr>
          <w:rFonts w:hint="eastAsia" w:hAnsi="宋体" w:cs="宋体"/>
          <w:b w:val="0"/>
          <w:bCs w:val="0"/>
          <w:snapToGrid/>
          <w:kern w:val="2"/>
          <w:sz w:val="24"/>
          <w:szCs w:val="24"/>
          <w:highlight w:val="none"/>
        </w:rPr>
        <w:t>协同提供以下法律服务</w:t>
      </w:r>
      <w:r>
        <w:rPr>
          <w:rFonts w:hint="eastAsia" w:hAnsi="宋体" w:cs="宋体"/>
          <w:b w:val="0"/>
          <w:bCs w:val="0"/>
          <w:snapToGrid/>
          <w:kern w:val="2"/>
          <w:sz w:val="24"/>
          <w:szCs w:val="24"/>
          <w:highlight w:val="none"/>
          <w:lang w:eastAsia="zh-CN"/>
        </w:rPr>
        <w:t>：</w:t>
      </w:r>
    </w:p>
    <w:p w14:paraId="417541AC">
      <w:pPr>
        <w:pStyle w:val="16"/>
        <w:ind w:firstLine="480" w:firstLineChars="200"/>
        <w:rPr>
          <w:rFonts w:hint="eastAsia" w:hAnsi="宋体" w:cs="宋体"/>
          <w:b w:val="0"/>
          <w:bCs w:val="0"/>
          <w:snapToGrid/>
          <w:kern w:val="2"/>
          <w:sz w:val="24"/>
          <w:szCs w:val="24"/>
          <w:highlight w:val="none"/>
        </w:rPr>
      </w:pP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lang w:val="en-US" w:eastAsia="zh-CN"/>
        </w:rPr>
        <w:t>1</w:t>
      </w: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日常运营与合规管理</w:t>
      </w:r>
    </w:p>
    <w:p w14:paraId="17E57276">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①</w:t>
      </w:r>
      <w:r>
        <w:rPr>
          <w:rFonts w:hint="eastAsia" w:hAnsi="宋体" w:cs="宋体"/>
          <w:b w:val="0"/>
          <w:bCs w:val="0"/>
          <w:snapToGrid/>
          <w:kern w:val="2"/>
          <w:sz w:val="24"/>
          <w:szCs w:val="24"/>
          <w:highlight w:val="none"/>
        </w:rPr>
        <w:t>合同审核与管理：起草、审查各类合同（采购、投资、劳务等），协助</w:t>
      </w:r>
      <w:r>
        <w:rPr>
          <w:rFonts w:hint="eastAsia" w:hAnsi="宋体" w:cs="宋体"/>
          <w:b w:val="0"/>
          <w:bCs w:val="0"/>
          <w:snapToGrid/>
          <w:kern w:val="2"/>
          <w:sz w:val="24"/>
          <w:szCs w:val="24"/>
          <w:highlight w:val="none"/>
          <w:lang w:eastAsia="zh-CN"/>
        </w:rPr>
        <w:t>需方</w:t>
      </w:r>
      <w:r>
        <w:rPr>
          <w:rFonts w:hint="eastAsia" w:hAnsi="宋体" w:cs="宋体"/>
          <w:b w:val="0"/>
          <w:bCs w:val="0"/>
          <w:snapToGrid/>
          <w:kern w:val="2"/>
          <w:sz w:val="24"/>
          <w:szCs w:val="24"/>
          <w:highlight w:val="none"/>
        </w:rPr>
        <w:t>制定标准模板、建立合同履行风险防控机制、跟踪履约情况。</w:t>
      </w:r>
    </w:p>
    <w:p w14:paraId="71CF0A73">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②</w:t>
      </w:r>
      <w:r>
        <w:rPr>
          <w:rFonts w:hint="eastAsia" w:hAnsi="宋体" w:cs="宋体"/>
          <w:b w:val="0"/>
          <w:bCs w:val="0"/>
          <w:snapToGrid/>
          <w:kern w:val="2"/>
          <w:sz w:val="24"/>
          <w:szCs w:val="24"/>
          <w:highlight w:val="none"/>
        </w:rPr>
        <w:t>规章制度建设：协助</w:t>
      </w:r>
      <w:r>
        <w:rPr>
          <w:rFonts w:hint="eastAsia" w:hAnsi="宋体" w:cs="宋体"/>
          <w:b w:val="0"/>
          <w:bCs w:val="0"/>
          <w:snapToGrid/>
          <w:kern w:val="2"/>
          <w:sz w:val="24"/>
          <w:szCs w:val="24"/>
          <w:highlight w:val="none"/>
          <w:lang w:eastAsia="zh-CN"/>
        </w:rPr>
        <w:t>需方</w:t>
      </w:r>
      <w:r>
        <w:rPr>
          <w:rFonts w:hint="eastAsia" w:hAnsi="宋体" w:cs="宋体"/>
          <w:b w:val="0"/>
          <w:bCs w:val="0"/>
          <w:snapToGrid/>
          <w:kern w:val="2"/>
          <w:sz w:val="24"/>
          <w:szCs w:val="24"/>
          <w:highlight w:val="none"/>
        </w:rPr>
        <w:t>审查内部制度合法性，修正法律漏洞。</w:t>
      </w:r>
    </w:p>
    <w:p w14:paraId="69AABF3F">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③</w:t>
      </w:r>
      <w:r>
        <w:rPr>
          <w:rFonts w:hint="eastAsia" w:hAnsi="宋体" w:cs="宋体"/>
          <w:b w:val="0"/>
          <w:bCs w:val="0"/>
          <w:snapToGrid/>
          <w:kern w:val="2"/>
          <w:sz w:val="24"/>
          <w:szCs w:val="24"/>
          <w:highlight w:val="none"/>
        </w:rPr>
        <w:t>设计合规流程：如印章管理、合同审批等。</w:t>
      </w:r>
    </w:p>
    <w:p w14:paraId="330AE49F">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④</w:t>
      </w:r>
      <w:r>
        <w:rPr>
          <w:rFonts w:hint="eastAsia" w:hAnsi="宋体" w:cs="宋体"/>
          <w:b w:val="0"/>
          <w:bCs w:val="0"/>
          <w:snapToGrid/>
          <w:kern w:val="2"/>
          <w:sz w:val="24"/>
          <w:szCs w:val="24"/>
          <w:highlight w:val="none"/>
        </w:rPr>
        <w:t>法律咨询与培训：实时解答日常经营法律问题（如劳动用工、商业合作）；开展专题培训，其中高管合规培训每年至少2次，内容涵盖国资监管法律法规、证券法（若涉及上市）等；员工法律培训每年至少1次，需针对重点岗位（如招投标、合同管理）开展培训及合规测试。</w:t>
      </w:r>
    </w:p>
    <w:p w14:paraId="0AA0C8AA">
      <w:pPr>
        <w:pStyle w:val="16"/>
        <w:ind w:firstLine="480" w:firstLineChars="200"/>
        <w:rPr>
          <w:rFonts w:hint="eastAsia" w:hAnsi="宋体" w:cs="宋体"/>
          <w:b w:val="0"/>
          <w:bCs w:val="0"/>
          <w:snapToGrid/>
          <w:kern w:val="2"/>
          <w:sz w:val="24"/>
          <w:szCs w:val="24"/>
          <w:highlight w:val="none"/>
        </w:rPr>
      </w:pP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lang w:val="en-US" w:eastAsia="zh-CN"/>
        </w:rPr>
        <w:t>2</w:t>
      </w: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风险防控与合规监管</w:t>
      </w:r>
    </w:p>
    <w:p w14:paraId="62B9A6AF">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①</w:t>
      </w:r>
      <w:r>
        <w:rPr>
          <w:rFonts w:hint="eastAsia" w:hAnsi="宋体" w:cs="宋体"/>
          <w:b w:val="0"/>
          <w:bCs w:val="0"/>
          <w:snapToGrid/>
          <w:kern w:val="2"/>
          <w:sz w:val="24"/>
          <w:szCs w:val="24"/>
          <w:highlight w:val="none"/>
        </w:rPr>
        <w:t>合规审查：经营合规性评估（如广告宣传、数据安全）。应对监管检查，制定风险预案。</w:t>
      </w:r>
    </w:p>
    <w:p w14:paraId="12EA6D09">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②</w:t>
      </w:r>
      <w:r>
        <w:rPr>
          <w:rFonts w:hint="eastAsia" w:hAnsi="宋体" w:cs="宋体"/>
          <w:b w:val="0"/>
          <w:bCs w:val="0"/>
          <w:snapToGrid/>
          <w:kern w:val="2"/>
          <w:sz w:val="24"/>
          <w:szCs w:val="24"/>
          <w:highlight w:val="none"/>
        </w:rPr>
        <w:t>法律体检与预警：定期对公司治理、资产管理等模块进行风险扫描，出具整改方案。监控政策法规变动（如行业新规），及时预警。</w:t>
      </w:r>
    </w:p>
    <w:p w14:paraId="290538E1">
      <w:pPr>
        <w:pStyle w:val="16"/>
        <w:ind w:firstLine="480" w:firstLineChars="200"/>
        <w:rPr>
          <w:rFonts w:hint="eastAsia" w:hAnsi="宋体" w:cs="宋体"/>
          <w:b w:val="0"/>
          <w:bCs w:val="0"/>
          <w:snapToGrid/>
          <w:kern w:val="2"/>
          <w:sz w:val="24"/>
          <w:szCs w:val="24"/>
          <w:highlight w:val="none"/>
        </w:rPr>
      </w:pP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3</w:t>
      </w: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专项事务支持​​</w:t>
      </w:r>
    </w:p>
    <w:p w14:paraId="213EF8F1">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①</w:t>
      </w:r>
      <w:r>
        <w:rPr>
          <w:rFonts w:hint="eastAsia" w:hAnsi="宋体" w:cs="宋体"/>
          <w:b w:val="0"/>
          <w:bCs w:val="0"/>
          <w:snapToGrid/>
          <w:kern w:val="2"/>
          <w:sz w:val="24"/>
          <w:szCs w:val="24"/>
          <w:highlight w:val="none"/>
        </w:rPr>
        <w:t>投融资：尽职调查、交易结构设计、文件起草（股权收购、资产重组），企业合并/分立、破产清算法律支持。</w:t>
      </w:r>
    </w:p>
    <w:p w14:paraId="11FF9215">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②</w:t>
      </w:r>
      <w:r>
        <w:rPr>
          <w:rFonts w:hint="eastAsia" w:hAnsi="宋体" w:cs="宋体"/>
          <w:b w:val="0"/>
          <w:bCs w:val="0"/>
          <w:snapToGrid/>
          <w:kern w:val="2"/>
          <w:sz w:val="24"/>
          <w:szCs w:val="24"/>
          <w:highlight w:val="none"/>
        </w:rPr>
        <w:t>税务与财务合规：税务筹划咨询。</w:t>
      </w:r>
    </w:p>
    <w:p w14:paraId="53AF22B5">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③</w:t>
      </w:r>
      <w:r>
        <w:rPr>
          <w:rFonts w:hint="eastAsia" w:hAnsi="宋体" w:cs="宋体"/>
          <w:b w:val="0"/>
          <w:bCs w:val="0"/>
          <w:snapToGrid/>
          <w:kern w:val="2"/>
          <w:sz w:val="24"/>
          <w:szCs w:val="24"/>
          <w:highlight w:val="none"/>
        </w:rPr>
        <w:t>集团战略中各板块的专项法律事务。</w:t>
      </w:r>
    </w:p>
    <w:p w14:paraId="3E58FA38">
      <w:pPr>
        <w:pStyle w:val="16"/>
        <w:ind w:firstLine="480" w:firstLineChars="200"/>
        <w:rPr>
          <w:rFonts w:hint="eastAsia" w:hAnsi="宋体" w:cs="宋体"/>
          <w:b w:val="0"/>
          <w:bCs w:val="0"/>
          <w:snapToGrid/>
          <w:kern w:val="2"/>
          <w:sz w:val="24"/>
          <w:szCs w:val="24"/>
          <w:highlight w:val="none"/>
        </w:rPr>
      </w:pP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4</w:t>
      </w: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争议解决与危机应对​​</w:t>
      </w:r>
    </w:p>
    <w:p w14:paraId="43828141">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①</w:t>
      </w:r>
      <w:r>
        <w:rPr>
          <w:rFonts w:hint="eastAsia" w:hAnsi="宋体" w:cs="宋体"/>
          <w:b w:val="0"/>
          <w:bCs w:val="0"/>
          <w:snapToGrid/>
          <w:kern w:val="2"/>
          <w:sz w:val="24"/>
          <w:szCs w:val="24"/>
          <w:highlight w:val="none"/>
        </w:rPr>
        <w:t>诉讼与仲裁前期处理：民商事纠纷（合同违约、账款催收、知识产权侵权）、劳动争议等纠纷的前期处理，与诉讼代理人做好衔接。</w:t>
      </w:r>
    </w:p>
    <w:p w14:paraId="1C1EFD60">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②</w:t>
      </w:r>
      <w:r>
        <w:rPr>
          <w:rFonts w:hint="eastAsia" w:hAnsi="宋体" w:cs="宋体"/>
          <w:b w:val="0"/>
          <w:bCs w:val="0"/>
          <w:snapToGrid/>
          <w:kern w:val="2"/>
          <w:sz w:val="24"/>
          <w:szCs w:val="24"/>
          <w:highlight w:val="none"/>
        </w:rPr>
        <w:t>突发公共事件：制定《危机管理预案》，覆盖环保处罚、安全生产事故等场景。</w:t>
      </w:r>
    </w:p>
    <w:p w14:paraId="7BB33A68">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③</w:t>
      </w:r>
      <w:r>
        <w:rPr>
          <w:rFonts w:hint="eastAsia" w:hAnsi="宋体" w:cs="宋体"/>
          <w:b w:val="0"/>
          <w:bCs w:val="0"/>
          <w:snapToGrid/>
          <w:kern w:val="2"/>
          <w:sz w:val="24"/>
          <w:szCs w:val="24"/>
          <w:highlight w:val="none"/>
        </w:rPr>
        <w:t>规范沟通机制，避免引发信访、群体性事件。</w:t>
      </w:r>
    </w:p>
    <w:p w14:paraId="2749485C">
      <w:pPr>
        <w:pStyle w:val="16"/>
        <w:ind w:firstLine="480" w:firstLineChars="200"/>
        <w:rPr>
          <w:rFonts w:hint="eastAsia" w:hAnsi="宋体" w:cs="宋体"/>
          <w:b w:val="0"/>
          <w:bCs w:val="0"/>
          <w:snapToGrid/>
          <w:kern w:val="2"/>
          <w:sz w:val="24"/>
          <w:szCs w:val="24"/>
          <w:highlight w:val="none"/>
        </w:rPr>
      </w:pPr>
      <w:r>
        <w:rPr>
          <w:rFonts w:hint="eastAsia" w:hAnsi="宋体" w:cs="宋体"/>
          <w:b w:val="0"/>
          <w:bCs w:val="0"/>
          <w:snapToGrid/>
          <w:kern w:val="2"/>
          <w:sz w:val="24"/>
          <w:szCs w:val="24"/>
          <w:highlight w:val="none"/>
          <w:lang w:eastAsia="zh-CN"/>
        </w:rPr>
        <w:t>（5）</w:t>
      </w:r>
      <w:r>
        <w:rPr>
          <w:rFonts w:hint="eastAsia" w:hAnsi="宋体" w:cs="宋体"/>
          <w:b w:val="0"/>
          <w:bCs w:val="0"/>
          <w:snapToGrid/>
          <w:kern w:val="2"/>
          <w:sz w:val="24"/>
          <w:szCs w:val="24"/>
          <w:highlight w:val="none"/>
        </w:rPr>
        <w:t>公司治理与战略支持​​</w:t>
      </w:r>
    </w:p>
    <w:p w14:paraId="3DFAB4A6">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①</w:t>
      </w:r>
      <w:r>
        <w:rPr>
          <w:rFonts w:hint="eastAsia" w:hAnsi="宋体" w:cs="宋体"/>
          <w:b w:val="0"/>
          <w:bCs w:val="0"/>
          <w:snapToGrid/>
          <w:kern w:val="2"/>
          <w:sz w:val="24"/>
          <w:szCs w:val="24"/>
          <w:highlight w:val="none"/>
        </w:rPr>
        <w:t>治理结构优化：设计股权架构、公司章程，规范下属参股公司股东会、董事会运作。</w:t>
      </w:r>
    </w:p>
    <w:p w14:paraId="2A7582B0">
      <w:pPr>
        <w:pStyle w:val="16"/>
        <w:ind w:firstLine="480" w:firstLineChars="200"/>
        <w:rPr>
          <w:rFonts w:hint="eastAsia" w:hAnsi="宋体" w:cs="宋体"/>
          <w:b w:val="0"/>
          <w:bCs w:val="0"/>
          <w:snapToGrid/>
          <w:kern w:val="2"/>
          <w:sz w:val="24"/>
          <w:szCs w:val="24"/>
          <w:highlight w:val="none"/>
        </w:rPr>
      </w:pPr>
      <w:r>
        <w:rPr>
          <w:rFonts w:hint="eastAsia" w:ascii="宋体" w:hAnsi="宋体" w:eastAsia="宋体" w:cs="宋体"/>
          <w:b w:val="0"/>
          <w:bCs w:val="0"/>
          <w:snapToGrid/>
          <w:kern w:val="2"/>
          <w:sz w:val="24"/>
          <w:szCs w:val="24"/>
          <w:highlight w:val="none"/>
        </w:rPr>
        <w:t>②</w:t>
      </w:r>
      <w:r>
        <w:rPr>
          <w:rFonts w:hint="eastAsia" w:hAnsi="宋体" w:cs="宋体"/>
          <w:b w:val="0"/>
          <w:bCs w:val="0"/>
          <w:snapToGrid/>
          <w:kern w:val="2"/>
          <w:sz w:val="24"/>
          <w:szCs w:val="24"/>
          <w:highlight w:val="none"/>
        </w:rPr>
        <w:t>重大决策支持：列席经营会议，对投资、并购等重大决策进行法律论证。参与商务谈判，制定风险控制策略。</w:t>
      </w:r>
    </w:p>
    <w:p w14:paraId="65F59736">
      <w:pPr>
        <w:pStyle w:val="16"/>
        <w:ind w:firstLine="480" w:firstLineChars="200"/>
        <w:rPr>
          <w:rFonts w:hint="eastAsia" w:hAnsi="宋体" w:cs="宋体"/>
          <w:b w:val="0"/>
          <w:bCs w:val="0"/>
          <w:snapToGrid/>
          <w:kern w:val="2"/>
          <w:sz w:val="24"/>
          <w:szCs w:val="24"/>
          <w:highlight w:val="none"/>
          <w:lang w:val="en-US" w:eastAsia="zh-CN"/>
        </w:rPr>
      </w:pPr>
      <w:r>
        <w:rPr>
          <w:rFonts w:hint="eastAsia" w:hAnsi="宋体" w:cs="宋体"/>
          <w:b w:val="0"/>
          <w:bCs w:val="0"/>
          <w:snapToGrid/>
          <w:kern w:val="2"/>
          <w:sz w:val="24"/>
          <w:szCs w:val="24"/>
          <w:highlight w:val="none"/>
          <w:lang w:eastAsia="zh-CN"/>
        </w:rPr>
        <w:t>（</w:t>
      </w:r>
      <w:r>
        <w:rPr>
          <w:rFonts w:hint="eastAsia" w:hAnsi="宋体" w:cs="宋体"/>
          <w:b w:val="0"/>
          <w:bCs w:val="0"/>
          <w:snapToGrid/>
          <w:kern w:val="2"/>
          <w:sz w:val="24"/>
          <w:szCs w:val="24"/>
          <w:highlight w:val="none"/>
        </w:rPr>
        <w:t>6</w:t>
      </w:r>
      <w:r>
        <w:rPr>
          <w:rFonts w:hint="eastAsia" w:hAnsi="宋体" w:cs="宋体"/>
          <w:b w:val="0"/>
          <w:bCs w:val="0"/>
          <w:snapToGrid/>
          <w:kern w:val="2"/>
          <w:sz w:val="24"/>
          <w:szCs w:val="24"/>
          <w:highlight w:val="none"/>
          <w:lang w:eastAsia="zh-CN"/>
        </w:rPr>
        <w:t>）需方</w:t>
      </w:r>
      <w:r>
        <w:rPr>
          <w:rFonts w:hint="eastAsia" w:hAnsi="宋体" w:cs="宋体"/>
          <w:b w:val="0"/>
          <w:bCs w:val="0"/>
          <w:snapToGrid/>
          <w:kern w:val="2"/>
          <w:sz w:val="24"/>
          <w:szCs w:val="24"/>
          <w:highlight w:val="none"/>
        </w:rPr>
        <w:t>所需的其他法律支持、关键风险提示：如土地出让违规风险；新能源项目安全责任；招标文件条款风险等。</w:t>
      </w:r>
    </w:p>
    <w:p w14:paraId="7DF7EEC2">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四、</w:t>
      </w:r>
      <w:r>
        <w:rPr>
          <w:rFonts w:hint="eastAsia" w:ascii="宋体" w:hAnsi="宋体" w:eastAsia="宋体" w:cs="宋体"/>
          <w:color w:val="000000"/>
          <w:highlight w:val="none"/>
        </w:rPr>
        <w:t>服务要求和工作方式</w:t>
      </w:r>
    </w:p>
    <w:p w14:paraId="239900E3">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（一）服务要求</w:t>
      </w:r>
    </w:p>
    <w:p w14:paraId="1D1A838B">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ascii="宋体" w:hAnsi="宋体" w:eastAsia="宋体" w:cs="宋体"/>
          <w:color w:val="000000"/>
          <w:highlight w:val="none"/>
        </w:rPr>
        <w:t>1.</w:t>
      </w:r>
      <w:r>
        <w:rPr>
          <w:rFonts w:hint="eastAsia" w:cs="宋体"/>
          <w:color w:val="000000"/>
          <w:highlight w:val="none"/>
        </w:rPr>
        <w:t>合规与风控管理：各方面全流程风险防控。</w:t>
      </w:r>
    </w:p>
    <w:p w14:paraId="00DE104A">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rPr>
        <w:t>2.日常法律支持：普通咨询24小时内回复，紧急事务2小时内响应并到场；普通合同12小时内反馈，重大合同48小时内反馈，并出具合法性审核意见或书面法律意见书，完成台账梳理；法律培训与指导：年度法治宣传、舆情应对培训；内部法务、业务人员业务指导。</w:t>
      </w:r>
    </w:p>
    <w:p w14:paraId="7D5423A7">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rPr>
        <w:t>3.非诉项目支持服务：项目全流程合规支持，按照</w:t>
      </w:r>
      <w:r>
        <w:rPr>
          <w:rFonts w:hint="eastAsia" w:cs="宋体"/>
          <w:color w:val="000000"/>
          <w:highlight w:val="none"/>
          <w:lang w:eastAsia="zh-CN"/>
        </w:rPr>
        <w:t>需方</w:t>
      </w:r>
      <w:r>
        <w:rPr>
          <w:rFonts w:hint="eastAsia" w:cs="宋体"/>
          <w:color w:val="000000"/>
          <w:highlight w:val="none"/>
        </w:rPr>
        <w:t>要求完成任务，并配合出具法律意见书。</w:t>
      </w:r>
    </w:p>
    <w:p w14:paraId="3478CF4B">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rPr>
        <w:t>4.跨板块协同服务：主导标项内业务，协助其他标项法律事务（如基金投资合规辅助等），跨标项服务由</w:t>
      </w:r>
      <w:r>
        <w:rPr>
          <w:rFonts w:hint="eastAsia" w:cs="宋体"/>
          <w:color w:val="000000"/>
          <w:highlight w:val="none"/>
          <w:lang w:eastAsia="zh-CN"/>
        </w:rPr>
        <w:t>需方</w:t>
      </w:r>
      <w:r>
        <w:rPr>
          <w:rFonts w:hint="eastAsia" w:cs="宋体"/>
          <w:color w:val="000000"/>
          <w:highlight w:val="none"/>
        </w:rPr>
        <w:t>明确主责方与辅助方，联席会议等协同推进工作由</w:t>
      </w:r>
      <w:r>
        <w:rPr>
          <w:rFonts w:hint="eastAsia" w:cs="宋体"/>
          <w:color w:val="000000"/>
          <w:highlight w:val="none"/>
          <w:lang w:eastAsia="zh-CN"/>
        </w:rPr>
        <w:t>需方</w:t>
      </w:r>
      <w:r>
        <w:rPr>
          <w:rFonts w:hint="eastAsia" w:cs="宋体"/>
          <w:color w:val="000000"/>
          <w:highlight w:val="none"/>
        </w:rPr>
        <w:t>主办，主责方统筹处理。如招商项目需要律所提供服务的，由标项</w:t>
      </w:r>
      <w:r>
        <w:rPr>
          <w:rFonts w:hint="eastAsia" w:cs="宋体"/>
          <w:color w:val="000000"/>
          <w:highlight w:val="none"/>
          <w:lang w:eastAsia="zh-CN"/>
        </w:rPr>
        <w:t>一</w:t>
      </w:r>
      <w:r>
        <w:rPr>
          <w:rFonts w:hint="eastAsia" w:cs="宋体"/>
          <w:color w:val="000000"/>
          <w:highlight w:val="none"/>
        </w:rPr>
        <w:t>成交供应商主导，投资类律师辅助融资合规等。</w:t>
      </w:r>
    </w:p>
    <w:p w14:paraId="508CF34E">
      <w:pPr>
        <w:pStyle w:val="25"/>
        <w:pageBreakBefore w:val="0"/>
        <w:shd w:val="clear" w:color="auto" w:fill="auto"/>
        <w:kinsoku/>
        <w:wordWrap/>
        <w:overflowPunct/>
        <w:topLinePunct w:val="0"/>
        <w:bidi w:val="0"/>
        <w:snapToGrid w:val="0"/>
        <w:spacing w:beforeAutospacing="0" w:line="540" w:lineRule="exact"/>
        <w:textAlignment w:val="auto"/>
        <w:rPr>
          <w:rFonts w:hint="eastAsia" w:cs="宋体"/>
          <w:color w:val="000000"/>
          <w:highlight w:val="none"/>
        </w:rPr>
      </w:pPr>
      <w:r>
        <w:rPr>
          <w:rFonts w:hint="eastAsia" w:cs="宋体"/>
          <w:color w:val="000000"/>
          <w:highlight w:val="none"/>
        </w:rPr>
        <w:t>5.保密与利益冲突禁止：不得泄露国家秘密、商业秘密</w:t>
      </w:r>
      <w:r>
        <w:rPr>
          <w:rFonts w:hint="eastAsia" w:cs="宋体"/>
          <w:color w:val="000000"/>
          <w:highlight w:val="none"/>
          <w:lang w:eastAsia="zh-CN"/>
        </w:rPr>
        <w:t>，</w:t>
      </w:r>
      <w:r>
        <w:rPr>
          <w:rFonts w:hint="eastAsia" w:ascii="宋体" w:hAnsi="宋体" w:eastAsia="宋体" w:cs="宋体"/>
          <w:color w:val="000000"/>
          <w:highlight w:val="none"/>
        </w:rPr>
        <w:t>保守提供服务过程中知悉的国家秘密、商业秘密、个人隐私，未经集团书面同意，不得通过任何形式披露涉及集团的资料、证据、案件或事件情况</w:t>
      </w:r>
      <w:r>
        <w:rPr>
          <w:rFonts w:hint="eastAsia" w:cs="宋体"/>
          <w:color w:val="000000"/>
          <w:highlight w:val="none"/>
        </w:rPr>
        <w:t>；不得代理与集团</w:t>
      </w:r>
      <w:r>
        <w:rPr>
          <w:rFonts w:hint="eastAsia" w:cs="宋体"/>
          <w:color w:val="000000"/>
          <w:highlight w:val="none"/>
          <w:lang w:eastAsia="zh-CN"/>
        </w:rPr>
        <w:t>、</w:t>
      </w:r>
      <w:r>
        <w:rPr>
          <w:rFonts w:hint="eastAsia" w:cs="宋体"/>
          <w:color w:val="000000"/>
          <w:highlight w:val="none"/>
          <w:lang w:val="en-US" w:eastAsia="zh-CN"/>
        </w:rPr>
        <w:t>服务对象</w:t>
      </w:r>
      <w:r>
        <w:rPr>
          <w:rFonts w:hint="eastAsia" w:cs="宋体"/>
          <w:color w:val="000000"/>
          <w:highlight w:val="none"/>
        </w:rPr>
        <w:t>有利害关系的案件。</w:t>
      </w:r>
    </w:p>
    <w:p w14:paraId="5B605A4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6</w:t>
      </w:r>
      <w:r>
        <w:rPr>
          <w:rFonts w:hint="eastAsia" w:cs="宋体"/>
          <w:color w:val="000000"/>
          <w:highlight w:val="none"/>
        </w:rPr>
        <w:t>.团队稳定性：固定指派10人以上</w:t>
      </w:r>
      <w:r>
        <w:rPr>
          <w:rFonts w:hint="eastAsia" w:cs="宋体"/>
          <w:color w:val="000000"/>
          <w:highlight w:val="none"/>
          <w:lang w:val="en-US" w:eastAsia="zh-CN"/>
        </w:rPr>
        <w:t>但是不超过15人的</w:t>
      </w:r>
      <w:r>
        <w:rPr>
          <w:rFonts w:hint="eastAsia" w:cs="宋体"/>
          <w:color w:val="000000"/>
          <w:highlight w:val="none"/>
        </w:rPr>
        <w:t>团队（含1名5年以上经验负责人</w:t>
      </w:r>
      <w:r>
        <w:rPr>
          <w:rFonts w:hint="eastAsia" w:cs="宋体"/>
          <w:color w:val="000000"/>
          <w:highlight w:val="none"/>
          <w:lang w:eastAsia="zh-CN"/>
        </w:rPr>
        <w:t>，</w:t>
      </w:r>
      <w:r>
        <w:rPr>
          <w:rFonts w:hint="eastAsia" w:ascii="宋体" w:hAnsi="宋体" w:eastAsia="宋体" w:cs="宋体"/>
          <w:color w:val="000000"/>
          <w:highlight w:val="none"/>
        </w:rPr>
        <w:t>成员</w:t>
      </w:r>
      <w:r>
        <w:rPr>
          <w:rFonts w:hint="eastAsia" w:cs="宋体"/>
          <w:color w:val="000000"/>
          <w:highlight w:val="none"/>
          <w:lang w:val="en-US" w:eastAsia="zh-CN"/>
        </w:rPr>
        <w:t>清单详见附件</w:t>
      </w:r>
      <w:r>
        <w:rPr>
          <w:rFonts w:hint="eastAsia" w:cs="宋体"/>
          <w:color w:val="000000"/>
          <w:highlight w:val="none"/>
        </w:rPr>
        <w:t>），指派需含通识律师，以及根据不同标项需求细分的专业领域律师，未经同意不得更换。</w:t>
      </w:r>
      <w:r>
        <w:rPr>
          <w:rFonts w:hint="eastAsia" w:ascii="宋体" w:hAnsi="宋体" w:eastAsia="宋体" w:cs="宋体"/>
          <w:color w:val="000000"/>
          <w:highlight w:val="none"/>
        </w:rPr>
        <w:t>对于未达到需方或服务对象要求的指派人员，经书面通知后，供方需在一个月内进行更换，更换的指派人员应符合需方或服务对象工作要求。</w:t>
      </w:r>
    </w:p>
    <w:p w14:paraId="208BC7F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7</w:t>
      </w:r>
      <w:r>
        <w:rPr>
          <w:rFonts w:hint="eastAsia" w:ascii="宋体" w:hAnsi="宋体" w:eastAsia="宋体" w:cs="宋体"/>
          <w:color w:val="000000"/>
          <w:highlight w:val="none"/>
        </w:rPr>
        <w:t>. 不得以集团</w:t>
      </w:r>
      <w:r>
        <w:rPr>
          <w:rFonts w:hint="eastAsia" w:cs="宋体"/>
          <w:color w:val="000000"/>
          <w:highlight w:val="none"/>
          <w:lang w:eastAsia="zh-CN"/>
        </w:rPr>
        <w:t>、</w:t>
      </w:r>
      <w:r>
        <w:rPr>
          <w:rFonts w:hint="eastAsia" w:cs="宋体"/>
          <w:color w:val="000000"/>
          <w:highlight w:val="none"/>
          <w:lang w:val="en-US" w:eastAsia="zh-CN"/>
        </w:rPr>
        <w:t>服务对象</w:t>
      </w:r>
      <w:r>
        <w:rPr>
          <w:rFonts w:hint="eastAsia" w:ascii="宋体" w:hAnsi="宋体" w:eastAsia="宋体" w:cs="宋体"/>
          <w:color w:val="000000"/>
          <w:highlight w:val="none"/>
        </w:rPr>
        <w:t>法律顾问名义招揽或开展相关业务；</w:t>
      </w:r>
    </w:p>
    <w:p w14:paraId="71F1C79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8</w:t>
      </w:r>
      <w:r>
        <w:rPr>
          <w:rFonts w:hint="eastAsia" w:ascii="宋体" w:hAnsi="宋体" w:eastAsia="宋体" w:cs="宋体"/>
          <w:color w:val="000000"/>
          <w:highlight w:val="none"/>
        </w:rPr>
        <w:t>. 不得利用集团</w:t>
      </w:r>
      <w:r>
        <w:rPr>
          <w:rFonts w:hint="eastAsia" w:cs="宋体"/>
          <w:color w:val="000000"/>
          <w:highlight w:val="none"/>
          <w:lang w:eastAsia="zh-CN"/>
        </w:rPr>
        <w:t>、</w:t>
      </w:r>
      <w:r>
        <w:rPr>
          <w:rFonts w:hint="eastAsia" w:cs="宋体"/>
          <w:color w:val="000000"/>
          <w:highlight w:val="none"/>
          <w:lang w:val="en-US" w:eastAsia="zh-CN"/>
        </w:rPr>
        <w:t>服务对象</w:t>
      </w:r>
      <w:r>
        <w:rPr>
          <w:rFonts w:hint="eastAsia" w:ascii="宋体" w:hAnsi="宋体" w:eastAsia="宋体" w:cs="宋体"/>
          <w:color w:val="000000"/>
          <w:highlight w:val="none"/>
        </w:rPr>
        <w:t>法律顾问工作便利，为本人或他人牟取不正当利益；</w:t>
      </w:r>
    </w:p>
    <w:p w14:paraId="39AD567A">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9</w:t>
      </w:r>
      <w:r>
        <w:rPr>
          <w:rFonts w:hint="eastAsia" w:ascii="宋体" w:hAnsi="宋体" w:eastAsia="宋体" w:cs="宋体"/>
          <w:color w:val="000000"/>
          <w:highlight w:val="none"/>
        </w:rPr>
        <w:t>. 不得从事其他有损集团</w:t>
      </w:r>
      <w:r>
        <w:rPr>
          <w:rFonts w:hint="eastAsia" w:cs="宋体"/>
          <w:color w:val="000000"/>
          <w:highlight w:val="none"/>
          <w:lang w:eastAsia="zh-CN"/>
        </w:rPr>
        <w:t>、</w:t>
      </w:r>
      <w:r>
        <w:rPr>
          <w:rFonts w:hint="eastAsia" w:cs="宋体"/>
          <w:color w:val="000000"/>
          <w:highlight w:val="none"/>
          <w:lang w:val="en-US" w:eastAsia="zh-CN"/>
        </w:rPr>
        <w:t>服务对象</w:t>
      </w:r>
      <w:r>
        <w:rPr>
          <w:rFonts w:hint="eastAsia" w:ascii="宋体" w:hAnsi="宋体" w:eastAsia="宋体" w:cs="宋体"/>
          <w:color w:val="000000"/>
          <w:highlight w:val="none"/>
        </w:rPr>
        <w:t>利益或形象的活动；</w:t>
      </w:r>
    </w:p>
    <w:p w14:paraId="58ACC4A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10</w:t>
      </w:r>
      <w:r>
        <w:rPr>
          <w:rFonts w:hint="eastAsia" w:ascii="宋体" w:hAnsi="宋体" w:eastAsia="宋体" w:cs="宋体"/>
          <w:color w:val="000000"/>
          <w:highlight w:val="none"/>
        </w:rPr>
        <w:t>. 遵守相关法律、法规的规定；</w:t>
      </w:r>
    </w:p>
    <w:p w14:paraId="6A711241">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11</w:t>
      </w:r>
      <w:r>
        <w:rPr>
          <w:rFonts w:hint="eastAsia" w:ascii="宋体" w:hAnsi="宋体" w:eastAsia="宋体" w:cs="宋体"/>
          <w:color w:val="000000"/>
          <w:highlight w:val="none"/>
        </w:rPr>
        <w:t>. 未尽事宜，以集团</w:t>
      </w:r>
      <w:r>
        <w:rPr>
          <w:rFonts w:hint="eastAsia" w:cs="宋体"/>
          <w:color w:val="000000"/>
          <w:highlight w:val="none"/>
          <w:lang w:eastAsia="zh-CN"/>
        </w:rPr>
        <w:t>、</w:t>
      </w:r>
      <w:r>
        <w:rPr>
          <w:rFonts w:hint="eastAsia" w:cs="宋体"/>
          <w:color w:val="000000"/>
          <w:highlight w:val="none"/>
          <w:lang w:val="en-US" w:eastAsia="zh-CN"/>
        </w:rPr>
        <w:t>服务对象</w:t>
      </w:r>
      <w:r>
        <w:rPr>
          <w:rFonts w:hint="eastAsia" w:ascii="宋体" w:hAnsi="宋体" w:eastAsia="宋体" w:cs="宋体"/>
          <w:color w:val="000000"/>
          <w:highlight w:val="none"/>
        </w:rPr>
        <w:t>要求为准。</w:t>
      </w:r>
    </w:p>
    <w:p w14:paraId="08705EA3">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cs="宋体"/>
          <w:color w:val="000000"/>
          <w:highlight w:val="none"/>
          <w:lang w:val="en-US" w:eastAsia="zh-CN"/>
        </w:rPr>
        <w:t>二</w:t>
      </w:r>
      <w:r>
        <w:rPr>
          <w:rFonts w:hint="eastAsia" w:ascii="宋体" w:hAnsi="宋体" w:eastAsia="宋体" w:cs="宋体"/>
          <w:color w:val="000000"/>
          <w:highlight w:val="none"/>
        </w:rPr>
        <w:t>）工作方式</w:t>
      </w:r>
    </w:p>
    <w:p w14:paraId="38988F0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 以电话、电子邮件、网络视频、文书、参加会议、现场办公等方式及时处理</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交办事务；</w:t>
      </w:r>
    </w:p>
    <w:p w14:paraId="45D71FE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 按</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要求及授权，代理</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有关法律事务；</w:t>
      </w:r>
    </w:p>
    <w:p w14:paraId="1D31035E">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3. </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需要律师协助工作时，可随时通讯联系。</w:t>
      </w:r>
    </w:p>
    <w:p w14:paraId="35D8E1B7">
      <w:pPr>
        <w:pStyle w:val="16"/>
        <w:ind w:firstLine="480" w:firstLineChars="200"/>
        <w:rPr>
          <w:rFonts w:hint="eastAsia" w:hAnsi="宋体" w:cs="宋体"/>
          <w:snapToGrid/>
          <w:kern w:val="2"/>
          <w:sz w:val="24"/>
          <w:szCs w:val="24"/>
          <w:highlight w:val="none"/>
        </w:rPr>
      </w:pPr>
      <w:r>
        <w:rPr>
          <w:rFonts w:hint="eastAsia" w:hAnsi="宋体" w:cs="宋体"/>
          <w:snapToGrid/>
          <w:kern w:val="2"/>
          <w:sz w:val="24"/>
          <w:szCs w:val="24"/>
          <w:highlight w:val="none"/>
        </w:rPr>
        <w:t>服务采用线上/线下结合方式，每月团队负责人至少1次现场交流，其他人员至少2次现场办公（需承诺函）。</w:t>
      </w:r>
    </w:p>
    <w:p w14:paraId="7ED3FAF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eastAsia="zh-CN"/>
        </w:rPr>
        <w:t>（</w:t>
      </w:r>
      <w:r>
        <w:rPr>
          <w:rFonts w:hint="eastAsia" w:cs="宋体"/>
          <w:color w:val="000000"/>
          <w:highlight w:val="none"/>
          <w:lang w:val="en-US" w:eastAsia="zh-CN"/>
        </w:rPr>
        <w:t>三</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保密要求</w:t>
      </w:r>
    </w:p>
    <w:p w14:paraId="4DDE82D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供方</w:t>
      </w:r>
      <w:r>
        <w:rPr>
          <w:rFonts w:hint="eastAsia" w:ascii="宋体" w:hAnsi="宋体" w:eastAsia="宋体" w:cs="宋体"/>
          <w:color w:val="000000"/>
          <w:highlight w:val="none"/>
        </w:rPr>
        <w:t>未经</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书面同意，不得以任何形式向其他任何单位和个人披露或使用被审核项目的相关信息或资料，更不得对外提供、泄露或公开审核任务的有关情况。如因</w:t>
      </w:r>
      <w:r>
        <w:rPr>
          <w:rFonts w:hint="eastAsia" w:ascii="宋体" w:hAnsi="宋体" w:eastAsia="宋体" w:cs="宋体"/>
          <w:color w:val="000000"/>
          <w:highlight w:val="none"/>
          <w:lang w:val="en-US" w:eastAsia="zh-CN"/>
        </w:rPr>
        <w:t>供方</w:t>
      </w:r>
      <w:r>
        <w:rPr>
          <w:rFonts w:hint="eastAsia" w:ascii="宋体" w:hAnsi="宋体" w:eastAsia="宋体" w:cs="宋体"/>
          <w:color w:val="000000"/>
          <w:highlight w:val="none"/>
        </w:rPr>
        <w:t>违反本条款，</w:t>
      </w:r>
      <w:r>
        <w:rPr>
          <w:rFonts w:hint="eastAsia" w:ascii="宋体" w:hAnsi="宋体" w:eastAsia="宋体" w:cs="宋体"/>
          <w:color w:val="000000"/>
          <w:highlight w:val="none"/>
          <w:lang w:val="en-US" w:eastAsia="zh-CN"/>
        </w:rPr>
        <w:t>供方</w:t>
      </w:r>
      <w:r>
        <w:rPr>
          <w:rFonts w:hint="eastAsia" w:ascii="宋体" w:hAnsi="宋体" w:eastAsia="宋体" w:cs="宋体"/>
          <w:color w:val="000000"/>
          <w:highlight w:val="none"/>
        </w:rPr>
        <w:t>应承担由此导致的一切责任，如造成</w:t>
      </w:r>
      <w:r>
        <w:rPr>
          <w:rFonts w:hint="eastAsia" w:ascii="宋体" w:hAnsi="宋体" w:eastAsia="宋体" w:cs="宋体"/>
          <w:color w:val="000000"/>
          <w:highlight w:val="none"/>
          <w:lang w:val="en-US" w:eastAsia="zh-CN"/>
        </w:rPr>
        <w:t>需方</w:t>
      </w:r>
      <w:r>
        <w:rPr>
          <w:rFonts w:hint="eastAsia" w:ascii="宋体" w:hAnsi="宋体" w:eastAsia="宋体" w:cs="宋体"/>
          <w:color w:val="000000"/>
          <w:highlight w:val="none"/>
        </w:rPr>
        <w:t>损失，</w:t>
      </w:r>
      <w:r>
        <w:rPr>
          <w:rFonts w:hint="eastAsia" w:ascii="宋体" w:hAnsi="宋体" w:eastAsia="宋体" w:cs="宋体"/>
          <w:color w:val="000000"/>
          <w:highlight w:val="none"/>
          <w:lang w:val="en-US" w:eastAsia="zh-CN"/>
        </w:rPr>
        <w:t>供方</w:t>
      </w:r>
      <w:r>
        <w:rPr>
          <w:rFonts w:hint="eastAsia" w:ascii="宋体" w:hAnsi="宋体" w:eastAsia="宋体" w:cs="宋体"/>
          <w:color w:val="000000"/>
          <w:highlight w:val="none"/>
        </w:rPr>
        <w:t>应承担相应的经济赔偿。</w:t>
      </w:r>
    </w:p>
    <w:p w14:paraId="069F08F0">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五</w:t>
      </w:r>
      <w:r>
        <w:rPr>
          <w:rFonts w:hint="eastAsia" w:ascii="宋体" w:hAnsi="宋体" w:eastAsia="宋体" w:cs="宋体"/>
          <w:color w:val="000000"/>
          <w:highlight w:val="none"/>
        </w:rPr>
        <w:t>、服务期：合同签订之日起1年。服务地点：需方指定地点。</w:t>
      </w:r>
    </w:p>
    <w:p w14:paraId="494CB0B1">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六</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服务费用</w:t>
      </w:r>
      <w:r>
        <w:rPr>
          <w:rFonts w:hint="eastAsia" w:ascii="宋体" w:hAnsi="宋体" w:eastAsia="宋体" w:cs="宋体"/>
          <w:color w:val="000000"/>
          <w:highlight w:val="none"/>
        </w:rPr>
        <w:t>支付</w:t>
      </w:r>
    </w:p>
    <w:p w14:paraId="671CDE95">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付款方式：</w:t>
      </w:r>
    </w:p>
    <w:p w14:paraId="23A2FAB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（1）法律顾问基础服务费分四期支付</w:t>
      </w:r>
      <w:r>
        <w:rPr>
          <w:rFonts w:hint="eastAsia" w:cs="宋体"/>
          <w:color w:val="000000"/>
          <w:highlight w:val="none"/>
          <w:lang w:eastAsia="zh-CN"/>
        </w:rPr>
        <w:t>：</w:t>
      </w:r>
      <w:r>
        <w:rPr>
          <w:rFonts w:hint="eastAsia" w:cs="宋体"/>
          <w:color w:val="000000"/>
          <w:highlight w:val="none"/>
          <w:lang w:val="en-US" w:eastAsia="zh-CN"/>
        </w:rPr>
        <w:t>本</w:t>
      </w:r>
      <w:r>
        <w:rPr>
          <w:rFonts w:hint="eastAsia" w:ascii="宋体" w:hAnsi="宋体" w:eastAsia="宋体" w:cs="宋体"/>
          <w:color w:val="000000"/>
          <w:highlight w:val="none"/>
        </w:rPr>
        <w:t>合同生效、每个季度完成考核、具备实施条件</w:t>
      </w:r>
      <w:r>
        <w:rPr>
          <w:rFonts w:hint="eastAsia" w:cs="宋体"/>
          <w:color w:val="000000"/>
          <w:highlight w:val="none"/>
          <w:lang w:val="en-US" w:eastAsia="zh-CN"/>
        </w:rPr>
        <w:t>且供方开具发票</w:t>
      </w:r>
      <w:r>
        <w:rPr>
          <w:rFonts w:hint="eastAsia" w:ascii="宋体" w:hAnsi="宋体" w:eastAsia="宋体" w:cs="宋体"/>
          <w:color w:val="000000"/>
          <w:highlight w:val="none"/>
        </w:rPr>
        <w:t>10个工作日内，</w:t>
      </w:r>
      <w:r>
        <w:rPr>
          <w:rFonts w:hint="eastAsia" w:ascii="宋体" w:hAnsi="宋体" w:eastAsia="宋体" w:cs="宋体"/>
          <w:color w:val="000000"/>
          <w:highlight w:val="none"/>
          <w:lang w:eastAsia="zh-CN"/>
        </w:rPr>
        <w:t>需方</w:t>
      </w:r>
      <w:r>
        <w:rPr>
          <w:rFonts w:hint="eastAsia" w:ascii="宋体" w:hAnsi="宋体" w:eastAsia="宋体" w:cs="宋体"/>
          <w:color w:val="000000"/>
          <w:highlight w:val="none"/>
        </w:rPr>
        <w:t>向</w:t>
      </w:r>
      <w:r>
        <w:rPr>
          <w:rFonts w:hint="eastAsia" w:ascii="宋体" w:hAnsi="宋体" w:eastAsia="宋体" w:cs="宋体"/>
          <w:color w:val="000000"/>
          <w:highlight w:val="none"/>
          <w:lang w:val="en-US" w:eastAsia="zh-CN"/>
        </w:rPr>
        <w:t>供方</w:t>
      </w:r>
      <w:r>
        <w:rPr>
          <w:rFonts w:hint="eastAsia" w:ascii="宋体" w:hAnsi="宋体" w:eastAsia="宋体" w:cs="宋体"/>
          <w:color w:val="000000"/>
          <w:highlight w:val="none"/>
        </w:rPr>
        <w:t>支付</w:t>
      </w:r>
      <w:r>
        <w:rPr>
          <w:rFonts w:hint="eastAsia" w:cs="宋体"/>
          <w:color w:val="000000"/>
          <w:highlight w:val="none"/>
        </w:rPr>
        <w:t>法律顾问基础服务费</w:t>
      </w:r>
      <w:r>
        <w:rPr>
          <w:rFonts w:hint="eastAsia" w:ascii="宋体" w:hAnsi="宋体" w:eastAsia="宋体" w:cs="宋体"/>
          <w:color w:val="000000"/>
          <w:highlight w:val="none"/>
        </w:rPr>
        <w:t>；</w:t>
      </w:r>
    </w:p>
    <w:p w14:paraId="6854EE48">
      <w:pPr>
        <w:pStyle w:val="16"/>
        <w:keepNext w:val="0"/>
        <w:keepLines w:val="0"/>
        <w:pageBreakBefore w:val="0"/>
        <w:widowControl/>
        <w:kinsoku/>
        <w:wordWrap/>
        <w:overflowPunct/>
        <w:topLinePunct w:val="0"/>
        <w:autoSpaceDE/>
        <w:autoSpaceDN/>
        <w:bidi w:val="0"/>
        <w:adjustRightInd w:val="0"/>
        <w:snapToGrid w:val="0"/>
        <w:spacing w:beforeAutospacing="0" w:line="540" w:lineRule="exact"/>
        <w:ind w:left="0" w:leftChars="0" w:firstLine="480" w:firstLineChars="200"/>
        <w:textAlignment w:val="auto"/>
        <w:rPr>
          <w:rFonts w:hint="eastAsia" w:ascii="宋体" w:hAnsi="宋体" w:eastAsia="宋体" w:cs="宋体"/>
          <w:snapToGrid/>
          <w:color w:val="000000"/>
          <w:kern w:val="2"/>
          <w:sz w:val="24"/>
          <w:szCs w:val="24"/>
          <w:highlight w:val="none"/>
          <w:lang w:val="en-US" w:eastAsia="zh-CN" w:bidi="ar-SA"/>
        </w:rPr>
      </w:pPr>
      <w:r>
        <w:rPr>
          <w:rFonts w:hint="eastAsia" w:ascii="宋体" w:hAnsi="宋体" w:eastAsia="宋体" w:cs="宋体"/>
          <w:snapToGrid/>
          <w:color w:val="000000"/>
          <w:kern w:val="2"/>
          <w:sz w:val="24"/>
          <w:szCs w:val="24"/>
          <w:highlight w:val="none"/>
        </w:rPr>
        <w:t>（2）</w:t>
      </w:r>
      <w:r>
        <w:rPr>
          <w:rFonts w:hint="eastAsia" w:hAnsi="宋体" w:cs="宋体"/>
          <w:snapToGrid/>
          <w:color w:val="000000"/>
          <w:kern w:val="2"/>
          <w:sz w:val="24"/>
          <w:szCs w:val="24"/>
          <w:highlight w:val="none"/>
        </w:rPr>
        <w:t>非诉项目一案一签代理合同，服务费根据服务单价，经</w:t>
      </w:r>
      <w:r>
        <w:rPr>
          <w:rFonts w:hint="eastAsia" w:hAnsi="宋体" w:cs="宋体"/>
          <w:snapToGrid/>
          <w:color w:val="000000"/>
          <w:kern w:val="2"/>
          <w:sz w:val="24"/>
          <w:szCs w:val="24"/>
          <w:highlight w:val="none"/>
          <w:lang w:val="en-US" w:eastAsia="zh-CN"/>
        </w:rPr>
        <w:t>需方</w:t>
      </w:r>
      <w:r>
        <w:rPr>
          <w:rFonts w:hint="eastAsia" w:hAnsi="宋体" w:cs="宋体"/>
          <w:snapToGrid/>
          <w:color w:val="000000"/>
          <w:kern w:val="2"/>
          <w:sz w:val="24"/>
          <w:szCs w:val="24"/>
          <w:highlight w:val="none"/>
        </w:rPr>
        <w:t>完成对中标人每一项目的考核</w:t>
      </w:r>
      <w:r>
        <w:rPr>
          <w:rFonts w:hint="eastAsia" w:hAnsi="宋体" w:cs="宋体"/>
          <w:snapToGrid/>
          <w:color w:val="000000"/>
          <w:kern w:val="2"/>
          <w:sz w:val="24"/>
          <w:szCs w:val="24"/>
          <w:highlight w:val="none"/>
          <w:lang w:eastAsia="zh-CN"/>
        </w:rPr>
        <w:t>、</w:t>
      </w:r>
      <w:r>
        <w:rPr>
          <w:rFonts w:hint="eastAsia" w:hAnsi="宋体" w:cs="宋体"/>
          <w:snapToGrid/>
          <w:color w:val="000000"/>
          <w:kern w:val="2"/>
          <w:sz w:val="24"/>
          <w:szCs w:val="24"/>
          <w:highlight w:val="none"/>
        </w:rPr>
        <w:t>具备付款实施条件</w:t>
      </w:r>
      <w:r>
        <w:rPr>
          <w:rFonts w:hint="eastAsia" w:hAnsi="宋体" w:cs="宋体"/>
          <w:snapToGrid/>
          <w:color w:val="000000"/>
          <w:kern w:val="2"/>
          <w:sz w:val="24"/>
          <w:szCs w:val="24"/>
          <w:highlight w:val="none"/>
          <w:lang w:val="en-US" w:eastAsia="zh-CN"/>
        </w:rPr>
        <w:t>且供方开具发票</w:t>
      </w:r>
      <w:r>
        <w:rPr>
          <w:rFonts w:hint="eastAsia" w:hAnsi="宋体" w:cs="宋体"/>
          <w:snapToGrid/>
          <w:color w:val="000000"/>
          <w:kern w:val="2"/>
          <w:sz w:val="24"/>
          <w:szCs w:val="24"/>
          <w:highlight w:val="none"/>
        </w:rPr>
        <w:t>15日内，一次性结算该项目费用</w:t>
      </w:r>
      <w:r>
        <w:rPr>
          <w:rFonts w:hint="eastAsia" w:hAnsi="宋体" w:cs="宋体"/>
          <w:snapToGrid/>
          <w:color w:val="000000"/>
          <w:kern w:val="2"/>
          <w:sz w:val="24"/>
          <w:szCs w:val="24"/>
          <w:highlight w:val="none"/>
          <w:lang w:eastAsia="zh-CN"/>
        </w:rPr>
        <w:t>。</w:t>
      </w:r>
    </w:p>
    <w:p w14:paraId="06E31D08">
      <w:pPr>
        <w:pStyle w:val="16"/>
        <w:keepNext w:val="0"/>
        <w:keepLines w:val="0"/>
        <w:pageBreakBefore w:val="0"/>
        <w:widowControl/>
        <w:kinsoku/>
        <w:wordWrap/>
        <w:overflowPunct/>
        <w:topLinePunct w:val="0"/>
        <w:autoSpaceDE/>
        <w:autoSpaceDN/>
        <w:bidi w:val="0"/>
        <w:adjustRightInd w:val="0"/>
        <w:snapToGrid w:val="0"/>
        <w:spacing w:beforeAutospacing="0" w:line="540" w:lineRule="exact"/>
        <w:ind w:left="0" w:leftChars="0" w:firstLine="480" w:firstLineChars="200"/>
        <w:textAlignment w:val="auto"/>
        <w:rPr>
          <w:rFonts w:hint="default" w:ascii="宋体" w:hAnsi="宋体" w:eastAsia="宋体" w:cs="宋体"/>
          <w:snapToGrid/>
          <w:color w:val="000000"/>
          <w:kern w:val="2"/>
          <w:sz w:val="24"/>
          <w:szCs w:val="24"/>
          <w:highlight w:val="none"/>
          <w:lang w:val="en-US" w:eastAsia="zh-CN" w:bidi="ar-SA"/>
        </w:rPr>
      </w:pPr>
      <w:r>
        <w:rPr>
          <w:rFonts w:hint="eastAsia" w:hAnsi="宋体" w:cs="宋体"/>
          <w:snapToGrid/>
          <w:color w:val="000000"/>
          <w:kern w:val="2"/>
          <w:sz w:val="24"/>
          <w:szCs w:val="24"/>
          <w:highlight w:val="none"/>
          <w:lang w:val="en-US" w:eastAsia="zh-CN" w:bidi="ar-SA"/>
        </w:rPr>
        <w:t>（3）</w:t>
      </w:r>
      <w:r>
        <w:rPr>
          <w:rFonts w:hint="eastAsia" w:ascii="宋体" w:hAnsi="宋体" w:eastAsia="宋体" w:cs="宋体"/>
          <w:snapToGrid/>
          <w:color w:val="000000"/>
          <w:kern w:val="2"/>
          <w:sz w:val="24"/>
          <w:szCs w:val="24"/>
          <w:highlight w:val="none"/>
          <w:lang w:val="en-US" w:eastAsia="zh-CN" w:bidi="ar-SA"/>
        </w:rPr>
        <w:t>需方有权按照考核依据对供方服务进行考核</w:t>
      </w:r>
      <w:r>
        <w:rPr>
          <w:rFonts w:hint="eastAsia" w:hAnsi="宋体" w:cs="宋体"/>
          <w:snapToGrid/>
          <w:color w:val="000000"/>
          <w:kern w:val="2"/>
          <w:sz w:val="24"/>
          <w:szCs w:val="24"/>
          <w:highlight w:val="none"/>
          <w:lang w:val="en-US" w:eastAsia="zh-CN" w:bidi="ar-SA"/>
        </w:rPr>
        <w:t>，具体考核细则在合同中约定</w:t>
      </w:r>
      <w:r>
        <w:rPr>
          <w:rFonts w:hint="eastAsia" w:ascii="宋体" w:hAnsi="宋体" w:eastAsia="宋体" w:cs="宋体"/>
          <w:snapToGrid/>
          <w:color w:val="000000"/>
          <w:kern w:val="2"/>
          <w:sz w:val="24"/>
          <w:szCs w:val="24"/>
          <w:highlight w:val="none"/>
          <w:lang w:val="en-US" w:eastAsia="zh-CN" w:bidi="ar-SA"/>
        </w:rPr>
        <w:t>。</w:t>
      </w:r>
      <w:r>
        <w:rPr>
          <w:rFonts w:hint="eastAsia" w:hAnsi="宋体" w:cs="宋体"/>
          <w:snapToGrid/>
          <w:color w:val="000000"/>
          <w:kern w:val="2"/>
          <w:sz w:val="24"/>
          <w:szCs w:val="24"/>
          <w:highlight w:val="none"/>
          <w:lang w:val="en-US" w:eastAsia="zh-CN" w:bidi="ar-SA"/>
        </w:rPr>
        <w:t>供方</w:t>
      </w:r>
      <w:r>
        <w:rPr>
          <w:rFonts w:hint="eastAsia" w:ascii="宋体" w:hAnsi="宋体" w:eastAsia="宋体" w:cs="宋体"/>
          <w:snapToGrid/>
          <w:color w:val="000000"/>
          <w:kern w:val="2"/>
          <w:sz w:val="24"/>
          <w:szCs w:val="24"/>
          <w:highlight w:val="none"/>
          <w:lang w:val="en-US" w:eastAsia="zh-CN" w:bidi="ar-SA"/>
        </w:rPr>
        <w:t>原则上应接受</w:t>
      </w:r>
      <w:r>
        <w:rPr>
          <w:rFonts w:hint="eastAsia" w:hAnsi="宋体" w:cs="宋体"/>
          <w:snapToGrid/>
          <w:color w:val="000000"/>
          <w:kern w:val="2"/>
          <w:sz w:val="24"/>
          <w:szCs w:val="24"/>
          <w:highlight w:val="none"/>
          <w:lang w:val="en-US" w:eastAsia="zh-CN" w:bidi="ar-SA"/>
        </w:rPr>
        <w:t>需方</w:t>
      </w:r>
      <w:r>
        <w:rPr>
          <w:rFonts w:hint="eastAsia" w:ascii="宋体" w:hAnsi="宋体" w:eastAsia="宋体" w:cs="宋体"/>
          <w:snapToGrid/>
          <w:color w:val="000000"/>
          <w:kern w:val="2"/>
          <w:sz w:val="24"/>
          <w:szCs w:val="24"/>
          <w:highlight w:val="none"/>
          <w:lang w:val="en-US" w:eastAsia="zh-CN" w:bidi="ar-SA"/>
        </w:rPr>
        <w:t>出具的考核结果</w:t>
      </w:r>
      <w:r>
        <w:rPr>
          <w:rFonts w:hint="eastAsia" w:hAnsi="宋体" w:cs="宋体"/>
          <w:snapToGrid/>
          <w:color w:val="000000"/>
          <w:kern w:val="2"/>
          <w:sz w:val="24"/>
          <w:szCs w:val="24"/>
          <w:highlight w:val="none"/>
          <w:lang w:val="en-US" w:eastAsia="zh-CN" w:bidi="ar-SA"/>
        </w:rPr>
        <w:t>，考核结果与费用结算金额直接挂钩。</w:t>
      </w:r>
      <w:r>
        <w:rPr>
          <w:rFonts w:hint="eastAsia" w:ascii="宋体" w:hAnsi="宋体" w:eastAsia="宋体" w:cs="宋体"/>
          <w:snapToGrid/>
          <w:color w:val="000000"/>
          <w:kern w:val="2"/>
          <w:sz w:val="24"/>
          <w:szCs w:val="24"/>
          <w:highlight w:val="none"/>
          <w:lang w:val="en-US" w:eastAsia="zh-CN" w:bidi="ar-SA"/>
        </w:rPr>
        <w:t>如对考核结果有异议的，应当提起书面申诉并提供证据材料供</w:t>
      </w:r>
      <w:r>
        <w:rPr>
          <w:rFonts w:hint="eastAsia" w:hAnsi="宋体" w:cs="宋体"/>
          <w:snapToGrid/>
          <w:color w:val="000000"/>
          <w:kern w:val="2"/>
          <w:sz w:val="24"/>
          <w:szCs w:val="24"/>
          <w:highlight w:val="none"/>
          <w:lang w:val="en-US" w:eastAsia="zh-CN" w:bidi="ar-SA"/>
        </w:rPr>
        <w:t>需方</w:t>
      </w:r>
      <w:r>
        <w:rPr>
          <w:rFonts w:hint="eastAsia" w:ascii="宋体" w:hAnsi="宋体" w:eastAsia="宋体" w:cs="宋体"/>
          <w:snapToGrid/>
          <w:color w:val="000000"/>
          <w:kern w:val="2"/>
          <w:sz w:val="24"/>
          <w:szCs w:val="24"/>
          <w:highlight w:val="none"/>
          <w:lang w:val="en-US" w:eastAsia="zh-CN" w:bidi="ar-SA"/>
        </w:rPr>
        <w:t>审查。</w:t>
      </w:r>
    </w:p>
    <w:p w14:paraId="7038B7EC">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七</w:t>
      </w:r>
      <w:r>
        <w:rPr>
          <w:rFonts w:hint="eastAsia" w:ascii="宋体" w:hAnsi="宋体" w:eastAsia="宋体" w:cs="宋体"/>
          <w:color w:val="000000"/>
          <w:highlight w:val="none"/>
        </w:rPr>
        <w:t>、违约责任</w:t>
      </w:r>
    </w:p>
    <w:p w14:paraId="25238DF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1. </w:t>
      </w:r>
      <w:r>
        <w:rPr>
          <w:rFonts w:hint="eastAsia" w:ascii="宋体" w:hAnsi="宋体" w:eastAsia="宋体" w:cs="宋体"/>
          <w:color w:val="000000"/>
          <w:highlight w:val="none"/>
        </w:rPr>
        <w:t xml:space="preserve">本合同签订后，任何一方不履行或不完全履行本合同约定条款的，即构成违约。任何一方违约时，守约方有权要求违约方继续履行本合同，同时有权要求违约方支付违约金。 </w:t>
      </w:r>
    </w:p>
    <w:p w14:paraId="21B11A3E">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val="en-US" w:eastAsia="zh-CN"/>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如发现乙方违反招投标文件、响应文件、承诺和合同的有关规定，甲方有权根据约定和《杭州市政府采购供应商合同履行和售后服务考核暂行办法》，对乙方进行处罚，并有权提前终止合同。</w:t>
      </w:r>
    </w:p>
    <w:p w14:paraId="3D956C7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八、考核</w:t>
      </w:r>
    </w:p>
    <w:p w14:paraId="0F308FC3">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供方应接受需方考核，需方将梳理供方提供的工作量及效果，并结合需方评价进行考核。</w:t>
      </w:r>
    </w:p>
    <w:p w14:paraId="59FC497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 考核依据：</w:t>
      </w:r>
    </w:p>
    <w:p w14:paraId="0B5EAD65">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（1）公开竞争文件确定的技术指标或者服务要求；</w:t>
      </w:r>
    </w:p>
    <w:p w14:paraId="7FD5F9F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（2）响应文件承诺、询标回复；</w:t>
      </w:r>
    </w:p>
    <w:p w14:paraId="4434F24B">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（3）服务合同。</w:t>
      </w:r>
    </w:p>
    <w:p w14:paraId="05A4D4F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未进行相应约定的，应当符合国家强制性规定、政策要求、安全标准、行业或企业有关标准等。</w:t>
      </w:r>
    </w:p>
    <w:p w14:paraId="5BF227C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 考核标准：</w:t>
      </w:r>
    </w:p>
    <w:p w14:paraId="5ECE972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（1）供方服务质量反馈；</w:t>
      </w:r>
    </w:p>
    <w:p w14:paraId="0C8F7598">
      <w:pPr>
        <w:pStyle w:val="25"/>
        <w:pageBreakBefore w:val="0"/>
        <w:numPr>
          <w:ilvl w:val="0"/>
          <w:numId w:val="0"/>
        </w:numPr>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（2）服务台账，要求台账记录清晰完整、材料完备。</w:t>
      </w:r>
    </w:p>
    <w:p w14:paraId="4B46EE21">
      <w:pPr>
        <w:pStyle w:val="16"/>
        <w:rPr>
          <w:rFonts w:hint="eastAsia" w:hAnsi="宋体" w:eastAsia="宋体" w:cs="宋体"/>
          <w:snapToGrid/>
          <w:kern w:val="2"/>
          <w:sz w:val="24"/>
          <w:szCs w:val="24"/>
          <w:highlight w:val="none"/>
          <w:lang w:eastAsia="zh-CN"/>
        </w:rPr>
      </w:pPr>
      <w:r>
        <w:rPr>
          <w:rFonts w:hint="eastAsia" w:hAnsi="宋体" w:cs="宋体"/>
          <w:snapToGrid/>
          <w:color w:val="000000"/>
          <w:kern w:val="2"/>
          <w:sz w:val="24"/>
          <w:szCs w:val="24"/>
          <w:highlight w:val="none"/>
          <w:lang w:eastAsia="zh-CN"/>
        </w:rPr>
        <w:t>（</w:t>
      </w:r>
      <w:r>
        <w:rPr>
          <w:rFonts w:hint="eastAsia" w:hAnsi="宋体" w:cs="宋体"/>
          <w:snapToGrid/>
          <w:color w:val="000000"/>
          <w:kern w:val="2"/>
          <w:sz w:val="24"/>
          <w:szCs w:val="24"/>
          <w:highlight w:val="none"/>
          <w:lang w:val="en-US" w:eastAsia="zh-CN"/>
        </w:rPr>
        <w:t>3</w:t>
      </w:r>
      <w:r>
        <w:rPr>
          <w:rFonts w:hint="eastAsia" w:hAnsi="宋体" w:cs="宋体"/>
          <w:snapToGrid/>
          <w:color w:val="000000"/>
          <w:kern w:val="2"/>
          <w:sz w:val="24"/>
          <w:szCs w:val="24"/>
          <w:highlight w:val="none"/>
          <w:lang w:eastAsia="zh-CN"/>
        </w:rPr>
        <w:t>）招标文件中的考核细则。</w:t>
      </w:r>
    </w:p>
    <w:p w14:paraId="75A7EF16">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九、争议的解决</w:t>
      </w:r>
    </w:p>
    <w:p w14:paraId="6610BB2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因本合同引起的或与本合同有关的任何争议，合同双方应首先通过协商解决，达成书面协议，如协商不成，可选向</w:t>
      </w:r>
      <w:r>
        <w:rPr>
          <w:rFonts w:hint="eastAsia"/>
          <w:color w:val="auto"/>
          <w:sz w:val="24"/>
          <w:szCs w:val="32"/>
          <w:highlight w:val="none"/>
        </w:rPr>
        <w:t>甲方所在地</w:t>
      </w:r>
      <w:r>
        <w:rPr>
          <w:rFonts w:hint="eastAsia" w:ascii="宋体" w:hAnsi="宋体" w:eastAsia="宋体" w:cs="宋体"/>
          <w:color w:val="000000"/>
          <w:highlight w:val="none"/>
        </w:rPr>
        <w:t>有管辖权的人民法院提起诉讼。</w:t>
      </w:r>
    </w:p>
    <w:p w14:paraId="285F84C4">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十、合同生效</w:t>
      </w:r>
    </w:p>
    <w:p w14:paraId="74251B87">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中标方持中标通知书作为与需方签订合同的凭证。</w:t>
      </w:r>
    </w:p>
    <w:p w14:paraId="3B4C9B73">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本合同经需、供双方法定代表人（符合浙财采监【2013】24号第六条规定的为负责人）或其授权委托人签名并加盖单位公章后生效。</w:t>
      </w:r>
    </w:p>
    <w:p w14:paraId="2C198B37">
      <w:pPr>
        <w:pStyle w:val="16"/>
        <w:pageBreakBefore w:val="0"/>
        <w:shd w:val="clear" w:color="auto" w:fill="auto"/>
        <w:kinsoku/>
        <w:wordWrap/>
        <w:overflowPunct/>
        <w:topLinePunct w:val="0"/>
        <w:bidi w:val="0"/>
        <w:spacing w:beforeAutospacing="0" w:line="540" w:lineRule="exact"/>
        <w:ind w:firstLine="0"/>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附件：</w:t>
      </w:r>
    </w:p>
    <w:p w14:paraId="72E6D9EB">
      <w:pPr>
        <w:pStyle w:val="16"/>
        <w:pageBreakBefore w:val="0"/>
        <w:shd w:val="clear" w:color="auto" w:fill="auto"/>
        <w:kinsoku/>
        <w:wordWrap/>
        <w:overflowPunct/>
        <w:topLinePunct w:val="0"/>
        <w:bidi w:val="0"/>
        <w:spacing w:beforeAutospacing="0" w:line="540" w:lineRule="exact"/>
        <w:ind w:firstLine="0"/>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一、法律服务团队成员名单</w:t>
      </w:r>
    </w:p>
    <w:p w14:paraId="4DD2A869">
      <w:pPr>
        <w:pStyle w:val="16"/>
        <w:pageBreakBefore w:val="0"/>
        <w:shd w:val="clear" w:color="auto" w:fill="auto"/>
        <w:kinsoku/>
        <w:wordWrap/>
        <w:overflowPunct/>
        <w:topLinePunct w:val="0"/>
        <w:bidi w:val="0"/>
        <w:spacing w:beforeAutospacing="0" w:line="540" w:lineRule="exact"/>
        <w:ind w:firstLine="0"/>
        <w:textAlignment w:val="auto"/>
        <w:rPr>
          <w:rFonts w:hint="eastAsia" w:ascii="宋体" w:hAnsi="宋体" w:eastAsia="宋体" w:cs="宋体"/>
          <w:snapToGrid/>
          <w:color w:val="000000"/>
          <w:kern w:val="2"/>
          <w:sz w:val="24"/>
          <w:szCs w:val="24"/>
          <w:highlight w:val="none"/>
        </w:rPr>
      </w:pPr>
      <w:r>
        <w:rPr>
          <w:rFonts w:hint="eastAsia" w:ascii="宋体" w:hAnsi="宋体" w:eastAsia="宋体" w:cs="宋体"/>
          <w:snapToGrid/>
          <w:color w:val="000000"/>
          <w:kern w:val="2"/>
          <w:sz w:val="24"/>
          <w:szCs w:val="24"/>
          <w:highlight w:val="none"/>
        </w:rPr>
        <w:t>二、考核细则</w:t>
      </w:r>
      <w:r>
        <w:rPr>
          <w:rFonts w:hint="eastAsia" w:ascii="宋体" w:hAnsi="宋体" w:eastAsia="宋体" w:cs="宋体"/>
          <w:snapToGrid/>
          <w:color w:val="000000"/>
          <w:kern w:val="2"/>
          <w:sz w:val="24"/>
          <w:szCs w:val="24"/>
          <w:highlight w:val="none"/>
        </w:rPr>
        <w:tab/>
      </w:r>
    </w:p>
    <w:p w14:paraId="10A64F35">
      <w:pPr>
        <w:pStyle w:val="16"/>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1B4F4D78">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需方（加盖公章）：                 供方（加盖公章）：</w:t>
      </w:r>
    </w:p>
    <w:p w14:paraId="46B53D20">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地址：                             地址：</w:t>
      </w:r>
    </w:p>
    <w:p w14:paraId="6594B202">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法定代表人（或委托代理人）签名：   法定代表人（或委托代理人）签名：                    </w:t>
      </w:r>
    </w:p>
    <w:p w14:paraId="6DA7D55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联系电话：                         联系电话：</w:t>
      </w:r>
    </w:p>
    <w:p w14:paraId="54597F3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邮政编码：                         邮政编码：</w:t>
      </w:r>
    </w:p>
    <w:p w14:paraId="0E65D0CD">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开户银行：                         开户银行：    </w:t>
      </w:r>
    </w:p>
    <w:p w14:paraId="7D1AEAD9">
      <w:pPr>
        <w:pStyle w:val="25"/>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highlight w:val="none"/>
        </w:rPr>
      </w:pPr>
      <w:r>
        <w:rPr>
          <w:rFonts w:hint="eastAsia" w:cs="宋体"/>
          <w:color w:val="000000"/>
          <w:highlight w:val="none"/>
          <w:lang w:eastAsia="zh-CN"/>
        </w:rPr>
        <w:t>账号</w:t>
      </w:r>
      <w:r>
        <w:rPr>
          <w:rFonts w:hint="eastAsia" w:ascii="宋体" w:hAnsi="宋体" w:eastAsia="宋体" w:cs="宋体"/>
          <w:color w:val="000000"/>
          <w:highlight w:val="none"/>
        </w:rPr>
        <w:t xml:space="preserve">：                             </w:t>
      </w:r>
      <w:r>
        <w:rPr>
          <w:rFonts w:hint="eastAsia" w:cs="宋体"/>
          <w:color w:val="000000"/>
          <w:highlight w:val="none"/>
          <w:lang w:eastAsia="zh-CN"/>
        </w:rPr>
        <w:t>账号</w:t>
      </w:r>
      <w:r>
        <w:rPr>
          <w:rFonts w:hint="eastAsia" w:ascii="宋体" w:hAnsi="宋体" w:eastAsia="宋体" w:cs="宋体"/>
          <w:color w:val="000000"/>
          <w:highlight w:val="none"/>
        </w:rPr>
        <w:t>：</w:t>
      </w:r>
    </w:p>
    <w:p w14:paraId="071EE47F">
      <w:pPr>
        <w:pStyle w:val="25"/>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kern w:val="0"/>
          <w:sz w:val="36"/>
          <w:szCs w:val="36"/>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6"/>
          <w:szCs w:val="20"/>
          <w:highlight w:val="none"/>
        </w:rPr>
        <w:t>第六部分</w:t>
      </w:r>
      <w:bookmarkEnd w:id="379"/>
      <w:r>
        <w:rPr>
          <w:rFonts w:hint="eastAsia" w:ascii="宋体" w:hAnsi="宋体" w:eastAsia="宋体" w:cs="宋体"/>
          <w:b/>
          <w:color w:val="000000"/>
          <w:sz w:val="36"/>
          <w:szCs w:val="20"/>
          <w:highlight w:val="none"/>
        </w:rPr>
        <w:t xml:space="preserve"> </w:t>
      </w:r>
      <w:bookmarkEnd w:id="380"/>
      <w:r>
        <w:rPr>
          <w:rFonts w:hint="eastAsia" w:ascii="宋体" w:hAnsi="宋体" w:eastAsia="宋体" w:cs="宋体"/>
          <w:b/>
          <w:color w:val="000000"/>
          <w:sz w:val="36"/>
          <w:szCs w:val="20"/>
          <w:highlight w:val="none"/>
        </w:rPr>
        <w:t>应提交的有关格式范例</w:t>
      </w:r>
    </w:p>
    <w:p w14:paraId="649B10C5">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资格文件部分</w:t>
      </w:r>
    </w:p>
    <w:p w14:paraId="45213FE8">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5117AD85">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p>
    <w:p w14:paraId="1752E436">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（1）符合参加交易活动应当具备的一般条件的承诺函…………………（页码）</w:t>
      </w:r>
    </w:p>
    <w:p w14:paraId="68EDEFE6">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（2）本项目的特定资格要求………………………………………………（页码）</w:t>
      </w:r>
    </w:p>
    <w:p w14:paraId="4C5E94F2">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p>
    <w:p w14:paraId="5DA6D115">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p>
    <w:p w14:paraId="180631EA">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r>
        <w:rPr>
          <w:rFonts w:hint="eastAsia" w:ascii="宋体" w:hAnsi="宋体" w:eastAsia="宋体" w:cs="宋体"/>
          <w:color w:val="000000"/>
          <w:kern w:val="0"/>
          <w:sz w:val="24"/>
          <w:highlight w:val="none"/>
        </w:rPr>
        <w:br w:type="page"/>
      </w:r>
      <w:r>
        <w:rPr>
          <w:rFonts w:hint="eastAsia" w:ascii="宋体" w:hAnsi="宋体" w:eastAsia="宋体" w:cs="宋体"/>
          <w:b/>
          <w:color w:val="000000"/>
          <w:kern w:val="0"/>
          <w:sz w:val="32"/>
          <w:szCs w:val="32"/>
          <w:highlight w:val="none"/>
        </w:rPr>
        <w:t xml:space="preserve">  一、 符合参加交易活动应当具备的一般条件的承诺函</w:t>
      </w:r>
    </w:p>
    <w:p w14:paraId="6EDD5455">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p>
    <w:p w14:paraId="4D3CA680">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（交易发起人）、（代理机构）：</w:t>
      </w:r>
    </w:p>
    <w:p w14:paraId="7C29511F">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sz w:val="24"/>
          <w:highlight w:val="none"/>
        </w:rPr>
        <w:t>交易活动，郑重承诺：</w:t>
      </w:r>
    </w:p>
    <w:p w14:paraId="04041666">
      <w:pPr>
        <w:pageBreakBefore w:val="0"/>
        <w:shd w:val="clear" w:color="auto" w:fill="auto"/>
        <w:kinsoku/>
        <w:wordWrap/>
        <w:overflowPunct/>
        <w:topLinePunct w:val="0"/>
        <w:bidi w:val="0"/>
        <w:snapToGrid w:val="0"/>
        <w:spacing w:beforeAutospacing="0" w:line="540" w:lineRule="exact"/>
        <w:ind w:firstLine="360" w:firstLineChars="1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（一）具备以下条件：</w:t>
      </w:r>
    </w:p>
    <w:p w14:paraId="7D69DD54">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528DA106">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14:paraId="58155F22">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7EAEC99D">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42529D12">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5、参加交易活动前三年内，在经营活动中没有重大违法记录；</w:t>
      </w:r>
    </w:p>
    <w:p w14:paraId="5D5B2F70">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6、具有法律、行政法规规定的其他条件。</w:t>
      </w:r>
    </w:p>
    <w:p w14:paraId="10C5622B">
      <w:pPr>
        <w:pageBreakBefore w:val="0"/>
        <w:shd w:val="clear" w:color="auto" w:fill="auto"/>
        <w:kinsoku/>
        <w:wordWrap/>
        <w:overflowPunct/>
        <w:topLinePunct w:val="0"/>
        <w:bidi w:val="0"/>
        <w:snapToGrid w:val="0"/>
        <w:spacing w:beforeAutospacing="0" w:line="540" w:lineRule="exact"/>
        <w:ind w:firstLine="5520" w:firstLineChars="2300"/>
        <w:textAlignment w:val="auto"/>
        <w:rPr>
          <w:rFonts w:hint="eastAsia" w:ascii="宋体" w:hAnsi="宋体" w:eastAsia="宋体" w:cs="宋体"/>
          <w:color w:val="000000"/>
          <w:kern w:val="0"/>
          <w:sz w:val="24"/>
          <w:highlight w:val="none"/>
          <w:lang w:val="zh-CN"/>
        </w:rPr>
      </w:pPr>
    </w:p>
    <w:p w14:paraId="59EF19A2">
      <w:pPr>
        <w:pageBreakBefore w:val="0"/>
        <w:shd w:val="clear" w:color="auto" w:fill="auto"/>
        <w:kinsoku/>
        <w:wordWrap/>
        <w:overflowPunct/>
        <w:topLinePunct w:val="0"/>
        <w:bidi w:val="0"/>
        <w:snapToGrid w:val="0"/>
        <w:spacing w:beforeAutospacing="0" w:line="540" w:lineRule="exact"/>
        <w:ind w:firstLine="5520" w:firstLineChars="2300"/>
        <w:textAlignment w:val="auto"/>
        <w:rPr>
          <w:rFonts w:hint="eastAsia" w:ascii="宋体" w:hAnsi="宋体" w:eastAsia="宋体" w:cs="宋体"/>
          <w:color w:val="000000"/>
          <w:kern w:val="0"/>
          <w:sz w:val="24"/>
          <w:highlight w:val="none"/>
          <w:lang w:val="zh-CN"/>
        </w:rPr>
      </w:pPr>
    </w:p>
    <w:p w14:paraId="14DED3A9">
      <w:pPr>
        <w:pageBreakBefore w:val="0"/>
        <w:shd w:val="clear" w:color="auto" w:fill="auto"/>
        <w:kinsoku/>
        <w:wordWrap/>
        <w:overflowPunct/>
        <w:topLinePunct w:val="0"/>
        <w:bidi w:val="0"/>
        <w:snapToGrid w:val="0"/>
        <w:spacing w:beforeAutospacing="0" w:line="540" w:lineRule="exact"/>
        <w:ind w:firstLine="5520" w:firstLineChars="2300"/>
        <w:textAlignment w:val="auto"/>
        <w:rPr>
          <w:rFonts w:hint="eastAsia" w:ascii="宋体" w:hAnsi="宋体" w:eastAsia="宋体" w:cs="宋体"/>
          <w:color w:val="000000"/>
          <w:kern w:val="0"/>
          <w:sz w:val="24"/>
          <w:highlight w:val="none"/>
          <w:lang w:val="zh-CN"/>
        </w:rPr>
      </w:pPr>
    </w:p>
    <w:p w14:paraId="5F2B6A41">
      <w:pPr>
        <w:pageBreakBefore w:val="0"/>
        <w:shd w:val="clear" w:color="auto" w:fill="auto"/>
        <w:kinsoku/>
        <w:wordWrap/>
        <w:overflowPunct/>
        <w:topLinePunct w:val="0"/>
        <w:bidi w:val="0"/>
        <w:snapToGrid w:val="0"/>
        <w:spacing w:beforeAutospacing="0" w:line="540" w:lineRule="exact"/>
        <w:ind w:firstLine="5520" w:firstLineChars="23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响应人名称</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电子签名</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w:t>
      </w:r>
    </w:p>
    <w:p w14:paraId="43CC24D0">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年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14:paraId="1E201B7B">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6E97D604">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39358088">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30CCE2AD">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32E637A5">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75D7B37D">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41D695F8">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09AEFCB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r>
        <w:rPr>
          <w:rFonts w:hint="eastAsia" w:ascii="宋体" w:hAnsi="宋体" w:eastAsia="宋体" w:cs="宋体"/>
          <w:b/>
          <w:color w:val="000000"/>
          <w:kern w:val="0"/>
          <w:sz w:val="32"/>
          <w:szCs w:val="32"/>
          <w:highlight w:val="none"/>
        </w:rPr>
        <w:t>二、本项目的特定资格要求</w:t>
      </w:r>
    </w:p>
    <w:p w14:paraId="14E313F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（根据交易公告本项目的特定资格要求提供相应的材料；未要求的，无需提供）</w:t>
      </w:r>
    </w:p>
    <w:p w14:paraId="692C518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lang w:val="zh-CN"/>
        </w:rPr>
      </w:pPr>
    </w:p>
    <w:p w14:paraId="22EA3105">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6BFBF475">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6"/>
          <w:szCs w:val="36"/>
          <w:highlight w:val="none"/>
        </w:rPr>
      </w:pPr>
    </w:p>
    <w:p w14:paraId="66E53350">
      <w:pPr>
        <w:pageBreakBefore w:val="0"/>
        <w:shd w:val="clear" w:color="auto" w:fill="auto"/>
        <w:kinsoku/>
        <w:wordWrap/>
        <w:overflowPunct/>
        <w:topLinePunct w:val="0"/>
        <w:bidi w:val="0"/>
        <w:spacing w:beforeAutospacing="0" w:line="540" w:lineRule="exact"/>
        <w:ind w:right="420"/>
        <w:jc w:val="center"/>
        <w:textAlignment w:val="auto"/>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商务技术文件部分</w:t>
      </w:r>
    </w:p>
    <w:p w14:paraId="3D0DDB9B">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24"/>
          <w:highlight w:val="none"/>
        </w:rPr>
      </w:pPr>
    </w:p>
    <w:p w14:paraId="4706B42D">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目录</w:t>
      </w:r>
    </w:p>
    <w:p w14:paraId="1C3C1E56">
      <w:pPr>
        <w:pageBreakBefore w:val="0"/>
        <w:shd w:val="clear" w:color="auto" w:fill="auto"/>
        <w:kinsoku/>
        <w:wordWrap/>
        <w:overflowPunct/>
        <w:topLinePunct w:val="0"/>
        <w:bidi w:val="0"/>
        <w:snapToGrid w:val="0"/>
        <w:spacing w:beforeAutospacing="0" w:line="540" w:lineRule="exact"/>
        <w:ind w:left="479" w:leftChars="228"/>
        <w:jc w:val="center"/>
        <w:textAlignment w:val="auto"/>
        <w:rPr>
          <w:rFonts w:hint="eastAsia" w:ascii="宋体" w:hAnsi="宋体" w:eastAsia="宋体" w:cs="宋体"/>
          <w:color w:val="000000"/>
          <w:highlight w:val="none"/>
        </w:rPr>
      </w:pPr>
      <w:r>
        <w:rPr>
          <w:rFonts w:hint="eastAsia" w:ascii="宋体" w:hAnsi="宋体" w:eastAsia="宋体" w:cs="宋体"/>
          <w:color w:val="000000"/>
          <w:sz w:val="24"/>
          <w:highlight w:val="none"/>
        </w:rPr>
        <w:t>（1）交易函</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（2）授权委托书或法定代表人（单位负责人、自然人本人）身份证明</w:t>
      </w:r>
      <w:r>
        <w:rPr>
          <w:rFonts w:hint="eastAsia" w:ascii="宋体" w:hAnsi="宋体" w:eastAsia="宋体" w:cs="宋体"/>
          <w:color w:val="000000"/>
          <w:highlight w:val="none"/>
        </w:rPr>
        <w:t>………（页码）</w:t>
      </w:r>
    </w:p>
    <w:p w14:paraId="138A05F5">
      <w:pPr>
        <w:pageBreakBefore w:val="0"/>
        <w:shd w:val="clear" w:color="auto" w:fill="auto"/>
        <w:kinsoku/>
        <w:wordWrap/>
        <w:overflowPunct/>
        <w:topLinePunct w:val="0"/>
        <w:bidi w:val="0"/>
        <w:snapToGrid w:val="0"/>
        <w:spacing w:beforeAutospacing="0" w:line="540" w:lineRule="exact"/>
        <w:ind w:firstLine="480" w:firstLineChars="200"/>
        <w:jc w:val="both"/>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（3）营业执照</w:t>
      </w:r>
      <w:r>
        <w:rPr>
          <w:rFonts w:hint="eastAsia" w:ascii="宋体" w:hAnsi="宋体" w:eastAsia="宋体" w:cs="宋体"/>
          <w:color w:val="000000"/>
          <w:highlight w:val="none"/>
        </w:rPr>
        <w:t>………………………………………………………………………………（页码）</w:t>
      </w:r>
    </w:p>
    <w:p w14:paraId="5D045AA7">
      <w:pPr>
        <w:pageBreakBefore w:val="0"/>
        <w:shd w:val="clear" w:color="auto" w:fill="auto"/>
        <w:kinsoku/>
        <w:wordWrap/>
        <w:overflowPunct/>
        <w:topLinePunct w:val="0"/>
        <w:bidi w:val="0"/>
        <w:snapToGrid w:val="0"/>
        <w:spacing w:beforeAutospacing="0" w:line="540" w:lineRule="exact"/>
        <w:ind w:firstLine="480" w:firstLineChars="200"/>
        <w:jc w:val="center"/>
        <w:textAlignment w:val="auto"/>
        <w:rPr>
          <w:rFonts w:hint="eastAsia" w:ascii="宋体" w:hAnsi="宋体" w:eastAsia="宋体" w:cs="宋体"/>
          <w:color w:val="000000"/>
          <w:highlight w:val="none"/>
        </w:rPr>
      </w:pPr>
      <w:r>
        <w:rPr>
          <w:rFonts w:hint="eastAsia" w:ascii="宋体" w:hAnsi="宋体" w:eastAsia="宋体" w:cs="宋体"/>
          <w:color w:val="000000"/>
          <w:sz w:val="24"/>
          <w:highlight w:val="none"/>
        </w:rPr>
        <w:t>（4）符合性审查资料</w:t>
      </w:r>
      <w:r>
        <w:rPr>
          <w:rFonts w:hint="eastAsia" w:ascii="宋体" w:hAnsi="宋体" w:eastAsia="宋体" w:cs="宋体"/>
          <w:color w:val="000000"/>
          <w:highlight w:val="none"/>
        </w:rPr>
        <w:t>………………………………………………………………………（页码）</w:t>
      </w:r>
    </w:p>
    <w:p w14:paraId="05BC9854">
      <w:pPr>
        <w:pageBreakBefore w:val="0"/>
        <w:shd w:val="clear" w:color="auto" w:fill="auto"/>
        <w:kinsoku/>
        <w:wordWrap/>
        <w:overflowPunct/>
        <w:topLinePunct w:val="0"/>
        <w:bidi w:val="0"/>
        <w:snapToGrid w:val="0"/>
        <w:spacing w:beforeAutospacing="0" w:line="540" w:lineRule="exact"/>
        <w:ind w:firstLine="480" w:firstLineChars="200"/>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（5）评审标准相应的商务技术资料</w:t>
      </w:r>
      <w:r>
        <w:rPr>
          <w:rFonts w:hint="eastAsia" w:ascii="宋体" w:hAnsi="宋体" w:eastAsia="宋体" w:cs="宋体"/>
          <w:color w:val="000000"/>
          <w:highlight w:val="none"/>
        </w:rPr>
        <w:t>……………………………………………………（页码）</w:t>
      </w:r>
    </w:p>
    <w:p w14:paraId="70E65F7B">
      <w:pPr>
        <w:pageBreakBefore w:val="0"/>
        <w:shd w:val="clear" w:color="auto" w:fill="auto"/>
        <w:kinsoku/>
        <w:wordWrap/>
        <w:overflowPunct/>
        <w:topLinePunct w:val="0"/>
        <w:bidi w:val="0"/>
        <w:snapToGrid w:val="0"/>
        <w:spacing w:beforeAutospacing="0" w:line="540" w:lineRule="exact"/>
        <w:ind w:firstLine="480" w:firstLineChars="200"/>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（6）商务技术偏离表</w:t>
      </w:r>
      <w:r>
        <w:rPr>
          <w:rFonts w:hint="eastAsia" w:ascii="宋体" w:hAnsi="宋体" w:eastAsia="宋体" w:cs="宋体"/>
          <w:color w:val="000000"/>
          <w:highlight w:val="none"/>
        </w:rPr>
        <w:t>………………………………………………………………………（页码）</w:t>
      </w:r>
    </w:p>
    <w:p w14:paraId="686C9235">
      <w:pPr>
        <w:pageBreakBefore w:val="0"/>
        <w:shd w:val="clear" w:color="auto" w:fill="auto"/>
        <w:kinsoku/>
        <w:wordWrap/>
        <w:overflowPunct/>
        <w:topLinePunct w:val="0"/>
        <w:bidi w:val="0"/>
        <w:snapToGrid w:val="0"/>
        <w:spacing w:beforeAutospacing="0" w:line="540" w:lineRule="exact"/>
        <w:ind w:left="479" w:leftChars="228"/>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r>
        <w:rPr>
          <w:rFonts w:hint="eastAsia" w:ascii="宋体" w:hAnsi="宋体" w:eastAsia="宋体" w:cs="宋体"/>
          <w:color w:val="000000"/>
          <w:sz w:val="24"/>
          <w:highlight w:val="none"/>
          <w:lang w:val="zh-CN"/>
        </w:rPr>
        <w:t>响应人廉洁自律承诺书</w:t>
      </w:r>
      <w:r>
        <w:rPr>
          <w:rFonts w:hint="eastAsia" w:ascii="宋体" w:hAnsi="宋体" w:eastAsia="宋体" w:cs="宋体"/>
          <w:color w:val="000000"/>
          <w:highlight w:val="none"/>
        </w:rPr>
        <w:t>……………………………………………………………（页码）</w:t>
      </w:r>
    </w:p>
    <w:p w14:paraId="3993D772">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kern w:val="0"/>
          <w:sz w:val="32"/>
          <w:szCs w:val="32"/>
          <w:highlight w:val="none"/>
          <w:lang w:val="zh-CN"/>
        </w:rPr>
      </w:pPr>
    </w:p>
    <w:p w14:paraId="49F17A29">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kern w:val="0"/>
          <w:sz w:val="32"/>
          <w:szCs w:val="32"/>
          <w:highlight w:val="none"/>
          <w:lang w:val="zh-CN"/>
        </w:rPr>
      </w:pPr>
    </w:p>
    <w:p w14:paraId="4B9D5B43">
      <w:pPr>
        <w:pageBreakBefore w:val="0"/>
        <w:shd w:val="clear" w:color="auto" w:fill="auto"/>
        <w:kinsoku/>
        <w:wordWrap/>
        <w:overflowPunct/>
        <w:topLinePunct w:val="0"/>
        <w:bidi w:val="0"/>
        <w:snapToGrid w:val="0"/>
        <w:spacing w:beforeAutospacing="0" w:line="540" w:lineRule="exact"/>
        <w:jc w:val="center"/>
        <w:textAlignment w:val="auto"/>
        <w:outlineLvl w:val="0"/>
        <w:rPr>
          <w:rFonts w:hint="eastAsia" w:ascii="宋体" w:hAnsi="宋体" w:eastAsia="宋体" w:cs="宋体"/>
          <w:b/>
          <w:color w:val="000000"/>
          <w:kern w:val="0"/>
          <w:sz w:val="32"/>
          <w:szCs w:val="32"/>
          <w:highlight w:val="none"/>
        </w:rPr>
      </w:pPr>
    </w:p>
    <w:p w14:paraId="1E3DE1A6">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kern w:val="0"/>
          <w:sz w:val="32"/>
          <w:szCs w:val="32"/>
          <w:highlight w:val="none"/>
        </w:rPr>
        <w:br w:type="page"/>
      </w:r>
      <w:r>
        <w:rPr>
          <w:rFonts w:hint="eastAsia" w:ascii="宋体" w:hAnsi="宋体" w:eastAsia="宋体" w:cs="宋体"/>
          <w:b/>
          <w:color w:val="000000"/>
          <w:kern w:val="0"/>
          <w:sz w:val="32"/>
          <w:szCs w:val="32"/>
          <w:highlight w:val="none"/>
        </w:rPr>
        <w:t>一、交易函</w:t>
      </w:r>
    </w:p>
    <w:p w14:paraId="745A8DF5">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（交易发起人）、（代理机构）：</w:t>
      </w:r>
    </w:p>
    <w:p w14:paraId="22C8C14C">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我方参加你方组织的</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sz w:val="24"/>
          <w:highlight w:val="none"/>
        </w:rPr>
        <w:t>招标的有关活动，并对此项目进行投标。为此：</w:t>
      </w:r>
    </w:p>
    <w:p w14:paraId="6B1DF686">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我方承诺交易有效期从提交响应文件的截止之日起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天（不少于90天）</w:t>
      </w:r>
      <w:r>
        <w:rPr>
          <w:rFonts w:hint="eastAsia" w:ascii="宋体" w:hAnsi="宋体" w:eastAsia="宋体" w:cs="宋体"/>
          <w:color w:val="000000"/>
          <w:highlight w:val="none"/>
        </w:rPr>
        <w:t>，</w:t>
      </w:r>
      <w:r>
        <w:rPr>
          <w:rFonts w:hint="eastAsia" w:ascii="宋体" w:hAnsi="宋体" w:eastAsia="宋体" w:cs="宋体"/>
          <w:color w:val="000000"/>
          <w:sz w:val="24"/>
          <w:highlight w:val="none"/>
        </w:rPr>
        <w:t>本响应文件在交易有效期满之前均具有约束力。</w:t>
      </w:r>
    </w:p>
    <w:p w14:paraId="3F6F64CA">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我方的响应文件包括以下内容：</w:t>
      </w:r>
    </w:p>
    <w:p w14:paraId="17458405">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2.1资格文件</w:t>
      </w:r>
    </w:p>
    <w:p w14:paraId="2B16D537">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2.1.1承诺函；</w:t>
      </w:r>
    </w:p>
    <w:p w14:paraId="0681F140">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2.1.2本项目的特定资格要求（如果有）。</w:t>
      </w:r>
    </w:p>
    <w:p w14:paraId="78956BBD">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 xml:space="preserve"> </w:t>
      </w:r>
      <w:r>
        <w:rPr>
          <w:rFonts w:hint="eastAsia" w:ascii="宋体" w:hAnsi="宋体" w:eastAsia="宋体" w:cs="宋体"/>
          <w:color w:val="000000"/>
          <w:sz w:val="24"/>
          <w:highlight w:val="none"/>
        </w:rPr>
        <w:t>商务技术</w:t>
      </w:r>
      <w:r>
        <w:rPr>
          <w:rFonts w:hint="eastAsia" w:ascii="宋体" w:hAnsi="宋体" w:eastAsia="宋体" w:cs="宋体"/>
          <w:color w:val="000000"/>
          <w:sz w:val="24"/>
          <w:highlight w:val="none"/>
          <w:lang w:val="zh-CN"/>
        </w:rPr>
        <w:t>文件</w:t>
      </w:r>
    </w:p>
    <w:p w14:paraId="4623813F">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2.2.1交易函；</w:t>
      </w:r>
      <w:r>
        <w:rPr>
          <w:rFonts w:hint="eastAsia" w:ascii="宋体" w:hAnsi="宋体" w:eastAsia="宋体" w:cs="宋体"/>
          <w:color w:val="000000"/>
          <w:sz w:val="24"/>
          <w:highlight w:val="none"/>
          <w:lang w:val="zh-CN"/>
        </w:rPr>
        <w:t xml:space="preserve"> </w:t>
      </w:r>
    </w:p>
    <w:p w14:paraId="2912245F">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2.2.2授权委托书或法定代表人（单位负责人）身份证明；</w:t>
      </w:r>
    </w:p>
    <w:p w14:paraId="510A04D7">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2.2.3律师事务所</w:t>
      </w:r>
      <w:r>
        <w:rPr>
          <w:rFonts w:hint="eastAsia" w:ascii="宋体" w:hAnsi="宋体" w:cs="宋体"/>
          <w:color w:val="000000"/>
          <w:sz w:val="24"/>
          <w:highlight w:val="none"/>
          <w:lang w:val="en-US" w:eastAsia="zh-CN"/>
        </w:rPr>
        <w:t>执业</w:t>
      </w:r>
      <w:r>
        <w:rPr>
          <w:rFonts w:hint="eastAsia" w:ascii="宋体" w:hAnsi="宋体" w:eastAsia="宋体" w:cs="宋体"/>
          <w:color w:val="000000"/>
          <w:sz w:val="24"/>
          <w:highlight w:val="none"/>
        </w:rPr>
        <w:t>许可证；</w:t>
      </w:r>
    </w:p>
    <w:p w14:paraId="5E8DC663">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2.2.4符合性审查资料；</w:t>
      </w:r>
    </w:p>
    <w:p w14:paraId="2F57590B">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sz w:val="24"/>
          <w:highlight w:val="none"/>
        </w:rPr>
        <w:t>2.2.5评审标准相应的商务技术资料；</w:t>
      </w:r>
    </w:p>
    <w:p w14:paraId="7268B4A6">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2.2.6商务技术偏离表；</w:t>
      </w:r>
    </w:p>
    <w:p w14:paraId="63B0DECA">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2.2.7</w:t>
      </w:r>
      <w:r>
        <w:rPr>
          <w:rFonts w:hint="eastAsia" w:ascii="宋体" w:hAnsi="宋体" w:eastAsia="宋体" w:cs="宋体"/>
          <w:color w:val="000000"/>
          <w:sz w:val="24"/>
          <w:highlight w:val="none"/>
          <w:lang w:val="zh-CN"/>
        </w:rPr>
        <w:t>响应人廉洁自律承诺书。</w:t>
      </w:r>
    </w:p>
    <w:p w14:paraId="49FD64BD">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3报价文件</w:t>
      </w:r>
    </w:p>
    <w:p w14:paraId="24E90B15">
      <w:pPr>
        <w:pageBreakBefore w:val="0"/>
        <w:shd w:val="clear" w:color="auto" w:fill="auto"/>
        <w:kinsoku/>
        <w:wordWrap/>
        <w:overflowPunct/>
        <w:topLinePunct w:val="0"/>
        <w:bidi w:val="0"/>
        <w:snapToGrid w:val="0"/>
        <w:spacing w:beforeAutospacing="0" w:line="540" w:lineRule="exact"/>
        <w:ind w:left="420" w:leftChars="2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2.3.1交易一览表（报价表）。</w:t>
      </w:r>
    </w:p>
    <w:p w14:paraId="66DE56B6">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我方承诺除商务技术偏离表列出的偏离外，我方响应公开竞争文件的全部要求。</w:t>
      </w:r>
    </w:p>
    <w:p w14:paraId="5277EB2B">
      <w:pPr>
        <w:pageBreakBefore w:val="0"/>
        <w:shd w:val="clear" w:color="auto" w:fill="auto"/>
        <w:kinsoku/>
        <w:wordWrap/>
        <w:overflowPunct/>
        <w:topLinePunct w:val="0"/>
        <w:bidi w:val="0"/>
        <w:snapToGrid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如我方成交，我方承诺：</w:t>
      </w:r>
    </w:p>
    <w:p w14:paraId="7F4248EC">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4.1在收到成交通知书后，在成交通知书规定的期限内与你方签订合同； </w:t>
      </w:r>
    </w:p>
    <w:p w14:paraId="50A1A8B9">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4.2在签订合同时不向你方提出附加条件； </w:t>
      </w:r>
    </w:p>
    <w:p w14:paraId="51182526">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4.3按照公开竞争文件要求提交履约保证金； </w:t>
      </w:r>
    </w:p>
    <w:p w14:paraId="1599244E">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4.4在合同约定的期限内完成合同规定的全部义务。 </w:t>
      </w:r>
    </w:p>
    <w:p w14:paraId="4E099701">
      <w:pPr>
        <w:pageBreakBefore w:val="0"/>
        <w:shd w:val="clear" w:color="auto" w:fill="auto"/>
        <w:kinsoku/>
        <w:wordWrap/>
        <w:overflowPunct/>
        <w:topLinePunct w:val="0"/>
        <w:bidi w:val="0"/>
        <w:snapToGrid w:val="0"/>
        <w:spacing w:beforeAutospacing="0" w:line="540" w:lineRule="exact"/>
        <w:ind w:left="210" w:leftChars="10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其他补充说明</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E3BF184">
      <w:pPr>
        <w:pageBreakBefore w:val="0"/>
        <w:shd w:val="clear" w:color="auto" w:fill="auto"/>
        <w:kinsoku/>
        <w:wordWrap/>
        <w:overflowPunct/>
        <w:topLinePunct w:val="0"/>
        <w:bidi w:val="0"/>
        <w:spacing w:beforeAutospacing="0" w:line="540" w:lineRule="exact"/>
        <w:ind w:firstLine="3600" w:firstLineChars="15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响应人名称（电子签名）：                          </w:t>
      </w:r>
    </w:p>
    <w:p w14:paraId="33CB91E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 xml:space="preserve">     日期：  年   月   日</w:t>
      </w:r>
    </w:p>
    <w:p w14:paraId="6747D048">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5A671E91">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lang w:val="zh-CN"/>
        </w:rPr>
      </w:pPr>
      <w:r>
        <w:rPr>
          <w:rFonts w:hint="eastAsia" w:ascii="宋体" w:hAnsi="宋体" w:eastAsia="宋体" w:cs="宋体"/>
          <w:color w:val="000000"/>
          <w:sz w:val="24"/>
          <w:highlight w:val="none"/>
        </w:rPr>
        <w:br w:type="page"/>
      </w:r>
      <w:r>
        <w:rPr>
          <w:rFonts w:hint="eastAsia" w:ascii="宋体" w:hAnsi="宋体" w:eastAsia="宋体" w:cs="宋体"/>
          <w:b/>
          <w:color w:val="000000"/>
          <w:kern w:val="0"/>
          <w:sz w:val="32"/>
          <w:szCs w:val="32"/>
          <w:highlight w:val="none"/>
          <w:lang w:val="zh-CN"/>
        </w:rPr>
        <w:t>二、授权委托书或法定代表人（单位负责人、自然人本人）身份证明</w:t>
      </w:r>
    </w:p>
    <w:p w14:paraId="79C0785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6F20886D">
      <w:pPr>
        <w:pageBreakBefore w:val="0"/>
        <w:shd w:val="clear" w:color="auto" w:fill="auto"/>
        <w:kinsoku/>
        <w:wordWrap/>
        <w:overflowPunct/>
        <w:topLinePunct w:val="0"/>
        <w:bidi w:val="0"/>
        <w:snapToGrid w:val="0"/>
        <w:spacing w:beforeAutospacing="0" w:line="5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lang w:val="zh-CN"/>
        </w:rPr>
        <w:t>授权委托书</w:t>
      </w:r>
    </w:p>
    <w:p w14:paraId="1C48ABB8">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rPr>
        <w:t>（交易发起人）、（代理机构）</w:t>
      </w:r>
      <w:r>
        <w:rPr>
          <w:rFonts w:hint="eastAsia" w:ascii="宋体" w:hAnsi="宋体" w:eastAsia="宋体" w:cs="宋体"/>
          <w:color w:val="000000"/>
          <w:kern w:val="0"/>
          <w:sz w:val="24"/>
          <w:highlight w:val="none"/>
          <w:lang w:val="zh-CN"/>
        </w:rPr>
        <w:t>：</w:t>
      </w:r>
    </w:p>
    <w:p w14:paraId="4E08EDF4">
      <w:pPr>
        <w:pageBreakBefore w:val="0"/>
        <w:shd w:val="clear" w:color="auto" w:fill="auto"/>
        <w:kinsoku/>
        <w:wordWrap/>
        <w:overflowPunct/>
        <w:topLinePunct w:val="0"/>
        <w:bidi w:val="0"/>
        <w:snapToGrid w:val="0"/>
        <w:spacing w:beforeAutospacing="0" w:line="540" w:lineRule="exact"/>
        <w:ind w:firstLine="576"/>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（姓名）为我方代理人（身份证号码：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kern w:val="0"/>
          <w:sz w:val="24"/>
          <w:highlight w:val="none"/>
          <w:lang w:val="zh-CN"/>
        </w:rPr>
        <w:t>交易项目的一切事项，其法律后果由我方承担。</w:t>
      </w:r>
    </w:p>
    <w:p w14:paraId="3471C78A">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14:paraId="6AA3726C">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特此告知。</w:t>
      </w:r>
    </w:p>
    <w:p w14:paraId="0D978965">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响应人名称</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电子签名</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w:t>
      </w:r>
    </w:p>
    <w:p w14:paraId="2FE3F622">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签发日期：  年  月   日</w:t>
      </w:r>
    </w:p>
    <w:p w14:paraId="653DDF81">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p>
    <w:p w14:paraId="24F12AA0">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kern w:val="0"/>
          <w:sz w:val="32"/>
          <w:szCs w:val="32"/>
          <w:highlight w:val="none"/>
          <w:lang w:val="zh-CN"/>
        </w:rPr>
        <w:t>法定代表人、单位负责人或自然人本人</w:t>
      </w:r>
      <w:r>
        <w:rPr>
          <w:rFonts w:hint="eastAsia" w:ascii="宋体" w:hAnsi="宋体" w:eastAsia="宋体" w:cs="宋体"/>
          <w:b/>
          <w:color w:val="000000"/>
          <w:sz w:val="30"/>
          <w:szCs w:val="30"/>
          <w:highlight w:val="none"/>
        </w:rPr>
        <w:t>的身份证明（适用于法定代表人、单位负责人或者自然人本人代表响应人参加投标）</w:t>
      </w:r>
    </w:p>
    <w:p w14:paraId="377D6161">
      <w:pPr>
        <w:pStyle w:val="124"/>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8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14:paraId="40FC0ECB">
            <w:pPr>
              <w:pStyle w:val="124"/>
              <w:pageBreakBefore w:val="0"/>
              <w:shd w:val="clear" w:color="auto" w:fill="auto"/>
              <w:kinsoku/>
              <w:wordWrap/>
              <w:overflowPunct/>
              <w:topLinePunct w:val="0"/>
              <w:bidi w:val="0"/>
              <w:adjustRightInd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正面：                                 反面：</w:t>
            </w:r>
          </w:p>
          <w:p w14:paraId="2681DD73">
            <w:pPr>
              <w:pStyle w:val="124"/>
              <w:pageBreakBefore w:val="0"/>
              <w:shd w:val="clear" w:color="auto" w:fill="auto"/>
              <w:kinsoku/>
              <w:wordWrap/>
              <w:overflowPunct/>
              <w:topLinePunct w:val="0"/>
              <w:bidi w:val="0"/>
              <w:adjustRightInd w:val="0"/>
              <w:spacing w:beforeAutospacing="0" w:line="540" w:lineRule="exact"/>
              <w:textAlignment w:val="auto"/>
              <w:rPr>
                <w:rFonts w:hint="eastAsia" w:ascii="宋体" w:hAnsi="宋体" w:eastAsia="宋体" w:cs="宋体"/>
                <w:bCs/>
                <w:color w:val="000000"/>
                <w:sz w:val="24"/>
                <w:highlight w:val="none"/>
              </w:rPr>
            </w:pPr>
          </w:p>
        </w:tc>
      </w:tr>
    </w:tbl>
    <w:p w14:paraId="1263657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240" w:lineRule="auto"/>
        <w:jc w:val="both"/>
        <w:textAlignment w:val="auto"/>
        <w:rPr>
          <w:rFonts w:hint="eastAsia" w:ascii="宋体" w:hAnsi="宋体" w:eastAsia="宋体" w:cs="宋体"/>
          <w:color w:val="000000"/>
          <w:kern w:val="0"/>
          <w:sz w:val="24"/>
          <w:highlight w:val="none"/>
          <w:lang w:val="zh-CN"/>
        </w:rPr>
      </w:pPr>
    </w:p>
    <w:p w14:paraId="73230A72">
      <w:pPr>
        <w:pageBreakBefore w:val="0"/>
        <w:shd w:val="clear" w:color="auto" w:fill="auto"/>
        <w:kinsoku/>
        <w:wordWrap/>
        <w:overflowPunct/>
        <w:topLinePunct w:val="0"/>
        <w:bidi w:val="0"/>
        <w:snapToGrid w:val="0"/>
        <w:spacing w:beforeAutospacing="0" w:line="540" w:lineRule="exact"/>
        <w:ind w:firstLine="576"/>
        <w:jc w:val="center"/>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响应人名称</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电子签名</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 xml:space="preserve">：               </w:t>
      </w:r>
    </w:p>
    <w:p w14:paraId="281ED1E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5B7A9186">
      <w:pPr>
        <w:pageBreakBefore w:val="0"/>
        <w:shd w:val="clear" w:color="auto" w:fill="auto"/>
        <w:kinsoku/>
        <w:wordWrap/>
        <w:overflowPunct/>
        <w:topLinePunct w:val="0"/>
        <w:bidi w:val="0"/>
        <w:spacing w:beforeAutospacing="0" w:line="540" w:lineRule="exact"/>
        <w:jc w:val="center"/>
        <w:textAlignment w:val="auto"/>
        <w:rPr>
          <w:rFonts w:hint="default" w:ascii="宋体" w:hAnsi="宋体" w:eastAsia="宋体" w:cs="宋体"/>
          <w:b/>
          <w:color w:val="000000"/>
          <w:kern w:val="0"/>
          <w:sz w:val="32"/>
          <w:szCs w:val="32"/>
          <w:highlight w:val="none"/>
          <w:lang w:val="en-US" w:eastAsia="zh-CN"/>
        </w:rPr>
      </w:pPr>
      <w:r>
        <w:rPr>
          <w:rFonts w:hint="eastAsia" w:ascii="宋体" w:hAnsi="宋体" w:eastAsia="宋体" w:cs="宋体"/>
          <w:color w:val="000000"/>
          <w:kern w:val="0"/>
          <w:sz w:val="24"/>
          <w:highlight w:val="none"/>
          <w:lang w:val="zh-CN"/>
        </w:rPr>
        <w:br w:type="page"/>
      </w:r>
      <w:r>
        <w:rPr>
          <w:rFonts w:hint="eastAsia" w:ascii="宋体" w:hAnsi="宋体" w:eastAsia="宋体" w:cs="宋体"/>
          <w:b/>
          <w:color w:val="000000"/>
          <w:kern w:val="0"/>
          <w:sz w:val="32"/>
          <w:szCs w:val="32"/>
          <w:highlight w:val="none"/>
        </w:rPr>
        <w:t>三、</w:t>
      </w:r>
      <w:r>
        <w:rPr>
          <w:rFonts w:hint="eastAsia" w:ascii="宋体" w:hAnsi="宋体" w:cs="宋体"/>
          <w:b/>
          <w:color w:val="000000"/>
          <w:kern w:val="0"/>
          <w:sz w:val="32"/>
          <w:szCs w:val="32"/>
          <w:highlight w:val="none"/>
          <w:lang w:val="en-US" w:eastAsia="zh-CN"/>
        </w:rPr>
        <w:t>营业执照</w:t>
      </w:r>
    </w:p>
    <w:p w14:paraId="059900F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75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14:paraId="540D6FAD">
            <w:pPr>
              <w:pStyle w:val="124"/>
              <w:pageBreakBefore w:val="0"/>
              <w:shd w:val="clear" w:color="auto" w:fill="auto"/>
              <w:kinsoku/>
              <w:wordWrap/>
              <w:overflowPunct/>
              <w:topLinePunct w:val="0"/>
              <w:bidi w:val="0"/>
              <w:adjustRightInd w:val="0"/>
              <w:spacing w:beforeAutospacing="0" w:line="540" w:lineRule="exact"/>
              <w:textAlignment w:val="auto"/>
              <w:rPr>
                <w:rFonts w:hint="eastAsia" w:ascii="宋体" w:hAnsi="宋体" w:eastAsia="宋体" w:cs="宋体"/>
                <w:bCs/>
                <w:color w:val="000000"/>
                <w:sz w:val="24"/>
                <w:highlight w:val="none"/>
              </w:rPr>
            </w:pPr>
          </w:p>
        </w:tc>
      </w:tr>
    </w:tbl>
    <w:p w14:paraId="70A51B77">
      <w:pPr>
        <w:pageBreakBefore w:val="0"/>
        <w:shd w:val="clear" w:color="auto" w:fill="auto"/>
        <w:kinsoku/>
        <w:wordWrap/>
        <w:overflowPunct/>
        <w:topLinePunct w:val="0"/>
        <w:bidi w:val="0"/>
        <w:snapToGrid w:val="0"/>
        <w:spacing w:beforeAutospacing="0" w:line="540" w:lineRule="exact"/>
        <w:ind w:firstLine="576"/>
        <w:jc w:val="center"/>
        <w:textAlignment w:val="auto"/>
        <w:rPr>
          <w:rFonts w:hint="eastAsia" w:ascii="宋体" w:hAnsi="宋体" w:eastAsia="宋体" w:cs="宋体"/>
          <w:color w:val="000000"/>
          <w:kern w:val="0"/>
          <w:sz w:val="24"/>
          <w:highlight w:val="none"/>
          <w:lang w:val="zh-CN"/>
        </w:rPr>
      </w:pPr>
    </w:p>
    <w:p w14:paraId="0F9E8D8F">
      <w:pPr>
        <w:pageBreakBefore w:val="0"/>
        <w:shd w:val="clear" w:color="auto" w:fill="auto"/>
        <w:kinsoku/>
        <w:wordWrap/>
        <w:overflowPunct/>
        <w:topLinePunct w:val="0"/>
        <w:bidi w:val="0"/>
        <w:snapToGrid w:val="0"/>
        <w:spacing w:beforeAutospacing="0" w:line="540" w:lineRule="exact"/>
        <w:ind w:firstLine="576"/>
        <w:jc w:val="center"/>
        <w:textAlignment w:val="auto"/>
        <w:rPr>
          <w:rFonts w:hint="eastAsia" w:ascii="宋体" w:hAnsi="宋体" w:eastAsia="宋体" w:cs="宋体"/>
          <w:color w:val="000000"/>
          <w:kern w:val="0"/>
          <w:sz w:val="24"/>
          <w:highlight w:val="none"/>
          <w:lang w:val="zh-CN"/>
        </w:rPr>
      </w:pPr>
    </w:p>
    <w:p w14:paraId="3902857B">
      <w:pPr>
        <w:pageBreakBefore w:val="0"/>
        <w:shd w:val="clear" w:color="auto" w:fill="auto"/>
        <w:kinsoku/>
        <w:wordWrap/>
        <w:overflowPunct/>
        <w:topLinePunct w:val="0"/>
        <w:bidi w:val="0"/>
        <w:snapToGrid w:val="0"/>
        <w:spacing w:beforeAutospacing="0" w:line="540" w:lineRule="exact"/>
        <w:ind w:firstLine="576"/>
        <w:jc w:val="center"/>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响应人名称</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电子签名</w:t>
      </w:r>
      <w:r>
        <w:rPr>
          <w:rFonts w:hint="eastAsia" w:ascii="宋体" w:hAnsi="宋体" w:cs="宋体"/>
          <w:color w:val="000000"/>
          <w:kern w:val="0"/>
          <w:sz w:val="24"/>
          <w:highlight w:val="none"/>
          <w:lang w:val="zh-CN"/>
        </w:rPr>
        <w:t>）</w:t>
      </w:r>
      <w:r>
        <w:rPr>
          <w:rFonts w:hint="eastAsia" w:ascii="宋体" w:hAnsi="宋体" w:eastAsia="宋体" w:cs="宋体"/>
          <w:color w:val="000000"/>
          <w:kern w:val="0"/>
          <w:sz w:val="24"/>
          <w:highlight w:val="none"/>
          <w:lang w:val="zh-CN"/>
        </w:rPr>
        <w:t xml:space="preserve">：                              </w:t>
      </w:r>
    </w:p>
    <w:p w14:paraId="747F75B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14:paraId="3B7B346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r>
        <w:rPr>
          <w:rFonts w:hint="eastAsia" w:ascii="宋体" w:hAnsi="宋体" w:eastAsia="宋体" w:cs="宋体"/>
          <w:color w:val="000000"/>
          <w:kern w:val="0"/>
          <w:sz w:val="24"/>
          <w:highlight w:val="none"/>
          <w:lang w:val="zh-CN"/>
        </w:rPr>
        <w:br w:type="page"/>
      </w:r>
      <w:r>
        <w:rPr>
          <w:rFonts w:hint="eastAsia" w:ascii="宋体" w:hAnsi="宋体" w:eastAsia="宋体" w:cs="宋体"/>
          <w:b/>
          <w:color w:val="000000"/>
          <w:kern w:val="0"/>
          <w:sz w:val="32"/>
          <w:szCs w:val="32"/>
          <w:highlight w:val="none"/>
        </w:rPr>
        <w:t>四、符合性审查资料</w:t>
      </w:r>
    </w:p>
    <w:p w14:paraId="399955F0">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09"/>
        <w:gridCol w:w="3533"/>
        <w:gridCol w:w="1418"/>
      </w:tblGrid>
      <w:tr w14:paraId="0273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4BCA4DD">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4009" w:type="dxa"/>
            <w:noWrap w:val="0"/>
            <w:vAlign w:val="center"/>
          </w:tcPr>
          <w:p w14:paraId="36581E32">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实质性要求</w:t>
            </w:r>
          </w:p>
        </w:tc>
        <w:tc>
          <w:tcPr>
            <w:tcW w:w="3533" w:type="dxa"/>
            <w:noWrap w:val="0"/>
            <w:vAlign w:val="center"/>
          </w:tcPr>
          <w:p w14:paraId="47A48321">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需要提供的符合性审查资料</w:t>
            </w:r>
          </w:p>
        </w:tc>
        <w:tc>
          <w:tcPr>
            <w:tcW w:w="1418" w:type="dxa"/>
            <w:noWrap w:val="0"/>
            <w:vAlign w:val="center"/>
          </w:tcPr>
          <w:p w14:paraId="5617D07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响应文件中的</w:t>
            </w:r>
          </w:p>
          <w:p w14:paraId="23B81D91">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页码位置</w:t>
            </w:r>
          </w:p>
        </w:tc>
      </w:tr>
      <w:tr w14:paraId="4C58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33BBF56">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4009" w:type="dxa"/>
            <w:noWrap w:val="0"/>
            <w:vAlign w:val="center"/>
          </w:tcPr>
          <w:p w14:paraId="139CB495">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响应文件按照公开竞争文件要求签署、盖章。</w:t>
            </w:r>
          </w:p>
        </w:tc>
        <w:tc>
          <w:tcPr>
            <w:tcW w:w="3533" w:type="dxa"/>
            <w:noWrap w:val="0"/>
            <w:vAlign w:val="center"/>
          </w:tcPr>
          <w:p w14:paraId="4C44DE4E">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需要使用电子签名或者签字盖章的响应文件的组成部分</w:t>
            </w:r>
            <w:r>
              <w:rPr>
                <w:rFonts w:hint="eastAsia" w:ascii="宋体" w:hAnsi="宋体" w:eastAsia="宋体" w:cs="宋体"/>
                <w:color w:val="000000"/>
                <w:sz w:val="22"/>
                <w:szCs w:val="22"/>
                <w:highlight w:val="none"/>
                <w:lang w:eastAsia="zh-CN"/>
              </w:rPr>
              <w:t>。</w:t>
            </w:r>
          </w:p>
        </w:tc>
        <w:tc>
          <w:tcPr>
            <w:tcW w:w="1418" w:type="dxa"/>
            <w:noWrap w:val="0"/>
            <w:vAlign w:val="center"/>
          </w:tcPr>
          <w:p w14:paraId="5F1CDDA0">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见响应文件</w:t>
            </w:r>
          </w:p>
          <w:p w14:paraId="0AA8D44F">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0"/>
                <w:szCs w:val="22"/>
                <w:highlight w:val="none"/>
              </w:rPr>
            </w:pP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页</w:t>
            </w:r>
          </w:p>
        </w:tc>
      </w:tr>
      <w:tr w14:paraId="41C3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B20CBA6">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4009" w:type="dxa"/>
            <w:noWrap w:val="0"/>
            <w:vAlign w:val="center"/>
          </w:tcPr>
          <w:p w14:paraId="5405DDF5">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响应文件中承诺的交易有效期不少于公开竞争文件中载明的交易有效期。</w:t>
            </w:r>
          </w:p>
        </w:tc>
        <w:tc>
          <w:tcPr>
            <w:tcW w:w="3533" w:type="dxa"/>
            <w:noWrap w:val="0"/>
            <w:vAlign w:val="center"/>
          </w:tcPr>
          <w:p w14:paraId="05A25645">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交易函</w:t>
            </w:r>
          </w:p>
        </w:tc>
        <w:tc>
          <w:tcPr>
            <w:tcW w:w="1418" w:type="dxa"/>
            <w:noWrap w:val="0"/>
            <w:vAlign w:val="center"/>
          </w:tcPr>
          <w:p w14:paraId="5983BDE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0"/>
                <w:szCs w:val="22"/>
                <w:highlight w:val="none"/>
              </w:rPr>
            </w:pPr>
            <w:r>
              <w:rPr>
                <w:rFonts w:hint="eastAsia" w:ascii="宋体" w:hAnsi="宋体" w:eastAsia="宋体" w:cs="宋体"/>
                <w:color w:val="000000"/>
                <w:sz w:val="22"/>
                <w:szCs w:val="22"/>
                <w:highlight w:val="none"/>
              </w:rPr>
              <w:t>见响应文件第</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页</w:t>
            </w:r>
          </w:p>
        </w:tc>
      </w:tr>
      <w:tr w14:paraId="0249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37CFC06">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4009" w:type="dxa"/>
            <w:noWrap w:val="0"/>
            <w:vAlign w:val="center"/>
          </w:tcPr>
          <w:p w14:paraId="78709779">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响应文件满足公开竞争文件</w:t>
            </w:r>
            <w:r>
              <w:rPr>
                <w:rFonts w:hint="eastAsia" w:ascii="宋体" w:hAnsi="宋体" w:cs="宋体"/>
                <w:color w:val="000000"/>
                <w:sz w:val="22"/>
                <w:szCs w:val="22"/>
                <w:highlight w:val="none"/>
                <w:lang w:eastAsia="zh-CN"/>
              </w:rPr>
              <w:t>的其他</w:t>
            </w:r>
            <w:r>
              <w:rPr>
                <w:rFonts w:hint="eastAsia" w:ascii="宋体" w:hAnsi="宋体" w:eastAsia="宋体" w:cs="宋体"/>
                <w:color w:val="000000"/>
                <w:sz w:val="22"/>
                <w:szCs w:val="22"/>
                <w:highlight w:val="none"/>
              </w:rPr>
              <w:t>实质性要求。</w:t>
            </w:r>
          </w:p>
        </w:tc>
        <w:tc>
          <w:tcPr>
            <w:tcW w:w="3533" w:type="dxa"/>
            <w:noWrap w:val="0"/>
            <w:vAlign w:val="center"/>
          </w:tcPr>
          <w:p w14:paraId="4AFE8F20">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公开竞争文件其它实质性要求相应的材料（“▲” 系指实质性要求条款，公开竞争文件</w:t>
            </w:r>
            <w:r>
              <w:rPr>
                <w:rFonts w:hint="eastAsia" w:ascii="宋体" w:hAnsi="宋体" w:cs="宋体"/>
                <w:color w:val="000000"/>
                <w:kern w:val="0"/>
                <w:sz w:val="22"/>
                <w:szCs w:val="22"/>
                <w:highlight w:val="none"/>
                <w:lang w:eastAsia="zh-CN"/>
              </w:rPr>
              <w:t>无其他</w:t>
            </w:r>
            <w:r>
              <w:rPr>
                <w:rFonts w:hint="eastAsia" w:ascii="宋体" w:hAnsi="宋体" w:eastAsia="宋体" w:cs="宋体"/>
                <w:color w:val="000000"/>
                <w:kern w:val="0"/>
                <w:sz w:val="22"/>
                <w:szCs w:val="22"/>
                <w:highlight w:val="none"/>
              </w:rPr>
              <w:t>实质性要求的，无需提供）</w:t>
            </w:r>
            <w:r>
              <w:rPr>
                <w:rFonts w:hint="eastAsia" w:ascii="宋体" w:hAnsi="宋体" w:eastAsia="宋体" w:cs="宋体"/>
                <w:color w:val="000000"/>
                <w:kern w:val="0"/>
                <w:sz w:val="22"/>
                <w:szCs w:val="22"/>
                <w:highlight w:val="none"/>
                <w:lang w:eastAsia="zh-CN"/>
              </w:rPr>
              <w:t>。</w:t>
            </w:r>
          </w:p>
        </w:tc>
        <w:tc>
          <w:tcPr>
            <w:tcW w:w="1418" w:type="dxa"/>
            <w:noWrap w:val="0"/>
            <w:vAlign w:val="center"/>
          </w:tcPr>
          <w:p w14:paraId="50171CBC">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0"/>
                <w:szCs w:val="22"/>
                <w:highlight w:val="none"/>
              </w:rPr>
            </w:pPr>
            <w:r>
              <w:rPr>
                <w:rFonts w:hint="eastAsia" w:ascii="宋体" w:hAnsi="宋体" w:eastAsia="宋体" w:cs="宋体"/>
                <w:color w:val="000000"/>
                <w:sz w:val="22"/>
                <w:szCs w:val="22"/>
                <w:highlight w:val="none"/>
              </w:rPr>
              <w:t>见响应文件第</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页</w:t>
            </w:r>
          </w:p>
        </w:tc>
      </w:tr>
    </w:tbl>
    <w:p w14:paraId="24CF835A">
      <w:pPr>
        <w:pageBreakBefore w:val="0"/>
        <w:shd w:val="clear" w:color="auto" w:fill="auto"/>
        <w:kinsoku/>
        <w:wordWrap/>
        <w:overflowPunct/>
        <w:topLinePunct w:val="0"/>
        <w:bidi w:val="0"/>
        <w:spacing w:beforeAutospacing="0" w:line="540" w:lineRule="exact"/>
        <w:ind w:right="42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5D8F925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rPr>
        <w:br w:type="page"/>
      </w:r>
      <w:r>
        <w:rPr>
          <w:rFonts w:hint="eastAsia" w:ascii="宋体" w:hAnsi="宋体" w:eastAsia="宋体" w:cs="宋体"/>
          <w:b/>
          <w:color w:val="000000"/>
          <w:kern w:val="0"/>
          <w:sz w:val="32"/>
          <w:szCs w:val="32"/>
          <w:highlight w:val="none"/>
        </w:rPr>
        <w:t>五、评审标准相应的商务技术资料</w:t>
      </w:r>
    </w:p>
    <w:p w14:paraId="6E698C5C">
      <w:pPr>
        <w:pageBreakBefore w:val="0"/>
        <w:shd w:val="clear" w:color="auto" w:fill="auto"/>
        <w:kinsoku/>
        <w:wordWrap/>
        <w:overflowPunct/>
        <w:topLinePunct w:val="0"/>
        <w:bidi w:val="0"/>
        <w:snapToGrid w:val="0"/>
        <w:spacing w:beforeAutospacing="0" w:line="540" w:lineRule="exact"/>
        <w:jc w:val="lef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（按公开竞争文件第四部分交易办法前附表中“响应文件中评审标准相应的商务技术资料目录”提供资料。）</w:t>
      </w:r>
    </w:p>
    <w:p w14:paraId="34E4869C">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04068323">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1D39CB0F">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7A36793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54D4452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3F450B79">
      <w:pPr>
        <w:pStyle w:val="6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kern w:val="0"/>
          <w:sz w:val="32"/>
          <w:szCs w:val="32"/>
          <w:highlight w:val="none"/>
        </w:rPr>
      </w:pPr>
    </w:p>
    <w:p w14:paraId="46A63475">
      <w:pPr>
        <w:pStyle w:val="51"/>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highlight w:val="none"/>
        </w:rPr>
      </w:pPr>
    </w:p>
    <w:p w14:paraId="4D5AC99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657E526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695B378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7833553B">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r>
        <w:rPr>
          <w:rFonts w:hint="eastAsia" w:ascii="宋体" w:hAnsi="宋体" w:eastAsia="宋体" w:cs="宋体"/>
          <w:b/>
          <w:color w:val="000000"/>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E4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5655F8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3683" w:type="dxa"/>
            <w:noWrap w:val="0"/>
            <w:vAlign w:val="top"/>
          </w:tcPr>
          <w:p w14:paraId="0D8FCD3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公开竞争文件章节及具体内容</w:t>
            </w:r>
          </w:p>
        </w:tc>
        <w:tc>
          <w:tcPr>
            <w:tcW w:w="3546" w:type="dxa"/>
            <w:noWrap w:val="0"/>
            <w:vAlign w:val="top"/>
          </w:tcPr>
          <w:p w14:paraId="79BC25BB">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响应文件章节及具体内容</w:t>
            </w:r>
          </w:p>
        </w:tc>
        <w:tc>
          <w:tcPr>
            <w:tcW w:w="1276" w:type="dxa"/>
            <w:noWrap w:val="0"/>
            <w:vAlign w:val="top"/>
          </w:tcPr>
          <w:p w14:paraId="62B8E573">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偏离说明</w:t>
            </w:r>
          </w:p>
        </w:tc>
      </w:tr>
      <w:tr w14:paraId="0C91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01F2966">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3683" w:type="dxa"/>
            <w:noWrap w:val="0"/>
            <w:vAlign w:val="top"/>
          </w:tcPr>
          <w:p w14:paraId="40B85E35">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3546" w:type="dxa"/>
            <w:noWrap w:val="0"/>
            <w:vAlign w:val="top"/>
          </w:tcPr>
          <w:p w14:paraId="0A29501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1276" w:type="dxa"/>
            <w:noWrap w:val="0"/>
            <w:vAlign w:val="top"/>
          </w:tcPr>
          <w:p w14:paraId="7C11C9E1">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r>
      <w:tr w14:paraId="74B7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E7499A8">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3683" w:type="dxa"/>
            <w:noWrap w:val="0"/>
            <w:vAlign w:val="top"/>
          </w:tcPr>
          <w:p w14:paraId="2830918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3546" w:type="dxa"/>
            <w:noWrap w:val="0"/>
            <w:vAlign w:val="top"/>
          </w:tcPr>
          <w:p w14:paraId="6FED44B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1276" w:type="dxa"/>
            <w:noWrap w:val="0"/>
            <w:vAlign w:val="top"/>
          </w:tcPr>
          <w:p w14:paraId="0D91826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r>
      <w:tr w14:paraId="4157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D3D365">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3683" w:type="dxa"/>
            <w:noWrap w:val="0"/>
            <w:vAlign w:val="top"/>
          </w:tcPr>
          <w:p w14:paraId="11EFC121">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3546" w:type="dxa"/>
            <w:noWrap w:val="0"/>
            <w:vAlign w:val="top"/>
          </w:tcPr>
          <w:p w14:paraId="044ACD7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c>
          <w:tcPr>
            <w:tcW w:w="1276" w:type="dxa"/>
            <w:noWrap w:val="0"/>
            <w:vAlign w:val="top"/>
          </w:tcPr>
          <w:p w14:paraId="66DF6CB9">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tc>
      </w:tr>
    </w:tbl>
    <w:p w14:paraId="68033385">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响应人保证：除商务技术偏离表列出的偏离外，响应人响应公开竞争文件的全部要求</w:t>
      </w:r>
    </w:p>
    <w:p w14:paraId="6261BB35">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17DC0701">
      <w:pPr>
        <w:pageBreakBefore w:val="0"/>
        <w:shd w:val="clear" w:color="auto" w:fill="auto"/>
        <w:kinsoku/>
        <w:wordWrap/>
        <w:overflowPunct/>
        <w:topLinePunct w:val="0"/>
        <w:bidi w:val="0"/>
        <w:spacing w:beforeAutospacing="0" w:line="540" w:lineRule="exact"/>
        <w:ind w:right="42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7D7DC4F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p>
    <w:p w14:paraId="14E4D0E3">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bCs/>
          <w:color w:val="000000"/>
          <w:sz w:val="32"/>
          <w:szCs w:val="32"/>
          <w:highlight w:val="none"/>
        </w:rPr>
      </w:pPr>
    </w:p>
    <w:p w14:paraId="5ED2E26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kern w:val="0"/>
          <w:sz w:val="32"/>
          <w:szCs w:val="32"/>
          <w:highlight w:val="none"/>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七</w:t>
      </w: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zh-CN"/>
        </w:rPr>
        <w:t>响应人廉洁自律承诺书</w:t>
      </w:r>
    </w:p>
    <w:p w14:paraId="138C2F9C">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p>
    <w:p w14:paraId="7CB9A6C6">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rPr>
        <w:t>（交易发起人）、（代理机构）</w:t>
      </w:r>
      <w:r>
        <w:rPr>
          <w:rFonts w:hint="eastAsia" w:ascii="宋体" w:hAnsi="宋体" w:eastAsia="宋体" w:cs="宋体"/>
          <w:color w:val="000000"/>
          <w:kern w:val="0"/>
          <w:sz w:val="24"/>
          <w:highlight w:val="none"/>
          <w:lang w:val="zh-CN"/>
        </w:rPr>
        <w:t>：</w:t>
      </w:r>
    </w:p>
    <w:p w14:paraId="6CAFCD83">
      <w:pPr>
        <w:pageBreakBefore w:val="0"/>
        <w:shd w:val="clear" w:color="auto" w:fill="auto"/>
        <w:kinsoku/>
        <w:wordWrap/>
        <w:overflowPunct/>
        <w:topLinePunct w:val="0"/>
        <w:autoSpaceDE w:val="0"/>
        <w:autoSpaceDN w:val="0"/>
        <w:bidi w:val="0"/>
        <w:spacing w:beforeAutospacing="0" w:line="540" w:lineRule="exact"/>
        <w:ind w:left="2" w:leftChars="1"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我单位响应你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项目招标要求参加投标。在这次投标过程中和</w:t>
      </w:r>
      <w:r>
        <w:rPr>
          <w:rFonts w:hint="eastAsia" w:ascii="宋体" w:hAnsi="宋体" w:eastAsia="宋体" w:cs="宋体"/>
          <w:color w:val="000000"/>
          <w:kern w:val="0"/>
          <w:sz w:val="24"/>
          <w:highlight w:val="none"/>
        </w:rPr>
        <w:t>成交</w:t>
      </w:r>
      <w:r>
        <w:rPr>
          <w:rFonts w:hint="eastAsia" w:ascii="宋体" w:hAnsi="宋体" w:eastAsia="宋体" w:cs="宋体"/>
          <w:color w:val="000000"/>
          <w:kern w:val="0"/>
          <w:sz w:val="24"/>
          <w:highlight w:val="none"/>
          <w:lang w:val="zh-CN"/>
        </w:rPr>
        <w:t>后，我们将严格遵守国家法律法规要求，并郑重承诺：</w:t>
      </w:r>
    </w:p>
    <w:p w14:paraId="681F5A95">
      <w:pPr>
        <w:pageBreakBefore w:val="0"/>
        <w:shd w:val="clear" w:color="auto" w:fill="auto"/>
        <w:kinsoku/>
        <w:wordWrap/>
        <w:overflowPunct/>
        <w:topLinePunct w:val="0"/>
        <w:autoSpaceDE w:val="0"/>
        <w:autoSpaceDN w:val="0"/>
        <w:bidi w:val="0"/>
        <w:spacing w:beforeAutospacing="0" w:line="540" w:lineRule="exact"/>
        <w:ind w:left="2" w:leftChars="1"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一、不向项目有关人员及部门赠送礼金礼物、有价证券、回扣以及中介费、介绍费、咨询费等好处费； </w:t>
      </w:r>
    </w:p>
    <w:p w14:paraId="21883BBB">
      <w:pPr>
        <w:pageBreakBefore w:val="0"/>
        <w:shd w:val="clear" w:color="auto" w:fill="auto"/>
        <w:kinsoku/>
        <w:wordWrap/>
        <w:overflowPunct/>
        <w:topLinePunct w:val="0"/>
        <w:autoSpaceDE w:val="0"/>
        <w:autoSpaceDN w:val="0"/>
        <w:bidi w:val="0"/>
        <w:spacing w:beforeAutospacing="0" w:line="540" w:lineRule="exact"/>
        <w:ind w:left="2" w:leftChars="1"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二、不为项目有关人员及部门报销应由你方单位或个人支付的费用； </w:t>
      </w:r>
    </w:p>
    <w:p w14:paraId="6AD363A9">
      <w:pPr>
        <w:pageBreakBefore w:val="0"/>
        <w:shd w:val="clear" w:color="auto" w:fill="auto"/>
        <w:kinsoku/>
        <w:wordWrap/>
        <w:overflowPunct/>
        <w:topLinePunct w:val="0"/>
        <w:autoSpaceDE w:val="0"/>
        <w:autoSpaceDN w:val="0"/>
        <w:bidi w:val="0"/>
        <w:spacing w:beforeAutospacing="0" w:line="540" w:lineRule="exact"/>
        <w:ind w:left="2" w:leftChars="1"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三、不向项目有关人员及部门提供有可能影响公正的宴请和健身娱乐等活动； </w:t>
      </w:r>
    </w:p>
    <w:p w14:paraId="092B8E3C">
      <w:pPr>
        <w:pageBreakBefore w:val="0"/>
        <w:shd w:val="clear" w:color="auto" w:fill="auto"/>
        <w:kinsoku/>
        <w:wordWrap/>
        <w:overflowPunct/>
        <w:topLinePunct w:val="0"/>
        <w:autoSpaceDE w:val="0"/>
        <w:autoSpaceDN w:val="0"/>
        <w:bidi w:val="0"/>
        <w:spacing w:beforeAutospacing="0" w:line="540" w:lineRule="exact"/>
        <w:ind w:left="2" w:leftChars="1"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四、不为项目有关人员及部门出国（境）、旅游等提供方便；</w:t>
      </w:r>
    </w:p>
    <w:p w14:paraId="0CCD04BF">
      <w:pPr>
        <w:pageBreakBefore w:val="0"/>
        <w:shd w:val="clear" w:color="auto" w:fill="auto"/>
        <w:kinsoku/>
        <w:wordWrap/>
        <w:overflowPunct/>
        <w:topLinePunct w:val="0"/>
        <w:autoSpaceDE w:val="0"/>
        <w:autoSpaceDN w:val="0"/>
        <w:bidi w:val="0"/>
        <w:spacing w:beforeAutospacing="0" w:line="540" w:lineRule="exact"/>
        <w:ind w:left="481" w:leftChars="229"/>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五、不为项目有关人员个人装修住房、婚丧嫁娶、配偶子女工作安排等提供</w:t>
      </w:r>
    </w:p>
    <w:p w14:paraId="4FE593E4">
      <w:pPr>
        <w:pageBreakBefore w:val="0"/>
        <w:shd w:val="clear" w:color="auto" w:fill="auto"/>
        <w:kinsoku/>
        <w:wordWrap/>
        <w:overflowPunct/>
        <w:topLinePunct w:val="0"/>
        <w:autoSpaceDE w:val="0"/>
        <w:autoSpaceDN w:val="0"/>
        <w:bidi w:val="0"/>
        <w:spacing w:beforeAutospacing="0" w:line="540" w:lineRule="exact"/>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好处；</w:t>
      </w:r>
    </w:p>
    <w:p w14:paraId="26536865">
      <w:pPr>
        <w:pageBreakBefore w:val="0"/>
        <w:shd w:val="clear" w:color="auto" w:fill="auto"/>
        <w:kinsoku/>
        <w:wordWrap/>
        <w:overflowPunct/>
        <w:topLinePunct w:val="0"/>
        <w:autoSpaceDE w:val="0"/>
        <w:autoSpaceDN w:val="0"/>
        <w:bidi w:val="0"/>
        <w:spacing w:beforeAutospacing="0" w:line="540" w:lineRule="exact"/>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六、严格遵守相关法律法规，诚实守信，合法经营，坚决抵制各种违法违纪行为。 </w:t>
      </w:r>
    </w:p>
    <w:p w14:paraId="438DE48B">
      <w:pPr>
        <w:pageBreakBefore w:val="0"/>
        <w:shd w:val="clear" w:color="auto" w:fill="auto"/>
        <w:kinsoku/>
        <w:wordWrap/>
        <w:overflowPunct/>
        <w:topLinePunct w:val="0"/>
        <w:autoSpaceDE w:val="0"/>
        <w:autoSpaceDN w:val="0"/>
        <w:bidi w:val="0"/>
        <w:spacing w:beforeAutospacing="0" w:line="540" w:lineRule="exact"/>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如违反上述承诺，你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有权立即取消我单位投标、</w:t>
      </w:r>
      <w:r>
        <w:rPr>
          <w:rFonts w:hint="eastAsia" w:ascii="宋体" w:hAnsi="宋体" w:eastAsia="宋体" w:cs="宋体"/>
          <w:color w:val="000000"/>
          <w:kern w:val="0"/>
          <w:sz w:val="24"/>
          <w:highlight w:val="none"/>
        </w:rPr>
        <w:t>成交</w:t>
      </w:r>
      <w:r>
        <w:rPr>
          <w:rFonts w:hint="eastAsia" w:ascii="宋体" w:hAnsi="宋体" w:eastAsia="宋体" w:cs="宋体"/>
          <w:color w:val="000000"/>
          <w:kern w:val="0"/>
          <w:sz w:val="24"/>
          <w:highlight w:val="none"/>
          <w:lang w:val="zh-CN"/>
        </w:rPr>
        <w:t>或在建项目的建设资格，有权拒绝我单位在一定时期内进入你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进行项目建设或其他经营活动，并通报市财政局。由此引起的相应损失均由我单位承担。</w:t>
      </w:r>
    </w:p>
    <w:p w14:paraId="6E992873">
      <w:pPr>
        <w:pageBreakBefore w:val="0"/>
        <w:shd w:val="clear" w:color="auto" w:fill="auto"/>
        <w:kinsoku/>
        <w:wordWrap/>
        <w:overflowPunct/>
        <w:topLinePunct w:val="0"/>
        <w:autoSpaceDE w:val="0"/>
        <w:autoSpaceDN w:val="0"/>
        <w:bidi w:val="0"/>
        <w:spacing w:beforeAutospacing="0" w:line="540" w:lineRule="exact"/>
        <w:ind w:left="2"/>
        <w:jc w:val="left"/>
        <w:textAlignment w:val="auto"/>
        <w:rPr>
          <w:rFonts w:hint="eastAsia" w:ascii="宋体" w:hAnsi="宋体" w:eastAsia="宋体" w:cs="宋体"/>
          <w:color w:val="000000"/>
          <w:kern w:val="0"/>
          <w:sz w:val="24"/>
          <w:highlight w:val="none"/>
          <w:lang w:val="zh-CN"/>
        </w:rPr>
      </w:pPr>
    </w:p>
    <w:p w14:paraId="3F72BFD2">
      <w:pPr>
        <w:pageBreakBefore w:val="0"/>
        <w:shd w:val="clear" w:color="auto" w:fill="auto"/>
        <w:kinsoku/>
        <w:wordWrap/>
        <w:overflowPunct/>
        <w:topLinePunct w:val="0"/>
        <w:autoSpaceDE w:val="0"/>
        <w:autoSpaceDN w:val="0"/>
        <w:bidi w:val="0"/>
        <w:spacing w:beforeAutospacing="0" w:line="540" w:lineRule="exact"/>
        <w:ind w:left="2"/>
        <w:jc w:val="left"/>
        <w:textAlignment w:val="auto"/>
        <w:rPr>
          <w:rFonts w:hint="eastAsia" w:ascii="宋体" w:hAnsi="宋体" w:eastAsia="宋体" w:cs="宋体"/>
          <w:color w:val="000000"/>
          <w:kern w:val="0"/>
          <w:sz w:val="24"/>
          <w:highlight w:val="none"/>
          <w:lang w:val="zh-CN"/>
        </w:rPr>
      </w:pPr>
    </w:p>
    <w:p w14:paraId="1E94A110">
      <w:pPr>
        <w:pageBreakBefore w:val="0"/>
        <w:shd w:val="clear" w:color="auto" w:fill="auto"/>
        <w:kinsoku/>
        <w:wordWrap/>
        <w:overflowPunct/>
        <w:topLinePunct w:val="0"/>
        <w:autoSpaceDE w:val="0"/>
        <w:autoSpaceDN w:val="0"/>
        <w:bidi w:val="0"/>
        <w:spacing w:beforeAutospacing="0" w:line="540" w:lineRule="exact"/>
        <w:ind w:left="2"/>
        <w:jc w:val="left"/>
        <w:textAlignment w:val="auto"/>
        <w:rPr>
          <w:rFonts w:hint="eastAsia" w:ascii="宋体" w:hAnsi="宋体" w:eastAsia="宋体" w:cs="宋体"/>
          <w:color w:val="000000"/>
          <w:kern w:val="0"/>
          <w:sz w:val="24"/>
          <w:highlight w:val="none"/>
          <w:lang w:val="zh-CN"/>
        </w:rPr>
      </w:pPr>
    </w:p>
    <w:p w14:paraId="6CFC17F8">
      <w:pPr>
        <w:pageBreakBefore w:val="0"/>
        <w:shd w:val="clear" w:color="auto" w:fill="auto"/>
        <w:kinsoku/>
        <w:wordWrap/>
        <w:overflowPunct/>
        <w:topLinePunct w:val="0"/>
        <w:autoSpaceDE w:val="0"/>
        <w:autoSpaceDN w:val="0"/>
        <w:bidi w:val="0"/>
        <w:spacing w:beforeAutospacing="0" w:line="540" w:lineRule="exact"/>
        <w:ind w:left="2" w:leftChars="1" w:right="1120" w:firstLine="4560" w:firstLineChars="19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 xml:space="preserve">）：                                                                                                                                                                                                               </w:t>
      </w:r>
    </w:p>
    <w:p w14:paraId="4AD935D9">
      <w:pPr>
        <w:pageBreakBefore w:val="0"/>
        <w:shd w:val="clear" w:color="auto" w:fill="auto"/>
        <w:kinsoku/>
        <w:wordWrap/>
        <w:overflowPunct/>
        <w:topLinePunct w:val="0"/>
        <w:bidi w:val="0"/>
        <w:spacing w:beforeAutospacing="0" w:line="540" w:lineRule="exact"/>
        <w:ind w:left="4620" w:leftChars="2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14:paraId="52ACA52F">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pPr>
    </w:p>
    <w:p w14:paraId="69083229">
      <w:pPr>
        <w:pageBreakBefore w:val="0"/>
        <w:shd w:val="clear" w:color="auto" w:fill="auto"/>
        <w:kinsoku/>
        <w:wordWrap/>
        <w:overflowPunct/>
        <w:topLinePunct w:val="0"/>
        <w:bidi w:val="0"/>
        <w:spacing w:beforeAutospacing="0" w:line="540" w:lineRule="exact"/>
        <w:ind w:right="42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14:paraId="17469A80">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bCs/>
          <w:color w:val="000000"/>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1CC8D4E">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报价文件部分</w:t>
      </w:r>
    </w:p>
    <w:p w14:paraId="61049587">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14:paraId="4F7AB725">
      <w:pPr>
        <w:pageBreakBefore w:val="0"/>
        <w:shd w:val="clear" w:color="auto" w:fill="auto"/>
        <w:kinsoku/>
        <w:wordWrap/>
        <w:overflowPunct/>
        <w:topLinePunct w:val="0"/>
        <w:bidi w:val="0"/>
        <w:spacing w:beforeAutospacing="0" w:line="540" w:lineRule="exact"/>
        <w:jc w:val="center"/>
        <w:textAlignment w:val="auto"/>
        <w:outlineLvl w:val="0"/>
        <w:rPr>
          <w:rFonts w:hint="eastAsia" w:ascii="宋体" w:hAnsi="宋体" w:eastAsia="宋体" w:cs="宋体"/>
          <w:b/>
          <w:color w:val="000000"/>
          <w:kern w:val="0"/>
          <w:sz w:val="36"/>
          <w:szCs w:val="36"/>
          <w:highlight w:val="none"/>
        </w:rPr>
      </w:pPr>
    </w:p>
    <w:p w14:paraId="34307F64">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（1）交易一览表（报价表）………………………………………………………（页码）</w:t>
      </w:r>
    </w:p>
    <w:p w14:paraId="7365EA29">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4A7BC64B">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79F69896">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0E7C8DEE">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11C94F19">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7E7660BF">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4B0B0888">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05FEF88A">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24BB9E4C">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15CC007B">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1244F80B">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6B59FDEB">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275F97BC">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51E91F16">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31F276BD">
      <w:pPr>
        <w:pageBreakBefore w:val="0"/>
        <w:shd w:val="clear" w:color="auto" w:fill="auto"/>
        <w:kinsoku/>
        <w:wordWrap/>
        <w:overflowPunct/>
        <w:topLinePunct w:val="0"/>
        <w:bidi w:val="0"/>
        <w:snapToGrid w:val="0"/>
        <w:spacing w:beforeAutospacing="0" w:line="540" w:lineRule="exact"/>
        <w:ind w:right="480"/>
        <w:jc w:val="center"/>
        <w:textAlignment w:val="auto"/>
        <w:rPr>
          <w:rFonts w:hint="eastAsia" w:ascii="宋体" w:hAnsi="宋体" w:eastAsia="宋体" w:cs="宋体"/>
          <w:b/>
          <w:color w:val="000000"/>
          <w:kern w:val="0"/>
          <w:sz w:val="32"/>
          <w:szCs w:val="32"/>
          <w:highlight w:val="none"/>
        </w:rPr>
      </w:pPr>
    </w:p>
    <w:p w14:paraId="4F8F2EF5">
      <w:pPr>
        <w:pStyle w:val="125"/>
        <w:keepNext w:val="0"/>
        <w:pageBreakBefore w:val="0"/>
        <w:shd w:val="clear" w:color="auto" w:fill="auto"/>
        <w:tabs>
          <w:tab w:val="clear" w:pos="720"/>
        </w:tabs>
        <w:kinsoku/>
        <w:wordWrap/>
        <w:overflowPunct/>
        <w:topLinePunct w:val="0"/>
        <w:bidi w:val="0"/>
        <w:snapToGrid w:val="0"/>
        <w:spacing w:beforeAutospacing="0" w:line="540" w:lineRule="exact"/>
        <w:ind w:firstLine="643"/>
        <w:textAlignment w:val="auto"/>
        <w:outlineLvl w:val="9"/>
        <w:rPr>
          <w:rFonts w:hint="eastAsia" w:ascii="宋体" w:hAnsi="宋体" w:eastAsia="宋体" w:cs="宋体"/>
          <w:color w:val="000000"/>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6550EE5">
      <w:pPr>
        <w:pStyle w:val="125"/>
        <w:keepNext w:val="0"/>
        <w:pageBreakBefore w:val="0"/>
        <w:shd w:val="clear" w:color="auto" w:fill="auto"/>
        <w:tabs>
          <w:tab w:val="clear" w:pos="720"/>
        </w:tabs>
        <w:kinsoku/>
        <w:wordWrap/>
        <w:overflowPunct/>
        <w:topLinePunct w:val="0"/>
        <w:bidi w:val="0"/>
        <w:snapToGrid w:val="0"/>
        <w:spacing w:beforeAutospacing="0" w:line="540" w:lineRule="exact"/>
        <w:ind w:firstLine="643"/>
        <w:textAlignment w:val="auto"/>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一、交易一览表（报价表）</w:t>
      </w:r>
    </w:p>
    <w:p w14:paraId="39D883B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rPr>
        <w:t>（交易发起人）、（代理机构）</w:t>
      </w:r>
      <w:r>
        <w:rPr>
          <w:rFonts w:hint="eastAsia" w:ascii="宋体" w:hAnsi="宋体" w:eastAsia="宋体" w:cs="宋体"/>
          <w:color w:val="000000"/>
          <w:kern w:val="0"/>
          <w:sz w:val="24"/>
          <w:highlight w:val="none"/>
          <w:lang w:val="zh-CN"/>
        </w:rPr>
        <w:t>：</w:t>
      </w:r>
    </w:p>
    <w:p w14:paraId="37D605BE">
      <w:pPr>
        <w:pageBreakBefore w:val="0"/>
        <w:shd w:val="clear" w:color="auto" w:fill="auto"/>
        <w:kinsoku/>
        <w:wordWrap/>
        <w:overflowPunct/>
        <w:topLinePunct w:val="0"/>
        <w:bidi w:val="0"/>
        <w:snapToGrid w:val="0"/>
        <w:spacing w:beforeAutospacing="0" w:line="540" w:lineRule="exact"/>
        <w:ind w:firstLine="482"/>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按你方公开竞争文件要求，</w:t>
      </w:r>
      <w:r>
        <w:rPr>
          <w:rFonts w:hint="eastAsia" w:ascii="宋体" w:hAnsi="宋体" w:cs="宋体"/>
          <w:color w:val="000000"/>
          <w:kern w:val="0"/>
          <w:sz w:val="24"/>
          <w:highlight w:val="none"/>
          <w:lang w:val="zh-CN"/>
        </w:rPr>
        <w:t>我们，</w:t>
      </w:r>
      <w:r>
        <w:rPr>
          <w:rFonts w:hint="eastAsia" w:ascii="宋体" w:hAnsi="宋体" w:eastAsia="宋体" w:cs="宋体"/>
          <w:color w:val="000000"/>
          <w:kern w:val="0"/>
          <w:sz w:val="24"/>
          <w:highlight w:val="none"/>
          <w:lang w:val="zh-CN"/>
        </w:rPr>
        <w:t>本响应文件签字方，谨此向你方发出要约如下：如你方接受本投标，我方承诺按照如下交易一览表（报价表）的价格完成</w:t>
      </w:r>
      <w:r>
        <w:rPr>
          <w:rFonts w:hint="eastAsia" w:ascii="宋体" w:hAnsi="宋体" w:eastAsia="宋体" w:cs="宋体"/>
          <w:color w:val="000000"/>
          <w:sz w:val="24"/>
          <w:highlight w:val="none"/>
          <w:u w:val="single"/>
        </w:rPr>
        <w:t>（项目名称）</w:t>
      </w:r>
      <w:r>
        <w:rPr>
          <w:rFonts w:hint="eastAsia" w:ascii="宋体" w:hAnsi="宋体" w:eastAsia="宋体" w:cs="宋体"/>
          <w:color w:val="000000"/>
          <w:kern w:val="0"/>
          <w:sz w:val="24"/>
          <w:highlight w:val="none"/>
          <w:u w:val="single"/>
          <w:lang w:val="zh-CN"/>
        </w:rPr>
        <w:t>【交易编号：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的实施</w:t>
      </w:r>
      <w:r>
        <w:rPr>
          <w:rFonts w:hint="eastAsia" w:ascii="宋体" w:hAnsi="宋体" w:eastAsia="宋体" w:cs="宋体"/>
          <w:color w:val="000000"/>
          <w:kern w:val="0"/>
          <w:sz w:val="24"/>
          <w:highlight w:val="none"/>
          <w:lang w:val="zh-CN"/>
        </w:rPr>
        <w:t>。</w:t>
      </w:r>
    </w:p>
    <w:p w14:paraId="366D820D">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交易一览表（报价表）</w:t>
      </w:r>
      <w:r>
        <w:rPr>
          <w:rFonts w:hint="eastAsia" w:ascii="宋体" w:hAnsi="宋体" w:cs="宋体"/>
          <w:b/>
          <w:color w:val="000000"/>
          <w:kern w:val="0"/>
          <w:sz w:val="24"/>
          <w:highlight w:val="none"/>
          <w:lang w:val="zh-CN"/>
        </w:rPr>
        <w:t>（</w:t>
      </w:r>
      <w:r>
        <w:rPr>
          <w:rFonts w:hint="eastAsia" w:ascii="宋体" w:hAnsi="宋体" w:eastAsia="宋体" w:cs="宋体"/>
          <w:b/>
          <w:color w:val="000000"/>
          <w:kern w:val="0"/>
          <w:sz w:val="24"/>
          <w:highlight w:val="none"/>
          <w:lang w:val="zh-CN"/>
        </w:rPr>
        <w:t>单位均为人民币元</w:t>
      </w:r>
      <w:r>
        <w:rPr>
          <w:rFonts w:hint="eastAsia" w:ascii="宋体" w:hAnsi="宋体" w:cs="宋体"/>
          <w:b/>
          <w:color w:val="000000"/>
          <w:kern w:val="0"/>
          <w:sz w:val="24"/>
          <w:highlight w:val="none"/>
          <w:lang w:val="zh-CN"/>
        </w:rPr>
        <w:t>）</w:t>
      </w:r>
    </w:p>
    <w:tbl>
      <w:tblPr>
        <w:tblStyle w:val="63"/>
        <w:tblW w:w="11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147"/>
        <w:gridCol w:w="1567"/>
        <w:gridCol w:w="1892"/>
        <w:gridCol w:w="2868"/>
      </w:tblGrid>
      <w:tr w14:paraId="1FB6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53F2A00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3147" w:type="dxa"/>
            <w:tcBorders>
              <w:top w:val="single" w:color="auto" w:sz="4" w:space="0"/>
              <w:left w:val="single" w:color="auto" w:sz="4" w:space="0"/>
              <w:bottom w:val="single" w:color="auto" w:sz="4" w:space="0"/>
              <w:right w:val="single" w:color="auto" w:sz="4" w:space="0"/>
            </w:tcBorders>
            <w:noWrap w:val="0"/>
            <w:vAlign w:val="center"/>
          </w:tcPr>
          <w:p w14:paraId="4B60A564">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名称</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A3A814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数量</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D1BF630">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单价</w:t>
            </w:r>
          </w:p>
        </w:tc>
        <w:tc>
          <w:tcPr>
            <w:tcW w:w="2868" w:type="dxa"/>
            <w:tcBorders>
              <w:top w:val="single" w:color="auto" w:sz="4" w:space="0"/>
              <w:left w:val="single" w:color="auto" w:sz="4" w:space="0"/>
              <w:bottom w:val="single" w:color="auto" w:sz="4" w:space="0"/>
              <w:right w:val="single" w:color="auto" w:sz="4" w:space="0"/>
            </w:tcBorders>
            <w:noWrap w:val="0"/>
            <w:vAlign w:val="center"/>
          </w:tcPr>
          <w:p w14:paraId="0E78390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总价</w:t>
            </w:r>
          </w:p>
        </w:tc>
      </w:tr>
      <w:tr w14:paraId="4A31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51573EB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147" w:type="dxa"/>
            <w:tcBorders>
              <w:top w:val="single" w:color="auto" w:sz="4" w:space="0"/>
              <w:left w:val="single" w:color="auto" w:sz="4" w:space="0"/>
              <w:bottom w:val="single" w:color="auto" w:sz="4" w:space="0"/>
              <w:right w:val="single" w:color="auto" w:sz="4" w:space="0"/>
            </w:tcBorders>
            <w:noWrap w:val="0"/>
            <w:vAlign w:val="center"/>
          </w:tcPr>
          <w:p w14:paraId="4638B848">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lang w:val="en-US" w:eastAsia="zh-CN"/>
              </w:rPr>
            </w:pPr>
            <w:r>
              <w:rPr>
                <w:rFonts w:hint="eastAsia" w:ascii="宋体" w:hAnsi="宋体" w:eastAsia="宋体" w:cs="宋体"/>
                <w:highlight w:val="none"/>
                <w:lang w:val="en-US" w:eastAsia="zh-CN"/>
              </w:rPr>
              <w:t>基础法律顾问服务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BE7783D">
            <w:pPr>
              <w:pageBreakBefore w:val="0"/>
              <w:shd w:val="clear" w:color="auto" w:fill="auto"/>
              <w:kinsoku/>
              <w:wordWrap/>
              <w:overflowPunct/>
              <w:topLinePunct w:val="0"/>
              <w:bidi w:val="0"/>
              <w:snapToGrid w:val="0"/>
              <w:spacing w:beforeAutospacing="0" w:line="540" w:lineRule="exact"/>
              <w:jc w:val="center"/>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1年</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1AB7493C">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w:t>
            </w:r>
          </w:p>
        </w:tc>
        <w:tc>
          <w:tcPr>
            <w:tcW w:w="2868" w:type="dxa"/>
            <w:tcBorders>
              <w:top w:val="single" w:color="auto" w:sz="4" w:space="0"/>
              <w:left w:val="single" w:color="auto" w:sz="4" w:space="0"/>
              <w:bottom w:val="single" w:color="auto" w:sz="4" w:space="0"/>
              <w:right w:val="single" w:color="auto" w:sz="4" w:space="0"/>
            </w:tcBorders>
            <w:noWrap w:val="0"/>
            <w:vAlign w:val="center"/>
          </w:tcPr>
          <w:p w14:paraId="00FCBA5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p>
        </w:tc>
      </w:tr>
      <w:tr w14:paraId="37F4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56639EA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147" w:type="dxa"/>
            <w:tcBorders>
              <w:top w:val="single" w:color="auto" w:sz="4" w:space="0"/>
              <w:left w:val="single" w:color="auto" w:sz="4" w:space="0"/>
              <w:bottom w:val="single" w:color="auto" w:sz="4" w:space="0"/>
              <w:right w:val="single" w:color="auto" w:sz="4" w:space="0"/>
            </w:tcBorders>
            <w:noWrap w:val="0"/>
            <w:vAlign w:val="center"/>
          </w:tcPr>
          <w:p w14:paraId="349D3A03">
            <w:pPr>
              <w:pageBreakBefore w:val="0"/>
              <w:shd w:val="clear" w:color="auto" w:fill="auto"/>
              <w:kinsoku/>
              <w:wordWrap/>
              <w:overflowPunct/>
              <w:topLinePunct w:val="0"/>
              <w:bidi w:val="0"/>
              <w:snapToGrid w:val="0"/>
              <w:spacing w:beforeAutospacing="0" w:line="540" w:lineRule="exact"/>
              <w:jc w:val="center"/>
              <w:textAlignment w:val="auto"/>
              <w:rPr>
                <w:rFonts w:hint="eastAsia" w:ascii="宋体" w:hAnsi="宋体" w:eastAsia="宋体" w:cs="宋体"/>
                <w:color w:val="000000"/>
                <w:sz w:val="24"/>
                <w:highlight w:val="none"/>
                <w:lang w:val="en-US" w:eastAsia="zh-CN"/>
              </w:rPr>
            </w:pPr>
            <w:r>
              <w:rPr>
                <w:rFonts w:hint="eastAsia" w:ascii="宋体" w:hAnsi="宋体" w:cs="宋体"/>
                <w:highlight w:val="none"/>
                <w:lang w:val="en-US" w:eastAsia="zh-CN"/>
              </w:rPr>
              <w:t>非诉专项服务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ABC527F">
            <w:pPr>
              <w:pageBreakBefore w:val="0"/>
              <w:shd w:val="clear" w:color="auto" w:fill="auto"/>
              <w:kinsoku/>
              <w:wordWrap/>
              <w:overflowPunct/>
              <w:topLinePunct w:val="0"/>
              <w:bidi w:val="0"/>
              <w:snapToGrid w:val="0"/>
              <w:spacing w:beforeAutospacing="0" w:line="540" w:lineRule="exact"/>
              <w:jc w:val="center"/>
              <w:textAlignment w:val="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1件</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F692B5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rPr>
            </w:pPr>
          </w:p>
        </w:tc>
        <w:tc>
          <w:tcPr>
            <w:tcW w:w="2868" w:type="dxa"/>
            <w:tcBorders>
              <w:top w:val="single" w:color="auto" w:sz="4" w:space="0"/>
              <w:left w:val="single" w:color="auto" w:sz="4" w:space="0"/>
              <w:bottom w:val="single" w:color="auto" w:sz="4" w:space="0"/>
              <w:right w:val="single" w:color="auto" w:sz="4" w:space="0"/>
            </w:tcBorders>
            <w:noWrap w:val="0"/>
            <w:vAlign w:val="center"/>
          </w:tcPr>
          <w:p w14:paraId="34915E5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w:t>
            </w:r>
          </w:p>
        </w:tc>
      </w:tr>
    </w:tbl>
    <w:p w14:paraId="2B62CB3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80" w:lineRule="exact"/>
        <w:ind w:left="482"/>
        <w:textAlignment w:val="auto"/>
        <w:rPr>
          <w:rFonts w:hint="eastAsia" w:ascii="宋体" w:hAnsi="宋体" w:eastAsia="宋体" w:cs="宋体"/>
          <w:color w:val="000000"/>
          <w:kern w:val="0"/>
          <w:sz w:val="24"/>
          <w:highlight w:val="none"/>
          <w:lang w:val="zh-CN"/>
        </w:rPr>
      </w:pPr>
      <w:r>
        <w:rPr>
          <w:rFonts w:hint="eastAsia" w:ascii="宋体" w:hAnsi="宋体" w:eastAsia="宋体" w:cs="宋体"/>
          <w:b/>
          <w:color w:val="000000"/>
          <w:kern w:val="0"/>
          <w:sz w:val="24"/>
          <w:highlight w:val="none"/>
          <w:lang w:val="zh-CN"/>
        </w:rPr>
        <w:t>注：</w:t>
      </w: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响应人需按本表格式填写，不得自行更改。</w:t>
      </w:r>
    </w:p>
    <w:p w14:paraId="10CB27FE">
      <w:pPr>
        <w:keepNext w:val="0"/>
        <w:keepLines w:val="0"/>
        <w:pageBreakBefore w:val="0"/>
        <w:widowControl w:val="0"/>
        <w:shd w:val="clear" w:color="auto" w:fill="auto"/>
        <w:kinsoku/>
        <w:wordWrap/>
        <w:overflowPunct/>
        <w:topLinePunct w:val="0"/>
        <w:autoSpaceDE/>
        <w:autoSpaceDN/>
        <w:bidi w:val="0"/>
        <w:adjustRightInd w:val="0"/>
        <w:spacing w:beforeAutospacing="0" w:line="48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2</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有关本项目实施所涉及的一切费用均计入报价。</w:t>
      </w:r>
      <w:r>
        <w:rPr>
          <w:rFonts w:hint="eastAsia" w:ascii="宋体" w:hAnsi="宋体" w:eastAsia="宋体" w:cs="宋体"/>
          <w:b/>
          <w:color w:val="000000"/>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000000"/>
          <w:kern w:val="0"/>
          <w:sz w:val="24"/>
          <w:highlight w:val="none"/>
          <w:lang w:val="zh-CN"/>
        </w:rPr>
        <w:t>，</w:t>
      </w:r>
      <w:r>
        <w:rPr>
          <w:rFonts w:hint="eastAsia" w:ascii="宋体" w:hAnsi="宋体" w:eastAsia="宋体" w:cs="宋体"/>
          <w:b/>
          <w:color w:val="000000"/>
          <w:kern w:val="0"/>
          <w:sz w:val="24"/>
          <w:highlight w:val="none"/>
          <w:lang w:val="zh-CN"/>
        </w:rPr>
        <w:t>不得出现“0元”“免费赠送”等形式的无偿报价，</w:t>
      </w:r>
      <w:r>
        <w:rPr>
          <w:rFonts w:hint="eastAsia" w:ascii="宋体" w:hAnsi="宋体" w:eastAsia="宋体" w:cs="宋体"/>
          <w:b/>
          <w:color w:val="000000"/>
          <w:kern w:val="0"/>
          <w:sz w:val="24"/>
          <w:highlight w:val="none"/>
        </w:rPr>
        <w:t>否则视为</w:t>
      </w:r>
      <w:r>
        <w:rPr>
          <w:rFonts w:hint="eastAsia" w:ascii="宋体" w:hAnsi="宋体" w:eastAsia="宋体" w:cs="宋体"/>
          <w:b/>
          <w:color w:val="000000"/>
          <w:sz w:val="24"/>
          <w:highlight w:val="none"/>
        </w:rPr>
        <w:t>响应文件含有交易发起人不能接受的附加条件的，交易无效</w:t>
      </w:r>
      <w:r>
        <w:rPr>
          <w:rFonts w:hint="eastAsia" w:ascii="宋体" w:hAnsi="宋体" w:eastAsia="宋体" w:cs="宋体"/>
          <w:b/>
          <w:color w:val="000000"/>
          <w:kern w:val="0"/>
          <w:sz w:val="24"/>
          <w:highlight w:val="none"/>
          <w:lang w:val="zh-CN"/>
        </w:rPr>
        <w:t>；交易内容未包含在《交易一览表（报价表）》名称栏中，响应人不能作出合理解释的，</w:t>
      </w:r>
      <w:r>
        <w:rPr>
          <w:rFonts w:hint="eastAsia" w:ascii="宋体" w:hAnsi="宋体" w:eastAsia="宋体" w:cs="宋体"/>
          <w:b/>
          <w:color w:val="000000"/>
          <w:kern w:val="0"/>
          <w:sz w:val="24"/>
          <w:highlight w:val="none"/>
        </w:rPr>
        <w:t>视为</w:t>
      </w:r>
      <w:r>
        <w:rPr>
          <w:rFonts w:hint="eastAsia" w:ascii="宋体" w:hAnsi="宋体" w:eastAsia="宋体" w:cs="宋体"/>
          <w:b/>
          <w:color w:val="000000"/>
          <w:sz w:val="24"/>
          <w:highlight w:val="none"/>
        </w:rPr>
        <w:t>响应文件含有交易发起人不能接受的附加条件的，交易无效。</w:t>
      </w:r>
    </w:p>
    <w:p w14:paraId="2593121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80" w:lineRule="exact"/>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3</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以上表格要求细分项目及报价，在“规格型号（或具体服务）”一栏中，货物类项目填写规格型号，服务类项目填写具体服务。</w:t>
      </w:r>
    </w:p>
    <w:p w14:paraId="797E7CE8">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line="480" w:lineRule="exact"/>
        <w:ind w:firstLine="480" w:firstLineChars="200"/>
        <w:jc w:val="left"/>
        <w:textAlignment w:val="auto"/>
        <w:rPr>
          <w:rFonts w:hint="eastAsia" w:ascii="宋体" w:hAnsi="宋体" w:eastAsia="宋体" w:cs="宋体"/>
          <w:b/>
          <w:color w:val="000000"/>
          <w:kern w:val="0"/>
          <w:sz w:val="24"/>
          <w:highlight w:val="none"/>
        </w:rPr>
      </w:pPr>
      <w:r>
        <w:rPr>
          <w:rFonts w:hint="eastAsia" w:ascii="宋体" w:hAnsi="宋体" w:eastAsia="宋体" w:cs="宋体"/>
          <w:color w:val="000000"/>
          <w:kern w:val="0"/>
          <w:sz w:val="24"/>
          <w:highlight w:val="none"/>
          <w:lang w:val="zh-CN"/>
        </w:rPr>
        <w:t>4</w:t>
      </w: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特别提示：代理机构将对项目名称和项目编号，成交响应人名称、地址和</w:t>
      </w:r>
      <w:r>
        <w:rPr>
          <w:rFonts w:hint="eastAsia" w:ascii="宋体" w:hAnsi="宋体" w:eastAsia="宋体" w:cs="宋体"/>
          <w:color w:val="000000"/>
          <w:kern w:val="0"/>
          <w:sz w:val="24"/>
          <w:highlight w:val="none"/>
        </w:rPr>
        <w:t>成交</w:t>
      </w:r>
      <w:r>
        <w:rPr>
          <w:rFonts w:hint="eastAsia" w:ascii="宋体" w:hAnsi="宋体" w:eastAsia="宋体" w:cs="宋体"/>
          <w:color w:val="000000"/>
          <w:kern w:val="0"/>
          <w:sz w:val="24"/>
          <w:highlight w:val="none"/>
          <w:lang w:val="zh-CN"/>
        </w:rPr>
        <w:t>金额等予以公示。</w:t>
      </w:r>
    </w:p>
    <w:p w14:paraId="73D9CE9E">
      <w:pPr>
        <w:pageBreakBefore w:val="0"/>
        <w:shd w:val="clear" w:color="auto" w:fill="auto"/>
        <w:kinsoku/>
        <w:wordWrap/>
        <w:overflowPunct/>
        <w:topLinePunct w:val="0"/>
        <w:autoSpaceDE w:val="0"/>
        <w:autoSpaceDN w:val="0"/>
        <w:bidi w:val="0"/>
        <w:spacing w:beforeAutospacing="0" w:line="540" w:lineRule="exact"/>
        <w:ind w:left="2" w:leftChars="1" w:right="1120" w:firstLine="7680" w:firstLineChars="3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w:t>
      </w:r>
    </w:p>
    <w:p w14:paraId="12C51D60">
      <w:pPr>
        <w:pageBreakBefore w:val="0"/>
        <w:shd w:val="clear" w:color="auto" w:fill="auto"/>
        <w:kinsoku/>
        <w:wordWrap/>
        <w:overflowPunct/>
        <w:topLinePunct w:val="0"/>
        <w:autoSpaceDE w:val="0"/>
        <w:autoSpaceDN w:val="0"/>
        <w:bidi w:val="0"/>
        <w:spacing w:beforeAutospacing="0" w:line="540" w:lineRule="exact"/>
        <w:ind w:left="2" w:leftChars="1" w:right="1120" w:firstLine="7680" w:firstLineChars="3200"/>
        <w:jc w:val="left"/>
        <w:textAlignment w:val="auto"/>
        <w:rPr>
          <w:rFonts w:hint="eastAsia" w:ascii="宋体" w:hAnsi="宋体" w:eastAsia="宋体" w:cs="宋体"/>
          <w:color w:val="000000"/>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14:paraId="0BAD3221">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附件1：</w:t>
      </w:r>
      <w:r>
        <w:rPr>
          <w:rFonts w:hint="eastAsia" w:ascii="宋体" w:hAnsi="宋体" w:eastAsia="宋体" w:cs="宋体"/>
          <w:b/>
          <w:color w:val="000000"/>
          <w:spacing w:val="6"/>
          <w:sz w:val="32"/>
          <w:szCs w:val="32"/>
          <w:highlight w:val="none"/>
          <w:lang w:val="zh-CN"/>
        </w:rPr>
        <w:t>异议</w:t>
      </w:r>
      <w:r>
        <w:rPr>
          <w:rFonts w:hint="eastAsia" w:ascii="宋体" w:hAnsi="宋体" w:eastAsia="宋体" w:cs="宋体"/>
          <w:b/>
          <w:color w:val="000000"/>
          <w:spacing w:val="6"/>
          <w:sz w:val="32"/>
          <w:szCs w:val="32"/>
          <w:highlight w:val="none"/>
        </w:rPr>
        <w:t>函范本及制作说明</w:t>
      </w:r>
    </w:p>
    <w:p w14:paraId="00F71E7E">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异议函范本</w:t>
      </w:r>
    </w:p>
    <w:p w14:paraId="34E70979">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一、异议响应人基本信息</w:t>
      </w:r>
    </w:p>
    <w:p w14:paraId="2F1A08F5">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异议响应人：</w:t>
      </w:r>
      <w:r>
        <w:rPr>
          <w:rFonts w:hint="eastAsia" w:ascii="宋体" w:hAnsi="宋体" w:eastAsia="宋体" w:cs="宋体"/>
          <w:color w:val="000000"/>
          <w:sz w:val="24"/>
          <w:highlight w:val="none"/>
          <w:u w:val="dotted"/>
        </w:rPr>
        <w:t xml:space="preserve">                                        </w:t>
      </w:r>
    </w:p>
    <w:p w14:paraId="5600CF25">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14:paraId="59DA941D">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6FA2778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p>
    <w:p w14:paraId="4CE77164">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1C83F03A">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14:paraId="73A44B2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二、异议项目基本情况</w:t>
      </w:r>
    </w:p>
    <w:p w14:paraId="3BDDC91D">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异议项目的名称：</w:t>
      </w:r>
      <w:r>
        <w:rPr>
          <w:rFonts w:hint="eastAsia" w:ascii="宋体" w:hAnsi="宋体" w:eastAsia="宋体" w:cs="宋体"/>
          <w:color w:val="000000"/>
          <w:sz w:val="24"/>
          <w:highlight w:val="none"/>
          <w:u w:val="dotted"/>
        </w:rPr>
        <w:t xml:space="preserve">                                      </w:t>
      </w:r>
    </w:p>
    <w:p w14:paraId="33F2396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异议项目的编号：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14:paraId="2F0B6EC9">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交易发起人名称：</w:t>
      </w:r>
      <w:r>
        <w:rPr>
          <w:rFonts w:hint="eastAsia" w:ascii="宋体" w:hAnsi="宋体" w:eastAsia="宋体" w:cs="宋体"/>
          <w:color w:val="000000"/>
          <w:sz w:val="24"/>
          <w:highlight w:val="none"/>
          <w:u w:val="dotted"/>
        </w:rPr>
        <w:t xml:space="preserve">                                         </w:t>
      </w:r>
    </w:p>
    <w:p w14:paraId="27C13294">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公开竞争文件获取日期：</w:t>
      </w:r>
      <w:r>
        <w:rPr>
          <w:rFonts w:hint="eastAsia" w:ascii="宋体" w:hAnsi="宋体" w:eastAsia="宋体" w:cs="宋体"/>
          <w:color w:val="000000"/>
          <w:sz w:val="24"/>
          <w:highlight w:val="none"/>
          <w:u w:val="dotted"/>
        </w:rPr>
        <w:t xml:space="preserve">                                           </w:t>
      </w:r>
    </w:p>
    <w:p w14:paraId="052200D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三、异议事项具体内容</w:t>
      </w:r>
    </w:p>
    <w:p w14:paraId="4E0726BE">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异议事项1：</w:t>
      </w:r>
      <w:r>
        <w:rPr>
          <w:rFonts w:hint="eastAsia" w:ascii="宋体" w:hAnsi="宋体" w:eastAsia="宋体" w:cs="宋体"/>
          <w:color w:val="000000"/>
          <w:sz w:val="24"/>
          <w:highlight w:val="none"/>
          <w:u w:val="dotted"/>
        </w:rPr>
        <w:t xml:space="preserve">                                         </w:t>
      </w:r>
    </w:p>
    <w:p w14:paraId="08BADF2B">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14:paraId="0260DC8D">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 xml:space="preserve">                                                       </w:t>
      </w:r>
    </w:p>
    <w:p w14:paraId="4E203202">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14:paraId="117A2D64">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68204A59">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异议事项2</w:t>
      </w:r>
    </w:p>
    <w:p w14:paraId="339E4A42">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240F26CC">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四、与异议事项相关的异议请求</w:t>
      </w:r>
    </w:p>
    <w:p w14:paraId="7CA83116">
      <w:pPr>
        <w:pageBreakBefore w:val="0"/>
        <w:shd w:val="clear" w:color="auto" w:fill="auto"/>
        <w:kinsoku/>
        <w:wordWrap/>
        <w:overflowPunct/>
        <w:topLinePunct w:val="0"/>
        <w:bidi w:val="0"/>
        <w:snapToGrid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p>
    <w:p w14:paraId="738D32D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签章</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 xml:space="preserve">：                   公章：                      </w:t>
      </w:r>
    </w:p>
    <w:p w14:paraId="41249290">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14:paraId="0D502576">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异议函制作说明：</w:t>
      </w:r>
    </w:p>
    <w:p w14:paraId="3B1919A0">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响应人提出异议时，应提交异议函和必要的证明材料。</w:t>
      </w:r>
    </w:p>
    <w:p w14:paraId="0FE0A2FF">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异议响应人若委托代理人进行异议的，异议函应按要求列明“授权代表”的有关内容，并在附件中提交由异议</w:t>
      </w:r>
      <w:r>
        <w:rPr>
          <w:rFonts w:hint="eastAsia" w:ascii="宋体" w:hAnsi="宋体" w:eastAsia="宋体" w:cs="宋体"/>
          <w:color w:val="000000"/>
          <w:kern w:val="0"/>
          <w:sz w:val="24"/>
          <w:highlight w:val="none"/>
        </w:rPr>
        <w:t>响应人签署的授权委托书。授权委托书应载明代理人的姓名或者名称、代理事项、具体权限、期限和相关事项。</w:t>
      </w:r>
    </w:p>
    <w:p w14:paraId="6AE3CDBD">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异议响应人若对项目的某一分包进行异议，异议函中应列明具体分包号。</w:t>
      </w:r>
    </w:p>
    <w:p w14:paraId="36F2400F">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异议函的异议事项应具体、明确，并有必要的事实依据和法律依据。</w:t>
      </w:r>
    </w:p>
    <w:p w14:paraId="5B6BA6EB">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异议函的异议请求应与异议事项相关。</w:t>
      </w:r>
    </w:p>
    <w:p w14:paraId="62873140">
      <w:pPr>
        <w:pageBreakBefore w:val="0"/>
        <w:widowControl/>
        <w:numPr>
          <w:ilvl w:val="0"/>
          <w:numId w:val="16"/>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异议响应人为自然人的，异议函应由本人签字；异议响应人为法人或者其他组织的，异议函应由法定代表人、主要负责人，或者其授权代表签字或者盖章，并加盖公章。</w:t>
      </w:r>
    </w:p>
    <w:p w14:paraId="43FF99EF">
      <w:pPr>
        <w:pageBreakBefore w:val="0"/>
        <w:widowControl/>
        <w:shd w:val="clear" w:color="auto" w:fill="auto"/>
        <w:kinsoku/>
        <w:wordWrap/>
        <w:overflowPunct/>
        <w:topLinePunct w:val="0"/>
        <w:bidi w:val="0"/>
        <w:spacing w:beforeAutospacing="0" w:line="540" w:lineRule="exact"/>
        <w:ind w:firstLine="600" w:firstLineChars="200"/>
        <w:jc w:val="left"/>
        <w:textAlignment w:val="auto"/>
        <w:rPr>
          <w:rFonts w:hint="eastAsia" w:ascii="宋体" w:hAnsi="宋体" w:eastAsia="宋体" w:cs="宋体"/>
          <w:color w:val="000000"/>
          <w:sz w:val="30"/>
          <w:szCs w:val="30"/>
          <w:highlight w:val="none"/>
        </w:rPr>
      </w:pPr>
    </w:p>
    <w:p w14:paraId="503E1841">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726D3FDE">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5D6449AF">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3647DABB">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7EB04312">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16AFCEF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37E03153">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2974AD43">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378CAB7A">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7874D6A7">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673E1F9D">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4890718E">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50E857C7">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b/>
          <w:color w:val="000000"/>
          <w:spacing w:val="6"/>
          <w:sz w:val="32"/>
          <w:szCs w:val="32"/>
          <w:highlight w:val="none"/>
        </w:rPr>
      </w:pPr>
    </w:p>
    <w:p w14:paraId="1390AF26">
      <w:pPr>
        <w:pageBreakBefore w:val="0"/>
        <w:shd w:val="clear" w:color="auto" w:fill="auto"/>
        <w:kinsoku/>
        <w:wordWrap/>
        <w:overflowPunct/>
        <w:topLinePunct w:val="0"/>
        <w:bidi w:val="0"/>
        <w:spacing w:beforeAutospacing="0" w:line="540" w:lineRule="exact"/>
        <w:jc w:val="left"/>
        <w:textAlignment w:val="auto"/>
        <w:rPr>
          <w:rFonts w:hint="eastAsia" w:ascii="宋体" w:hAnsi="宋体" w:eastAsia="宋体" w:cs="宋体"/>
          <w:b/>
          <w:color w:val="000000"/>
          <w:sz w:val="24"/>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附件2：投诉书范本及制作说明</w:t>
      </w:r>
    </w:p>
    <w:p w14:paraId="3742582C">
      <w:pPr>
        <w:pageBreakBefore w:val="0"/>
        <w:shd w:val="clear" w:color="auto" w:fill="auto"/>
        <w:kinsoku/>
        <w:wordWrap/>
        <w:overflowPunct/>
        <w:topLinePunct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投诉书范本</w:t>
      </w:r>
    </w:p>
    <w:p w14:paraId="481003C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一、投诉相关主体基本情况</w:t>
      </w:r>
    </w:p>
    <w:p w14:paraId="1824446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w:t>
      </w:r>
      <w:r>
        <w:rPr>
          <w:rFonts w:hint="eastAsia" w:ascii="宋体" w:hAnsi="宋体" w:eastAsia="宋体" w:cs="宋体"/>
          <w:color w:val="000000"/>
          <w:sz w:val="24"/>
          <w:highlight w:val="none"/>
          <w:u w:val="dotted"/>
        </w:rPr>
        <w:t xml:space="preserve">                                               </w:t>
      </w:r>
    </w:p>
    <w:p w14:paraId="1A215720">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15E1CA72">
      <w:pPr>
        <w:pageBreakBefore w:val="0"/>
        <w:shd w:val="clear" w:color="auto" w:fill="auto"/>
        <w:tabs>
          <w:tab w:val="left" w:pos="6510"/>
        </w:tabs>
        <w:kinsoku/>
        <w:wordWrap/>
        <w:overflowPunct/>
        <w:topLinePunct w:val="0"/>
        <w:bidi w:val="0"/>
        <w:spacing w:beforeAutospacing="0" w:line="540" w:lineRule="exact"/>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法定代表人/主要负责人：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46108A58">
      <w:pPr>
        <w:pageBreakBefore w:val="0"/>
        <w:shd w:val="clear" w:color="auto" w:fill="auto"/>
        <w:tabs>
          <w:tab w:val="left" w:pos="6510"/>
        </w:tabs>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662D7D56">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14:paraId="29F1C7A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dotted"/>
        </w:rPr>
        <w:t xml:space="preserve">                   </w:t>
      </w:r>
    </w:p>
    <w:p w14:paraId="5BB04F14">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被投诉人1：</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28C06AF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2288F878">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36AA52B0">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被投诉人2</w:t>
      </w:r>
    </w:p>
    <w:p w14:paraId="5ACE9286">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6A21803C">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相关响应人：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22B4527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5A14D5A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30E306A5">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二、投诉项目基本情况</w:t>
      </w:r>
    </w:p>
    <w:p w14:paraId="3E70B1B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交易名称：</w:t>
      </w:r>
      <w:r>
        <w:rPr>
          <w:rFonts w:hint="eastAsia" w:ascii="宋体" w:hAnsi="宋体" w:eastAsia="宋体" w:cs="宋体"/>
          <w:color w:val="000000"/>
          <w:sz w:val="24"/>
          <w:highlight w:val="none"/>
          <w:u w:val="dotted"/>
        </w:rPr>
        <w:t xml:space="preserve">                                        </w:t>
      </w:r>
    </w:p>
    <w:p w14:paraId="45D3A87A">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交易编号：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14:paraId="3DABC19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交易发起人名称：</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14:paraId="6AF0489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代理机构名称：</w:t>
      </w:r>
      <w:r>
        <w:rPr>
          <w:rFonts w:hint="eastAsia" w:ascii="宋体" w:hAnsi="宋体" w:eastAsia="宋体" w:cs="宋体"/>
          <w:color w:val="000000"/>
          <w:sz w:val="24"/>
          <w:highlight w:val="none"/>
          <w:u w:val="dotted"/>
        </w:rPr>
        <w:t xml:space="preserve">                                         </w:t>
      </w:r>
    </w:p>
    <w:p w14:paraId="6E843988">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公开竞争文件公告</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14:paraId="746A8925">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成交结果公告</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14:paraId="5DC7069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三、异议基本情况</w:t>
      </w:r>
    </w:p>
    <w:p w14:paraId="6C766C54">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w:t>
      </w:r>
      <w:r>
        <w:rPr>
          <w:rFonts w:hint="eastAsia" w:ascii="宋体" w:hAnsi="宋体" w:cs="宋体"/>
          <w:color w:val="000000"/>
          <w:sz w:val="24"/>
          <w:highlight w:val="none"/>
          <w:lang w:eastAsia="zh-CN"/>
        </w:rPr>
        <w:t>,</w:t>
      </w:r>
      <w:r>
        <w:rPr>
          <w:rFonts w:hint="eastAsia" w:ascii="宋体" w:hAnsi="宋体" w:cs="宋体"/>
          <w:color w:val="000000"/>
          <w:sz w:val="24"/>
          <w:highlight w:val="none"/>
          <w:u w:val="dotted"/>
          <w:lang w:val="en-US" w:eastAsia="zh-CN"/>
        </w:rPr>
        <w:t>向</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提出异议，异议事项为：</w:t>
      </w:r>
      <w:r>
        <w:rPr>
          <w:rFonts w:hint="eastAsia" w:ascii="宋体" w:hAnsi="宋体" w:eastAsia="宋体" w:cs="宋体"/>
          <w:color w:val="000000"/>
          <w:sz w:val="24"/>
          <w:highlight w:val="none"/>
          <w:u w:val="dotted"/>
        </w:rPr>
        <w:t xml:space="preserve">                                </w:t>
      </w:r>
    </w:p>
    <w:p w14:paraId="414E542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065B3419">
      <w:pPr>
        <w:pageBreakBefore w:val="0"/>
        <w:shd w:val="clear" w:color="auto" w:fill="auto"/>
        <w:kinsoku/>
        <w:wordWrap/>
        <w:overflowPunct/>
        <w:topLinePunct w:val="0"/>
        <w:bidi w:val="0"/>
        <w:spacing w:beforeAutospacing="0" w:line="540" w:lineRule="exact"/>
        <w:ind w:firstLine="360" w:firstLineChars="15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交易发起人/代理机构</w:t>
      </w:r>
      <w:r>
        <w:rPr>
          <w:rFonts w:hint="eastAsia" w:ascii="宋体" w:hAnsi="宋体" w:eastAsia="宋体" w:cs="宋体"/>
          <w:color w:val="000000"/>
          <w:sz w:val="24"/>
          <w:highlight w:val="none"/>
        </w:rPr>
        <w:t>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日,就异议事项作出了答复/没有在法定期限内作出答复。</w:t>
      </w:r>
    </w:p>
    <w:p w14:paraId="76BE0AF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四、投诉事项具体内容</w:t>
      </w:r>
    </w:p>
    <w:p w14:paraId="0BC7F2C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投诉事项 1：</w:t>
      </w:r>
      <w:r>
        <w:rPr>
          <w:rFonts w:hint="eastAsia" w:ascii="宋体" w:hAnsi="宋体" w:eastAsia="宋体" w:cs="宋体"/>
          <w:color w:val="000000"/>
          <w:sz w:val="24"/>
          <w:highlight w:val="none"/>
          <w:u w:val="dotted"/>
        </w:rPr>
        <w:t xml:space="preserve">                                       </w:t>
      </w:r>
    </w:p>
    <w:p w14:paraId="6617255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14:paraId="0106B274">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4E75E118">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14:paraId="2D0CB4D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14:paraId="1520DD1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投诉事项2</w:t>
      </w:r>
    </w:p>
    <w:p w14:paraId="36A6139B">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14:paraId="1F05FF1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五、与投诉事项相关的投诉请求</w:t>
      </w:r>
    </w:p>
    <w:p w14:paraId="16DDE08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14:paraId="32A746D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p w14:paraId="5362061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签章</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 xml:space="preserve">：                   公章：                      </w:t>
      </w:r>
    </w:p>
    <w:p w14:paraId="1705272E">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 xml:space="preserve">日期：    </w:t>
      </w:r>
    </w:p>
    <w:p w14:paraId="5530164C">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投诉书制作说明：</w:t>
      </w:r>
    </w:p>
    <w:p w14:paraId="459F1DC8">
      <w:pPr>
        <w:pageBreakBefore w:val="0"/>
        <w:widowControl/>
        <w:numPr>
          <w:ilvl w:val="0"/>
          <w:numId w:val="17"/>
        </w:numPr>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投诉人提起投诉时，应当提交投诉书和必要的证明材料，并按照被投诉人和与投诉事项有关的响应人数量提供投诉书副本。</w:t>
      </w:r>
    </w:p>
    <w:p w14:paraId="09E1B73D">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投诉人若委托代理人进行投诉的，投诉书应按照要求列明“授权代表”的有关内容，并在附件中提交由</w:t>
      </w:r>
      <w:r>
        <w:rPr>
          <w:rFonts w:hint="eastAsia" w:ascii="宋体" w:hAnsi="宋体" w:eastAsia="宋体" w:cs="宋体"/>
          <w:color w:val="000000"/>
          <w:kern w:val="0"/>
          <w:sz w:val="24"/>
          <w:highlight w:val="none"/>
        </w:rPr>
        <w:t>投诉人签署的授权委托书。授权委托书应当载明代理人的姓名或者名称、代理事项、具体权限、期限和相关事项。</w:t>
      </w:r>
    </w:p>
    <w:p w14:paraId="799DBD51">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投诉人若对项目的某一分包进行投诉，投诉书应列明具体分包号。</w:t>
      </w:r>
    </w:p>
    <w:p w14:paraId="5A204A6E">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投诉书应简要列明异议事项，异议函、异议答复等作为附件材料提供。</w:t>
      </w:r>
    </w:p>
    <w:p w14:paraId="4C6DF758">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投诉书的投诉事项应具体、明确，并有必要的事实依据和法律依据。</w:t>
      </w:r>
    </w:p>
    <w:p w14:paraId="5260E8C5">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投诉书的投诉请求应与投诉事项相关。</w:t>
      </w:r>
    </w:p>
    <w:p w14:paraId="68FFB1A1">
      <w:pPr>
        <w:pageBreakBefore w:val="0"/>
        <w:widowControl/>
        <w:numPr>
          <w:ilvl w:val="0"/>
          <w:numId w:val="17"/>
        </w:numPr>
        <w:shd w:val="clear" w:color="auto" w:fill="auto"/>
        <w:kinsoku/>
        <w:wordWrap/>
        <w:overflowPunct/>
        <w:topLinePunct w:val="0"/>
        <w:bidi w:val="0"/>
        <w:spacing w:beforeAutospacing="0" w:line="540" w:lineRule="exact"/>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投诉人为自然人的，投诉书应当由本人签字；投诉人为法人或者其他组织的，投诉书应当由法定代表人、主要负责人，或者其授权代表签字或者盖章，并加盖公章。</w:t>
      </w:r>
    </w:p>
    <w:p w14:paraId="59822BF6">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
          <w:color w:val="000000"/>
          <w:sz w:val="24"/>
          <w:highlight w:val="none"/>
        </w:rPr>
      </w:pPr>
    </w:p>
    <w:p w14:paraId="3F06D5CC">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39ADF0DB">
      <w:pPr>
        <w:pageBreakBefore w:val="0"/>
        <w:shd w:val="clear" w:color="auto" w:fill="auto"/>
        <w:kinsoku/>
        <w:wordWrap/>
        <w:overflowPunct/>
        <w:topLinePunct w:val="0"/>
        <w:autoSpaceDE w:val="0"/>
        <w:autoSpaceDN w:val="0"/>
        <w:bidi w:val="0"/>
        <w:spacing w:beforeAutospacing="0" w:line="540" w:lineRule="exact"/>
        <w:jc w:val="left"/>
        <w:textAlignment w:val="auto"/>
        <w:rPr>
          <w:rFonts w:hint="eastAsia" w:ascii="宋体" w:hAnsi="宋体" w:eastAsia="宋体" w:cs="宋体"/>
          <w:b/>
          <w:color w:val="000000"/>
          <w:spacing w:val="6"/>
          <w:sz w:val="32"/>
          <w:szCs w:val="32"/>
          <w:highlight w:val="none"/>
        </w:rPr>
      </w:pPr>
    </w:p>
    <w:p w14:paraId="3A660406">
      <w:pPr>
        <w:pageBreakBefore w:val="0"/>
        <w:shd w:val="clear" w:color="auto" w:fill="auto"/>
        <w:kinsoku/>
        <w:wordWrap/>
        <w:overflowPunct/>
        <w:topLinePunct w:val="0"/>
        <w:autoSpaceDE w:val="0"/>
        <w:autoSpaceDN w:val="0"/>
        <w:bidi w:val="0"/>
        <w:spacing w:beforeAutospacing="0" w:line="540" w:lineRule="exact"/>
        <w:jc w:val="left"/>
        <w:textAlignment w:val="auto"/>
        <w:rPr>
          <w:rFonts w:hint="eastAsia" w:ascii="宋体" w:hAnsi="宋体" w:eastAsia="宋体" w:cs="宋体"/>
          <w:b/>
          <w:bCs/>
          <w:color w:val="000000"/>
          <w:sz w:val="32"/>
          <w:szCs w:val="32"/>
          <w:highlight w:val="none"/>
        </w:rPr>
      </w:pPr>
      <w:r>
        <w:rPr>
          <w:rFonts w:hint="eastAsia" w:ascii="宋体" w:hAnsi="宋体" w:eastAsia="宋体" w:cs="宋体"/>
          <w:b/>
          <w:color w:val="000000"/>
          <w:spacing w:val="6"/>
          <w:sz w:val="32"/>
          <w:szCs w:val="32"/>
          <w:highlight w:val="none"/>
        </w:rPr>
        <w:br w:type="page"/>
      </w:r>
      <w:r>
        <w:rPr>
          <w:rFonts w:hint="eastAsia" w:ascii="宋体" w:hAnsi="宋体" w:eastAsia="宋体" w:cs="宋体"/>
          <w:b/>
          <w:color w:val="000000"/>
          <w:spacing w:val="6"/>
          <w:sz w:val="32"/>
          <w:szCs w:val="32"/>
          <w:highlight w:val="none"/>
        </w:rPr>
        <w:t>附件3：</w:t>
      </w:r>
    </w:p>
    <w:p w14:paraId="2BE77732">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业务专用章使用说明函</w:t>
      </w:r>
    </w:p>
    <w:p w14:paraId="1D42F069">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u w:val="single"/>
        </w:rPr>
      </w:pPr>
    </w:p>
    <w:p w14:paraId="60F79DBF">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（交易发起人）、（代理机构）</w:t>
      </w:r>
    </w:p>
    <w:p w14:paraId="2B6CB25E">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我方</w:t>
      </w:r>
      <w:r>
        <w:rPr>
          <w:rFonts w:hint="eastAsia" w:ascii="宋体" w:hAnsi="宋体" w:eastAsia="宋体" w:cs="宋体"/>
          <w:color w:val="000000"/>
          <w:kern w:val="0"/>
          <w:sz w:val="24"/>
          <w:highlight w:val="none"/>
          <w:u w:val="single"/>
          <w:lang w:val="zh-CN"/>
        </w:rPr>
        <w:t xml:space="preserve">                         </w:t>
      </w:r>
      <w:r>
        <w:rPr>
          <w:rFonts w:hint="eastAsia" w:ascii="宋体" w:hAnsi="宋体" w:cs="宋体"/>
          <w:color w:val="000000"/>
          <w:kern w:val="0"/>
          <w:sz w:val="24"/>
          <w:highlight w:val="none"/>
          <w:u w:val="single"/>
          <w:lang w:val="zh-CN"/>
        </w:rPr>
        <w:t>（</w:t>
      </w:r>
      <w:r>
        <w:rPr>
          <w:rFonts w:hint="eastAsia" w:ascii="宋体" w:hAnsi="宋体" w:eastAsia="宋体" w:cs="宋体"/>
          <w:color w:val="000000"/>
          <w:sz w:val="24"/>
          <w:highlight w:val="none"/>
        </w:rPr>
        <w:t>响应人全称</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是中华人民共和国依法登记注册的合法企业，</w:t>
      </w:r>
      <w:r>
        <w:rPr>
          <w:rFonts w:hint="eastAsia" w:ascii="宋体" w:hAnsi="宋体" w:eastAsia="宋体" w:cs="宋体"/>
          <w:bCs/>
          <w:color w:val="000000"/>
          <w:sz w:val="24"/>
          <w:highlight w:val="none"/>
        </w:rPr>
        <w:t>在参加</w:t>
      </w:r>
      <w:r>
        <w:rPr>
          <w:rFonts w:hint="eastAsia" w:ascii="宋体" w:hAnsi="宋体" w:eastAsia="宋体" w:cs="宋体"/>
          <w:color w:val="000000"/>
          <w:sz w:val="24"/>
          <w:highlight w:val="none"/>
        </w:rPr>
        <w:t>你方组织的</w:t>
      </w:r>
      <w:r>
        <w:rPr>
          <w:rFonts w:hint="eastAsia" w:ascii="宋体" w:hAnsi="宋体" w:eastAsia="宋体" w:cs="宋体"/>
          <w:color w:val="000000"/>
          <w:sz w:val="24"/>
          <w:highlight w:val="none"/>
          <w:u w:val="single"/>
        </w:rPr>
        <w:t>（项目名称）项目【交易编号：      ）】</w:t>
      </w:r>
      <w:r>
        <w:rPr>
          <w:rFonts w:hint="eastAsia" w:ascii="宋体" w:hAnsi="宋体" w:eastAsia="宋体" w:cs="宋体"/>
          <w:bCs/>
          <w:color w:val="000000"/>
          <w:sz w:val="24"/>
          <w:highlight w:val="none"/>
        </w:rPr>
        <w:t>投标活动中作如下说明：</w:t>
      </w:r>
      <w:r>
        <w:rPr>
          <w:rFonts w:hint="eastAsia" w:ascii="宋体" w:hAnsi="宋体" w:eastAsia="宋体" w:cs="宋体"/>
          <w:color w:val="000000"/>
          <w:sz w:val="24"/>
          <w:highlight w:val="none"/>
        </w:rPr>
        <w:t xml:space="preserve">我方所使用的“XX专用章”与法定名称章具有同等的法律效力，对使用“XX专用章”的行为予以完全承认，并愿意承担相应责任。   </w:t>
      </w:r>
    </w:p>
    <w:p w14:paraId="66FA9B93">
      <w:pPr>
        <w:pageBreakBefore w:val="0"/>
        <w:shd w:val="clear" w:color="auto" w:fill="auto"/>
        <w:kinsoku/>
        <w:wordWrap/>
        <w:overflowPunct/>
        <w:topLinePunct w:val="0"/>
        <w:bidi w:val="0"/>
        <w:spacing w:beforeAutospacing="0" w:line="54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特此说明。</w:t>
      </w:r>
    </w:p>
    <w:p w14:paraId="57C8AC8C">
      <w:pPr>
        <w:pageBreakBefore w:val="0"/>
        <w:shd w:val="clear" w:color="auto" w:fill="auto"/>
        <w:kinsoku/>
        <w:wordWrap/>
        <w:overflowPunct/>
        <w:topLinePunct w:val="0"/>
        <w:bidi w:val="0"/>
        <w:spacing w:beforeAutospacing="0" w:line="540" w:lineRule="exact"/>
        <w:ind w:firstLine="494"/>
        <w:textAlignment w:val="auto"/>
        <w:rPr>
          <w:rFonts w:hint="eastAsia" w:ascii="宋体" w:hAnsi="宋体" w:eastAsia="宋体" w:cs="宋体"/>
          <w:color w:val="000000"/>
          <w:sz w:val="24"/>
          <w:highlight w:val="none"/>
        </w:rPr>
      </w:pPr>
    </w:p>
    <w:p w14:paraId="43392248">
      <w:pPr>
        <w:pageBreakBefore w:val="0"/>
        <w:shd w:val="clear" w:color="auto" w:fill="auto"/>
        <w:kinsoku/>
        <w:wordWrap/>
        <w:overflowPunct/>
        <w:topLinePunct w:val="0"/>
        <w:bidi w:val="0"/>
        <w:spacing w:beforeAutospacing="0" w:line="540" w:lineRule="exact"/>
        <w:ind w:firstLine="494"/>
        <w:textAlignment w:val="auto"/>
        <w:rPr>
          <w:rFonts w:hint="eastAsia" w:ascii="宋体" w:hAnsi="宋体" w:eastAsia="宋体" w:cs="宋体"/>
          <w:color w:val="000000"/>
          <w:sz w:val="24"/>
          <w:highlight w:val="none"/>
        </w:rPr>
      </w:pPr>
    </w:p>
    <w:p w14:paraId="7BAE60C4">
      <w:pPr>
        <w:pageBreakBefore w:val="0"/>
        <w:shd w:val="clear" w:color="auto" w:fill="auto"/>
        <w:kinsoku/>
        <w:wordWrap/>
        <w:overflowPunct/>
        <w:topLinePunct w:val="0"/>
        <w:bidi w:val="0"/>
        <w:spacing w:beforeAutospacing="0" w:line="540" w:lineRule="exact"/>
        <w:ind w:firstLine="494"/>
        <w:textAlignment w:val="auto"/>
        <w:rPr>
          <w:rFonts w:hint="eastAsia" w:ascii="宋体" w:hAnsi="宋体" w:eastAsia="宋体" w:cs="宋体"/>
          <w:color w:val="000000"/>
          <w:sz w:val="24"/>
          <w:highlight w:val="none"/>
        </w:rPr>
      </w:pPr>
    </w:p>
    <w:p w14:paraId="5F89CC38">
      <w:pPr>
        <w:pageBreakBefore w:val="0"/>
        <w:shd w:val="clear" w:color="auto" w:fill="auto"/>
        <w:kinsoku/>
        <w:wordWrap/>
        <w:overflowPunct/>
        <w:topLinePunct w:val="0"/>
        <w:bidi w:val="0"/>
        <w:spacing w:beforeAutospacing="0" w:line="540" w:lineRule="exact"/>
        <w:ind w:firstLine="494"/>
        <w:textAlignment w:val="auto"/>
        <w:rPr>
          <w:rFonts w:hint="eastAsia" w:ascii="宋体" w:hAnsi="宋体" w:eastAsia="宋体" w:cs="宋体"/>
          <w:color w:val="000000"/>
          <w:sz w:val="24"/>
          <w:highlight w:val="none"/>
        </w:rPr>
      </w:pPr>
    </w:p>
    <w:p w14:paraId="6CAD5B94">
      <w:pPr>
        <w:pageBreakBefore w:val="0"/>
        <w:shd w:val="clear" w:color="auto" w:fill="auto"/>
        <w:kinsoku/>
        <w:wordWrap/>
        <w:overflowPunct/>
        <w:topLinePunct w:val="0"/>
        <w:bidi w:val="0"/>
        <w:spacing w:beforeAutospacing="0" w:line="540" w:lineRule="exact"/>
        <w:ind w:right="480" w:firstLine="4080" w:firstLineChars="17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投标单位（法定名称章）：</w:t>
      </w:r>
    </w:p>
    <w:p w14:paraId="6867868B">
      <w:pPr>
        <w:pageBreakBefore w:val="0"/>
        <w:shd w:val="clear" w:color="auto" w:fill="auto"/>
        <w:kinsoku/>
        <w:wordWrap/>
        <w:overflowPunct/>
        <w:topLinePunct w:val="0"/>
        <w:bidi w:val="0"/>
        <w:spacing w:beforeAutospacing="0" w:line="540" w:lineRule="exact"/>
        <w:ind w:right="1440" w:firstLine="494"/>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14:paraId="5288DDD7">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附：</w:t>
      </w:r>
    </w:p>
    <w:p w14:paraId="2A7EEA78">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bCs/>
          <w:color w:val="000000"/>
          <w:sz w:val="24"/>
          <w:highlight w:val="none"/>
        </w:rPr>
      </w:pPr>
      <w:r>
        <w:rPr>
          <w:rFonts w:hint="eastAsia" w:ascii="宋体" w:hAnsi="宋体" w:eastAsia="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7CF271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7CF2712">
                      <w:pPr>
                        <w:jc w:val="center"/>
                      </w:pPr>
                    </w:p>
                  </w:txbxContent>
                </v:textbox>
              </v:rect>
            </w:pict>
          </mc:Fallback>
        </mc:AlternateContent>
      </w:r>
      <w:r>
        <w:rPr>
          <w:rFonts w:hint="eastAsia" w:ascii="宋体" w:hAnsi="宋体" w:eastAsia="宋体" w:cs="宋体"/>
          <w:color w:val="000000"/>
          <w:sz w:val="24"/>
          <w:highlight w:val="none"/>
        </w:rPr>
        <w:t>投标单位法定名称章（印模）                投标单位“XX专用章”（印模）</w:t>
      </w:r>
    </w:p>
    <w:p w14:paraId="7DD1EA0F">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2507A813">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12A86F13">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5065F830">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31501497">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04B45055">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4247E61F">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0B7D7847">
      <w:pPr>
        <w:pageBreakBefore w:val="0"/>
        <w:shd w:val="clear" w:color="auto" w:fill="auto"/>
        <w:kinsoku/>
        <w:wordWrap/>
        <w:overflowPunct/>
        <w:topLinePunct w:val="0"/>
        <w:autoSpaceDE w:val="0"/>
        <w:autoSpaceDN w:val="0"/>
        <w:bidi w:val="0"/>
        <w:spacing w:beforeAutospacing="0" w:line="540" w:lineRule="exact"/>
        <w:jc w:val="center"/>
        <w:textAlignment w:val="auto"/>
        <w:rPr>
          <w:rFonts w:hint="eastAsia" w:ascii="宋体" w:hAnsi="宋体" w:eastAsia="宋体" w:cs="宋体"/>
          <w:b/>
          <w:color w:val="000000"/>
          <w:spacing w:val="6"/>
          <w:sz w:val="32"/>
          <w:szCs w:val="32"/>
          <w:highlight w:val="none"/>
        </w:rPr>
      </w:pPr>
    </w:p>
    <w:p w14:paraId="2FB3F031">
      <w:pPr>
        <w:pageBreakBefore w:val="0"/>
        <w:shd w:val="clear" w:color="auto" w:fill="auto"/>
        <w:kinsoku/>
        <w:wordWrap/>
        <w:overflowPunct/>
        <w:topLinePunct w:val="0"/>
        <w:bidi w:val="0"/>
        <w:spacing w:beforeAutospacing="0" w:line="540" w:lineRule="exact"/>
        <w:textAlignment w:val="auto"/>
        <w:rPr>
          <w:rFonts w:hint="eastAsia" w:ascii="宋体" w:hAnsi="宋体" w:eastAsia="宋体" w:cs="宋体"/>
          <w:highlight w:val="none"/>
        </w:rPr>
      </w:pPr>
    </w:p>
    <w:p w14:paraId="566B2CB6">
      <w:pPr>
        <w:rPr>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00"/>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EFB0">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83ADC">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6383ADC">
                    <w:pPr>
                      <w:pStyle w:val="4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6252145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1E1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53B3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4C53B3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C0DC16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1702">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AE71B">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3A5AE71B">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p w14:paraId="6397B5E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2F64">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BA9E21">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14:paraId="0DBA9E21">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14:paraId="76A8C76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7DAE">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9A9C4">
                          <w:pPr>
                            <w:pStyle w:val="4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7CA9A9C4">
                    <w:pPr>
                      <w:pStyle w:val="4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9987">
    <w:pPr>
      <w:pStyle w:val="40"/>
      <w:framePr w:wrap="around" w:vAnchor="text" w:hAnchor="margin" w:xAlign="right" w:y="1"/>
      <w:rPr>
        <w:rStyle w:val="73"/>
      </w:rPr>
    </w:pPr>
    <w:r>
      <w:fldChar w:fldCharType="begin"/>
    </w:r>
    <w:r>
      <w:rPr>
        <w:rStyle w:val="73"/>
      </w:rPr>
      <w:instrText xml:space="preserve">PAGE  </w:instrText>
    </w:r>
    <w:r>
      <w:fldChar w:fldCharType="end"/>
    </w:r>
  </w:p>
  <w:p w14:paraId="01203A7E">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9E72">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FC2B4E">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eNGc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UBy74xYHfvn+7fLj1+XnV3KT&#10;29MHqDHrMWBeGu79gEsz+wGdWfWgos1f1EMwjs09X5srh0REfrRerdcVhgTG5gvis6fnIUJ6K70l&#10;2WhoxOmVpvLTe0hj6pySqzn/oI0pEzTuLwdiZg/L3EeO2UrDfpgE7X17Rj09Dr6hDvecEvPOYV/z&#10;jsxGnI39bBxD1IcOqS0LLwh3x4QkCrdcYYSdCuPEirppu/JK/HkvWU9/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XjRnIAQAAmQMAAA4AAAAAAAAAAQAgAAAAHgEAAGRycy9lMm9Eb2Mu&#10;eG1sUEsFBgAAAAAGAAYAWQEAAFgFAAAAAA==&#10;">
              <v:fill on="f" focussize="0,0"/>
              <v:stroke on="f"/>
              <v:imagedata o:title=""/>
              <o:lock v:ext="edit" aspectratio="f"/>
              <v:textbox inset="0mm,0mm,0mm,0mm" style="mso-fit-shape-to-text:t;">
                <w:txbxContent>
                  <w:p w14:paraId="22FC2B4E">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5C31">
    <w:pPr>
      <w:pStyle w:val="41"/>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BB86">
    <w:pPr>
      <w:pStyle w:val="41"/>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E8C0">
    <w:pPr>
      <w:pStyle w:val="41"/>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1CD">
    <w:pPr>
      <w:pStyle w:val="41"/>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0344">
    <w:pPr>
      <w:pStyle w:val="41"/>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94F3">
    <w:pPr>
      <w:pStyle w:val="41"/>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081E5"/>
    <w:multiLevelType w:val="singleLevel"/>
    <w:tmpl w:val="AEE081E5"/>
    <w:lvl w:ilvl="0" w:tentative="0">
      <w:start w:val="1"/>
      <w:numFmt w:val="decimal"/>
      <w:suff w:val="space"/>
      <w:lvlText w:val="%1."/>
      <w:lvlJc w:val="left"/>
    </w:lvl>
  </w:abstractNum>
  <w:abstractNum w:abstractNumId="1">
    <w:nsid w:val="BFDBED20"/>
    <w:multiLevelType w:val="singleLevel"/>
    <w:tmpl w:val="BFDBED20"/>
    <w:lvl w:ilvl="0" w:tentative="0">
      <w:start w:val="1"/>
      <w:numFmt w:val="decimal"/>
      <w:suff w:val="space"/>
      <w:lvlText w:val="%1."/>
      <w:lvlJc w:val="left"/>
    </w:lvl>
  </w:abstractNum>
  <w:abstractNum w:abstractNumId="2">
    <w:nsid w:val="CCF7408D"/>
    <w:multiLevelType w:val="singleLevel"/>
    <w:tmpl w:val="CCF7408D"/>
    <w:lvl w:ilvl="0" w:tentative="0">
      <w:start w:val="1"/>
      <w:numFmt w:val="decimal"/>
      <w:suff w:val="space"/>
      <w:lvlText w:val="%1."/>
      <w:lvlJc w:val="left"/>
    </w:lvl>
  </w:abstractNum>
  <w:abstractNum w:abstractNumId="3">
    <w:nsid w:val="F2EE8A19"/>
    <w:multiLevelType w:val="singleLevel"/>
    <w:tmpl w:val="F2EE8A19"/>
    <w:lvl w:ilvl="0" w:tentative="0">
      <w:start w:val="1"/>
      <w:numFmt w:val="decimal"/>
      <w:suff w:val="space"/>
      <w:lvlText w:val="%1."/>
      <w:lvlJc w:val="left"/>
    </w:lvl>
  </w:abstractNum>
  <w:abstractNum w:abstractNumId="4">
    <w:nsid w:val="FBFE650F"/>
    <w:multiLevelType w:val="singleLevel"/>
    <w:tmpl w:val="FBFE650F"/>
    <w:lvl w:ilvl="0" w:tentative="0">
      <w:start w:val="5"/>
      <w:numFmt w:val="decimal"/>
      <w:suff w:val="space"/>
      <w:lvlText w:val="%1."/>
      <w:lvlJc w:val="left"/>
    </w:lvl>
  </w:abstractNum>
  <w:abstractNum w:abstractNumId="5">
    <w:nsid w:val="FDE03F56"/>
    <w:multiLevelType w:val="singleLevel"/>
    <w:tmpl w:val="FDE03F56"/>
    <w:lvl w:ilvl="0" w:tentative="0">
      <w:start w:val="2"/>
      <w:numFmt w:val="decimal"/>
      <w:suff w:val="nothing"/>
      <w:lvlText w:val="（%1）"/>
      <w:lvlJc w:val="left"/>
    </w:lvl>
  </w:abstractNum>
  <w:abstractNum w:abstractNumId="6">
    <w:nsid w:val="FF9E3384"/>
    <w:multiLevelType w:val="singleLevel"/>
    <w:tmpl w:val="FF9E3384"/>
    <w:lvl w:ilvl="0" w:tentative="0">
      <w:start w:val="1"/>
      <w:numFmt w:val="decimal"/>
      <w:suff w:val="space"/>
      <w:lvlText w:val="%1."/>
      <w:lvlJc w:val="left"/>
    </w:lvl>
  </w:abstractNum>
  <w:abstractNum w:abstractNumId="7">
    <w:nsid w:val="00000001"/>
    <w:multiLevelType w:val="singleLevel"/>
    <w:tmpl w:val="00000001"/>
    <w:lvl w:ilvl="0" w:tentative="0">
      <w:start w:val="2"/>
      <w:numFmt w:val="decimal"/>
      <w:suff w:val="space"/>
      <w:lvlText w:val="%1."/>
      <w:lvlJc w:val="left"/>
    </w:lvl>
  </w:abstractNum>
  <w:abstractNum w:abstractNumId="8">
    <w:nsid w:val="00000002"/>
    <w:multiLevelType w:val="singleLevel"/>
    <w:tmpl w:val="00000002"/>
    <w:lvl w:ilvl="0" w:tentative="0">
      <w:start w:val="1"/>
      <w:numFmt w:val="decimal"/>
      <w:suff w:val="space"/>
      <w:lvlText w:val="%1."/>
      <w:lvlJc w:val="left"/>
    </w:lvl>
  </w:abstractNum>
  <w:abstractNum w:abstractNumId="9">
    <w:nsid w:val="00000003"/>
    <w:multiLevelType w:val="singleLevel"/>
    <w:tmpl w:val="00000003"/>
    <w:lvl w:ilvl="0" w:tentative="0">
      <w:start w:val="14"/>
      <w:numFmt w:val="decimal"/>
      <w:suff w:val="space"/>
      <w:lvlText w:val="%1."/>
      <w:lvlJc w:val="left"/>
    </w:lvl>
  </w:abstractNum>
  <w:abstractNum w:abstractNumId="10">
    <w:nsid w:val="00000004"/>
    <w:multiLevelType w:val="singleLevel"/>
    <w:tmpl w:val="00000004"/>
    <w:lvl w:ilvl="0" w:tentative="0">
      <w:start w:val="2"/>
      <w:numFmt w:val="decimal"/>
      <w:suff w:val="space"/>
      <w:lvlText w:val="%1."/>
      <w:lvlJc w:val="left"/>
    </w:lvl>
  </w:abstractNum>
  <w:abstractNum w:abstractNumId="11">
    <w:nsid w:val="00000006"/>
    <w:multiLevelType w:val="singleLevel"/>
    <w:tmpl w:val="00000006"/>
    <w:lvl w:ilvl="0" w:tentative="0">
      <w:start w:val="2"/>
      <w:numFmt w:val="decimal"/>
      <w:suff w:val="space"/>
      <w:lvlText w:val="%1."/>
      <w:lvlJc w:val="left"/>
    </w:lvl>
  </w:abstractNum>
  <w:abstractNum w:abstractNumId="12">
    <w:nsid w:val="00000007"/>
    <w:multiLevelType w:val="singleLevel"/>
    <w:tmpl w:val="00000007"/>
    <w:lvl w:ilvl="0" w:tentative="0">
      <w:start w:val="1"/>
      <w:numFmt w:val="decimal"/>
      <w:suff w:val="space"/>
      <w:lvlText w:val="%1."/>
      <w:lvlJc w:val="left"/>
    </w:lvl>
  </w:abstractNum>
  <w:abstractNum w:abstractNumId="13">
    <w:nsid w:val="1DDF1A38"/>
    <w:multiLevelType w:val="singleLevel"/>
    <w:tmpl w:val="1DDF1A38"/>
    <w:lvl w:ilvl="0" w:tentative="0">
      <w:start w:val="1"/>
      <w:numFmt w:val="decimal"/>
      <w:suff w:val="space"/>
      <w:lvlText w:val="%1."/>
      <w:lvlJc w:val="left"/>
    </w:lvl>
  </w:abstractNum>
  <w:abstractNum w:abstractNumId="14">
    <w:nsid w:val="7269A016"/>
    <w:multiLevelType w:val="singleLevel"/>
    <w:tmpl w:val="7269A016"/>
    <w:lvl w:ilvl="0" w:tentative="0">
      <w:start w:val="4"/>
      <w:numFmt w:val="decimal"/>
      <w:suff w:val="nothing"/>
      <w:lvlText w:val="（%1）"/>
      <w:lvlJc w:val="left"/>
    </w:lvl>
  </w:abstractNum>
  <w:abstractNum w:abstractNumId="15">
    <w:nsid w:val="7EFE8099"/>
    <w:multiLevelType w:val="singleLevel"/>
    <w:tmpl w:val="7EFE8099"/>
    <w:lvl w:ilvl="0" w:tentative="0">
      <w:start w:val="1"/>
      <w:numFmt w:val="decimal"/>
      <w:lvlText w:val="%1."/>
      <w:lvlJc w:val="left"/>
      <w:pPr>
        <w:tabs>
          <w:tab w:val="left" w:pos="312"/>
        </w:tabs>
      </w:pPr>
    </w:lvl>
  </w:abstractNum>
  <w:abstractNum w:abstractNumId="16">
    <w:nsid w:val="7FDD8936"/>
    <w:multiLevelType w:val="singleLevel"/>
    <w:tmpl w:val="7FDD8936"/>
    <w:lvl w:ilvl="0" w:tentative="0">
      <w:start w:val="5"/>
      <w:numFmt w:val="decimal"/>
      <w:suff w:val="nothing"/>
      <w:lvlText w:val="（%1）"/>
      <w:lvlJc w:val="left"/>
    </w:lvl>
  </w:abstractNum>
  <w:num w:numId="1">
    <w:abstractNumId w:val="11"/>
  </w:num>
  <w:num w:numId="2">
    <w:abstractNumId w:val="7"/>
  </w:num>
  <w:num w:numId="3">
    <w:abstractNumId w:val="9"/>
  </w:num>
  <w:num w:numId="4">
    <w:abstractNumId w:val="5"/>
  </w:num>
  <w:num w:numId="5">
    <w:abstractNumId w:val="4"/>
  </w:num>
  <w:num w:numId="6">
    <w:abstractNumId w:val="6"/>
  </w:num>
  <w:num w:numId="7">
    <w:abstractNumId w:val="3"/>
  </w:num>
  <w:num w:numId="8">
    <w:abstractNumId w:val="14"/>
  </w:num>
  <w:num w:numId="9">
    <w:abstractNumId w:val="1"/>
  </w:num>
  <w:num w:numId="10">
    <w:abstractNumId w:val="16"/>
  </w:num>
  <w:num w:numId="11">
    <w:abstractNumId w:val="15"/>
  </w:num>
  <w:num w:numId="12">
    <w:abstractNumId w:val="2"/>
  </w:num>
  <w:num w:numId="13">
    <w:abstractNumId w:val="0"/>
  </w:num>
  <w:num w:numId="14">
    <w:abstractNumId w:val="10"/>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ZjNkYWMwMGY0ZmEwYjk1NzkyZTM1NWFkN2EzZj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D73"/>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1D2D"/>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69"/>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28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8EB"/>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B2"/>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72E"/>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6B0"/>
    <w:rsid w:val="00276CA9"/>
    <w:rsid w:val="00276FCF"/>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5E66"/>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0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6F6"/>
    <w:rsid w:val="002C483B"/>
    <w:rsid w:val="002C4DFE"/>
    <w:rsid w:val="002C519E"/>
    <w:rsid w:val="002C5D5E"/>
    <w:rsid w:val="002C6116"/>
    <w:rsid w:val="002C643D"/>
    <w:rsid w:val="002C66B8"/>
    <w:rsid w:val="002C70E7"/>
    <w:rsid w:val="002C754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DC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8BD"/>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4A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1FEA"/>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9FB"/>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5E4"/>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24C"/>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BA2"/>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5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224"/>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3F9"/>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C5"/>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76E"/>
    <w:rsid w:val="005F045D"/>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C3C"/>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43C8"/>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9D2"/>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40B"/>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AFD"/>
    <w:rsid w:val="007D2C31"/>
    <w:rsid w:val="007D2E50"/>
    <w:rsid w:val="007D3D74"/>
    <w:rsid w:val="007D445F"/>
    <w:rsid w:val="007D4DED"/>
    <w:rsid w:val="007D5BA2"/>
    <w:rsid w:val="007D5ED3"/>
    <w:rsid w:val="007D682F"/>
    <w:rsid w:val="007D6E6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8B8"/>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AC9"/>
    <w:rsid w:val="008E323C"/>
    <w:rsid w:val="008E32E0"/>
    <w:rsid w:val="008E35A6"/>
    <w:rsid w:val="008E36D9"/>
    <w:rsid w:val="008E3A5C"/>
    <w:rsid w:val="008E3A9A"/>
    <w:rsid w:val="008E429E"/>
    <w:rsid w:val="008E58A3"/>
    <w:rsid w:val="008E5938"/>
    <w:rsid w:val="008E6109"/>
    <w:rsid w:val="008E6A39"/>
    <w:rsid w:val="008E6E6A"/>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E9B"/>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74F"/>
    <w:rsid w:val="00980B30"/>
    <w:rsid w:val="009810BE"/>
    <w:rsid w:val="009817BC"/>
    <w:rsid w:val="009819A7"/>
    <w:rsid w:val="0098220A"/>
    <w:rsid w:val="00982E75"/>
    <w:rsid w:val="00983337"/>
    <w:rsid w:val="009836AA"/>
    <w:rsid w:val="009846BF"/>
    <w:rsid w:val="00984E9A"/>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EE6"/>
    <w:rsid w:val="009B2731"/>
    <w:rsid w:val="009B2DCF"/>
    <w:rsid w:val="009B39D8"/>
    <w:rsid w:val="009B3D38"/>
    <w:rsid w:val="009B4368"/>
    <w:rsid w:val="009B4D4C"/>
    <w:rsid w:val="009B66F5"/>
    <w:rsid w:val="009B71D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906"/>
    <w:rsid w:val="00A102F8"/>
    <w:rsid w:val="00A10A20"/>
    <w:rsid w:val="00A117D5"/>
    <w:rsid w:val="00A11C11"/>
    <w:rsid w:val="00A12720"/>
    <w:rsid w:val="00A12934"/>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9C0"/>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CE"/>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CDD"/>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0A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7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82C"/>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D7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5B"/>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FD9"/>
    <w:rsid w:val="00C31320"/>
    <w:rsid w:val="00C31681"/>
    <w:rsid w:val="00C316B4"/>
    <w:rsid w:val="00C332D4"/>
    <w:rsid w:val="00C33A66"/>
    <w:rsid w:val="00C33E51"/>
    <w:rsid w:val="00C34C45"/>
    <w:rsid w:val="00C34C47"/>
    <w:rsid w:val="00C34FCE"/>
    <w:rsid w:val="00C35411"/>
    <w:rsid w:val="00C35EED"/>
    <w:rsid w:val="00C36B2C"/>
    <w:rsid w:val="00C3701A"/>
    <w:rsid w:val="00C379EF"/>
    <w:rsid w:val="00C405C8"/>
    <w:rsid w:val="00C40794"/>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5B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5D2"/>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9A"/>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1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4C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AD7"/>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14"/>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F63"/>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3D"/>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A9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807AF1"/>
    <w:rsid w:val="019F7441"/>
    <w:rsid w:val="01A06AA0"/>
    <w:rsid w:val="01B37585"/>
    <w:rsid w:val="01B5399D"/>
    <w:rsid w:val="01C064F8"/>
    <w:rsid w:val="01D55165"/>
    <w:rsid w:val="01DF6BF8"/>
    <w:rsid w:val="01EC2C57"/>
    <w:rsid w:val="01FB2BB6"/>
    <w:rsid w:val="02021298"/>
    <w:rsid w:val="020B640B"/>
    <w:rsid w:val="02532694"/>
    <w:rsid w:val="025F0711"/>
    <w:rsid w:val="02644317"/>
    <w:rsid w:val="026B2E25"/>
    <w:rsid w:val="02824D4D"/>
    <w:rsid w:val="02BE3979"/>
    <w:rsid w:val="02DC4B10"/>
    <w:rsid w:val="02DD76CE"/>
    <w:rsid w:val="02F36323"/>
    <w:rsid w:val="02F5619C"/>
    <w:rsid w:val="0326446A"/>
    <w:rsid w:val="03294057"/>
    <w:rsid w:val="032D5555"/>
    <w:rsid w:val="036634D2"/>
    <w:rsid w:val="038A68D9"/>
    <w:rsid w:val="03DD35E4"/>
    <w:rsid w:val="03E80EEC"/>
    <w:rsid w:val="03F21B70"/>
    <w:rsid w:val="04076900"/>
    <w:rsid w:val="040C265C"/>
    <w:rsid w:val="041A5A3B"/>
    <w:rsid w:val="042311BA"/>
    <w:rsid w:val="042B157A"/>
    <w:rsid w:val="048F763B"/>
    <w:rsid w:val="049F330E"/>
    <w:rsid w:val="04AA775C"/>
    <w:rsid w:val="04AF1889"/>
    <w:rsid w:val="04B85F11"/>
    <w:rsid w:val="04EE3F9B"/>
    <w:rsid w:val="04F27178"/>
    <w:rsid w:val="04F35142"/>
    <w:rsid w:val="04F66F48"/>
    <w:rsid w:val="051E28A6"/>
    <w:rsid w:val="05251E14"/>
    <w:rsid w:val="05507636"/>
    <w:rsid w:val="05770BD6"/>
    <w:rsid w:val="058806C7"/>
    <w:rsid w:val="05A16594"/>
    <w:rsid w:val="05A7762D"/>
    <w:rsid w:val="05BF4603"/>
    <w:rsid w:val="05C04DC2"/>
    <w:rsid w:val="060E5941"/>
    <w:rsid w:val="06110FAF"/>
    <w:rsid w:val="06274AC9"/>
    <w:rsid w:val="06493CA7"/>
    <w:rsid w:val="065A6178"/>
    <w:rsid w:val="066D3597"/>
    <w:rsid w:val="066F1CF3"/>
    <w:rsid w:val="068A692E"/>
    <w:rsid w:val="06930BB8"/>
    <w:rsid w:val="06956198"/>
    <w:rsid w:val="06A41A4B"/>
    <w:rsid w:val="06ED129B"/>
    <w:rsid w:val="07074A6D"/>
    <w:rsid w:val="07245D42"/>
    <w:rsid w:val="07264C62"/>
    <w:rsid w:val="072F6604"/>
    <w:rsid w:val="074460BC"/>
    <w:rsid w:val="0779354C"/>
    <w:rsid w:val="077F0C95"/>
    <w:rsid w:val="078443E2"/>
    <w:rsid w:val="07C300BD"/>
    <w:rsid w:val="07FE18F3"/>
    <w:rsid w:val="08061376"/>
    <w:rsid w:val="08452D77"/>
    <w:rsid w:val="086401F8"/>
    <w:rsid w:val="08751CAA"/>
    <w:rsid w:val="0876556A"/>
    <w:rsid w:val="087E4C40"/>
    <w:rsid w:val="08A53637"/>
    <w:rsid w:val="08A871D0"/>
    <w:rsid w:val="08B86349"/>
    <w:rsid w:val="08D12032"/>
    <w:rsid w:val="08D66AD6"/>
    <w:rsid w:val="08DA33A3"/>
    <w:rsid w:val="08E80F13"/>
    <w:rsid w:val="092612F3"/>
    <w:rsid w:val="092748F4"/>
    <w:rsid w:val="09335624"/>
    <w:rsid w:val="09414AC1"/>
    <w:rsid w:val="0944690F"/>
    <w:rsid w:val="09535675"/>
    <w:rsid w:val="095D456F"/>
    <w:rsid w:val="095F057D"/>
    <w:rsid w:val="09642282"/>
    <w:rsid w:val="09733572"/>
    <w:rsid w:val="09772C16"/>
    <w:rsid w:val="09806177"/>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AE222D4"/>
    <w:rsid w:val="0B0F74C5"/>
    <w:rsid w:val="0B2E535B"/>
    <w:rsid w:val="0B30404E"/>
    <w:rsid w:val="0B4C6C14"/>
    <w:rsid w:val="0B524759"/>
    <w:rsid w:val="0B631A88"/>
    <w:rsid w:val="0B683D45"/>
    <w:rsid w:val="0B76461B"/>
    <w:rsid w:val="0B7F3F11"/>
    <w:rsid w:val="0B884417"/>
    <w:rsid w:val="0B93709B"/>
    <w:rsid w:val="0BDC4F75"/>
    <w:rsid w:val="0BF6188C"/>
    <w:rsid w:val="0BF73C91"/>
    <w:rsid w:val="0BFE313E"/>
    <w:rsid w:val="0C126BE9"/>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7461A"/>
    <w:rsid w:val="0D184CFB"/>
    <w:rsid w:val="0D1E37B6"/>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4566D"/>
    <w:rsid w:val="0E6D5D79"/>
    <w:rsid w:val="0E6F14E6"/>
    <w:rsid w:val="0E9D0089"/>
    <w:rsid w:val="0EB803EE"/>
    <w:rsid w:val="0EF94D4B"/>
    <w:rsid w:val="0F0B13B6"/>
    <w:rsid w:val="0F182768"/>
    <w:rsid w:val="0F2F706C"/>
    <w:rsid w:val="0F4958DC"/>
    <w:rsid w:val="0F515DF7"/>
    <w:rsid w:val="0F596BA8"/>
    <w:rsid w:val="0F6248D2"/>
    <w:rsid w:val="0F635421"/>
    <w:rsid w:val="0F693536"/>
    <w:rsid w:val="0F7B0511"/>
    <w:rsid w:val="0F7B76D9"/>
    <w:rsid w:val="0F816ACD"/>
    <w:rsid w:val="0F9832DB"/>
    <w:rsid w:val="0FBF3FD2"/>
    <w:rsid w:val="0FBF7FF3"/>
    <w:rsid w:val="0FCF1C32"/>
    <w:rsid w:val="0FDA406B"/>
    <w:rsid w:val="0FE4383C"/>
    <w:rsid w:val="0FFC3E38"/>
    <w:rsid w:val="10156805"/>
    <w:rsid w:val="10646583"/>
    <w:rsid w:val="107D4B15"/>
    <w:rsid w:val="10841832"/>
    <w:rsid w:val="108A3C80"/>
    <w:rsid w:val="10B75D85"/>
    <w:rsid w:val="10C26171"/>
    <w:rsid w:val="10DC700E"/>
    <w:rsid w:val="10F33360"/>
    <w:rsid w:val="10F4083A"/>
    <w:rsid w:val="10FC16EA"/>
    <w:rsid w:val="11052878"/>
    <w:rsid w:val="110F1D40"/>
    <w:rsid w:val="11266F33"/>
    <w:rsid w:val="117A5014"/>
    <w:rsid w:val="118963A1"/>
    <w:rsid w:val="11B428B8"/>
    <w:rsid w:val="11C6522A"/>
    <w:rsid w:val="11D65E43"/>
    <w:rsid w:val="11E104CC"/>
    <w:rsid w:val="11E20309"/>
    <w:rsid w:val="11FD7247"/>
    <w:rsid w:val="12255233"/>
    <w:rsid w:val="122A59DE"/>
    <w:rsid w:val="12530213"/>
    <w:rsid w:val="125F31BD"/>
    <w:rsid w:val="126852DF"/>
    <w:rsid w:val="127723A9"/>
    <w:rsid w:val="12862074"/>
    <w:rsid w:val="12883966"/>
    <w:rsid w:val="128C48E7"/>
    <w:rsid w:val="129E45B4"/>
    <w:rsid w:val="12D21374"/>
    <w:rsid w:val="12D81596"/>
    <w:rsid w:val="13072A44"/>
    <w:rsid w:val="131A1B7F"/>
    <w:rsid w:val="13474EA5"/>
    <w:rsid w:val="135F4BE2"/>
    <w:rsid w:val="13750189"/>
    <w:rsid w:val="138052D4"/>
    <w:rsid w:val="13913864"/>
    <w:rsid w:val="139B1A0A"/>
    <w:rsid w:val="139B5BDE"/>
    <w:rsid w:val="139D25C7"/>
    <w:rsid w:val="13BF3CE4"/>
    <w:rsid w:val="140F0A5D"/>
    <w:rsid w:val="141008D8"/>
    <w:rsid w:val="14125FE6"/>
    <w:rsid w:val="142B70E5"/>
    <w:rsid w:val="14464859"/>
    <w:rsid w:val="14500381"/>
    <w:rsid w:val="14567C5C"/>
    <w:rsid w:val="14582673"/>
    <w:rsid w:val="146D271E"/>
    <w:rsid w:val="14982588"/>
    <w:rsid w:val="149A5AD9"/>
    <w:rsid w:val="14A7619D"/>
    <w:rsid w:val="14D05CA0"/>
    <w:rsid w:val="14DE44F3"/>
    <w:rsid w:val="14E75DF4"/>
    <w:rsid w:val="14F25B02"/>
    <w:rsid w:val="150536C3"/>
    <w:rsid w:val="150C1963"/>
    <w:rsid w:val="151447A0"/>
    <w:rsid w:val="15190844"/>
    <w:rsid w:val="154A6454"/>
    <w:rsid w:val="15762120"/>
    <w:rsid w:val="15831634"/>
    <w:rsid w:val="15836FCC"/>
    <w:rsid w:val="15844A86"/>
    <w:rsid w:val="15EF6666"/>
    <w:rsid w:val="15F56AC3"/>
    <w:rsid w:val="1608540D"/>
    <w:rsid w:val="16204A74"/>
    <w:rsid w:val="16565924"/>
    <w:rsid w:val="166C515D"/>
    <w:rsid w:val="169444CE"/>
    <w:rsid w:val="16A8729C"/>
    <w:rsid w:val="16B33777"/>
    <w:rsid w:val="16BC70A7"/>
    <w:rsid w:val="16C6339E"/>
    <w:rsid w:val="16C730F7"/>
    <w:rsid w:val="16D6012D"/>
    <w:rsid w:val="16D651C8"/>
    <w:rsid w:val="16FA2753"/>
    <w:rsid w:val="16FE2244"/>
    <w:rsid w:val="172F2D79"/>
    <w:rsid w:val="174A5A9D"/>
    <w:rsid w:val="17557BEF"/>
    <w:rsid w:val="1763163B"/>
    <w:rsid w:val="176D1E2A"/>
    <w:rsid w:val="177B5642"/>
    <w:rsid w:val="17852075"/>
    <w:rsid w:val="178B06F1"/>
    <w:rsid w:val="17A05FFC"/>
    <w:rsid w:val="17D349C1"/>
    <w:rsid w:val="17E066D8"/>
    <w:rsid w:val="1830729E"/>
    <w:rsid w:val="18394486"/>
    <w:rsid w:val="185134E3"/>
    <w:rsid w:val="1870062C"/>
    <w:rsid w:val="18817102"/>
    <w:rsid w:val="18830A15"/>
    <w:rsid w:val="18852B28"/>
    <w:rsid w:val="1885704E"/>
    <w:rsid w:val="188B5321"/>
    <w:rsid w:val="18C776A6"/>
    <w:rsid w:val="18CA21AC"/>
    <w:rsid w:val="18D64F20"/>
    <w:rsid w:val="18EE574D"/>
    <w:rsid w:val="19341F4D"/>
    <w:rsid w:val="196D5720"/>
    <w:rsid w:val="197524E7"/>
    <w:rsid w:val="19761DA4"/>
    <w:rsid w:val="19912470"/>
    <w:rsid w:val="19932372"/>
    <w:rsid w:val="199450E1"/>
    <w:rsid w:val="19A07A88"/>
    <w:rsid w:val="19A20DD5"/>
    <w:rsid w:val="19A43980"/>
    <w:rsid w:val="19AE03F1"/>
    <w:rsid w:val="19D16EBE"/>
    <w:rsid w:val="19E434F2"/>
    <w:rsid w:val="19E92A21"/>
    <w:rsid w:val="1A071A03"/>
    <w:rsid w:val="1A1A5A79"/>
    <w:rsid w:val="1A1A697E"/>
    <w:rsid w:val="1A1F16AE"/>
    <w:rsid w:val="1A3B5C77"/>
    <w:rsid w:val="1A78287A"/>
    <w:rsid w:val="1A7A249A"/>
    <w:rsid w:val="1A984BAD"/>
    <w:rsid w:val="1AAD4438"/>
    <w:rsid w:val="1AB8220E"/>
    <w:rsid w:val="1AC82137"/>
    <w:rsid w:val="1AE4166C"/>
    <w:rsid w:val="1AF06CFB"/>
    <w:rsid w:val="1AF11B8D"/>
    <w:rsid w:val="1B11359C"/>
    <w:rsid w:val="1B2A271F"/>
    <w:rsid w:val="1B422FFF"/>
    <w:rsid w:val="1B530544"/>
    <w:rsid w:val="1B713184"/>
    <w:rsid w:val="1B7165DF"/>
    <w:rsid w:val="1B825FBC"/>
    <w:rsid w:val="1BA209CF"/>
    <w:rsid w:val="1BB4777D"/>
    <w:rsid w:val="1BD75AB8"/>
    <w:rsid w:val="1BE22A26"/>
    <w:rsid w:val="1C0459C2"/>
    <w:rsid w:val="1C1B3B4A"/>
    <w:rsid w:val="1C312C73"/>
    <w:rsid w:val="1C537570"/>
    <w:rsid w:val="1C614C80"/>
    <w:rsid w:val="1C88086E"/>
    <w:rsid w:val="1CA045EE"/>
    <w:rsid w:val="1CC47A8B"/>
    <w:rsid w:val="1CD44439"/>
    <w:rsid w:val="1D17169F"/>
    <w:rsid w:val="1D266CE1"/>
    <w:rsid w:val="1D3963AF"/>
    <w:rsid w:val="1D476B87"/>
    <w:rsid w:val="1D511AF9"/>
    <w:rsid w:val="1D560AEC"/>
    <w:rsid w:val="1D635F35"/>
    <w:rsid w:val="1D6A673C"/>
    <w:rsid w:val="1D9247AE"/>
    <w:rsid w:val="1DB567EC"/>
    <w:rsid w:val="1DC00475"/>
    <w:rsid w:val="1DC32E76"/>
    <w:rsid w:val="1DEC22C4"/>
    <w:rsid w:val="1DEF20BD"/>
    <w:rsid w:val="1DF51A98"/>
    <w:rsid w:val="1E3D060F"/>
    <w:rsid w:val="1E3F7D2E"/>
    <w:rsid w:val="1E4134E4"/>
    <w:rsid w:val="1E5062B3"/>
    <w:rsid w:val="1E523514"/>
    <w:rsid w:val="1E714A66"/>
    <w:rsid w:val="1E730E11"/>
    <w:rsid w:val="1E802593"/>
    <w:rsid w:val="1E8B6156"/>
    <w:rsid w:val="1EA703CC"/>
    <w:rsid w:val="1EB7330C"/>
    <w:rsid w:val="1EC77647"/>
    <w:rsid w:val="1EE16A7B"/>
    <w:rsid w:val="1F0A0FF3"/>
    <w:rsid w:val="1F5771FF"/>
    <w:rsid w:val="1F6115C2"/>
    <w:rsid w:val="1FE868A9"/>
    <w:rsid w:val="20034907"/>
    <w:rsid w:val="20126D60"/>
    <w:rsid w:val="20173E4B"/>
    <w:rsid w:val="201B3A42"/>
    <w:rsid w:val="202F42F4"/>
    <w:rsid w:val="204E48BC"/>
    <w:rsid w:val="206A35BB"/>
    <w:rsid w:val="208921B3"/>
    <w:rsid w:val="2093370A"/>
    <w:rsid w:val="20973DEB"/>
    <w:rsid w:val="20AF45AF"/>
    <w:rsid w:val="20B26522"/>
    <w:rsid w:val="20B34C6B"/>
    <w:rsid w:val="20B44310"/>
    <w:rsid w:val="20DF1008"/>
    <w:rsid w:val="20EE2FE4"/>
    <w:rsid w:val="211116EB"/>
    <w:rsid w:val="211E01F0"/>
    <w:rsid w:val="212D6D8F"/>
    <w:rsid w:val="2145589B"/>
    <w:rsid w:val="216133FC"/>
    <w:rsid w:val="218944CA"/>
    <w:rsid w:val="21D56769"/>
    <w:rsid w:val="21D62C50"/>
    <w:rsid w:val="21E52EF3"/>
    <w:rsid w:val="21FB5D7B"/>
    <w:rsid w:val="220B1C3D"/>
    <w:rsid w:val="221D1D20"/>
    <w:rsid w:val="22334A87"/>
    <w:rsid w:val="22605B10"/>
    <w:rsid w:val="22B61EBB"/>
    <w:rsid w:val="22B83BEE"/>
    <w:rsid w:val="22BE6801"/>
    <w:rsid w:val="22C04C60"/>
    <w:rsid w:val="22E03145"/>
    <w:rsid w:val="23052BAC"/>
    <w:rsid w:val="23113F1A"/>
    <w:rsid w:val="233500BF"/>
    <w:rsid w:val="23377FF7"/>
    <w:rsid w:val="236B425F"/>
    <w:rsid w:val="23836192"/>
    <w:rsid w:val="23901F29"/>
    <w:rsid w:val="239C0061"/>
    <w:rsid w:val="23B908A4"/>
    <w:rsid w:val="23D902C0"/>
    <w:rsid w:val="23E406C4"/>
    <w:rsid w:val="23E95BEF"/>
    <w:rsid w:val="23FC52F4"/>
    <w:rsid w:val="23FD0064"/>
    <w:rsid w:val="241A79BA"/>
    <w:rsid w:val="244C6C81"/>
    <w:rsid w:val="245375B0"/>
    <w:rsid w:val="24642C0A"/>
    <w:rsid w:val="24667B44"/>
    <w:rsid w:val="24667C24"/>
    <w:rsid w:val="246A3BA8"/>
    <w:rsid w:val="248B443A"/>
    <w:rsid w:val="2492728B"/>
    <w:rsid w:val="249307DC"/>
    <w:rsid w:val="24AB4110"/>
    <w:rsid w:val="24B22173"/>
    <w:rsid w:val="24B95AD9"/>
    <w:rsid w:val="24BE24DA"/>
    <w:rsid w:val="24CF5825"/>
    <w:rsid w:val="24D663E6"/>
    <w:rsid w:val="24D77F2B"/>
    <w:rsid w:val="25487456"/>
    <w:rsid w:val="254F52B1"/>
    <w:rsid w:val="25554146"/>
    <w:rsid w:val="258B00E2"/>
    <w:rsid w:val="259927F4"/>
    <w:rsid w:val="25A34E23"/>
    <w:rsid w:val="25A917A6"/>
    <w:rsid w:val="25B24F35"/>
    <w:rsid w:val="25BE27CC"/>
    <w:rsid w:val="25D90840"/>
    <w:rsid w:val="25E92F53"/>
    <w:rsid w:val="25F74A5C"/>
    <w:rsid w:val="2628662C"/>
    <w:rsid w:val="262D45DE"/>
    <w:rsid w:val="266C7F36"/>
    <w:rsid w:val="266E6AE8"/>
    <w:rsid w:val="267E09C1"/>
    <w:rsid w:val="26871DC8"/>
    <w:rsid w:val="26A53EF9"/>
    <w:rsid w:val="26A6481F"/>
    <w:rsid w:val="26A94201"/>
    <w:rsid w:val="26AC274F"/>
    <w:rsid w:val="270377E9"/>
    <w:rsid w:val="27044A29"/>
    <w:rsid w:val="271D34C8"/>
    <w:rsid w:val="27207FB4"/>
    <w:rsid w:val="272F6449"/>
    <w:rsid w:val="274C4FBA"/>
    <w:rsid w:val="276142BF"/>
    <w:rsid w:val="27783712"/>
    <w:rsid w:val="27907362"/>
    <w:rsid w:val="27946682"/>
    <w:rsid w:val="279B7084"/>
    <w:rsid w:val="27A02A0E"/>
    <w:rsid w:val="27A57962"/>
    <w:rsid w:val="27D54F23"/>
    <w:rsid w:val="28155BA8"/>
    <w:rsid w:val="282D0BDB"/>
    <w:rsid w:val="28333E1D"/>
    <w:rsid w:val="28454BD6"/>
    <w:rsid w:val="28455253"/>
    <w:rsid w:val="28551971"/>
    <w:rsid w:val="285B1C53"/>
    <w:rsid w:val="289F7086"/>
    <w:rsid w:val="28AC103B"/>
    <w:rsid w:val="28C32028"/>
    <w:rsid w:val="28CC490F"/>
    <w:rsid w:val="28DE40AA"/>
    <w:rsid w:val="28F039B6"/>
    <w:rsid w:val="29085E97"/>
    <w:rsid w:val="290C7429"/>
    <w:rsid w:val="29345E77"/>
    <w:rsid w:val="29453CBE"/>
    <w:rsid w:val="294C65AD"/>
    <w:rsid w:val="294E3480"/>
    <w:rsid w:val="295E4D2B"/>
    <w:rsid w:val="29806583"/>
    <w:rsid w:val="298B3C4C"/>
    <w:rsid w:val="29F26D24"/>
    <w:rsid w:val="2A15033F"/>
    <w:rsid w:val="2A1662C1"/>
    <w:rsid w:val="2A1C7367"/>
    <w:rsid w:val="2A2815FA"/>
    <w:rsid w:val="2A6D6092"/>
    <w:rsid w:val="2A7D76B4"/>
    <w:rsid w:val="2A830ABD"/>
    <w:rsid w:val="2A8F072F"/>
    <w:rsid w:val="2AAC6EA3"/>
    <w:rsid w:val="2AD8021A"/>
    <w:rsid w:val="2AEE1B3B"/>
    <w:rsid w:val="2AF47F2E"/>
    <w:rsid w:val="2B361B54"/>
    <w:rsid w:val="2B437463"/>
    <w:rsid w:val="2B4564FD"/>
    <w:rsid w:val="2B640B9E"/>
    <w:rsid w:val="2B7807EE"/>
    <w:rsid w:val="2B8C47CE"/>
    <w:rsid w:val="2BA50BF7"/>
    <w:rsid w:val="2BBF00EC"/>
    <w:rsid w:val="2BBF1BD7"/>
    <w:rsid w:val="2BC37CFD"/>
    <w:rsid w:val="2BD5237F"/>
    <w:rsid w:val="2BE536CE"/>
    <w:rsid w:val="2BE758D9"/>
    <w:rsid w:val="2BEA7DD3"/>
    <w:rsid w:val="2C09049E"/>
    <w:rsid w:val="2C0A653C"/>
    <w:rsid w:val="2C191F85"/>
    <w:rsid w:val="2C311870"/>
    <w:rsid w:val="2C453FE1"/>
    <w:rsid w:val="2C8C4873"/>
    <w:rsid w:val="2C8E07CC"/>
    <w:rsid w:val="2C994A93"/>
    <w:rsid w:val="2CE72563"/>
    <w:rsid w:val="2CE82D6F"/>
    <w:rsid w:val="2D2216DE"/>
    <w:rsid w:val="2D343236"/>
    <w:rsid w:val="2D6055AE"/>
    <w:rsid w:val="2D6D1ECE"/>
    <w:rsid w:val="2D956040"/>
    <w:rsid w:val="2DC53663"/>
    <w:rsid w:val="2DD15014"/>
    <w:rsid w:val="2DF72DE4"/>
    <w:rsid w:val="2E0220AF"/>
    <w:rsid w:val="2E21149D"/>
    <w:rsid w:val="2E2C450B"/>
    <w:rsid w:val="2E4B082A"/>
    <w:rsid w:val="2E5D4E86"/>
    <w:rsid w:val="2E5D790B"/>
    <w:rsid w:val="2E776A61"/>
    <w:rsid w:val="2E9A3C18"/>
    <w:rsid w:val="2EBB0FEE"/>
    <w:rsid w:val="2EC63002"/>
    <w:rsid w:val="2ECB46DA"/>
    <w:rsid w:val="2EEB458A"/>
    <w:rsid w:val="2EF770C1"/>
    <w:rsid w:val="2F064D1A"/>
    <w:rsid w:val="2F0A6B38"/>
    <w:rsid w:val="2F0E78D3"/>
    <w:rsid w:val="2F946CCB"/>
    <w:rsid w:val="2FB0722E"/>
    <w:rsid w:val="2FC11140"/>
    <w:rsid w:val="2FD25781"/>
    <w:rsid w:val="2FDE33BA"/>
    <w:rsid w:val="2FF346DE"/>
    <w:rsid w:val="2FFB7730"/>
    <w:rsid w:val="2FFD7934"/>
    <w:rsid w:val="30201A01"/>
    <w:rsid w:val="30383C70"/>
    <w:rsid w:val="30431B66"/>
    <w:rsid w:val="30733ACD"/>
    <w:rsid w:val="308C3862"/>
    <w:rsid w:val="309379D8"/>
    <w:rsid w:val="309B6899"/>
    <w:rsid w:val="30A270F7"/>
    <w:rsid w:val="30B32580"/>
    <w:rsid w:val="30BD4815"/>
    <w:rsid w:val="30DF1478"/>
    <w:rsid w:val="30EA055D"/>
    <w:rsid w:val="30EC586F"/>
    <w:rsid w:val="31624A09"/>
    <w:rsid w:val="319C6071"/>
    <w:rsid w:val="31AC537E"/>
    <w:rsid w:val="31B420C4"/>
    <w:rsid w:val="31B82C24"/>
    <w:rsid w:val="31C17BA9"/>
    <w:rsid w:val="31C549B6"/>
    <w:rsid w:val="31D10672"/>
    <w:rsid w:val="31E3679B"/>
    <w:rsid w:val="31E732FD"/>
    <w:rsid w:val="31EC5663"/>
    <w:rsid w:val="32517576"/>
    <w:rsid w:val="3262346C"/>
    <w:rsid w:val="326A18EB"/>
    <w:rsid w:val="32A64673"/>
    <w:rsid w:val="32BE5C2C"/>
    <w:rsid w:val="32D07BEF"/>
    <w:rsid w:val="32FB6478"/>
    <w:rsid w:val="331E793D"/>
    <w:rsid w:val="332637C2"/>
    <w:rsid w:val="33263B3F"/>
    <w:rsid w:val="336963EB"/>
    <w:rsid w:val="33816EEB"/>
    <w:rsid w:val="338863E7"/>
    <w:rsid w:val="33EB55CD"/>
    <w:rsid w:val="33EC4C02"/>
    <w:rsid w:val="340D2360"/>
    <w:rsid w:val="3410665D"/>
    <w:rsid w:val="34111E20"/>
    <w:rsid w:val="34211214"/>
    <w:rsid w:val="342E63AB"/>
    <w:rsid w:val="34433534"/>
    <w:rsid w:val="3466782F"/>
    <w:rsid w:val="34683592"/>
    <w:rsid w:val="347B5D1E"/>
    <w:rsid w:val="348522B5"/>
    <w:rsid w:val="348947DA"/>
    <w:rsid w:val="34950E68"/>
    <w:rsid w:val="34986E94"/>
    <w:rsid w:val="34995A5A"/>
    <w:rsid w:val="34AF62C9"/>
    <w:rsid w:val="34CB4388"/>
    <w:rsid w:val="34FA6E12"/>
    <w:rsid w:val="34FD4D0A"/>
    <w:rsid w:val="354D7158"/>
    <w:rsid w:val="358D5588"/>
    <w:rsid w:val="36136070"/>
    <w:rsid w:val="361707D4"/>
    <w:rsid w:val="363A3B40"/>
    <w:rsid w:val="365302AE"/>
    <w:rsid w:val="36607A0A"/>
    <w:rsid w:val="366E227C"/>
    <w:rsid w:val="366F2E0D"/>
    <w:rsid w:val="367B6A5C"/>
    <w:rsid w:val="369C5B7C"/>
    <w:rsid w:val="36A74ADA"/>
    <w:rsid w:val="36AD60D5"/>
    <w:rsid w:val="36B224F9"/>
    <w:rsid w:val="36EC0CC9"/>
    <w:rsid w:val="37390A8E"/>
    <w:rsid w:val="373B269C"/>
    <w:rsid w:val="373F410B"/>
    <w:rsid w:val="3756404C"/>
    <w:rsid w:val="376A0174"/>
    <w:rsid w:val="378C13F6"/>
    <w:rsid w:val="37915ADB"/>
    <w:rsid w:val="379C5736"/>
    <w:rsid w:val="37A26BE9"/>
    <w:rsid w:val="37B379F5"/>
    <w:rsid w:val="37BD1A5A"/>
    <w:rsid w:val="37D77381"/>
    <w:rsid w:val="37E16E9C"/>
    <w:rsid w:val="37EE7094"/>
    <w:rsid w:val="381431A3"/>
    <w:rsid w:val="38296C89"/>
    <w:rsid w:val="383002EB"/>
    <w:rsid w:val="38586797"/>
    <w:rsid w:val="388843DC"/>
    <w:rsid w:val="38BC0149"/>
    <w:rsid w:val="38C509BB"/>
    <w:rsid w:val="38D87D1C"/>
    <w:rsid w:val="38DE6D4B"/>
    <w:rsid w:val="391F535F"/>
    <w:rsid w:val="392E73EA"/>
    <w:rsid w:val="39340B1C"/>
    <w:rsid w:val="39475874"/>
    <w:rsid w:val="39636459"/>
    <w:rsid w:val="396B7F6C"/>
    <w:rsid w:val="396F2BAE"/>
    <w:rsid w:val="399C14F7"/>
    <w:rsid w:val="39B417A9"/>
    <w:rsid w:val="39D97124"/>
    <w:rsid w:val="39F5707E"/>
    <w:rsid w:val="39F80397"/>
    <w:rsid w:val="39FC5695"/>
    <w:rsid w:val="3A006D8E"/>
    <w:rsid w:val="3A2E4DC5"/>
    <w:rsid w:val="3A3651E5"/>
    <w:rsid w:val="3A4E2342"/>
    <w:rsid w:val="3A5522B3"/>
    <w:rsid w:val="3A744481"/>
    <w:rsid w:val="3A762B9F"/>
    <w:rsid w:val="3A8C7BEF"/>
    <w:rsid w:val="3A906246"/>
    <w:rsid w:val="3B2349B7"/>
    <w:rsid w:val="3B4677B8"/>
    <w:rsid w:val="3B616CFF"/>
    <w:rsid w:val="3B6259F6"/>
    <w:rsid w:val="3B894B0B"/>
    <w:rsid w:val="3B976654"/>
    <w:rsid w:val="3B9B68EE"/>
    <w:rsid w:val="3BC01EFC"/>
    <w:rsid w:val="3BC52CC1"/>
    <w:rsid w:val="3BCA786A"/>
    <w:rsid w:val="3BD06659"/>
    <w:rsid w:val="3BD31E2F"/>
    <w:rsid w:val="3BF15831"/>
    <w:rsid w:val="3C105946"/>
    <w:rsid w:val="3C24699D"/>
    <w:rsid w:val="3C335C3C"/>
    <w:rsid w:val="3C363686"/>
    <w:rsid w:val="3C471448"/>
    <w:rsid w:val="3C556941"/>
    <w:rsid w:val="3C5F759A"/>
    <w:rsid w:val="3C616601"/>
    <w:rsid w:val="3C6C525A"/>
    <w:rsid w:val="3CA60D3D"/>
    <w:rsid w:val="3CAF136C"/>
    <w:rsid w:val="3CCE23CB"/>
    <w:rsid w:val="3CD17D17"/>
    <w:rsid w:val="3CED249E"/>
    <w:rsid w:val="3CEE6358"/>
    <w:rsid w:val="3CFE624A"/>
    <w:rsid w:val="3D3B2FFA"/>
    <w:rsid w:val="3D3C7F39"/>
    <w:rsid w:val="3D440F09"/>
    <w:rsid w:val="3D4504A0"/>
    <w:rsid w:val="3D5A1DE7"/>
    <w:rsid w:val="3D5B1E1E"/>
    <w:rsid w:val="3D64467C"/>
    <w:rsid w:val="3D7E0A99"/>
    <w:rsid w:val="3D8734BB"/>
    <w:rsid w:val="3D9363D1"/>
    <w:rsid w:val="3D9A11D4"/>
    <w:rsid w:val="3DA16D89"/>
    <w:rsid w:val="3DA364BE"/>
    <w:rsid w:val="3DA475D8"/>
    <w:rsid w:val="3DB67810"/>
    <w:rsid w:val="3DD50C8A"/>
    <w:rsid w:val="3DD97BAD"/>
    <w:rsid w:val="3DE041CB"/>
    <w:rsid w:val="3DF84D4D"/>
    <w:rsid w:val="3E0D48F6"/>
    <w:rsid w:val="3E1868B4"/>
    <w:rsid w:val="3E1D2DF9"/>
    <w:rsid w:val="3E377251"/>
    <w:rsid w:val="3E42664B"/>
    <w:rsid w:val="3E5A7334"/>
    <w:rsid w:val="3E7B5D6B"/>
    <w:rsid w:val="3E7F33BB"/>
    <w:rsid w:val="3E843E66"/>
    <w:rsid w:val="3E8F51FE"/>
    <w:rsid w:val="3E926F87"/>
    <w:rsid w:val="3E992734"/>
    <w:rsid w:val="3E9A59DE"/>
    <w:rsid w:val="3EA95CBD"/>
    <w:rsid w:val="3EAF4836"/>
    <w:rsid w:val="3EC33DFA"/>
    <w:rsid w:val="3EF66285"/>
    <w:rsid w:val="3F03036F"/>
    <w:rsid w:val="3F060E16"/>
    <w:rsid w:val="3F1D1096"/>
    <w:rsid w:val="3F2F0234"/>
    <w:rsid w:val="3F2F6B8F"/>
    <w:rsid w:val="3F5707E4"/>
    <w:rsid w:val="3F6363FE"/>
    <w:rsid w:val="3F6BE2ED"/>
    <w:rsid w:val="3F756B8F"/>
    <w:rsid w:val="3F8D4B70"/>
    <w:rsid w:val="3F95482B"/>
    <w:rsid w:val="3F9E50AA"/>
    <w:rsid w:val="3FA46F04"/>
    <w:rsid w:val="3FAF4907"/>
    <w:rsid w:val="3FB42469"/>
    <w:rsid w:val="4019356B"/>
    <w:rsid w:val="401E1828"/>
    <w:rsid w:val="404C2371"/>
    <w:rsid w:val="4054257A"/>
    <w:rsid w:val="40592157"/>
    <w:rsid w:val="406E1CAE"/>
    <w:rsid w:val="40937DD1"/>
    <w:rsid w:val="40A0133A"/>
    <w:rsid w:val="40C31A53"/>
    <w:rsid w:val="40F33AA5"/>
    <w:rsid w:val="40F92A66"/>
    <w:rsid w:val="40FF545D"/>
    <w:rsid w:val="410067C8"/>
    <w:rsid w:val="413C45E3"/>
    <w:rsid w:val="4147433B"/>
    <w:rsid w:val="414F3AD2"/>
    <w:rsid w:val="416B4DC5"/>
    <w:rsid w:val="418F0D2A"/>
    <w:rsid w:val="419500D6"/>
    <w:rsid w:val="41C21F4F"/>
    <w:rsid w:val="41D01505"/>
    <w:rsid w:val="41DF581D"/>
    <w:rsid w:val="4238518B"/>
    <w:rsid w:val="42474939"/>
    <w:rsid w:val="424C3C57"/>
    <w:rsid w:val="42613FF3"/>
    <w:rsid w:val="42660D96"/>
    <w:rsid w:val="428667D2"/>
    <w:rsid w:val="428E3EEB"/>
    <w:rsid w:val="42C3403F"/>
    <w:rsid w:val="42CD1CE0"/>
    <w:rsid w:val="42D53E10"/>
    <w:rsid w:val="42E1381E"/>
    <w:rsid w:val="42ED6459"/>
    <w:rsid w:val="42FE58DD"/>
    <w:rsid w:val="43174B3D"/>
    <w:rsid w:val="433F0E43"/>
    <w:rsid w:val="434B790E"/>
    <w:rsid w:val="4360274F"/>
    <w:rsid w:val="43797060"/>
    <w:rsid w:val="43977AB6"/>
    <w:rsid w:val="43A3342B"/>
    <w:rsid w:val="43C77C27"/>
    <w:rsid w:val="43DE09EE"/>
    <w:rsid w:val="43E32D60"/>
    <w:rsid w:val="44002FAD"/>
    <w:rsid w:val="4430589B"/>
    <w:rsid w:val="44356927"/>
    <w:rsid w:val="449101DD"/>
    <w:rsid w:val="449D00C3"/>
    <w:rsid w:val="44DE1391"/>
    <w:rsid w:val="44E72961"/>
    <w:rsid w:val="45002BC6"/>
    <w:rsid w:val="451B225C"/>
    <w:rsid w:val="4523499D"/>
    <w:rsid w:val="452410C9"/>
    <w:rsid w:val="452B71EC"/>
    <w:rsid w:val="452E1696"/>
    <w:rsid w:val="45317DFB"/>
    <w:rsid w:val="4542602E"/>
    <w:rsid w:val="456D3CE4"/>
    <w:rsid w:val="4579042C"/>
    <w:rsid w:val="457E4BFD"/>
    <w:rsid w:val="457F0571"/>
    <w:rsid w:val="45851176"/>
    <w:rsid w:val="45853C91"/>
    <w:rsid w:val="45881DFD"/>
    <w:rsid w:val="458A2D71"/>
    <w:rsid w:val="458E4BD4"/>
    <w:rsid w:val="45A35BE1"/>
    <w:rsid w:val="45C63B94"/>
    <w:rsid w:val="45F134FD"/>
    <w:rsid w:val="460E7DA5"/>
    <w:rsid w:val="461B579A"/>
    <w:rsid w:val="46422483"/>
    <w:rsid w:val="4659254A"/>
    <w:rsid w:val="465B0637"/>
    <w:rsid w:val="465E3F0D"/>
    <w:rsid w:val="466A16E6"/>
    <w:rsid w:val="46791209"/>
    <w:rsid w:val="46893F2B"/>
    <w:rsid w:val="46C4686E"/>
    <w:rsid w:val="471014C8"/>
    <w:rsid w:val="472A3E43"/>
    <w:rsid w:val="47391126"/>
    <w:rsid w:val="473935C8"/>
    <w:rsid w:val="473D0E4D"/>
    <w:rsid w:val="474863BF"/>
    <w:rsid w:val="477B778F"/>
    <w:rsid w:val="478203EC"/>
    <w:rsid w:val="478464A5"/>
    <w:rsid w:val="47B025FA"/>
    <w:rsid w:val="47B63534"/>
    <w:rsid w:val="47EC7057"/>
    <w:rsid w:val="48010DED"/>
    <w:rsid w:val="48045531"/>
    <w:rsid w:val="4809698F"/>
    <w:rsid w:val="48097DF4"/>
    <w:rsid w:val="480C2553"/>
    <w:rsid w:val="4811697D"/>
    <w:rsid w:val="48265822"/>
    <w:rsid w:val="486E697A"/>
    <w:rsid w:val="48715C2A"/>
    <w:rsid w:val="487A3E25"/>
    <w:rsid w:val="487B0FC2"/>
    <w:rsid w:val="487E6C3A"/>
    <w:rsid w:val="48833F78"/>
    <w:rsid w:val="488B5503"/>
    <w:rsid w:val="48937E21"/>
    <w:rsid w:val="48975AF1"/>
    <w:rsid w:val="489A0361"/>
    <w:rsid w:val="48B94FF3"/>
    <w:rsid w:val="48CD3EBF"/>
    <w:rsid w:val="48D00163"/>
    <w:rsid w:val="48E37AAB"/>
    <w:rsid w:val="48EA75B0"/>
    <w:rsid w:val="48EC362B"/>
    <w:rsid w:val="48FB2C50"/>
    <w:rsid w:val="48FD4B4C"/>
    <w:rsid w:val="490606C8"/>
    <w:rsid w:val="490A68E0"/>
    <w:rsid w:val="491055FE"/>
    <w:rsid w:val="49131B61"/>
    <w:rsid w:val="494C6EA1"/>
    <w:rsid w:val="494D4D8B"/>
    <w:rsid w:val="495C2C76"/>
    <w:rsid w:val="495F5B3E"/>
    <w:rsid w:val="496F77D7"/>
    <w:rsid w:val="497654FD"/>
    <w:rsid w:val="49836455"/>
    <w:rsid w:val="498F505D"/>
    <w:rsid w:val="49B64211"/>
    <w:rsid w:val="49F6167F"/>
    <w:rsid w:val="4A064FA0"/>
    <w:rsid w:val="4A16615C"/>
    <w:rsid w:val="4A4424D7"/>
    <w:rsid w:val="4A4536BD"/>
    <w:rsid w:val="4A493572"/>
    <w:rsid w:val="4A690DE7"/>
    <w:rsid w:val="4A6E0CA4"/>
    <w:rsid w:val="4A734D45"/>
    <w:rsid w:val="4A7C62B3"/>
    <w:rsid w:val="4A83134F"/>
    <w:rsid w:val="4A8708A6"/>
    <w:rsid w:val="4AB82D0F"/>
    <w:rsid w:val="4AE679B2"/>
    <w:rsid w:val="4AEB7664"/>
    <w:rsid w:val="4AFD7C19"/>
    <w:rsid w:val="4B0567D1"/>
    <w:rsid w:val="4B0C38EE"/>
    <w:rsid w:val="4B236AAE"/>
    <w:rsid w:val="4B2B0C8F"/>
    <w:rsid w:val="4B555D27"/>
    <w:rsid w:val="4B5A1229"/>
    <w:rsid w:val="4B673131"/>
    <w:rsid w:val="4B707271"/>
    <w:rsid w:val="4B9739F7"/>
    <w:rsid w:val="4B974368"/>
    <w:rsid w:val="4B9A6B21"/>
    <w:rsid w:val="4B9C1FA2"/>
    <w:rsid w:val="4BA601D9"/>
    <w:rsid w:val="4BC44CC6"/>
    <w:rsid w:val="4BD56D10"/>
    <w:rsid w:val="4BE96C25"/>
    <w:rsid w:val="4BEE2503"/>
    <w:rsid w:val="4C245A30"/>
    <w:rsid w:val="4C2F6379"/>
    <w:rsid w:val="4C4D0D19"/>
    <w:rsid w:val="4C5D53ED"/>
    <w:rsid w:val="4C676029"/>
    <w:rsid w:val="4CAF7256"/>
    <w:rsid w:val="4CB6685F"/>
    <w:rsid w:val="4CC367FE"/>
    <w:rsid w:val="4D077F3C"/>
    <w:rsid w:val="4D123355"/>
    <w:rsid w:val="4D135D42"/>
    <w:rsid w:val="4D2A3B31"/>
    <w:rsid w:val="4D312C52"/>
    <w:rsid w:val="4D4B0F25"/>
    <w:rsid w:val="4D8A25FD"/>
    <w:rsid w:val="4D905305"/>
    <w:rsid w:val="4D964A72"/>
    <w:rsid w:val="4D9C1254"/>
    <w:rsid w:val="4DA16EA9"/>
    <w:rsid w:val="4DC67B86"/>
    <w:rsid w:val="4DCE362B"/>
    <w:rsid w:val="4E0B0D3D"/>
    <w:rsid w:val="4E526455"/>
    <w:rsid w:val="4E5A0B37"/>
    <w:rsid w:val="4E5C4F50"/>
    <w:rsid w:val="4E683C55"/>
    <w:rsid w:val="4E793892"/>
    <w:rsid w:val="4E800872"/>
    <w:rsid w:val="4E8F2EA1"/>
    <w:rsid w:val="4E9532A8"/>
    <w:rsid w:val="4E9A20A5"/>
    <w:rsid w:val="4EC569ED"/>
    <w:rsid w:val="4ECB350D"/>
    <w:rsid w:val="4ED50EA1"/>
    <w:rsid w:val="4EDA2BBF"/>
    <w:rsid w:val="4EEC050C"/>
    <w:rsid w:val="4EF833C6"/>
    <w:rsid w:val="4F104EC3"/>
    <w:rsid w:val="4F47354A"/>
    <w:rsid w:val="4F911C54"/>
    <w:rsid w:val="4FE625E0"/>
    <w:rsid w:val="4FED5402"/>
    <w:rsid w:val="501752BA"/>
    <w:rsid w:val="5021480F"/>
    <w:rsid w:val="505D15FC"/>
    <w:rsid w:val="50755E1B"/>
    <w:rsid w:val="50962ECB"/>
    <w:rsid w:val="50A42E38"/>
    <w:rsid w:val="50A4577F"/>
    <w:rsid w:val="50B73D1F"/>
    <w:rsid w:val="50BD5BC9"/>
    <w:rsid w:val="50C11EEE"/>
    <w:rsid w:val="50D73351"/>
    <w:rsid w:val="50E97CFC"/>
    <w:rsid w:val="50ED0745"/>
    <w:rsid w:val="50F1399D"/>
    <w:rsid w:val="50FA4028"/>
    <w:rsid w:val="50FE434C"/>
    <w:rsid w:val="510D65B7"/>
    <w:rsid w:val="511157AB"/>
    <w:rsid w:val="5142540C"/>
    <w:rsid w:val="518832C8"/>
    <w:rsid w:val="51A0432A"/>
    <w:rsid w:val="51A86090"/>
    <w:rsid w:val="51B7396D"/>
    <w:rsid w:val="51B74D7E"/>
    <w:rsid w:val="51F4743E"/>
    <w:rsid w:val="52222B68"/>
    <w:rsid w:val="522E4CC3"/>
    <w:rsid w:val="5244713B"/>
    <w:rsid w:val="52615633"/>
    <w:rsid w:val="526A04DD"/>
    <w:rsid w:val="528900C4"/>
    <w:rsid w:val="5294315D"/>
    <w:rsid w:val="52977FD4"/>
    <w:rsid w:val="52A25790"/>
    <w:rsid w:val="52A42F98"/>
    <w:rsid w:val="52A96B6F"/>
    <w:rsid w:val="52B45975"/>
    <w:rsid w:val="52BB415A"/>
    <w:rsid w:val="52C13DB6"/>
    <w:rsid w:val="52C35419"/>
    <w:rsid w:val="52D94AA4"/>
    <w:rsid w:val="52E63C2F"/>
    <w:rsid w:val="52EA3A62"/>
    <w:rsid w:val="52F50BB8"/>
    <w:rsid w:val="53097272"/>
    <w:rsid w:val="531978A0"/>
    <w:rsid w:val="534F73A8"/>
    <w:rsid w:val="53544462"/>
    <w:rsid w:val="53676980"/>
    <w:rsid w:val="53777F48"/>
    <w:rsid w:val="53960CB2"/>
    <w:rsid w:val="5397158E"/>
    <w:rsid w:val="53D42C20"/>
    <w:rsid w:val="54013861"/>
    <w:rsid w:val="54341B0B"/>
    <w:rsid w:val="54487265"/>
    <w:rsid w:val="544D6070"/>
    <w:rsid w:val="545B4ECF"/>
    <w:rsid w:val="54605E1E"/>
    <w:rsid w:val="54B3506A"/>
    <w:rsid w:val="54CA0D16"/>
    <w:rsid w:val="54D45320"/>
    <w:rsid w:val="54DD4057"/>
    <w:rsid w:val="54E7490F"/>
    <w:rsid w:val="54FF4546"/>
    <w:rsid w:val="55061018"/>
    <w:rsid w:val="550764A4"/>
    <w:rsid w:val="550B2BF6"/>
    <w:rsid w:val="55172A78"/>
    <w:rsid w:val="55214EB5"/>
    <w:rsid w:val="55364EFD"/>
    <w:rsid w:val="555D4828"/>
    <w:rsid w:val="557A4C8B"/>
    <w:rsid w:val="55803551"/>
    <w:rsid w:val="558931E1"/>
    <w:rsid w:val="55923347"/>
    <w:rsid w:val="55925180"/>
    <w:rsid w:val="55983B1B"/>
    <w:rsid w:val="55A8376B"/>
    <w:rsid w:val="55C248FD"/>
    <w:rsid w:val="55C909CB"/>
    <w:rsid w:val="55D36070"/>
    <w:rsid w:val="55D87B28"/>
    <w:rsid w:val="55DC29B6"/>
    <w:rsid w:val="55DD4241"/>
    <w:rsid w:val="55F16964"/>
    <w:rsid w:val="55FA20BB"/>
    <w:rsid w:val="55FE56B5"/>
    <w:rsid w:val="561C1BE8"/>
    <w:rsid w:val="566B6D1E"/>
    <w:rsid w:val="567A473C"/>
    <w:rsid w:val="567F6E5D"/>
    <w:rsid w:val="569E129D"/>
    <w:rsid w:val="56C76EC1"/>
    <w:rsid w:val="57032A2C"/>
    <w:rsid w:val="570F5219"/>
    <w:rsid w:val="575D12B5"/>
    <w:rsid w:val="57610A87"/>
    <w:rsid w:val="577B1140"/>
    <w:rsid w:val="577B4B3D"/>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1F5E"/>
    <w:rsid w:val="58AE4F0C"/>
    <w:rsid w:val="58B85899"/>
    <w:rsid w:val="58C0702C"/>
    <w:rsid w:val="58E363A9"/>
    <w:rsid w:val="58E86238"/>
    <w:rsid w:val="59272ECB"/>
    <w:rsid w:val="59307B25"/>
    <w:rsid w:val="595E1678"/>
    <w:rsid w:val="59684E4E"/>
    <w:rsid w:val="596D5BD4"/>
    <w:rsid w:val="597E3DD8"/>
    <w:rsid w:val="598A073C"/>
    <w:rsid w:val="59AB1AC0"/>
    <w:rsid w:val="59B31026"/>
    <w:rsid w:val="59D050DE"/>
    <w:rsid w:val="59F80043"/>
    <w:rsid w:val="5A09252F"/>
    <w:rsid w:val="5A0B2778"/>
    <w:rsid w:val="5A2A7C7B"/>
    <w:rsid w:val="5A3E2560"/>
    <w:rsid w:val="5A5D3B6E"/>
    <w:rsid w:val="5A637A76"/>
    <w:rsid w:val="5A686384"/>
    <w:rsid w:val="5A6D33BA"/>
    <w:rsid w:val="5A730865"/>
    <w:rsid w:val="5A792B1F"/>
    <w:rsid w:val="5A874767"/>
    <w:rsid w:val="5AA85BE2"/>
    <w:rsid w:val="5AAD6F28"/>
    <w:rsid w:val="5AD63A24"/>
    <w:rsid w:val="5AE51FB6"/>
    <w:rsid w:val="5AFD6ABD"/>
    <w:rsid w:val="5B2E1A1D"/>
    <w:rsid w:val="5B755C47"/>
    <w:rsid w:val="5B78339E"/>
    <w:rsid w:val="5B843A1C"/>
    <w:rsid w:val="5B873E3F"/>
    <w:rsid w:val="5BCF022B"/>
    <w:rsid w:val="5C02690E"/>
    <w:rsid w:val="5C196DA7"/>
    <w:rsid w:val="5C2A048C"/>
    <w:rsid w:val="5C35640B"/>
    <w:rsid w:val="5C481B0C"/>
    <w:rsid w:val="5C5F18CB"/>
    <w:rsid w:val="5C7422AE"/>
    <w:rsid w:val="5C80234E"/>
    <w:rsid w:val="5C8A680C"/>
    <w:rsid w:val="5C931020"/>
    <w:rsid w:val="5CD500D4"/>
    <w:rsid w:val="5CE45C2B"/>
    <w:rsid w:val="5CEB387F"/>
    <w:rsid w:val="5D0C4701"/>
    <w:rsid w:val="5D0F0395"/>
    <w:rsid w:val="5D220AC5"/>
    <w:rsid w:val="5D221076"/>
    <w:rsid w:val="5D397964"/>
    <w:rsid w:val="5D423AD9"/>
    <w:rsid w:val="5D551783"/>
    <w:rsid w:val="5D5A391C"/>
    <w:rsid w:val="5D5F10C0"/>
    <w:rsid w:val="5D6323CD"/>
    <w:rsid w:val="5D810AA5"/>
    <w:rsid w:val="5D891B7B"/>
    <w:rsid w:val="5D8A5E82"/>
    <w:rsid w:val="5D930F65"/>
    <w:rsid w:val="5D945FAA"/>
    <w:rsid w:val="5DAD38EE"/>
    <w:rsid w:val="5DE84681"/>
    <w:rsid w:val="5E006862"/>
    <w:rsid w:val="5E0207B9"/>
    <w:rsid w:val="5E093CEF"/>
    <w:rsid w:val="5E1834A1"/>
    <w:rsid w:val="5E261785"/>
    <w:rsid w:val="5E4A7017"/>
    <w:rsid w:val="5E4C10B3"/>
    <w:rsid w:val="5E552BBA"/>
    <w:rsid w:val="5E611C10"/>
    <w:rsid w:val="5E626095"/>
    <w:rsid w:val="5E6A4F38"/>
    <w:rsid w:val="5E74631F"/>
    <w:rsid w:val="5E765627"/>
    <w:rsid w:val="5E7A0F3F"/>
    <w:rsid w:val="5E866777"/>
    <w:rsid w:val="5E8D3221"/>
    <w:rsid w:val="5EB35C1F"/>
    <w:rsid w:val="5EF50A1B"/>
    <w:rsid w:val="5EFC7377"/>
    <w:rsid w:val="5F012A1A"/>
    <w:rsid w:val="5F06174D"/>
    <w:rsid w:val="5F1D4071"/>
    <w:rsid w:val="5F357D99"/>
    <w:rsid w:val="5F3A3602"/>
    <w:rsid w:val="5F3C5DBB"/>
    <w:rsid w:val="5F45733B"/>
    <w:rsid w:val="5F5B211E"/>
    <w:rsid w:val="5F6277C6"/>
    <w:rsid w:val="5F6D0B1D"/>
    <w:rsid w:val="5F723B38"/>
    <w:rsid w:val="5F8D0B82"/>
    <w:rsid w:val="5FCC5339"/>
    <w:rsid w:val="5FE34A5B"/>
    <w:rsid w:val="5FFE1E36"/>
    <w:rsid w:val="600F1DC0"/>
    <w:rsid w:val="60172C7B"/>
    <w:rsid w:val="60232584"/>
    <w:rsid w:val="60305BC5"/>
    <w:rsid w:val="605864BB"/>
    <w:rsid w:val="607330CE"/>
    <w:rsid w:val="607D4203"/>
    <w:rsid w:val="60825176"/>
    <w:rsid w:val="60873AD9"/>
    <w:rsid w:val="609F2AC4"/>
    <w:rsid w:val="60C413D5"/>
    <w:rsid w:val="60FA2EE8"/>
    <w:rsid w:val="61054A27"/>
    <w:rsid w:val="610A52BC"/>
    <w:rsid w:val="611D2366"/>
    <w:rsid w:val="61240699"/>
    <w:rsid w:val="61421856"/>
    <w:rsid w:val="615227C4"/>
    <w:rsid w:val="61654E3F"/>
    <w:rsid w:val="6182292A"/>
    <w:rsid w:val="618B5F69"/>
    <w:rsid w:val="61985864"/>
    <w:rsid w:val="619F7F92"/>
    <w:rsid w:val="61BB155E"/>
    <w:rsid w:val="61BD2EFD"/>
    <w:rsid w:val="61F94C26"/>
    <w:rsid w:val="62000E56"/>
    <w:rsid w:val="62244584"/>
    <w:rsid w:val="62373E29"/>
    <w:rsid w:val="624F3E49"/>
    <w:rsid w:val="62632286"/>
    <w:rsid w:val="62775066"/>
    <w:rsid w:val="62885958"/>
    <w:rsid w:val="628903DB"/>
    <w:rsid w:val="62C860CC"/>
    <w:rsid w:val="62D41677"/>
    <w:rsid w:val="62F40B65"/>
    <w:rsid w:val="62FC2CFE"/>
    <w:rsid w:val="63024505"/>
    <w:rsid w:val="630F60CD"/>
    <w:rsid w:val="632260E1"/>
    <w:rsid w:val="63403423"/>
    <w:rsid w:val="63540CCD"/>
    <w:rsid w:val="635B1DB5"/>
    <w:rsid w:val="63711FED"/>
    <w:rsid w:val="63880DDC"/>
    <w:rsid w:val="63885935"/>
    <w:rsid w:val="638D750D"/>
    <w:rsid w:val="63AC52D2"/>
    <w:rsid w:val="63AC6CC0"/>
    <w:rsid w:val="63B048E8"/>
    <w:rsid w:val="64043733"/>
    <w:rsid w:val="64055776"/>
    <w:rsid w:val="64175397"/>
    <w:rsid w:val="64240056"/>
    <w:rsid w:val="643E143A"/>
    <w:rsid w:val="644A0C02"/>
    <w:rsid w:val="64502B77"/>
    <w:rsid w:val="64837576"/>
    <w:rsid w:val="648B6EEF"/>
    <w:rsid w:val="64A1447C"/>
    <w:rsid w:val="64B61035"/>
    <w:rsid w:val="64C158BF"/>
    <w:rsid w:val="64CE2EAA"/>
    <w:rsid w:val="65092215"/>
    <w:rsid w:val="653C3090"/>
    <w:rsid w:val="65501489"/>
    <w:rsid w:val="65854376"/>
    <w:rsid w:val="658767BE"/>
    <w:rsid w:val="65882CD5"/>
    <w:rsid w:val="65892531"/>
    <w:rsid w:val="65E616BA"/>
    <w:rsid w:val="66153939"/>
    <w:rsid w:val="66195831"/>
    <w:rsid w:val="662E75B1"/>
    <w:rsid w:val="66342C2E"/>
    <w:rsid w:val="663E784C"/>
    <w:rsid w:val="6651431D"/>
    <w:rsid w:val="66551A38"/>
    <w:rsid w:val="665D7429"/>
    <w:rsid w:val="66607956"/>
    <w:rsid w:val="666D1F69"/>
    <w:rsid w:val="667133EA"/>
    <w:rsid w:val="668B6A45"/>
    <w:rsid w:val="66DE04FB"/>
    <w:rsid w:val="66E5FFF2"/>
    <w:rsid w:val="66F85C8F"/>
    <w:rsid w:val="670E4889"/>
    <w:rsid w:val="671E7365"/>
    <w:rsid w:val="672F3F24"/>
    <w:rsid w:val="673E055F"/>
    <w:rsid w:val="67551CE3"/>
    <w:rsid w:val="67A22552"/>
    <w:rsid w:val="67A530AB"/>
    <w:rsid w:val="67B22DCC"/>
    <w:rsid w:val="67BE71AA"/>
    <w:rsid w:val="67D90273"/>
    <w:rsid w:val="67DE5875"/>
    <w:rsid w:val="67E55852"/>
    <w:rsid w:val="67EB1AB4"/>
    <w:rsid w:val="67FA1285"/>
    <w:rsid w:val="684D7D8B"/>
    <w:rsid w:val="68551F4F"/>
    <w:rsid w:val="68647B92"/>
    <w:rsid w:val="687C10C9"/>
    <w:rsid w:val="68840C16"/>
    <w:rsid w:val="68876EFB"/>
    <w:rsid w:val="68884654"/>
    <w:rsid w:val="689F444F"/>
    <w:rsid w:val="68B96DBB"/>
    <w:rsid w:val="68CA2805"/>
    <w:rsid w:val="68E85AE5"/>
    <w:rsid w:val="68E937A3"/>
    <w:rsid w:val="691C54E8"/>
    <w:rsid w:val="693E15D3"/>
    <w:rsid w:val="695D1A1B"/>
    <w:rsid w:val="69627681"/>
    <w:rsid w:val="6977531D"/>
    <w:rsid w:val="697D0373"/>
    <w:rsid w:val="69892BE4"/>
    <w:rsid w:val="69B51747"/>
    <w:rsid w:val="69B769D5"/>
    <w:rsid w:val="69BC391D"/>
    <w:rsid w:val="69BD5BBB"/>
    <w:rsid w:val="69CC2BFF"/>
    <w:rsid w:val="69D327F2"/>
    <w:rsid w:val="69FD55B8"/>
    <w:rsid w:val="6A0B1C62"/>
    <w:rsid w:val="6A0C584D"/>
    <w:rsid w:val="6A0D3F4C"/>
    <w:rsid w:val="6A2406C8"/>
    <w:rsid w:val="6A356EA0"/>
    <w:rsid w:val="6A4B328A"/>
    <w:rsid w:val="6A4B36BE"/>
    <w:rsid w:val="6A8F2B46"/>
    <w:rsid w:val="6AB20DE6"/>
    <w:rsid w:val="6ABA3454"/>
    <w:rsid w:val="6ADC5EF8"/>
    <w:rsid w:val="6ADE0BD1"/>
    <w:rsid w:val="6AE96859"/>
    <w:rsid w:val="6B0C3E49"/>
    <w:rsid w:val="6B147746"/>
    <w:rsid w:val="6B24787C"/>
    <w:rsid w:val="6B526FDD"/>
    <w:rsid w:val="6B573233"/>
    <w:rsid w:val="6B5B6274"/>
    <w:rsid w:val="6B694FD4"/>
    <w:rsid w:val="6B710BD6"/>
    <w:rsid w:val="6B935D53"/>
    <w:rsid w:val="6C196F71"/>
    <w:rsid w:val="6C226FCB"/>
    <w:rsid w:val="6C31226F"/>
    <w:rsid w:val="6C390C24"/>
    <w:rsid w:val="6C552F0B"/>
    <w:rsid w:val="6C5D6D88"/>
    <w:rsid w:val="6C8C2DF7"/>
    <w:rsid w:val="6C8C67B7"/>
    <w:rsid w:val="6C9D744C"/>
    <w:rsid w:val="6CA95923"/>
    <w:rsid w:val="6CFD6256"/>
    <w:rsid w:val="6CFE67A8"/>
    <w:rsid w:val="6D167928"/>
    <w:rsid w:val="6D25081C"/>
    <w:rsid w:val="6D261515"/>
    <w:rsid w:val="6D26299B"/>
    <w:rsid w:val="6D4772EC"/>
    <w:rsid w:val="6D6D4FC1"/>
    <w:rsid w:val="6D7E14B7"/>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F184A18"/>
    <w:rsid w:val="6F2A7D94"/>
    <w:rsid w:val="6F3D61C6"/>
    <w:rsid w:val="6F802313"/>
    <w:rsid w:val="6F8331F1"/>
    <w:rsid w:val="6FAE1A09"/>
    <w:rsid w:val="6FD62321"/>
    <w:rsid w:val="6FD75BF8"/>
    <w:rsid w:val="6FEF3B3E"/>
    <w:rsid w:val="70417745"/>
    <w:rsid w:val="70597221"/>
    <w:rsid w:val="707723D0"/>
    <w:rsid w:val="708D4A0A"/>
    <w:rsid w:val="709B3691"/>
    <w:rsid w:val="70DB77AC"/>
    <w:rsid w:val="70F5661B"/>
    <w:rsid w:val="70FF0D7D"/>
    <w:rsid w:val="712B6A5D"/>
    <w:rsid w:val="71305348"/>
    <w:rsid w:val="71360107"/>
    <w:rsid w:val="713B688E"/>
    <w:rsid w:val="716D381A"/>
    <w:rsid w:val="7183561A"/>
    <w:rsid w:val="71A23FDE"/>
    <w:rsid w:val="71BE6408"/>
    <w:rsid w:val="71BF565B"/>
    <w:rsid w:val="71C152EC"/>
    <w:rsid w:val="71D43752"/>
    <w:rsid w:val="71D7083C"/>
    <w:rsid w:val="71F1796A"/>
    <w:rsid w:val="720846CC"/>
    <w:rsid w:val="72154626"/>
    <w:rsid w:val="721A68F3"/>
    <w:rsid w:val="72202699"/>
    <w:rsid w:val="72262B5D"/>
    <w:rsid w:val="72283FF7"/>
    <w:rsid w:val="722E7212"/>
    <w:rsid w:val="723A0474"/>
    <w:rsid w:val="725923E4"/>
    <w:rsid w:val="72864BF7"/>
    <w:rsid w:val="728D3A0A"/>
    <w:rsid w:val="729023FC"/>
    <w:rsid w:val="72A00C10"/>
    <w:rsid w:val="72DF437B"/>
    <w:rsid w:val="733470C6"/>
    <w:rsid w:val="73533CC2"/>
    <w:rsid w:val="73C0646E"/>
    <w:rsid w:val="73F71550"/>
    <w:rsid w:val="742222F5"/>
    <w:rsid w:val="742348D0"/>
    <w:rsid w:val="74476126"/>
    <w:rsid w:val="74624977"/>
    <w:rsid w:val="74706664"/>
    <w:rsid w:val="7475702A"/>
    <w:rsid w:val="74790CE6"/>
    <w:rsid w:val="747F3682"/>
    <w:rsid w:val="74804683"/>
    <w:rsid w:val="74842598"/>
    <w:rsid w:val="749C4185"/>
    <w:rsid w:val="74A73931"/>
    <w:rsid w:val="74BC758A"/>
    <w:rsid w:val="74BE006A"/>
    <w:rsid w:val="75067759"/>
    <w:rsid w:val="75242385"/>
    <w:rsid w:val="752E6DCD"/>
    <w:rsid w:val="75331195"/>
    <w:rsid w:val="7551380D"/>
    <w:rsid w:val="75524DAA"/>
    <w:rsid w:val="75600BE5"/>
    <w:rsid w:val="7564475C"/>
    <w:rsid w:val="75653DEC"/>
    <w:rsid w:val="75834A5C"/>
    <w:rsid w:val="7583797F"/>
    <w:rsid w:val="75D20F1D"/>
    <w:rsid w:val="75DA2C18"/>
    <w:rsid w:val="75F54412"/>
    <w:rsid w:val="761969BC"/>
    <w:rsid w:val="761D08E0"/>
    <w:rsid w:val="76400B70"/>
    <w:rsid w:val="76582559"/>
    <w:rsid w:val="765D347C"/>
    <w:rsid w:val="76826699"/>
    <w:rsid w:val="76C87133"/>
    <w:rsid w:val="76CD08D5"/>
    <w:rsid w:val="76DB4B92"/>
    <w:rsid w:val="76FF4961"/>
    <w:rsid w:val="77052AA4"/>
    <w:rsid w:val="77136511"/>
    <w:rsid w:val="771420A1"/>
    <w:rsid w:val="7729716D"/>
    <w:rsid w:val="77340A39"/>
    <w:rsid w:val="77351FD0"/>
    <w:rsid w:val="773A1D65"/>
    <w:rsid w:val="77472422"/>
    <w:rsid w:val="775A3B44"/>
    <w:rsid w:val="777F31F2"/>
    <w:rsid w:val="779E06B8"/>
    <w:rsid w:val="77B5360C"/>
    <w:rsid w:val="77BC4C63"/>
    <w:rsid w:val="77C24B37"/>
    <w:rsid w:val="77D1700D"/>
    <w:rsid w:val="77E4568D"/>
    <w:rsid w:val="77EC04CC"/>
    <w:rsid w:val="77FDAF5E"/>
    <w:rsid w:val="77FF7E8D"/>
    <w:rsid w:val="78006A23"/>
    <w:rsid w:val="78713D51"/>
    <w:rsid w:val="78775729"/>
    <w:rsid w:val="788E2C47"/>
    <w:rsid w:val="788F3C1F"/>
    <w:rsid w:val="78A42DB0"/>
    <w:rsid w:val="78A656AB"/>
    <w:rsid w:val="78B2245C"/>
    <w:rsid w:val="78B6F3D4"/>
    <w:rsid w:val="78B70DF2"/>
    <w:rsid w:val="78BB10DB"/>
    <w:rsid w:val="78E172CC"/>
    <w:rsid w:val="78EA1D1F"/>
    <w:rsid w:val="7904172F"/>
    <w:rsid w:val="790507E2"/>
    <w:rsid w:val="79062AD2"/>
    <w:rsid w:val="790F7E27"/>
    <w:rsid w:val="792A231A"/>
    <w:rsid w:val="79316829"/>
    <w:rsid w:val="79344CE0"/>
    <w:rsid w:val="79404FE3"/>
    <w:rsid w:val="797C7409"/>
    <w:rsid w:val="797E66A9"/>
    <w:rsid w:val="79A97383"/>
    <w:rsid w:val="79B42954"/>
    <w:rsid w:val="79E27E8B"/>
    <w:rsid w:val="79F850CE"/>
    <w:rsid w:val="79FD443C"/>
    <w:rsid w:val="7A1D1975"/>
    <w:rsid w:val="7A3902E6"/>
    <w:rsid w:val="7A3E5150"/>
    <w:rsid w:val="7A4670D6"/>
    <w:rsid w:val="7A534B63"/>
    <w:rsid w:val="7A615382"/>
    <w:rsid w:val="7A653600"/>
    <w:rsid w:val="7A67303B"/>
    <w:rsid w:val="7A721A4A"/>
    <w:rsid w:val="7AAB1D04"/>
    <w:rsid w:val="7ABA4368"/>
    <w:rsid w:val="7AD05746"/>
    <w:rsid w:val="7ADA3086"/>
    <w:rsid w:val="7B226FCC"/>
    <w:rsid w:val="7B257FFD"/>
    <w:rsid w:val="7B343476"/>
    <w:rsid w:val="7B3C7D77"/>
    <w:rsid w:val="7B5A2978"/>
    <w:rsid w:val="7B5A7E4C"/>
    <w:rsid w:val="7B5B603A"/>
    <w:rsid w:val="7B667AF9"/>
    <w:rsid w:val="7B7468F8"/>
    <w:rsid w:val="7B7E6286"/>
    <w:rsid w:val="7BE64CF7"/>
    <w:rsid w:val="7BEE0103"/>
    <w:rsid w:val="7C0A0FE4"/>
    <w:rsid w:val="7C254906"/>
    <w:rsid w:val="7C5022FF"/>
    <w:rsid w:val="7C590818"/>
    <w:rsid w:val="7C6E0182"/>
    <w:rsid w:val="7C7C10F6"/>
    <w:rsid w:val="7C853BEA"/>
    <w:rsid w:val="7C881368"/>
    <w:rsid w:val="7C92512A"/>
    <w:rsid w:val="7CB41D0A"/>
    <w:rsid w:val="7CE27788"/>
    <w:rsid w:val="7CFDA9A3"/>
    <w:rsid w:val="7D0357E5"/>
    <w:rsid w:val="7D0C32F1"/>
    <w:rsid w:val="7D0F408D"/>
    <w:rsid w:val="7D3F748E"/>
    <w:rsid w:val="7D491C6C"/>
    <w:rsid w:val="7D511C36"/>
    <w:rsid w:val="7D5429C0"/>
    <w:rsid w:val="7D5B44A4"/>
    <w:rsid w:val="7D6E6D43"/>
    <w:rsid w:val="7D6F401F"/>
    <w:rsid w:val="7D7069D2"/>
    <w:rsid w:val="7D894AA5"/>
    <w:rsid w:val="7DAD6DD7"/>
    <w:rsid w:val="7DAF766D"/>
    <w:rsid w:val="7DB57A34"/>
    <w:rsid w:val="7DD13FA4"/>
    <w:rsid w:val="7DDB10A1"/>
    <w:rsid w:val="7DE60973"/>
    <w:rsid w:val="7DEF0916"/>
    <w:rsid w:val="7E1E5218"/>
    <w:rsid w:val="7E253CFC"/>
    <w:rsid w:val="7E7514D4"/>
    <w:rsid w:val="7E9A4E1F"/>
    <w:rsid w:val="7EA7723A"/>
    <w:rsid w:val="7EB41E65"/>
    <w:rsid w:val="7EB659FE"/>
    <w:rsid w:val="7EBC6AFC"/>
    <w:rsid w:val="7EF56FBB"/>
    <w:rsid w:val="7EFC38CE"/>
    <w:rsid w:val="7F067E4D"/>
    <w:rsid w:val="7F0768EB"/>
    <w:rsid w:val="7F14040A"/>
    <w:rsid w:val="7F143BEC"/>
    <w:rsid w:val="7F6137FA"/>
    <w:rsid w:val="7F715AF2"/>
    <w:rsid w:val="7F793597"/>
    <w:rsid w:val="7F886E69"/>
    <w:rsid w:val="7FBD09E0"/>
    <w:rsid w:val="7FCF2D12"/>
    <w:rsid w:val="7FFA1DC8"/>
    <w:rsid w:val="7FFBEAAF"/>
    <w:rsid w:val="BB7FA927"/>
    <w:rsid w:val="BFFB04B7"/>
    <w:rsid w:val="BFFC554B"/>
    <w:rsid w:val="D7B7AE1B"/>
    <w:rsid w:val="DEDB59CE"/>
    <w:rsid w:val="DEEB53A9"/>
    <w:rsid w:val="DF354766"/>
    <w:rsid w:val="DFDF6384"/>
    <w:rsid w:val="E7EF4EE3"/>
    <w:rsid w:val="EFFFB777"/>
    <w:rsid w:val="F5FFD31F"/>
    <w:rsid w:val="FBFF714D"/>
    <w:rsid w:val="FDDEB8F8"/>
    <w:rsid w:val="FEFB2BE4"/>
    <w:rsid w:val="FF7D1E98"/>
    <w:rsid w:val="FFBFA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5">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83"/>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8">
    <w:name w:val="heading 7"/>
    <w:basedOn w:val="1"/>
    <w:next w:val="1"/>
    <w:link w:val="85"/>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9">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0">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0">
    <w:name w:val="Default Paragraph Font"/>
    <w:qFormat/>
    <w:uiPriority w:val="0"/>
    <w:rPr>
      <w:rFonts w:ascii="Times New Roman" w:hAnsi="Times New Roman" w:eastAsia="宋体" w:cs="Times New Roman"/>
    </w:rPr>
  </w:style>
  <w:style w:type="table" w:default="1" w:styleId="6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eastAsia="宋体" w:cs="Times New Roman"/>
    </w:rPr>
  </w:style>
  <w:style w:type="paragraph" w:styleId="12">
    <w:name w:val="List Number 2"/>
    <w:basedOn w:val="1"/>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index 8"/>
    <w:basedOn w:val="1"/>
    <w:next w:val="1"/>
    <w:qFormat/>
    <w:uiPriority w:val="0"/>
    <w:pPr>
      <w:ind w:left="2940"/>
    </w:pPr>
    <w:rPr>
      <w:rFonts w:ascii="Times New Roman" w:hAnsi="Times New Roman" w:eastAsia="宋体" w:cs="Times New Roma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88"/>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7">
    <w:name w:val="caption"/>
    <w:basedOn w:val="1"/>
    <w:next w:val="1"/>
    <w:link w:val="89"/>
    <w:qFormat/>
    <w:uiPriority w:val="0"/>
    <w:rPr>
      <w:rFonts w:ascii="Times New Roman" w:hAnsi="Times New Roman" w:eastAsia="宋体" w:cs="Times New Roman"/>
      <w:b/>
      <w:sz w:val="28"/>
      <w:szCs w:val="20"/>
    </w:rPr>
  </w:style>
  <w:style w:type="paragraph" w:styleId="18">
    <w:name w:val="index 5"/>
    <w:basedOn w:val="1"/>
    <w:next w:val="1"/>
    <w:qFormat/>
    <w:uiPriority w:val="0"/>
    <w:pPr>
      <w:adjustRightInd/>
      <w:ind w:left="800" w:leftChars="800" w:firstLine="200" w:firstLineChars="200"/>
    </w:pPr>
    <w:rPr>
      <w:rFonts w:ascii="Times New Roman" w:hAnsi="Times New Roman" w:eastAsia="宋体" w:cs="Times New Roman"/>
    </w:rPr>
  </w:style>
  <w:style w:type="paragraph" w:styleId="19">
    <w:name w:val="Document Map"/>
    <w:basedOn w:val="1"/>
    <w:link w:val="90"/>
    <w:qFormat/>
    <w:uiPriority w:val="0"/>
    <w:pPr>
      <w:shd w:val="clear" w:color="auto" w:fill="000080"/>
    </w:pPr>
    <w:rPr>
      <w:rFonts w:ascii="Times New Roman" w:hAnsi="Times New Roman" w:eastAsia="宋体" w:cs="Times New Roman"/>
    </w:rPr>
  </w:style>
  <w:style w:type="paragraph" w:styleId="20">
    <w:name w:val="annotation text"/>
    <w:basedOn w:val="1"/>
    <w:link w:val="91"/>
    <w:qFormat/>
    <w:uiPriority w:val="0"/>
    <w:pPr>
      <w:jc w:val="left"/>
    </w:pPr>
    <w:rPr>
      <w:rFonts w:ascii="Times New Roman" w:hAnsi="Times New Roman" w:eastAsia="宋体" w:cs="Times New Roman"/>
    </w:rPr>
  </w:style>
  <w:style w:type="paragraph" w:styleId="21">
    <w:name w:val="Salutation"/>
    <w:basedOn w:val="1"/>
    <w:next w:val="1"/>
    <w:link w:val="92"/>
    <w:qFormat/>
    <w:uiPriority w:val="0"/>
    <w:rPr>
      <w:rFonts w:ascii="仿宋_GB2312" w:hAnsi="Times New Roman" w:eastAsia="仿宋_GB2312" w:cs="Times New Roman"/>
      <w:sz w:val="28"/>
      <w:szCs w:val="20"/>
    </w:rPr>
  </w:style>
  <w:style w:type="paragraph" w:styleId="22">
    <w:name w:val="Body Text 3"/>
    <w:basedOn w:val="1"/>
    <w:link w:val="93"/>
    <w:qFormat/>
    <w:uiPriority w:val="0"/>
    <w:pPr>
      <w:jc w:val="center"/>
    </w:pPr>
    <w:rPr>
      <w:rFonts w:ascii="Times New Roman" w:hAnsi="Times New Roman" w:eastAsia="宋体" w:cs="Times New Roman"/>
      <w:szCs w:val="20"/>
    </w:rPr>
  </w:style>
  <w:style w:type="paragraph" w:styleId="23">
    <w:name w:val="List Bullet 3"/>
    <w:basedOn w:val="1"/>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4">
    <w:name w:val="Body Text"/>
    <w:basedOn w:val="1"/>
    <w:next w:val="1"/>
    <w:link w:val="94"/>
    <w:qFormat/>
    <w:uiPriority w:val="0"/>
    <w:pPr>
      <w:autoSpaceDE w:val="0"/>
      <w:autoSpaceDN w:val="0"/>
      <w:spacing w:line="360" w:lineRule="auto"/>
    </w:pPr>
    <w:rPr>
      <w:rFonts w:ascii="宋体" w:hAnsi="Arial" w:eastAsia="宋体" w:cs="Arial"/>
      <w:snapToGrid w:val="0"/>
      <w:sz w:val="24"/>
      <w:szCs w:val="21"/>
      <w:lang w:val="zh-CN"/>
    </w:rPr>
  </w:style>
  <w:style w:type="paragraph" w:styleId="25">
    <w:name w:val="Body Text Indent"/>
    <w:basedOn w:val="1"/>
    <w:next w:val="16"/>
    <w:link w:val="95"/>
    <w:qFormat/>
    <w:uiPriority w:val="0"/>
    <w:pPr>
      <w:spacing w:line="480" w:lineRule="exact"/>
      <w:ind w:firstLine="480" w:firstLineChars="200"/>
    </w:pPr>
    <w:rPr>
      <w:rFonts w:ascii="宋体" w:hAnsi="宋体" w:eastAsia="宋体" w:cs="Times New Roman"/>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8">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eastAsia="宋体" w:cs="Times New Roman"/>
      <w:i/>
      <w:iCs/>
      <w:kern w:val="0"/>
      <w:sz w:val="24"/>
    </w:rPr>
  </w:style>
  <w:style w:type="paragraph" w:styleId="31">
    <w:name w:val="toc 5"/>
    <w:basedOn w:val="1"/>
    <w:next w:val="1"/>
    <w:qFormat/>
    <w:uiPriority w:val="0"/>
    <w:pPr>
      <w:ind w:left="1680" w:leftChars="800"/>
    </w:pPr>
    <w:rPr>
      <w:rFonts w:ascii="Times New Roman" w:hAnsi="Times New Roman" w:eastAsia="宋体" w:cs="Times New Roman"/>
    </w:r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eastAsia="宋体" w:cs="Times New Roman"/>
    </w:rPr>
  </w:style>
  <w:style w:type="paragraph" w:styleId="33">
    <w:name w:val="Plain Text"/>
    <w:basedOn w:val="1"/>
    <w:link w:val="97"/>
    <w:qFormat/>
    <w:uiPriority w:val="0"/>
    <w:rPr>
      <w:rFonts w:ascii="宋体" w:hAnsi="Courier New" w:eastAsia="宋体"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5">
    <w:name w:val="toc 8"/>
    <w:basedOn w:val="1"/>
    <w:next w:val="1"/>
    <w:qFormat/>
    <w:uiPriority w:val="0"/>
    <w:pPr>
      <w:ind w:left="2940" w:leftChars="1400"/>
    </w:pPr>
    <w:rPr>
      <w:rFonts w:ascii="Times New Roman" w:hAnsi="Times New Roman" w:eastAsia="宋体" w:cs="Times New Roman"/>
    </w:rPr>
  </w:style>
  <w:style w:type="paragraph" w:styleId="36">
    <w:name w:val="Date"/>
    <w:basedOn w:val="1"/>
    <w:next w:val="1"/>
    <w:link w:val="98"/>
    <w:qFormat/>
    <w:uiPriority w:val="0"/>
    <w:pPr>
      <w:ind w:left="100" w:leftChars="2500"/>
    </w:pPr>
    <w:rPr>
      <w:rFonts w:ascii="宋体" w:hAnsi="Times New Roman" w:eastAsia="宋体" w:cs="Times New Roman"/>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hAnsi="Times New Roman" w:eastAsia="宋体" w:cs="Times New Roman"/>
      <w:kern w:val="0"/>
      <w:sz w:val="28"/>
      <w:szCs w:val="20"/>
    </w:rPr>
  </w:style>
  <w:style w:type="paragraph" w:styleId="38">
    <w:name w:val="endnote text"/>
    <w:basedOn w:val="1"/>
    <w:link w:val="100"/>
    <w:qFormat/>
    <w:uiPriority w:val="0"/>
    <w:rPr>
      <w:rFonts w:ascii="Times New Roman" w:hAnsi="Times New Roman" w:eastAsia="宋体" w:cs="Times New Roman"/>
      <w:lang w:val="zh-CN"/>
    </w:rPr>
  </w:style>
  <w:style w:type="paragraph" w:styleId="39">
    <w:name w:val="Balloon Text"/>
    <w:basedOn w:val="1"/>
    <w:link w:val="101"/>
    <w:qFormat/>
    <w:uiPriority w:val="0"/>
    <w:rPr>
      <w:rFonts w:ascii="Times New Roman" w:hAnsi="Times New Roman" w:eastAsia="宋体" w:cs="Times New Roman"/>
      <w:sz w:val="18"/>
      <w:szCs w:val="18"/>
    </w:rPr>
  </w:style>
  <w:style w:type="paragraph" w:styleId="40">
    <w:name w:val="footer"/>
    <w:basedOn w:val="1"/>
    <w:link w:val="10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1">
    <w:name w:val="header"/>
    <w:basedOn w:val="1"/>
    <w:link w:val="10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2">
    <w:name w:val="Signature"/>
    <w:basedOn w:val="1"/>
    <w:link w:val="104"/>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3">
    <w:name w:val="toc 1"/>
    <w:basedOn w:val="1"/>
    <w:next w:val="1"/>
    <w:qFormat/>
    <w:uiPriority w:val="0"/>
    <w:rPr>
      <w:rFonts w:ascii="Times New Roman" w:hAnsi="Times New Roman" w:eastAsia="宋体" w:cs="Times New Roman"/>
    </w:rPr>
  </w:style>
  <w:style w:type="paragraph" w:styleId="44">
    <w:name w:val="toc 4"/>
    <w:basedOn w:val="1"/>
    <w:next w:val="1"/>
    <w:qFormat/>
    <w:uiPriority w:val="0"/>
    <w:pPr>
      <w:ind w:left="1260" w:leftChars="600"/>
    </w:pPr>
    <w:rPr>
      <w:rFonts w:ascii="Times New Roman" w:hAnsi="Times New Roman" w:eastAsia="宋体" w:cs="Times New Roman"/>
    </w:rPr>
  </w:style>
  <w:style w:type="paragraph" w:styleId="45">
    <w:name w:val="index heading"/>
    <w:basedOn w:val="1"/>
    <w:next w:val="46"/>
    <w:qFormat/>
    <w:uiPriority w:val="0"/>
    <w:pPr>
      <w:adjustRightInd/>
      <w:ind w:firstLine="200" w:firstLineChars="200"/>
    </w:pPr>
    <w:rPr>
      <w:rFonts w:ascii="Times New Roman" w:hAnsi="Times New Roman" w:eastAsia="宋体" w:cs="Times New Roman"/>
    </w:rPr>
  </w:style>
  <w:style w:type="paragraph" w:styleId="46">
    <w:name w:val="index 1"/>
    <w:basedOn w:val="1"/>
    <w:next w:val="1"/>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49">
    <w:name w:val="List"/>
    <w:basedOn w:val="1"/>
    <w:qFormat/>
    <w:uiPriority w:val="0"/>
    <w:pPr>
      <w:ind w:left="200" w:hanging="200" w:hangingChars="200"/>
    </w:pPr>
    <w:rPr>
      <w:rFonts w:ascii="Times New Roman" w:hAnsi="Times New Roman" w:eastAsia="宋体" w:cs="Times New Roman"/>
    </w:rPr>
  </w:style>
  <w:style w:type="paragraph" w:styleId="50">
    <w:name w:val="footnote text"/>
    <w:basedOn w:val="16"/>
    <w:link w:val="106"/>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qFormat/>
    <w:uiPriority w:val="0"/>
    <w:pPr>
      <w:ind w:left="2100" w:leftChars="1000"/>
    </w:pPr>
    <w:rPr>
      <w:rFonts w:ascii="Times New Roman" w:hAnsi="Times New Roman" w:eastAsia="宋体" w:cs="Times New Roman"/>
    </w:rPr>
  </w:style>
  <w:style w:type="paragraph" w:styleId="52">
    <w:name w:val="List 5"/>
    <w:basedOn w:val="1"/>
    <w:qFormat/>
    <w:uiPriority w:val="0"/>
    <w:pPr>
      <w:adjustRightInd/>
      <w:ind w:left="100" w:leftChars="800" w:hanging="200" w:hangingChars="200"/>
    </w:pPr>
    <w:rPr>
      <w:rFonts w:ascii="Times New Roman" w:hAnsi="Times New Roman" w:eastAsia="宋体" w:cs="Times New Roman"/>
    </w:rPr>
  </w:style>
  <w:style w:type="paragraph" w:styleId="53">
    <w:name w:val="Body Text Indent 3"/>
    <w:basedOn w:val="1"/>
    <w:link w:val="107"/>
    <w:qFormat/>
    <w:uiPriority w:val="0"/>
    <w:pPr>
      <w:spacing w:line="360" w:lineRule="auto"/>
      <w:ind w:firstLine="420"/>
    </w:pPr>
    <w:rPr>
      <w:rFonts w:ascii="Times New Roman" w:hAnsi="Times New Roman" w:eastAsia="宋体" w:cs="Times New Roman"/>
      <w:sz w:val="24"/>
      <w:szCs w:val="20"/>
    </w:rPr>
  </w:style>
  <w:style w:type="paragraph" w:styleId="54">
    <w:name w:val="toc 2"/>
    <w:basedOn w:val="1"/>
    <w:next w:val="1"/>
    <w:qFormat/>
    <w:uiPriority w:val="0"/>
    <w:pPr>
      <w:ind w:left="420" w:leftChars="200"/>
    </w:pPr>
    <w:rPr>
      <w:rFonts w:ascii="Times New Roman" w:hAnsi="Times New Roman" w:eastAsia="宋体" w:cs="Times New Roman"/>
    </w:rPr>
  </w:style>
  <w:style w:type="paragraph" w:styleId="55">
    <w:name w:val="toc 9"/>
    <w:basedOn w:val="1"/>
    <w:next w:val="1"/>
    <w:qFormat/>
    <w:uiPriority w:val="0"/>
    <w:pPr>
      <w:ind w:left="3360" w:leftChars="1600"/>
    </w:pPr>
    <w:rPr>
      <w:rFonts w:ascii="Times New Roman" w:hAnsi="Times New Roman" w:eastAsia="宋体" w:cs="Times New Roman"/>
    </w:rPr>
  </w:style>
  <w:style w:type="paragraph" w:styleId="56">
    <w:name w:val="Body Text 2"/>
    <w:basedOn w:val="1"/>
    <w:link w:val="108"/>
    <w:qFormat/>
    <w:uiPriority w:val="0"/>
    <w:pPr>
      <w:spacing w:after="120" w:line="480" w:lineRule="auto"/>
    </w:pPr>
    <w:rPr>
      <w:rFonts w:ascii="Times New Roman" w:hAnsi="Times New Roman" w:eastAsia="宋体" w:cs="Times New Roman"/>
    </w:r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link w:val="110"/>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0"/>
    <w:next w:val="20"/>
    <w:link w:val="111"/>
    <w:qFormat/>
    <w:uiPriority w:val="0"/>
    <w:rPr>
      <w:rFonts w:ascii="Times New Roman" w:hAnsi="Times New Roman" w:eastAsia="宋体" w:cs="Times New Roman"/>
      <w:b/>
      <w:bCs/>
    </w:rPr>
  </w:style>
  <w:style w:type="paragraph" w:styleId="61">
    <w:name w:val="Body Text First Indent"/>
    <w:basedOn w:val="24"/>
    <w:next w:val="1"/>
    <w:link w:val="112"/>
    <w:qFormat/>
    <w:uiPriority w:val="0"/>
    <w:pPr>
      <w:ind w:firstLine="420"/>
    </w:pPr>
    <w:rPr>
      <w:rFonts w:ascii="Times New Roman" w:hAnsi="Calibri" w:eastAsia="宋体" w:cs="Times New Roman"/>
      <w:snapToGrid/>
      <w:szCs w:val="20"/>
    </w:rPr>
  </w:style>
  <w:style w:type="paragraph" w:styleId="62">
    <w:name w:val="Body Text First Indent 2"/>
    <w:basedOn w:val="25"/>
    <w:next w:val="61"/>
    <w:link w:val="113"/>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4">
    <w:name w:val="Table Grid"/>
    <w:basedOn w:val="6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0"/>
    <w:rPr>
      <w:rFonts w:ascii="Times New Roman" w:hAnsi="Times New Roman" w:eastAsia="宋体" w:cs="Times New Roman"/>
      <w:b/>
      <w:bCs/>
    </w:rPr>
  </w:style>
  <w:style w:type="character" w:styleId="72">
    <w:name w:val="endnote reference"/>
    <w:qFormat/>
    <w:uiPriority w:val="0"/>
    <w:rPr>
      <w:rFonts w:ascii="Times New Roman" w:hAnsi="Times New Roman" w:eastAsia="宋体" w:cs="Times New Roman"/>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0"/>
    <w:rPr>
      <w:rFonts w:ascii="Arial" w:hAnsi="Arial" w:eastAsia="黑体" w:cs="Arial"/>
      <w:snapToGrid w:val="0"/>
      <w:color w:val="000000"/>
      <w:kern w:val="0"/>
      <w:sz w:val="18"/>
      <w:szCs w:val="18"/>
      <w:u w:val="none"/>
    </w:rPr>
  </w:style>
  <w:style w:type="character" w:styleId="75">
    <w:name w:val="Emphasis"/>
    <w:qFormat/>
    <w:uiPriority w:val="0"/>
    <w:rPr>
      <w:rFonts w:ascii="Times New Roman" w:hAnsi="Times New Roman" w:eastAsia="宋体" w:cs="Times New Roman"/>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0"/>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rFonts w:ascii="Times New Roman" w:hAnsi="Times New Roman" w:eastAsia="宋体" w:cs="Times New Roman"/>
      <w:sz w:val="21"/>
      <w:szCs w:val="21"/>
    </w:rPr>
  </w:style>
  <w:style w:type="paragraph" w:customStyle="1" w:styleId="80">
    <w:name w:val="表格"/>
    <w:basedOn w:val="1"/>
    <w:qFormat/>
    <w:uiPriority w:val="0"/>
    <w:pPr>
      <w:snapToGrid w:val="0"/>
      <w:ind w:firstLine="42" w:firstLineChars="21"/>
    </w:pPr>
    <w:rPr>
      <w:rFonts w:ascii="宋体" w:hAnsi="宋体" w:eastAsia="宋体" w:cs="Times New Roman"/>
      <w:kern w:val="0"/>
      <w:sz w:val="20"/>
      <w:szCs w:val="20"/>
    </w:rPr>
  </w:style>
  <w:style w:type="character" w:customStyle="1" w:styleId="81">
    <w:name w:val="标题 1 字符1"/>
    <w:link w:val="2"/>
    <w:qFormat/>
    <w:uiPriority w:val="0"/>
    <w:rPr>
      <w:rFonts w:ascii="Times New Roman" w:hAnsi="Times New Roman" w:eastAsia="宋体" w:cs="Times New Roman"/>
      <w:b/>
      <w:bCs/>
      <w:kern w:val="44"/>
      <w:sz w:val="44"/>
      <w:szCs w:val="44"/>
    </w:rPr>
  </w:style>
  <w:style w:type="character" w:customStyle="1" w:styleId="82">
    <w:name w:val="标题 4 字符1"/>
    <w:link w:val="5"/>
    <w:qFormat/>
    <w:uiPriority w:val="0"/>
    <w:rPr>
      <w:rFonts w:ascii="Arial" w:hAnsi="Arial" w:eastAsia="黑体" w:cs="Times New Roman"/>
      <w:b/>
      <w:bCs/>
      <w:kern w:val="2"/>
      <w:sz w:val="28"/>
      <w:szCs w:val="28"/>
      <w:lang w:val="zh-CN"/>
    </w:rPr>
  </w:style>
  <w:style w:type="character" w:customStyle="1" w:styleId="83">
    <w:name w:val="标题 5 字符"/>
    <w:link w:val="6"/>
    <w:qFormat/>
    <w:uiPriority w:val="0"/>
    <w:rPr>
      <w:rFonts w:ascii="Times New Roman" w:hAnsi="Times New Roman" w:eastAsia="宋体" w:cs="Times New Roman"/>
      <w:b/>
      <w:bCs/>
      <w:kern w:val="2"/>
      <w:sz w:val="28"/>
      <w:szCs w:val="28"/>
    </w:rPr>
  </w:style>
  <w:style w:type="character" w:customStyle="1" w:styleId="84">
    <w:name w:val="标题 6 字符"/>
    <w:link w:val="7"/>
    <w:qFormat/>
    <w:uiPriority w:val="0"/>
    <w:rPr>
      <w:rFonts w:ascii="Arial" w:hAnsi="Arial" w:eastAsia="黑体" w:cs="Times New Roman"/>
      <w:b/>
      <w:bCs/>
      <w:kern w:val="2"/>
      <w:sz w:val="24"/>
      <w:szCs w:val="24"/>
    </w:rPr>
  </w:style>
  <w:style w:type="character" w:customStyle="1" w:styleId="85">
    <w:name w:val="标题 7 字符"/>
    <w:link w:val="8"/>
    <w:qFormat/>
    <w:uiPriority w:val="0"/>
    <w:rPr>
      <w:rFonts w:ascii="Times New Roman" w:hAnsi="Times New Roman" w:eastAsia="宋体" w:cs="Times New Roman"/>
      <w:b/>
      <w:bCs/>
      <w:kern w:val="2"/>
      <w:sz w:val="24"/>
      <w:szCs w:val="24"/>
    </w:rPr>
  </w:style>
  <w:style w:type="character" w:customStyle="1" w:styleId="86">
    <w:name w:val="标题 8 字符"/>
    <w:link w:val="9"/>
    <w:qFormat/>
    <w:uiPriority w:val="0"/>
    <w:rPr>
      <w:rFonts w:ascii="Arial" w:hAnsi="Arial" w:eastAsia="黑体" w:cs="Times New Roman"/>
      <w:kern w:val="2"/>
      <w:sz w:val="24"/>
      <w:szCs w:val="24"/>
    </w:rPr>
  </w:style>
  <w:style w:type="character" w:customStyle="1" w:styleId="87">
    <w:name w:val="标题 9 字符"/>
    <w:link w:val="10"/>
    <w:qFormat/>
    <w:uiPriority w:val="0"/>
    <w:rPr>
      <w:rFonts w:ascii="Arial" w:hAnsi="Arial" w:eastAsia="黑体" w:cs="Times New Roman"/>
      <w:kern w:val="2"/>
      <w:sz w:val="21"/>
      <w:szCs w:val="21"/>
    </w:rPr>
  </w:style>
  <w:style w:type="character" w:customStyle="1" w:styleId="88">
    <w:name w:val="正文缩进 字符2"/>
    <w:link w:val="16"/>
    <w:qFormat/>
    <w:uiPriority w:val="0"/>
    <w:rPr>
      <w:rFonts w:ascii="宋体" w:hAnsi="Times New Roman" w:eastAsia="宋体" w:cs="Times New Roman"/>
      <w:snapToGrid w:val="0"/>
      <w:color w:val="000000"/>
      <w:kern w:val="28"/>
      <w:sz w:val="28"/>
      <w:lang w:val="en-US" w:eastAsia="zh-CN" w:bidi="ar-SA"/>
    </w:rPr>
  </w:style>
  <w:style w:type="character" w:customStyle="1" w:styleId="89">
    <w:name w:val="题注 字符"/>
    <w:link w:val="17"/>
    <w:qFormat/>
    <w:uiPriority w:val="0"/>
    <w:rPr>
      <w:rFonts w:ascii="Times New Roman" w:hAnsi="Times New Roman" w:eastAsia="宋体" w:cs="Times New Roman"/>
      <w:b/>
      <w:kern w:val="2"/>
      <w:sz w:val="28"/>
    </w:rPr>
  </w:style>
  <w:style w:type="character" w:customStyle="1" w:styleId="90">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91">
    <w:name w:val="批注文字 字符1"/>
    <w:link w:val="20"/>
    <w:qFormat/>
    <w:uiPriority w:val="0"/>
    <w:rPr>
      <w:rFonts w:ascii="Times New Roman" w:hAnsi="Times New Roman" w:eastAsia="宋体" w:cs="Times New Roman"/>
      <w:kern w:val="2"/>
      <w:sz w:val="21"/>
      <w:szCs w:val="24"/>
    </w:rPr>
  </w:style>
  <w:style w:type="character" w:customStyle="1" w:styleId="92">
    <w:name w:val="称呼 字符"/>
    <w:link w:val="21"/>
    <w:qFormat/>
    <w:uiPriority w:val="0"/>
    <w:rPr>
      <w:rFonts w:ascii="仿宋_GB2312" w:hAnsi="Times New Roman" w:eastAsia="仿宋_GB2312" w:cs="Times New Roman"/>
      <w:kern w:val="2"/>
      <w:sz w:val="28"/>
    </w:rPr>
  </w:style>
  <w:style w:type="character" w:customStyle="1" w:styleId="93">
    <w:name w:val="正文文本 3 字符"/>
    <w:link w:val="22"/>
    <w:qFormat/>
    <w:uiPriority w:val="0"/>
    <w:rPr>
      <w:rFonts w:ascii="Times New Roman" w:hAnsi="Times New Roman" w:eastAsia="宋体" w:cs="Times New Roman"/>
      <w:kern w:val="2"/>
      <w:sz w:val="21"/>
    </w:rPr>
  </w:style>
  <w:style w:type="character" w:customStyle="1" w:styleId="9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5">
    <w:name w:val="正文文本缩进 字符1"/>
    <w:link w:val="25"/>
    <w:qFormat/>
    <w:uiPriority w:val="0"/>
    <w:rPr>
      <w:rFonts w:ascii="宋体" w:hAnsi="宋体" w:eastAsia="宋体" w:cs="Times New Roman"/>
      <w:kern w:val="2"/>
      <w:sz w:val="24"/>
      <w:szCs w:val="24"/>
    </w:rPr>
  </w:style>
  <w:style w:type="character" w:customStyle="1" w:styleId="96">
    <w:name w:val="HTML 地址 字符"/>
    <w:link w:val="30"/>
    <w:qFormat/>
    <w:uiPriority w:val="0"/>
    <w:rPr>
      <w:rFonts w:ascii="宋体" w:hAnsi="宋体" w:eastAsia="宋体" w:cs="Times New Roman"/>
      <w:i/>
      <w:iCs/>
      <w:sz w:val="24"/>
      <w:szCs w:val="24"/>
    </w:rPr>
  </w:style>
  <w:style w:type="character" w:customStyle="1" w:styleId="9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6"/>
    <w:qFormat/>
    <w:uiPriority w:val="0"/>
    <w:rPr>
      <w:rFonts w:ascii="宋体" w:hAnsi="Times New Roman" w:eastAsia="宋体" w:cs="Times New Roman"/>
      <w:kern w:val="2"/>
      <w:sz w:val="24"/>
      <w:szCs w:val="21"/>
      <w:lang w:val="zh-CN"/>
    </w:rPr>
  </w:style>
  <w:style w:type="character" w:customStyle="1" w:styleId="99">
    <w:name w:val="正文文本缩进 2 字符"/>
    <w:link w:val="37"/>
    <w:qFormat/>
    <w:uiPriority w:val="0"/>
    <w:rPr>
      <w:rFonts w:ascii="宋体" w:hAnsi="Times New Roman" w:eastAsia="宋体" w:cs="Times New Roman"/>
      <w:sz w:val="28"/>
    </w:rPr>
  </w:style>
  <w:style w:type="character" w:customStyle="1" w:styleId="100">
    <w:name w:val="尾注文本 字符"/>
    <w:link w:val="38"/>
    <w:qFormat/>
    <w:uiPriority w:val="0"/>
    <w:rPr>
      <w:rFonts w:ascii="Times New Roman" w:hAnsi="Times New Roman" w:eastAsia="宋体" w:cs="Times New Roman"/>
      <w:kern w:val="2"/>
      <w:sz w:val="21"/>
      <w:szCs w:val="24"/>
      <w:lang w:val="zh-CN"/>
    </w:rPr>
  </w:style>
  <w:style w:type="character" w:customStyle="1" w:styleId="101">
    <w:name w:val="批注框文本 字符1"/>
    <w:link w:val="39"/>
    <w:qFormat/>
    <w:uiPriority w:val="0"/>
    <w:rPr>
      <w:rFonts w:ascii="Times New Roman" w:hAnsi="Times New Roman" w:eastAsia="宋体" w:cs="Times New Roman"/>
      <w:kern w:val="2"/>
      <w:sz w:val="18"/>
      <w:szCs w:val="18"/>
    </w:rPr>
  </w:style>
  <w:style w:type="character" w:customStyle="1" w:styleId="102">
    <w:name w:val="页脚 字符2"/>
    <w:link w:val="40"/>
    <w:qFormat/>
    <w:uiPriority w:val="0"/>
    <w:rPr>
      <w:rFonts w:ascii="Times New Roman" w:hAnsi="Times New Roman" w:eastAsia="宋体" w:cs="Times New Roman"/>
      <w:kern w:val="2"/>
      <w:sz w:val="18"/>
      <w:szCs w:val="18"/>
    </w:rPr>
  </w:style>
  <w:style w:type="character" w:customStyle="1" w:styleId="103">
    <w:name w:val="页眉 字符2"/>
    <w:link w:val="41"/>
    <w:qFormat/>
    <w:uiPriority w:val="0"/>
    <w:rPr>
      <w:rFonts w:ascii="Times New Roman" w:hAnsi="Times New Roman" w:eastAsia="宋体" w:cs="Times New Roman"/>
      <w:kern w:val="2"/>
      <w:sz w:val="18"/>
      <w:szCs w:val="18"/>
    </w:rPr>
  </w:style>
  <w:style w:type="character" w:customStyle="1" w:styleId="104">
    <w:name w:val="签名 字符"/>
    <w:link w:val="42"/>
    <w:qFormat/>
    <w:uiPriority w:val="0"/>
    <w:rPr>
      <w:rFonts w:ascii="Times New Roman" w:hAnsi="Times New Roman" w:eastAsia="仿宋_GB2312" w:cs="Times New Roman"/>
      <w:sz w:val="24"/>
    </w:rPr>
  </w:style>
  <w:style w:type="character" w:customStyle="1" w:styleId="105">
    <w:name w:val="副标题 字符"/>
    <w:link w:val="47"/>
    <w:qFormat/>
    <w:uiPriority w:val="0"/>
    <w:rPr>
      <w:rFonts w:ascii="Arial" w:hAnsi="Arial" w:eastAsia="隶书" w:cs="Times New Roman"/>
      <w:b/>
      <w:bCs/>
      <w:kern w:val="28"/>
      <w:sz w:val="44"/>
      <w:szCs w:val="32"/>
      <w:lang w:val="en-US" w:eastAsia="zh-CN" w:bidi="ar-SA"/>
    </w:rPr>
  </w:style>
  <w:style w:type="character" w:customStyle="1" w:styleId="106">
    <w:name w:val="脚注文本 字符"/>
    <w:link w:val="50"/>
    <w:qFormat/>
    <w:uiPriority w:val="0"/>
    <w:rPr>
      <w:rFonts w:ascii="Times New Roman" w:hAnsi="Times New Roman" w:eastAsia="宋体" w:cs="Times New Roman"/>
      <w:color w:val="0000FF"/>
      <w:sz w:val="21"/>
    </w:rPr>
  </w:style>
  <w:style w:type="character" w:customStyle="1" w:styleId="107">
    <w:name w:val="正文文本缩进 3 字符"/>
    <w:link w:val="53"/>
    <w:qFormat/>
    <w:uiPriority w:val="0"/>
    <w:rPr>
      <w:rFonts w:ascii="Times New Roman" w:hAnsi="Times New Roman" w:eastAsia="宋体" w:cs="Times New Roman"/>
      <w:kern w:val="2"/>
      <w:sz w:val="24"/>
    </w:rPr>
  </w:style>
  <w:style w:type="character" w:customStyle="1" w:styleId="108">
    <w:name w:val="正文文本 2 字符1"/>
    <w:link w:val="56"/>
    <w:qFormat/>
    <w:uiPriority w:val="0"/>
    <w:rPr>
      <w:rFonts w:ascii="Times New Roman" w:hAnsi="Times New Roman" w:eastAsia="宋体" w:cs="Times New Roman"/>
      <w:kern w:val="2"/>
      <w:sz w:val="21"/>
      <w:szCs w:val="24"/>
    </w:rPr>
  </w:style>
  <w:style w:type="character" w:customStyle="1" w:styleId="109">
    <w:name w:val="HTML 预设格式 字符"/>
    <w:link w:val="57"/>
    <w:qFormat/>
    <w:uiPriority w:val="0"/>
    <w:rPr>
      <w:rFonts w:ascii="黑体" w:hAnsi="Courier New" w:eastAsia="黑体" w:cs="Times New Roman"/>
    </w:rPr>
  </w:style>
  <w:style w:type="character" w:customStyle="1" w:styleId="110">
    <w:name w:val="标题 字符"/>
    <w:link w:val="59"/>
    <w:qFormat/>
    <w:uiPriority w:val="0"/>
    <w:rPr>
      <w:rFonts w:ascii="Times New Roman" w:hAnsi="Times New Roman" w:eastAsia="宋体" w:cs="Times New Roman"/>
      <w:b/>
      <w:sz w:val="24"/>
      <w:lang w:val="en-GB"/>
    </w:rPr>
  </w:style>
  <w:style w:type="character" w:customStyle="1" w:styleId="111">
    <w:name w:val="批注主题 字符"/>
    <w:link w:val="60"/>
    <w:qFormat/>
    <w:uiPriority w:val="0"/>
    <w:rPr>
      <w:rFonts w:ascii="Times New Roman" w:hAnsi="Times New Roman" w:eastAsia="宋体" w:cs="Times New Roman"/>
      <w:b/>
      <w:bCs/>
      <w:kern w:val="2"/>
      <w:sz w:val="21"/>
      <w:szCs w:val="24"/>
    </w:rPr>
  </w:style>
  <w:style w:type="character" w:customStyle="1" w:styleId="112">
    <w:name w:val="正文文本首行缩进 字符"/>
    <w:link w:val="61"/>
    <w:qFormat/>
    <w:uiPriority w:val="0"/>
    <w:rPr>
      <w:rFonts w:ascii="宋体" w:hAnsi="Times New Roman" w:eastAsia="宋体" w:cs="Times New Roman"/>
      <w:kern w:val="2"/>
      <w:sz w:val="24"/>
      <w:lang w:val="zh-CN"/>
    </w:rPr>
  </w:style>
  <w:style w:type="character" w:customStyle="1" w:styleId="113">
    <w:name w:val="正文文本首行缩进 2 字符"/>
    <w:link w:val="62"/>
    <w:qFormat/>
    <w:uiPriority w:val="0"/>
    <w:rPr>
      <w:rFonts w:ascii="宋体" w:hAnsi="宋体" w:eastAsia="宋体" w:cs="Times New Roman"/>
      <w:kern w:val="2"/>
      <w:sz w:val="21"/>
      <w:szCs w:val="24"/>
    </w:rPr>
  </w:style>
  <w:style w:type="paragraph" w:customStyle="1" w:styleId="114">
    <w:name w:val="[Normal]"/>
    <w:qFormat/>
    <w:uiPriority w:val="0"/>
    <w:rPr>
      <w:rFonts w:ascii="宋体" w:hAnsi="宋体" w:eastAsia="宋体" w:cs="Times New Roman"/>
      <w:sz w:val="24"/>
      <w:lang w:val="zh-CN" w:eastAsia="zh-CN" w:bidi="ar-SA"/>
    </w:rPr>
  </w:style>
  <w:style w:type="paragraph" w:customStyle="1" w:styleId="115">
    <w:name w:val="trs_editor"/>
    <w:basedOn w:val="1"/>
    <w:qFormat/>
    <w:uiPriority w:val="0"/>
    <w:pPr>
      <w:widowControl/>
      <w:adjustRightInd/>
      <w:spacing w:before="100" w:beforeAutospacing="1" w:after="100" w:afterAutospacing="1"/>
      <w:jc w:val="left"/>
    </w:pPr>
    <w:rPr>
      <w:rFonts w:ascii="宋体" w:hAnsi="宋体" w:eastAsia="宋体" w:cs="宋体"/>
      <w:kern w:val="0"/>
      <w:sz w:val="24"/>
    </w:rPr>
  </w:style>
  <w:style w:type="character" w:customStyle="1" w:styleId="116">
    <w:name w:val="正文2 Char Char"/>
    <w:link w:val="117"/>
    <w:qFormat/>
    <w:uiPriority w:val="0"/>
    <w:rPr>
      <w:rFonts w:ascii="Times New Roman" w:hAnsi="Times New Roman" w:eastAsia="宋体" w:cs="Times New Roman"/>
      <w:kern w:val="2"/>
      <w:sz w:val="24"/>
      <w:lang w:val="en-US" w:eastAsia="zh-CN" w:bidi="ar-SA"/>
    </w:rPr>
  </w:style>
  <w:style w:type="paragraph" w:customStyle="1" w:styleId="117">
    <w:name w:val="正文2"/>
    <w:basedOn w:val="1"/>
    <w:link w:val="116"/>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19">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120">
    <w:name w:val="Default Char"/>
    <w:link w:val="121"/>
    <w:qFormat/>
    <w:uiPriority w:val="0"/>
    <w:rPr>
      <w:rFonts w:ascii="仿宋_GB2312" w:hAnsi="Times New Roman" w:eastAsia="仿宋_GB2312" w:cs="仿宋_GB2312"/>
      <w:color w:val="000000"/>
      <w:sz w:val="24"/>
      <w:szCs w:val="24"/>
      <w:lang w:val="en-US" w:eastAsia="zh-CN" w:bidi="ar-SA"/>
    </w:rPr>
  </w:style>
  <w:style w:type="paragraph" w:customStyle="1" w:styleId="121">
    <w:name w:val="Default"/>
    <w:next w:val="119"/>
    <w:link w:val="12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纯文本 Char_0"/>
    <w:link w:val="124"/>
    <w:qFormat/>
    <w:uiPriority w:val="0"/>
    <w:rPr>
      <w:rFonts w:ascii="宋体" w:hAnsi="Courier New" w:eastAsia="宋体" w:cs="Times New Roman"/>
      <w:kern w:val="2"/>
      <w:sz w:val="21"/>
      <w:szCs w:val="21"/>
      <w:lang w:val="en-US" w:eastAsia="zh-CN"/>
    </w:rPr>
  </w:style>
  <w:style w:type="paragraph" w:customStyle="1" w:styleId="124">
    <w:name w:val="纯文本_0_0"/>
    <w:basedOn w:val="122"/>
    <w:link w:val="123"/>
    <w:qFormat/>
    <w:uiPriority w:val="0"/>
    <w:rPr>
      <w:rFonts w:ascii="宋体" w:hAnsi="Courier New" w:eastAsia="宋体" w:cs="Times New Roman"/>
      <w:szCs w:val="21"/>
    </w:rPr>
  </w:style>
  <w:style w:type="paragraph" w:customStyle="1" w:styleId="125">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26">
    <w:name w:val="表格文字（两侧对齐）"/>
    <w:basedOn w:val="1"/>
    <w:qFormat/>
    <w:uiPriority w:val="0"/>
    <w:pPr>
      <w:widowControl w:val="0"/>
      <w:snapToGrid w:val="0"/>
    </w:pPr>
    <w:rPr>
      <w:rFonts w:ascii="Times New Roman" w:hAnsi="Times New Roman" w:eastAsia="宋体" w:cs="Times New Roman"/>
      <w:sz w:val="20"/>
      <w:szCs w:val="20"/>
    </w:rPr>
  </w:style>
  <w:style w:type="paragraph" w:customStyle="1" w:styleId="127">
    <w:name w:val="表格文字"/>
    <w:basedOn w:val="126"/>
    <w:next w:val="24"/>
    <w:qFormat/>
    <w:uiPriority w:val="0"/>
    <w:pPr>
      <w:adjustRightInd/>
      <w:ind w:firstLine="200" w:firstLineChars="200"/>
    </w:pPr>
    <w:rPr>
      <w:rFonts w:ascii="Arial" w:hAnsi="Arial" w:eastAsia="宋体" w:cs="Times New Roman"/>
      <w:spacing w:val="-5"/>
      <w:kern w:val="0"/>
      <w:sz w:val="24"/>
      <w:szCs w:val="20"/>
    </w:rPr>
  </w:style>
  <w:style w:type="paragraph" w:customStyle="1" w:styleId="128">
    <w:name w:val="正文首行缩进1"/>
    <w:basedOn w:val="24"/>
    <w:next w:val="1"/>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styleId="129">
    <w:name w:val="List Paragraph"/>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130">
    <w:name w:val="正文文本首行缩进 21"/>
    <w:basedOn w:val="25"/>
    <w:qFormat/>
    <w:uiPriority w:val="0"/>
    <w:pPr>
      <w:spacing w:line="200" w:lineRule="atLeast"/>
      <w:ind w:firstLine="420"/>
    </w:pPr>
    <w:rPr>
      <w:rFonts w:ascii="Times New Roman" w:hAnsi="Courier New" w:eastAsia="宋体" w:cs="Times New Roman"/>
      <w:spacing w:val="-4"/>
      <w:sz w:val="18"/>
    </w:rPr>
  </w:style>
  <w:style w:type="character" w:customStyle="1" w:styleId="131">
    <w:name w:val="表格非标题文字 Char"/>
    <w:link w:val="132"/>
    <w:qFormat/>
    <w:uiPriority w:val="0"/>
    <w:rPr>
      <w:rFonts w:ascii="Futura Bk" w:hAnsi="Futura Bk" w:eastAsia="宋体" w:cs="Times New Roman"/>
      <w:kern w:val="2"/>
      <w:sz w:val="18"/>
      <w:szCs w:val="21"/>
      <w:lang w:val="en-US" w:eastAsia="zh-CN" w:bidi="ar-SA"/>
    </w:rPr>
  </w:style>
  <w:style w:type="paragraph" w:customStyle="1" w:styleId="132">
    <w:name w:val="表格非标题文字"/>
    <w:link w:val="13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3">
    <w:name w:val="*正文 Char"/>
    <w:link w:val="134"/>
    <w:qFormat/>
    <w:uiPriority w:val="0"/>
    <w:rPr>
      <w:rFonts w:ascii="宋体" w:hAnsi="宋体" w:eastAsia="宋体" w:cs="Times New Roman"/>
      <w:sz w:val="24"/>
    </w:rPr>
  </w:style>
  <w:style w:type="paragraph" w:customStyle="1" w:styleId="134">
    <w:name w:val="*正文"/>
    <w:basedOn w:val="1"/>
    <w:link w:val="133"/>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135">
    <w:name w:val="Char Char71"/>
    <w:qFormat/>
    <w:uiPriority w:val="0"/>
    <w:rPr>
      <w:rFonts w:ascii="Times New Roman" w:hAnsi="Times New Roman" w:eastAsia="宋体" w:cs="Times New Roman"/>
      <w:kern w:val="2"/>
      <w:sz w:val="21"/>
      <w:szCs w:val="24"/>
      <w:lang w:val="en-US" w:eastAsia="zh-CN" w:bidi="ar-SA"/>
    </w:rPr>
  </w:style>
  <w:style w:type="character" w:customStyle="1" w:styleId="136">
    <w:name w:val="Char Char6"/>
    <w:qFormat/>
    <w:uiPriority w:val="0"/>
    <w:rPr>
      <w:rFonts w:ascii="Times New Roman" w:hAnsi="Times New Roman" w:eastAsia="宋体" w:cs="Times New Roman"/>
      <w:kern w:val="2"/>
      <w:sz w:val="21"/>
      <w:szCs w:val="24"/>
      <w:lang w:val="en-US" w:eastAsia="zh-CN" w:bidi="ar-SA"/>
    </w:rPr>
  </w:style>
  <w:style w:type="character" w:customStyle="1" w:styleId="137">
    <w:name w:val="正文缩进 Char"/>
    <w:qFormat/>
    <w:uiPriority w:val="0"/>
    <w:rPr>
      <w:rFonts w:ascii="Times New Roman" w:hAnsi="Times New Roman" w:eastAsia="宋体" w:cs="Times New Roman"/>
      <w:kern w:val="2"/>
      <w:sz w:val="21"/>
      <w:lang w:val="en-US" w:eastAsia="zh-CN"/>
    </w:rPr>
  </w:style>
  <w:style w:type="character" w:customStyle="1" w:styleId="138">
    <w:name w:val="正文首行缩进 Char1"/>
    <w:qFormat/>
    <w:uiPriority w:val="0"/>
    <w:rPr>
      <w:rFonts w:ascii="宋体" w:hAnsi="Times New Roman" w:eastAsia="宋体" w:cs="Times New Roman"/>
      <w:snapToGrid w:val="0"/>
      <w:kern w:val="2"/>
      <w:sz w:val="24"/>
      <w:szCs w:val="21"/>
      <w:lang w:val="zh-CN"/>
    </w:rPr>
  </w:style>
  <w:style w:type="character" w:customStyle="1" w:styleId="139">
    <w:name w:val="Char Char28"/>
    <w:qFormat/>
    <w:uiPriority w:val="0"/>
    <w:rPr>
      <w:rFonts w:ascii="仿宋_GB2312" w:hAnsi="仿宋_GB2312" w:eastAsia="仿宋_GB2312" w:cs="Times New Roman"/>
      <w:kern w:val="1"/>
      <w:sz w:val="28"/>
    </w:rPr>
  </w:style>
  <w:style w:type="character" w:customStyle="1" w:styleId="140">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141">
    <w:name w:val="Heading 1 Char"/>
    <w:qFormat/>
    <w:uiPriority w:val="0"/>
    <w:rPr>
      <w:rFonts w:ascii="Times New Roman" w:hAnsi="Times New Roman" w:eastAsia="黑体" w:cs="Times New Roman"/>
      <w:b/>
      <w:kern w:val="0"/>
      <w:sz w:val="24"/>
      <w:szCs w:val="24"/>
    </w:rPr>
  </w:style>
  <w:style w:type="character" w:customStyle="1" w:styleId="142">
    <w:name w:val="U_正文 Char"/>
    <w:link w:val="143"/>
    <w:qFormat/>
    <w:uiPriority w:val="0"/>
    <w:rPr>
      <w:rFonts w:ascii="Times New Roman" w:hAnsi="Times New Roman" w:eastAsia="宋体" w:cs="Times New Roman"/>
      <w:sz w:val="24"/>
      <w:szCs w:val="24"/>
    </w:rPr>
  </w:style>
  <w:style w:type="paragraph" w:customStyle="1" w:styleId="143">
    <w:name w:val="U_正文"/>
    <w:basedOn w:val="1"/>
    <w:link w:val="142"/>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144">
    <w:name w:val="HTML 地址 Char1"/>
    <w:qFormat/>
    <w:uiPriority w:val="0"/>
    <w:rPr>
      <w:rFonts w:ascii="Times New Roman" w:hAnsi="Times New Roman" w:eastAsia="宋体" w:cs="Times New Roman"/>
      <w:i/>
      <w:iCs/>
      <w:szCs w:val="24"/>
    </w:rPr>
  </w:style>
  <w:style w:type="character" w:customStyle="1" w:styleId="145">
    <w:name w:val="Char Char51"/>
    <w:qFormat/>
    <w:uiPriority w:val="0"/>
    <w:rPr>
      <w:rFonts w:ascii="宋体" w:hAnsi="Courier New" w:eastAsia="宋体" w:cs="Times New Roman"/>
      <w:kern w:val="2"/>
      <w:sz w:val="21"/>
      <w:lang w:val="en-US" w:eastAsia="zh-CN"/>
    </w:rPr>
  </w:style>
  <w:style w:type="character" w:customStyle="1" w:styleId="146">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Char Char34"/>
    <w:qFormat/>
    <w:uiPriority w:val="0"/>
    <w:rPr>
      <w:rFonts w:ascii="Times New Roman" w:hAnsi="Times New Roman" w:eastAsia="宋体" w:cs="Times New Roman"/>
      <w:b/>
      <w:kern w:val="1"/>
      <w:sz w:val="28"/>
      <w:szCs w:val="28"/>
    </w:rPr>
  </w:style>
  <w:style w:type="character" w:customStyle="1" w:styleId="148">
    <w:name w:val="Normal Indent Char"/>
    <w:qFormat/>
    <w:uiPriority w:val="0"/>
    <w:rPr>
      <w:rFonts w:ascii="Calibri" w:hAnsi="Calibri" w:eastAsia="宋体" w:cs="黑体"/>
      <w:snapToGrid w:val="0"/>
      <w:kern w:val="2"/>
      <w:sz w:val="24"/>
      <w:szCs w:val="22"/>
      <w:lang w:val="en-US" w:eastAsia="zh-CN" w:bidi="ar-SA"/>
    </w:rPr>
  </w:style>
  <w:style w:type="character" w:customStyle="1" w:styleId="149">
    <w:name w:val="哈哈正文 Char"/>
    <w:link w:val="150"/>
    <w:qFormat/>
    <w:uiPriority w:val="0"/>
    <w:rPr>
      <w:rFonts w:ascii="宋体" w:hAnsi="宋体" w:eastAsia="宋体" w:cs="Times New Roman"/>
      <w:kern w:val="2"/>
      <w:sz w:val="24"/>
      <w:lang w:bidi="ar-SA"/>
    </w:rPr>
  </w:style>
  <w:style w:type="paragraph" w:customStyle="1" w:styleId="150">
    <w:name w:val="哈哈正文"/>
    <w:basedOn w:val="1"/>
    <w:link w:val="149"/>
    <w:qFormat/>
    <w:uiPriority w:val="0"/>
    <w:pPr>
      <w:adjustRightInd/>
      <w:spacing w:line="360" w:lineRule="auto"/>
      <w:ind w:firstLine="200" w:firstLineChars="200"/>
    </w:pPr>
    <w:rPr>
      <w:rFonts w:ascii="宋体" w:hAnsi="宋体" w:eastAsia="宋体" w:cs="Times New Roman"/>
      <w:sz w:val="24"/>
      <w:szCs w:val="20"/>
    </w:rPr>
  </w:style>
  <w:style w:type="character" w:customStyle="1" w:styleId="151">
    <w:name w:val="未处理的提及1"/>
    <w:qFormat/>
    <w:uiPriority w:val="0"/>
    <w:rPr>
      <w:rFonts w:ascii="Times New Roman" w:hAnsi="Times New Roman" w:eastAsia="宋体" w:cs="Times New Roman"/>
      <w:color w:val="808080"/>
      <w:shd w:val="clear" w:color="auto" w:fill="E6E6E6"/>
    </w:rPr>
  </w:style>
  <w:style w:type="character" w:customStyle="1" w:styleId="152">
    <w:name w:val="txt"/>
    <w:qFormat/>
    <w:uiPriority w:val="0"/>
    <w:rPr>
      <w:rFonts w:ascii="仿宋_GB2312" w:hAnsi="Times New Roman" w:eastAsia="微软雅黑" w:cs="Times New Roman"/>
      <w:b/>
      <w:kern w:val="2"/>
      <w:sz w:val="32"/>
      <w:szCs w:val="32"/>
      <w:lang w:val="en-US" w:eastAsia="zh-CN" w:bidi="ar-SA"/>
    </w:rPr>
  </w:style>
  <w:style w:type="character" w:customStyle="1" w:styleId="153">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54">
    <w:name w:val="Char Char32"/>
    <w:qFormat/>
    <w:uiPriority w:val="0"/>
    <w:rPr>
      <w:rFonts w:ascii="Times New Roman" w:hAnsi="Times New Roman" w:eastAsia="宋体" w:cs="Times New Roman"/>
      <w:b/>
      <w:kern w:val="1"/>
      <w:sz w:val="24"/>
      <w:szCs w:val="24"/>
    </w:rPr>
  </w:style>
  <w:style w:type="character" w:customStyle="1" w:styleId="155">
    <w:name w:val="PI Char1"/>
    <w:qFormat/>
    <w:uiPriority w:val="0"/>
    <w:rPr>
      <w:rFonts w:ascii="宋体" w:hAnsi="宋体" w:eastAsia="宋体" w:cs="Times New Roman"/>
      <w:kern w:val="2"/>
      <w:sz w:val="24"/>
      <w:szCs w:val="24"/>
    </w:rPr>
  </w:style>
  <w:style w:type="character" w:customStyle="1" w:styleId="156">
    <w:name w:val="tw4winTerm"/>
    <w:qFormat/>
    <w:uiPriority w:val="0"/>
    <w:rPr>
      <w:rFonts w:ascii="Times New Roman" w:hAnsi="Times New Roman" w:eastAsia="宋体" w:cs="Times New Roman"/>
      <w:color w:val="0000FF"/>
    </w:rPr>
  </w:style>
  <w:style w:type="character" w:customStyle="1" w:styleId="157">
    <w:name w:val="Footer Char"/>
    <w:qFormat/>
    <w:uiPriority w:val="0"/>
    <w:rPr>
      <w:rFonts w:ascii="Times New Roman" w:hAnsi="Times New Roman" w:eastAsia="宋体" w:cs="Times New Roman"/>
      <w:kern w:val="2"/>
      <w:sz w:val="18"/>
      <w:lang w:val="en-US" w:eastAsia="zh-CN" w:bidi="ar-SA"/>
    </w:rPr>
  </w:style>
  <w:style w:type="character" w:customStyle="1" w:styleId="158">
    <w:name w:val="普通文字 Char Char1"/>
    <w:qFormat/>
    <w:uiPriority w:val="0"/>
    <w:rPr>
      <w:rFonts w:ascii="宋体" w:hAnsi="Courier New" w:eastAsia="宋体" w:cs="Times New Roman"/>
      <w:kern w:val="2"/>
      <w:sz w:val="21"/>
    </w:rPr>
  </w:style>
  <w:style w:type="character" w:customStyle="1" w:styleId="159">
    <w:name w:val="Char Char101"/>
    <w:qFormat/>
    <w:uiPriority w:val="0"/>
    <w:rPr>
      <w:rFonts w:ascii="宋体" w:hAnsi="宋体" w:eastAsia="宋体" w:cs="Times New Roman"/>
      <w:kern w:val="2"/>
      <w:sz w:val="21"/>
      <w:szCs w:val="24"/>
      <w:lang w:val="en-US" w:eastAsia="zh-CN"/>
    </w:rPr>
  </w:style>
  <w:style w:type="character" w:customStyle="1" w:styleId="160">
    <w:name w:val="标题 4 Char"/>
    <w:qFormat/>
    <w:uiPriority w:val="0"/>
    <w:rPr>
      <w:rFonts w:ascii="Arial" w:hAnsi="Arial" w:eastAsia="黑体" w:cs="Times New Roman"/>
      <w:b/>
      <w:kern w:val="2"/>
      <w:sz w:val="28"/>
    </w:rPr>
  </w:style>
  <w:style w:type="character" w:customStyle="1" w:styleId="161">
    <w:name w:val="链接"/>
    <w:qFormat/>
    <w:uiPriority w:val="0"/>
    <w:rPr>
      <w:rFonts w:ascii="Times New Roman" w:hAnsi="Times New Roman" w:eastAsia="宋体" w:cs="Times New Roman"/>
      <w:color w:val="0000FF"/>
      <w:sz w:val="21"/>
      <w:szCs w:val="21"/>
      <w:u w:val="single"/>
    </w:rPr>
  </w:style>
  <w:style w:type="character" w:customStyle="1" w:styleId="162">
    <w:name w:val="h4 Char"/>
    <w:qFormat/>
    <w:uiPriority w:val="0"/>
    <w:rPr>
      <w:rFonts w:ascii="Arial" w:hAnsi="Arial" w:eastAsia="黑体" w:cs="Times New Roman"/>
      <w:b/>
      <w:bCs/>
      <w:kern w:val="2"/>
      <w:sz w:val="28"/>
      <w:szCs w:val="28"/>
      <w:lang w:val="zh-CN" w:eastAsia="zh-CN" w:bidi="ar-SA"/>
    </w:rPr>
  </w:style>
  <w:style w:type="character" w:customStyle="1" w:styleId="163">
    <w:name w:val="5正文 Char"/>
    <w:link w:val="164"/>
    <w:qFormat/>
    <w:uiPriority w:val="0"/>
    <w:rPr>
      <w:rFonts w:ascii="仿宋_GB2312" w:hAnsi="微软雅黑" w:eastAsia="仿宋_GB2312" w:cs="Times New Roman"/>
      <w:sz w:val="28"/>
      <w:szCs w:val="21"/>
    </w:rPr>
  </w:style>
  <w:style w:type="paragraph" w:customStyle="1" w:styleId="164">
    <w:name w:val="5正文"/>
    <w:basedOn w:val="1"/>
    <w:link w:val="163"/>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165">
    <w:name w:val="标题 3 字符"/>
    <w:qFormat/>
    <w:uiPriority w:val="0"/>
    <w:rPr>
      <w:rFonts w:ascii="Times New Roman" w:hAnsi="Times New Roman" w:eastAsia="宋体" w:cs="Times New Roman"/>
      <w:b/>
      <w:bCs/>
      <w:kern w:val="2"/>
      <w:sz w:val="32"/>
      <w:szCs w:val="32"/>
    </w:rPr>
  </w:style>
  <w:style w:type="character" w:customStyle="1" w:styleId="166">
    <w:name w:val="样式6 Char"/>
    <w:qFormat/>
    <w:uiPriority w:val="0"/>
    <w:rPr>
      <w:rFonts w:ascii="仿宋_GB2312" w:hAnsi="宋体" w:eastAsia="仿宋_GB2312" w:cs="Times New Roman"/>
      <w:b/>
      <w:bCs/>
      <w:kern w:val="2"/>
      <w:sz w:val="24"/>
      <w:szCs w:val="24"/>
      <w:lang w:val="en-US" w:eastAsia="zh-CN" w:bidi="ar-SA"/>
    </w:rPr>
  </w:style>
  <w:style w:type="character" w:customStyle="1" w:styleId="167">
    <w:name w:val="Char Char14"/>
    <w:qFormat/>
    <w:uiPriority w:val="0"/>
    <w:rPr>
      <w:rFonts w:ascii="黑体" w:hAnsi="黑体" w:eastAsia="黑体" w:cs="Times New Roman"/>
    </w:rPr>
  </w:style>
  <w:style w:type="character" w:customStyle="1" w:styleId="168">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169">
    <w:name w:val="font11"/>
    <w:qFormat/>
    <w:uiPriority w:val="0"/>
    <w:rPr>
      <w:rFonts w:hint="default" w:ascii="Times New Roman" w:hAnsi="Times New Roman" w:eastAsia="宋体" w:cs="Times New Roman"/>
      <w:color w:val="000000"/>
      <w:sz w:val="22"/>
      <w:szCs w:val="22"/>
      <w:u w:val="none"/>
    </w:rPr>
  </w:style>
  <w:style w:type="character" w:customStyle="1" w:styleId="170">
    <w:name w:val="表正文 Char1"/>
    <w:qFormat/>
    <w:uiPriority w:val="0"/>
    <w:rPr>
      <w:rFonts w:ascii="宋体" w:hAnsi="Times New Roman" w:eastAsia="宋体" w:cs="Times New Roman"/>
      <w:snapToGrid w:val="0"/>
      <w:color w:val="000000"/>
      <w:kern w:val="28"/>
      <w:sz w:val="28"/>
    </w:rPr>
  </w:style>
  <w:style w:type="character" w:customStyle="1" w:styleId="171">
    <w:name w:val="blue1"/>
    <w:qFormat/>
    <w:uiPriority w:val="0"/>
    <w:rPr>
      <w:rFonts w:ascii="Arial" w:hAnsi="Arial" w:eastAsia="黑体" w:cs="Arial"/>
      <w:snapToGrid w:val="0"/>
      <w:kern w:val="0"/>
      <w:szCs w:val="21"/>
    </w:rPr>
  </w:style>
  <w:style w:type="character" w:customStyle="1" w:styleId="172">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73">
    <w:name w:val="样式5 Char"/>
    <w:qFormat/>
    <w:uiPriority w:val="0"/>
    <w:rPr>
      <w:rFonts w:ascii="仿宋_GB2312" w:hAnsi="仿宋" w:eastAsia="仿宋_GB2312" w:cs="Times New Roman"/>
      <w:kern w:val="2"/>
      <w:sz w:val="24"/>
      <w:szCs w:val="24"/>
    </w:rPr>
  </w:style>
  <w:style w:type="character" w:customStyle="1" w:styleId="174">
    <w:name w:val="样式4 Char"/>
    <w:qFormat/>
    <w:uiPriority w:val="0"/>
    <w:rPr>
      <w:rFonts w:ascii="仿宋_GB2312" w:hAnsi="仿宋" w:eastAsia="仿宋_GB2312" w:cs="Times New Roman"/>
      <w:b/>
      <w:kern w:val="2"/>
      <w:sz w:val="32"/>
      <w:szCs w:val="32"/>
      <w:lang w:bidi="ar-SA"/>
    </w:rPr>
  </w:style>
  <w:style w:type="character" w:customStyle="1" w:styleId="175">
    <w:name w:val="插图说明 Char"/>
    <w:qFormat/>
    <w:uiPriority w:val="0"/>
    <w:rPr>
      <w:rFonts w:ascii="Times New Roman" w:hAnsi="Times New Roman" w:eastAsia="黑体" w:cs="Times New Roman"/>
      <w:sz w:val="24"/>
      <w:lang w:val="en-US" w:eastAsia="zh-CN"/>
    </w:rPr>
  </w:style>
  <w:style w:type="character" w:customStyle="1" w:styleId="176">
    <w:name w:val="Char Char24"/>
    <w:qFormat/>
    <w:uiPriority w:val="0"/>
    <w:rPr>
      <w:rFonts w:ascii="Times New Roman" w:hAnsi="Times New Roman" w:eastAsia="宋体" w:cs="Times New Roman"/>
      <w:kern w:val="1"/>
      <w:sz w:val="21"/>
    </w:rPr>
  </w:style>
  <w:style w:type="character" w:customStyle="1" w:styleId="177">
    <w:name w:val="普通文字 Char1 Char"/>
    <w:qFormat/>
    <w:uiPriority w:val="0"/>
    <w:rPr>
      <w:rFonts w:ascii="宋体" w:hAnsi="Courier New" w:eastAsia="宋体" w:cs="Times New Roman"/>
      <w:kern w:val="2"/>
      <w:sz w:val="21"/>
      <w:szCs w:val="24"/>
      <w:lang w:val="en-US" w:eastAsia="zh-CN" w:bidi="ar-SA"/>
    </w:rPr>
  </w:style>
  <w:style w:type="character" w:customStyle="1" w:styleId="178">
    <w:name w:val="h3 Char1"/>
    <w:qFormat/>
    <w:uiPriority w:val="0"/>
    <w:rPr>
      <w:rFonts w:ascii="Times New Roman" w:hAnsi="Times New Roman" w:eastAsia="宋体" w:cs="Times New Roman"/>
      <w:b/>
      <w:bCs/>
      <w:kern w:val="2"/>
      <w:sz w:val="32"/>
      <w:szCs w:val="32"/>
      <w:lang w:bidi="ar-SA"/>
    </w:rPr>
  </w:style>
  <w:style w:type="character" w:customStyle="1" w:styleId="179">
    <w:name w:val="标题 Char1"/>
    <w:qFormat/>
    <w:uiPriority w:val="0"/>
    <w:rPr>
      <w:rFonts w:ascii="Cambria" w:hAnsi="Cambria" w:eastAsia="宋体" w:cs="Times New Roman"/>
      <w:b/>
      <w:bCs/>
      <w:sz w:val="32"/>
      <w:szCs w:val="32"/>
      <w:lang w:bidi="ar-SA"/>
    </w:rPr>
  </w:style>
  <w:style w:type="character" w:customStyle="1" w:styleId="180">
    <w:name w:val="gf正文1 Char"/>
    <w:qFormat/>
    <w:uiPriority w:val="0"/>
    <w:rPr>
      <w:rFonts w:ascii="宋体" w:hAnsi="宋体" w:eastAsia="宋体" w:cs="宋体"/>
      <w:kern w:val="2"/>
      <w:sz w:val="24"/>
      <w:szCs w:val="24"/>
      <w:lang w:val="en-US" w:eastAsia="zh-CN" w:bidi="ar-SA"/>
    </w:rPr>
  </w:style>
  <w:style w:type="character" w:customStyle="1" w:styleId="181">
    <w:name w:val="正文文本缩进 Char1"/>
    <w:qFormat/>
    <w:uiPriority w:val="0"/>
    <w:rPr>
      <w:rFonts w:ascii="Calibri" w:hAnsi="Calibri" w:eastAsia="宋体" w:cs="Times New Roman"/>
      <w:sz w:val="28"/>
    </w:rPr>
  </w:style>
  <w:style w:type="character" w:customStyle="1" w:styleId="182">
    <w:name w:val="No Spacing Char"/>
    <w:link w:val="183"/>
    <w:qFormat/>
    <w:uiPriority w:val="0"/>
    <w:rPr>
      <w:rFonts w:ascii="Times New Roman" w:hAnsi="Times New Roman" w:eastAsia="宋体" w:cs="Times New Roman"/>
      <w:sz w:val="22"/>
      <w:szCs w:val="22"/>
      <w:lang w:val="en-US" w:eastAsia="zh-CN" w:bidi="ar-SA"/>
    </w:rPr>
  </w:style>
  <w:style w:type="paragraph" w:customStyle="1" w:styleId="183">
    <w:name w:val="无间隔1"/>
    <w:link w:val="182"/>
    <w:qFormat/>
    <w:uiPriority w:val="0"/>
    <w:rPr>
      <w:rFonts w:ascii="Times New Roman" w:hAnsi="Times New Roman" w:eastAsia="宋体" w:cs="Times New Roman"/>
      <w:sz w:val="22"/>
      <w:szCs w:val="22"/>
      <w:lang w:val="en-US" w:eastAsia="zh-CN" w:bidi="ar-SA"/>
    </w:rPr>
  </w:style>
  <w:style w:type="character" w:customStyle="1" w:styleId="184">
    <w:name w:val="样式7 Char"/>
    <w:qFormat/>
    <w:uiPriority w:val="0"/>
    <w:rPr>
      <w:rFonts w:ascii="仿宋_GB2312" w:hAnsi="仿宋" w:eastAsia="仿宋_GB2312" w:cs="Times New Roman"/>
      <w:b/>
      <w:kern w:val="2"/>
      <w:sz w:val="24"/>
      <w:szCs w:val="24"/>
    </w:rPr>
  </w:style>
  <w:style w:type="character" w:customStyle="1" w:styleId="185">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186">
    <w:name w:val="Char Char7"/>
    <w:qFormat/>
    <w:uiPriority w:val="0"/>
    <w:rPr>
      <w:rFonts w:ascii="Times New Roman" w:hAnsi="Times New Roman" w:eastAsia="宋体" w:cs="Times New Roman"/>
      <w:kern w:val="2"/>
      <w:sz w:val="21"/>
      <w:szCs w:val="24"/>
      <w:lang w:val="en-US" w:eastAsia="zh-CN" w:bidi="ar-SA"/>
    </w:rPr>
  </w:style>
  <w:style w:type="character" w:customStyle="1" w:styleId="187">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188">
    <w:name w:val="Document Map Char"/>
    <w:qFormat/>
    <w:uiPriority w:val="0"/>
    <w:rPr>
      <w:rFonts w:ascii="Times New Roman" w:hAnsi="Times New Roman" w:eastAsia="宋体" w:cs="Times New Roman"/>
      <w:kern w:val="2"/>
      <w:sz w:val="21"/>
      <w:szCs w:val="24"/>
      <w:lang w:val="en-US" w:eastAsia="zh-CN" w:bidi="ar-SA"/>
    </w:rPr>
  </w:style>
  <w:style w:type="character" w:customStyle="1" w:styleId="189">
    <w:name w:val="font41"/>
    <w:qFormat/>
    <w:uiPriority w:val="0"/>
    <w:rPr>
      <w:rFonts w:hint="eastAsia" w:ascii="仿宋_GB2312" w:hAnsi="Times New Roman" w:eastAsia="仿宋_GB2312" w:cs="仿宋_GB2312"/>
      <w:color w:val="000000"/>
      <w:sz w:val="22"/>
      <w:szCs w:val="22"/>
      <w:u w:val="none"/>
    </w:rPr>
  </w:style>
  <w:style w:type="character" w:customStyle="1" w:styleId="190">
    <w:name w:val="Balloon Text Char"/>
    <w:qFormat/>
    <w:uiPriority w:val="0"/>
    <w:rPr>
      <w:rFonts w:ascii="Times New Roman" w:hAnsi="Times New Roman" w:eastAsia="宋体" w:cs="Times New Roman"/>
      <w:kern w:val="2"/>
      <w:sz w:val="18"/>
      <w:szCs w:val="18"/>
      <w:lang w:val="en-US" w:eastAsia="zh-CN" w:bidi="ar-SA"/>
    </w:rPr>
  </w:style>
  <w:style w:type="character" w:customStyle="1" w:styleId="191">
    <w:name w:val="正文 项目2 Char"/>
    <w:qFormat/>
    <w:uiPriority w:val="0"/>
    <w:rPr>
      <w:rFonts w:ascii="仿宋_GB2312" w:hAnsi="仿宋_GB2312" w:eastAsia="仿宋_GB2312" w:cs="Times New Roman"/>
      <w:kern w:val="2"/>
      <w:sz w:val="24"/>
      <w:lang w:bidi="ar-SA"/>
    </w:rPr>
  </w:style>
  <w:style w:type="character" w:customStyle="1" w:styleId="192">
    <w:name w:val="正文 项目 Char"/>
    <w:qFormat/>
    <w:uiPriority w:val="0"/>
    <w:rPr>
      <w:rFonts w:ascii="仿宋_GB2312" w:hAnsi="仿宋_GB2312" w:eastAsia="仿宋_GB2312" w:cs="Times New Roman"/>
      <w:kern w:val="2"/>
      <w:sz w:val="24"/>
      <w:lang w:bidi="ar-SA"/>
    </w:rPr>
  </w:style>
  <w:style w:type="character" w:customStyle="1" w:styleId="193">
    <w:name w:val="h Char Char1"/>
    <w:qFormat/>
    <w:uiPriority w:val="0"/>
    <w:rPr>
      <w:rFonts w:ascii="Times New Roman" w:hAnsi="Times New Roman" w:eastAsia="宋体" w:cs="Times New Roman"/>
      <w:kern w:val="2"/>
      <w:sz w:val="18"/>
      <w:szCs w:val="18"/>
      <w:lang w:val="en-US" w:eastAsia="zh-CN" w:bidi="ar-SA"/>
    </w:rPr>
  </w:style>
  <w:style w:type="character" w:customStyle="1" w:styleId="194">
    <w:name w:val="Char Char27"/>
    <w:qFormat/>
    <w:uiPriority w:val="0"/>
    <w:rPr>
      <w:rFonts w:ascii="宋体" w:hAnsi="宋体" w:eastAsia="宋体" w:cs="Times New Roman"/>
      <w:color w:val="000000"/>
      <w:kern w:val="1"/>
      <w:sz w:val="28"/>
      <w:lang w:val="en-US" w:eastAsia="zh-CN" w:bidi="ar-SA"/>
    </w:rPr>
  </w:style>
  <w:style w:type="character" w:customStyle="1" w:styleId="195">
    <w:name w:val="px14"/>
    <w:qFormat/>
    <w:uiPriority w:val="0"/>
    <w:rPr>
      <w:rFonts w:ascii="仿宋_GB2312" w:hAnsi="Times New Roman" w:eastAsia="微软雅黑" w:cs="Times New Roman"/>
      <w:b/>
      <w:kern w:val="2"/>
      <w:sz w:val="32"/>
      <w:szCs w:val="32"/>
      <w:lang w:val="en-US" w:eastAsia="zh-CN" w:bidi="ar-SA"/>
    </w:rPr>
  </w:style>
  <w:style w:type="character" w:customStyle="1" w:styleId="196">
    <w:name w:val="HTML 预设格式 Char1"/>
    <w:qFormat/>
    <w:uiPriority w:val="0"/>
    <w:rPr>
      <w:rFonts w:ascii="Courier New" w:hAnsi="Courier New" w:eastAsia="宋体" w:cs="Courier New"/>
      <w:sz w:val="20"/>
      <w:szCs w:val="20"/>
    </w:rPr>
  </w:style>
  <w:style w:type="character" w:customStyle="1" w:styleId="197">
    <w:name w:val="普通文字 Char1"/>
    <w:qFormat/>
    <w:uiPriority w:val="0"/>
    <w:rPr>
      <w:rFonts w:ascii="宋体" w:hAnsi="Courier New" w:eastAsia="宋体" w:cs="Times New Roman"/>
      <w:kern w:val="2"/>
      <w:sz w:val="21"/>
      <w:lang w:val="en-US" w:eastAsia="zh-CN"/>
    </w:rPr>
  </w:style>
  <w:style w:type="character" w:customStyle="1" w:styleId="198">
    <w:name w:val="hei16b1"/>
    <w:qFormat/>
    <w:uiPriority w:val="0"/>
    <w:rPr>
      <w:rFonts w:hint="default" w:ascii="Arial" w:hAnsi="Arial" w:eastAsia="宋体" w:cs="Arial"/>
      <w:b/>
      <w:bCs/>
      <w:color w:val="000000"/>
      <w:sz w:val="24"/>
      <w:szCs w:val="24"/>
    </w:rPr>
  </w:style>
  <w:style w:type="character" w:customStyle="1" w:styleId="199">
    <w:name w:val="正文（绿盟科技） Char"/>
    <w:link w:val="200"/>
    <w:qFormat/>
    <w:uiPriority w:val="0"/>
    <w:rPr>
      <w:rFonts w:ascii="Arial" w:hAnsi="Arial" w:eastAsia="宋体" w:cs="Times New Roman"/>
      <w:sz w:val="21"/>
      <w:szCs w:val="21"/>
    </w:rPr>
  </w:style>
  <w:style w:type="paragraph" w:customStyle="1" w:styleId="200">
    <w:name w:val="正文（绿盟科技）"/>
    <w:link w:val="199"/>
    <w:qFormat/>
    <w:uiPriority w:val="0"/>
    <w:pPr>
      <w:spacing w:line="300" w:lineRule="auto"/>
    </w:pPr>
    <w:rPr>
      <w:rFonts w:ascii="Arial" w:hAnsi="Arial" w:eastAsia="宋体" w:cs="Times New Roman"/>
      <w:sz w:val="21"/>
      <w:szCs w:val="21"/>
      <w:lang w:val="en-US" w:eastAsia="zh-CN" w:bidi="ar-SA"/>
    </w:rPr>
  </w:style>
  <w:style w:type="character" w:customStyle="1" w:styleId="201">
    <w:name w:val="Char Char19"/>
    <w:qFormat/>
    <w:uiPriority w:val="0"/>
    <w:rPr>
      <w:rFonts w:ascii="宋体" w:hAnsi="宋体" w:eastAsia="宋体" w:cs="Times New Roman"/>
      <w:i/>
      <w:sz w:val="24"/>
      <w:szCs w:val="24"/>
    </w:rPr>
  </w:style>
  <w:style w:type="character" w:customStyle="1" w:styleId="202">
    <w:name w:val="页脚 Char"/>
    <w:qFormat/>
    <w:uiPriority w:val="0"/>
    <w:rPr>
      <w:rFonts w:ascii="Times New Roman" w:hAnsi="Times New Roman" w:eastAsia="仿宋_GB2312" w:cs="Times New Roman"/>
      <w:kern w:val="2"/>
      <w:sz w:val="18"/>
      <w:lang w:val="en-US" w:eastAsia="zh-CN"/>
    </w:rPr>
  </w:style>
  <w:style w:type="character" w:customStyle="1" w:styleId="203">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204">
    <w:name w:val="Comment Text Char"/>
    <w:qFormat/>
    <w:uiPriority w:val="0"/>
    <w:rPr>
      <w:rFonts w:ascii="宋体" w:hAnsi="宋体" w:eastAsia="宋体" w:cs="Times New Roman"/>
      <w:kern w:val="2"/>
      <w:sz w:val="24"/>
      <w:lang w:val="en-US" w:eastAsia="zh-CN" w:bidi="ar-SA"/>
    </w:rPr>
  </w:style>
  <w:style w:type="character" w:customStyle="1" w:styleId="205">
    <w:name w:val="标题 2 字符"/>
    <w:qFormat/>
    <w:uiPriority w:val="0"/>
    <w:rPr>
      <w:rFonts w:ascii="仿宋_GB2312" w:hAnsi="Times New Roman" w:eastAsia="仿宋_GB2312" w:cs="Times New Roman"/>
      <w:b/>
      <w:kern w:val="2"/>
      <w:sz w:val="24"/>
      <w:lang w:val="zh-CN"/>
    </w:rPr>
  </w:style>
  <w:style w:type="character" w:customStyle="1" w:styleId="206">
    <w:name w:val="Char Char72"/>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2"/>
    <w:qFormat/>
    <w:uiPriority w:val="0"/>
    <w:rPr>
      <w:rFonts w:ascii="Times New Roman" w:hAnsi="Times New Roman" w:eastAsia="宋体" w:cs="Times New Roman"/>
      <w:snapToGrid w:val="0"/>
      <w:kern w:val="0"/>
      <w:szCs w:val="24"/>
    </w:rPr>
  </w:style>
  <w:style w:type="character" w:customStyle="1" w:styleId="208">
    <w:name w:val="样式2 Char"/>
    <w:qFormat/>
    <w:uiPriority w:val="0"/>
    <w:rPr>
      <w:rFonts w:ascii="仿宋_GB2312" w:hAnsi="仿宋" w:eastAsia="仿宋_GB2312" w:cs="仿宋_GB2312"/>
      <w:b/>
      <w:bCs/>
      <w:sz w:val="32"/>
      <w:szCs w:val="30"/>
      <w:lang w:val="zh-CN"/>
    </w:rPr>
  </w:style>
  <w:style w:type="character" w:customStyle="1" w:styleId="209">
    <w:name w:val="表格名称[858D7CFB-ED40-4347-BF05-701D383B685F]"/>
    <w:link w:val="210"/>
    <w:qFormat/>
    <w:uiPriority w:val="0"/>
    <w:rPr>
      <w:rFonts w:ascii="Times New Roman" w:hAnsi="Times New Roman" w:eastAsia="宋体" w:cs="Times New Roman"/>
      <w:sz w:val="32"/>
    </w:rPr>
  </w:style>
  <w:style w:type="paragraph" w:customStyle="1" w:styleId="210">
    <w:name w:val="表格名称"/>
    <w:basedOn w:val="3"/>
    <w:link w:val="209"/>
    <w:qFormat/>
    <w:uiPriority w:val="0"/>
    <w:pPr>
      <w:snapToGrid w:val="0"/>
      <w:spacing w:before="240" w:after="240" w:line="240" w:lineRule="auto"/>
      <w:ind w:left="0" w:firstLine="0"/>
      <w:jc w:val="center"/>
    </w:pPr>
    <w:rPr>
      <w:rFonts w:ascii="Calibri" w:hAnsi="Calibri" w:eastAsia="宋体" w:cs="Times New Roman"/>
      <w:kern w:val="0"/>
      <w:szCs w:val="20"/>
    </w:rPr>
  </w:style>
  <w:style w:type="character" w:customStyle="1" w:styleId="211">
    <w:name w:val="Char Char4"/>
    <w:qFormat/>
    <w:uiPriority w:val="0"/>
    <w:rPr>
      <w:rFonts w:ascii="Times New Roman" w:hAnsi="Times New Roman" w:eastAsia="宋体" w:cs="Times New Roman"/>
      <w:b/>
      <w:sz w:val="24"/>
      <w:lang w:val="en-GB" w:eastAsia="zh-CN" w:bidi="ar-SA"/>
    </w:rPr>
  </w:style>
  <w:style w:type="character" w:customStyle="1" w:styleId="212">
    <w:name w:val="c7 style3"/>
    <w:qFormat/>
    <w:uiPriority w:val="0"/>
    <w:rPr>
      <w:rFonts w:ascii="Times New Roman" w:hAnsi="Times New Roman" w:eastAsia="宋体" w:cs="Times New Roman"/>
    </w:rPr>
  </w:style>
  <w:style w:type="character" w:customStyle="1" w:styleId="213">
    <w:name w:val="正文文本 3 Char1"/>
    <w:qFormat/>
    <w:uiPriority w:val="0"/>
    <w:rPr>
      <w:rFonts w:ascii="Times New Roman" w:hAnsi="Times New Roman" w:eastAsia="宋体" w:cs="Times New Roman"/>
      <w:sz w:val="16"/>
      <w:szCs w:val="16"/>
    </w:rPr>
  </w:style>
  <w:style w:type="character" w:customStyle="1" w:styleId="214">
    <w:name w:val="tw4winInternal"/>
    <w:qFormat/>
    <w:uiPriority w:val="0"/>
    <w:rPr>
      <w:rFonts w:ascii="Courier New" w:hAnsi="Courier New" w:eastAsia="宋体" w:cs="Courier New"/>
      <w:color w:val="FF0000"/>
      <w:lang w:val="en-US" w:eastAsia="zh-CN"/>
    </w:rPr>
  </w:style>
  <w:style w:type="character" w:customStyle="1" w:styleId="215">
    <w:name w:val="Char Char10"/>
    <w:qFormat/>
    <w:uiPriority w:val="0"/>
    <w:rPr>
      <w:rFonts w:ascii="宋体" w:hAnsi="宋体" w:eastAsia="宋体" w:cs="Times New Roman"/>
      <w:kern w:val="2"/>
      <w:sz w:val="21"/>
      <w:szCs w:val="24"/>
      <w:lang w:val="en-US" w:eastAsia="zh-CN"/>
    </w:rPr>
  </w:style>
  <w:style w:type="character" w:customStyle="1" w:styleId="216">
    <w:name w:val="shadow11"/>
    <w:qFormat/>
    <w:uiPriority w:val="0"/>
    <w:rPr>
      <w:rFonts w:ascii="Times New Roman" w:hAnsi="Times New Roman" w:eastAsia="宋体" w:cs="Times New Roman"/>
      <w:color w:val="000000"/>
      <w:sz w:val="21"/>
    </w:rPr>
  </w:style>
  <w:style w:type="character" w:customStyle="1" w:styleId="217">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218">
    <w:name w:val="Char Char"/>
    <w:qFormat/>
    <w:uiPriority w:val="0"/>
    <w:rPr>
      <w:rFonts w:ascii="宋体" w:hAnsi="Courier New" w:eastAsia="宋体" w:cs="Times New Roman"/>
      <w:kern w:val="2"/>
      <w:sz w:val="21"/>
      <w:lang w:val="en-US" w:eastAsia="zh-CN" w:bidi="ar-SA"/>
    </w:rPr>
  </w:style>
  <w:style w:type="character" w:customStyle="1" w:styleId="219">
    <w:name w:val="签名 Char1"/>
    <w:qFormat/>
    <w:uiPriority w:val="0"/>
    <w:rPr>
      <w:rFonts w:ascii="Times New Roman" w:hAnsi="Times New Roman" w:eastAsia="宋体" w:cs="Times New Roman"/>
      <w:szCs w:val="24"/>
    </w:rPr>
  </w:style>
  <w:style w:type="character" w:customStyle="1" w:styleId="220">
    <w:name w:val="Char Char18"/>
    <w:qFormat/>
    <w:uiPriority w:val="0"/>
    <w:rPr>
      <w:rFonts w:ascii="宋体" w:hAnsi="宋体" w:eastAsia="宋体" w:cs="Times New Roman"/>
      <w:sz w:val="28"/>
    </w:rPr>
  </w:style>
  <w:style w:type="character" w:customStyle="1" w:styleId="221">
    <w:name w:val="批注文字 Char"/>
    <w:qFormat/>
    <w:uiPriority w:val="0"/>
    <w:rPr>
      <w:rFonts w:ascii="Times New Roman" w:hAnsi="Times New Roman" w:eastAsia="宋体" w:cs="Times New Roman"/>
      <w:kern w:val="2"/>
      <w:sz w:val="21"/>
      <w:szCs w:val="24"/>
    </w:rPr>
  </w:style>
  <w:style w:type="character" w:customStyle="1" w:styleId="222">
    <w:name w:val="Char Char22"/>
    <w:qFormat/>
    <w:uiPriority w:val="0"/>
    <w:rPr>
      <w:rFonts w:ascii="宋体" w:hAnsi="宋体" w:eastAsia="宋体" w:cs="Times New Roman"/>
      <w:kern w:val="1"/>
      <w:sz w:val="24"/>
      <w:szCs w:val="24"/>
    </w:rPr>
  </w:style>
  <w:style w:type="character" w:customStyle="1" w:styleId="223">
    <w:name w:val="pt141"/>
    <w:qFormat/>
    <w:uiPriority w:val="0"/>
    <w:rPr>
      <w:rFonts w:ascii="Times New Roman" w:hAnsi="Times New Roman" w:eastAsia="宋体" w:cs="Times New Roman"/>
      <w:color w:val="330066"/>
      <w:sz w:val="22"/>
      <w:szCs w:val="22"/>
    </w:rPr>
  </w:style>
  <w:style w:type="character" w:customStyle="1" w:styleId="224">
    <w:name w:val="正文文本缩进 2 Char1"/>
    <w:qFormat/>
    <w:uiPriority w:val="0"/>
    <w:rPr>
      <w:rFonts w:ascii="Times New Roman" w:hAnsi="Times New Roman" w:eastAsia="宋体" w:cs="Times New Roman"/>
      <w:szCs w:val="24"/>
    </w:rPr>
  </w:style>
  <w:style w:type="character" w:customStyle="1" w:styleId="225">
    <w:name w:val="Char Char611"/>
    <w:qFormat/>
    <w:uiPriority w:val="0"/>
    <w:rPr>
      <w:rFonts w:ascii="Times New Roman" w:hAnsi="Times New Roman" w:eastAsia="宋体" w:cs="Times New Roman"/>
      <w:kern w:val="2"/>
      <w:sz w:val="21"/>
      <w:szCs w:val="24"/>
      <w:lang w:val="en-US" w:eastAsia="zh-CN" w:bidi="ar-SA"/>
    </w:rPr>
  </w:style>
  <w:style w:type="character" w:customStyle="1" w:styleId="226">
    <w:name w:val="highlight1"/>
    <w:qFormat/>
    <w:uiPriority w:val="0"/>
    <w:rPr>
      <w:rFonts w:ascii="仿宋_GB2312" w:hAnsi="Times New Roman" w:eastAsia="微软雅黑" w:cs="Times New Roman"/>
      <w:b/>
      <w:kern w:val="2"/>
      <w:sz w:val="23"/>
      <w:szCs w:val="23"/>
      <w:lang w:val="en-US" w:eastAsia="zh-CN" w:bidi="ar-SA"/>
    </w:rPr>
  </w:style>
  <w:style w:type="character" w:customStyle="1" w:styleId="227">
    <w:name w:val="my正文 Char"/>
    <w:link w:val="228"/>
    <w:qFormat/>
    <w:uiPriority w:val="0"/>
    <w:rPr>
      <w:rFonts w:ascii="Tahoma" w:hAnsi="Tahoma" w:eastAsia="宋体" w:cs="Times New Roman"/>
      <w:sz w:val="24"/>
      <w:szCs w:val="24"/>
    </w:rPr>
  </w:style>
  <w:style w:type="paragraph" w:customStyle="1" w:styleId="228">
    <w:name w:val="my正文"/>
    <w:basedOn w:val="1"/>
    <w:link w:val="227"/>
    <w:qFormat/>
    <w:uiPriority w:val="0"/>
    <w:pPr>
      <w:adjustRightInd/>
      <w:spacing w:line="360" w:lineRule="auto"/>
      <w:ind w:firstLine="480" w:firstLineChars="200"/>
    </w:pPr>
    <w:rPr>
      <w:rFonts w:ascii="Tahoma" w:hAnsi="Tahoma" w:eastAsia="宋体" w:cs="Times New Roman"/>
      <w:kern w:val="0"/>
      <w:sz w:val="24"/>
    </w:rPr>
  </w:style>
  <w:style w:type="character" w:customStyle="1" w:styleId="229">
    <w:name w:val="Used by Word for text of Help footnotes Char Char1"/>
    <w:qFormat/>
    <w:uiPriority w:val="0"/>
    <w:rPr>
      <w:rFonts w:ascii="Times New Roman" w:hAnsi="Times New Roman" w:eastAsia="宋体" w:cs="Times New Roman"/>
      <w:color w:val="0000FF"/>
      <w:sz w:val="21"/>
    </w:rPr>
  </w:style>
  <w:style w:type="character" w:customStyle="1" w:styleId="230">
    <w:name w:val="页眉 Char"/>
    <w:qFormat/>
    <w:uiPriority w:val="0"/>
    <w:rPr>
      <w:rFonts w:ascii="Times New Roman" w:hAnsi="Times New Roman" w:eastAsia="仿宋_GB2312" w:cs="Times New Roman"/>
      <w:kern w:val="2"/>
      <w:sz w:val="18"/>
      <w:lang w:val="en-US" w:eastAsia="zh-CN"/>
    </w:rPr>
  </w:style>
  <w:style w:type="character" w:customStyle="1" w:styleId="231">
    <w:name w:val="FA正文 Char Char"/>
    <w:qFormat/>
    <w:uiPriority w:val="0"/>
    <w:rPr>
      <w:rFonts w:ascii="Times New Roman" w:hAnsi="宋体" w:eastAsia="宋体" w:cs="Times New Roman"/>
      <w:kern w:val="2"/>
      <w:sz w:val="24"/>
      <w:lang w:bidi="ar-SA"/>
    </w:rPr>
  </w:style>
  <w:style w:type="character" w:customStyle="1" w:styleId="232">
    <w:name w:val="纯文本 字符"/>
    <w:qFormat/>
    <w:uiPriority w:val="0"/>
    <w:rPr>
      <w:rFonts w:ascii="宋体" w:hAnsi="Courier New" w:eastAsia="宋体" w:cs="Arial"/>
      <w:snapToGrid w:val="0"/>
      <w:kern w:val="2"/>
      <w:sz w:val="21"/>
      <w:szCs w:val="21"/>
      <w:lang w:val="en-US" w:eastAsia="zh-CN" w:bidi="ar-SA"/>
    </w:rPr>
  </w:style>
  <w:style w:type="paragraph" w:customStyle="1" w:styleId="233">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234">
    <w:name w:val="3级 Char"/>
    <w:link w:val="235"/>
    <w:qFormat/>
    <w:uiPriority w:val="0"/>
    <w:rPr>
      <w:rFonts w:ascii="宋体" w:hAnsi="宋体" w:eastAsia="宋体" w:cs="Times New Roman"/>
      <w:b/>
      <w:bCs/>
      <w:snapToGrid/>
      <w:sz w:val="28"/>
    </w:rPr>
  </w:style>
  <w:style w:type="paragraph" w:customStyle="1" w:styleId="235">
    <w:name w:val="3级"/>
    <w:basedOn w:val="233"/>
    <w:link w:val="234"/>
    <w:qFormat/>
    <w:uiPriority w:val="0"/>
    <w:pPr>
      <w:ind w:left="0" w:right="466" w:firstLine="288"/>
    </w:pPr>
    <w:rPr>
      <w:rFonts w:ascii="Times New Roman" w:hAnsi="宋体" w:eastAsia="宋体" w:cs="Times New Roman"/>
      <w:snapToGrid/>
    </w:rPr>
  </w:style>
  <w:style w:type="character" w:customStyle="1" w:styleId="236">
    <w:name w:val="myp11"/>
    <w:qFormat/>
    <w:uiPriority w:val="0"/>
    <w:rPr>
      <w:rFonts w:ascii="仿宋_GB2312" w:hAnsi="Times New Roman" w:eastAsia="微软雅黑" w:cs="Times New Roman"/>
      <w:b/>
      <w:kern w:val="2"/>
      <w:sz w:val="32"/>
      <w:szCs w:val="32"/>
      <w:lang w:val="en-US" w:eastAsia="zh-CN" w:bidi="ar-SA"/>
    </w:rPr>
  </w:style>
  <w:style w:type="character" w:customStyle="1" w:styleId="237">
    <w:name w:val="H6 Char"/>
    <w:qFormat/>
    <w:uiPriority w:val="0"/>
    <w:rPr>
      <w:rFonts w:ascii="Arial" w:hAnsi="Arial" w:eastAsia="黑体" w:cs="Times New Roman"/>
      <w:b/>
      <w:bCs/>
      <w:kern w:val="2"/>
      <w:sz w:val="24"/>
      <w:szCs w:val="24"/>
    </w:rPr>
  </w:style>
  <w:style w:type="character" w:customStyle="1" w:styleId="238">
    <w:name w:val="Char Char91"/>
    <w:qFormat/>
    <w:uiPriority w:val="0"/>
    <w:rPr>
      <w:rFonts w:ascii="Times New Roman" w:hAnsi="Times New Roman" w:eastAsia="宋体" w:cs="Times New Roman"/>
      <w:kern w:val="2"/>
      <w:sz w:val="18"/>
      <w:szCs w:val="18"/>
      <w:lang w:val="en-US" w:eastAsia="zh-CN" w:bidi="ar-SA"/>
    </w:rPr>
  </w:style>
  <w:style w:type="character" w:customStyle="1" w:styleId="239">
    <w:name w:val="副标题 Char1"/>
    <w:qFormat/>
    <w:uiPriority w:val="0"/>
    <w:rPr>
      <w:rFonts w:ascii="Cambria" w:hAnsi="Cambria" w:eastAsia="宋体" w:cs="Times New Roman"/>
      <w:b/>
      <w:bCs/>
      <w:snapToGrid w:val="0"/>
      <w:kern w:val="28"/>
      <w:sz w:val="32"/>
      <w:szCs w:val="32"/>
    </w:rPr>
  </w:style>
  <w:style w:type="character" w:customStyle="1" w:styleId="240">
    <w:name w:val="font61"/>
    <w:qFormat/>
    <w:uiPriority w:val="0"/>
    <w:rPr>
      <w:rFonts w:hint="eastAsia" w:ascii="仿宋" w:hAnsi="仿宋" w:eastAsia="仿宋" w:cs="仿宋"/>
      <w:color w:val="000000"/>
      <w:sz w:val="20"/>
      <w:szCs w:val="20"/>
      <w:u w:val="none"/>
    </w:rPr>
  </w:style>
  <w:style w:type="character" w:customStyle="1" w:styleId="2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42">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243">
    <w:name w:val="标题 2 Char"/>
    <w:qFormat/>
    <w:uiPriority w:val="0"/>
    <w:rPr>
      <w:rFonts w:ascii="Arial" w:hAnsi="Arial" w:eastAsia="黑体" w:cs="Times New Roman"/>
      <w:b/>
      <w:kern w:val="2"/>
      <w:sz w:val="32"/>
      <w:lang w:val="en-US" w:eastAsia="zh-CN"/>
    </w:rPr>
  </w:style>
  <w:style w:type="character" w:customStyle="1" w:styleId="244">
    <w:name w:val="maywed421"/>
    <w:qFormat/>
    <w:uiPriority w:val="0"/>
    <w:rPr>
      <w:rFonts w:ascii="Times New Roman" w:hAnsi="Times New Roman" w:eastAsia="宋体" w:cs="Times New Roman"/>
      <w:color w:val="366FB6"/>
      <w:u w:val="none"/>
    </w:rPr>
  </w:style>
  <w:style w:type="character" w:customStyle="1" w:styleId="245">
    <w:name w:val="正文文本缩进 Char"/>
    <w:qFormat/>
    <w:uiPriority w:val="0"/>
    <w:rPr>
      <w:rFonts w:ascii="宋体" w:hAnsi="宋体" w:eastAsia="宋体" w:cs="Times New Roman"/>
      <w:kern w:val="2"/>
      <w:sz w:val="24"/>
      <w:szCs w:val="24"/>
    </w:rPr>
  </w:style>
  <w:style w:type="character" w:customStyle="1" w:styleId="246">
    <w:name w:val="Char Char102"/>
    <w:qFormat/>
    <w:uiPriority w:val="0"/>
    <w:rPr>
      <w:rFonts w:ascii="宋体" w:hAnsi="宋体" w:eastAsia="宋体" w:cs="Times New Roman"/>
      <w:kern w:val="2"/>
      <w:sz w:val="21"/>
      <w:szCs w:val="24"/>
      <w:lang w:val="en-US" w:eastAsia="zh-CN"/>
    </w:rPr>
  </w:style>
  <w:style w:type="character" w:customStyle="1" w:styleId="247">
    <w:name w:val="页眉 Char1"/>
    <w:qFormat/>
    <w:uiPriority w:val="0"/>
    <w:rPr>
      <w:rFonts w:ascii="Times New Roman" w:hAnsi="Times New Roman" w:eastAsia="宋体" w:cs="Times New Roman"/>
      <w:kern w:val="2"/>
      <w:sz w:val="18"/>
      <w:szCs w:val="18"/>
      <w:lang w:val="en-US" w:eastAsia="zh-CN" w:bidi="ar-SA"/>
    </w:rPr>
  </w:style>
  <w:style w:type="character" w:customStyle="1" w:styleId="248">
    <w:name w:val="md"/>
    <w:qFormat/>
    <w:uiPriority w:val="0"/>
    <w:rPr>
      <w:rFonts w:ascii="Arial" w:hAnsi="Arial" w:eastAsia="黑体" w:cs="Arial"/>
      <w:snapToGrid w:val="0"/>
      <w:kern w:val="0"/>
      <w:szCs w:val="21"/>
    </w:rPr>
  </w:style>
  <w:style w:type="character" w:customStyle="1" w:styleId="249">
    <w:name w:val="big1"/>
    <w:qFormat/>
    <w:uiPriority w:val="0"/>
    <w:rPr>
      <w:rFonts w:hint="eastAsia" w:ascii="宋体" w:hAnsi="宋体" w:eastAsia="宋体" w:cs="Times New Roman"/>
      <w:color w:val="333333"/>
      <w:sz w:val="22"/>
      <w:szCs w:val="22"/>
    </w:rPr>
  </w:style>
  <w:style w:type="character" w:customStyle="1" w:styleId="250">
    <w:name w:val="Char Char311"/>
    <w:qFormat/>
    <w:uiPriority w:val="0"/>
    <w:rPr>
      <w:rFonts w:ascii="Times New Roman" w:hAnsi="Times New Roman" w:eastAsia="宋体" w:cs="Times New Roman"/>
      <w:kern w:val="2"/>
      <w:sz w:val="21"/>
      <w:szCs w:val="24"/>
      <w:lang w:val="en-US" w:eastAsia="zh-CN" w:bidi="ar-SA"/>
    </w:rPr>
  </w:style>
  <w:style w:type="character" w:customStyle="1" w:styleId="251">
    <w:name w:val="Char Char81"/>
    <w:qFormat/>
    <w:uiPriority w:val="0"/>
    <w:rPr>
      <w:rFonts w:ascii="Times New Roman" w:hAnsi="Times New Roman" w:eastAsia="宋体" w:cs="Times New Roman"/>
      <w:b/>
      <w:sz w:val="24"/>
      <w:lang w:val="en-GB" w:eastAsia="zh-CN"/>
    </w:rPr>
  </w:style>
  <w:style w:type="character" w:customStyle="1" w:styleId="252">
    <w:name w:val="样式3 Char"/>
    <w:qFormat/>
    <w:uiPriority w:val="0"/>
    <w:rPr>
      <w:rFonts w:ascii="仿宋_GB2312" w:hAnsi="仿宋" w:eastAsia="仿宋_GB2312" w:cs="仿宋_GB2312"/>
      <w:sz w:val="32"/>
      <w:szCs w:val="30"/>
      <w:lang w:val="zh-CN"/>
    </w:rPr>
  </w:style>
  <w:style w:type="character" w:customStyle="1" w:styleId="253">
    <w:name w:val="正文首行缩进 2 Char1"/>
    <w:qFormat/>
    <w:uiPriority w:val="0"/>
    <w:rPr>
      <w:rFonts w:ascii="Times New Roman" w:hAnsi="Times New Roman" w:eastAsia="宋体" w:cs="Times New Roman"/>
      <w:kern w:val="2"/>
      <w:sz w:val="24"/>
      <w:szCs w:val="24"/>
    </w:rPr>
  </w:style>
  <w:style w:type="character" w:customStyle="1" w:styleId="254">
    <w:name w:val="副标题 Char2"/>
    <w:qFormat/>
    <w:uiPriority w:val="0"/>
    <w:rPr>
      <w:rFonts w:ascii="Cambria" w:hAnsi="Cambria" w:eastAsia="宋体" w:cs="Times New Roman"/>
      <w:b/>
      <w:bCs/>
      <w:snapToGrid w:val="0"/>
      <w:kern w:val="28"/>
      <w:sz w:val="32"/>
      <w:szCs w:val="32"/>
    </w:rPr>
  </w:style>
  <w:style w:type="character" w:customStyle="1" w:styleId="255">
    <w:name w:val="标题4-dyf Char"/>
    <w:link w:val="256"/>
    <w:qFormat/>
    <w:uiPriority w:val="0"/>
    <w:rPr>
      <w:rFonts w:ascii="Cambria" w:hAnsi="Cambria" w:eastAsia="宋体" w:cs="Times New Roman"/>
      <w:b/>
      <w:bCs/>
      <w:color w:val="000000"/>
      <w:kern w:val="2"/>
      <w:sz w:val="21"/>
      <w:szCs w:val="21"/>
    </w:rPr>
  </w:style>
  <w:style w:type="paragraph" w:customStyle="1" w:styleId="256">
    <w:name w:val="标题4-dyf"/>
    <w:basedOn w:val="5"/>
    <w:link w:val="255"/>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257">
    <w:name w:val="dectext1"/>
    <w:qFormat/>
    <w:uiPriority w:val="0"/>
    <w:rPr>
      <w:rFonts w:ascii="宋体" w:hAnsi="宋体" w:eastAsia="宋体" w:cs="Times New Roman"/>
      <w:color w:val="333333"/>
      <w:sz w:val="21"/>
      <w:szCs w:val="21"/>
      <w:u w:val="none"/>
    </w:rPr>
  </w:style>
  <w:style w:type="character" w:customStyle="1" w:styleId="258">
    <w:name w:val="冯 Char"/>
    <w:link w:val="259"/>
    <w:qFormat/>
    <w:uiPriority w:val="0"/>
    <w:rPr>
      <w:rFonts w:ascii="宋体" w:hAnsi="宋体" w:eastAsia="宋体" w:cs="Times New Roman"/>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260">
    <w:name w:val="Header Char"/>
    <w:qFormat/>
    <w:uiPriority w:val="0"/>
    <w:rPr>
      <w:rFonts w:ascii="Times New Roman" w:hAnsi="Times New Roman" w:eastAsia="宋体" w:cs="Times New Roman"/>
      <w:kern w:val="2"/>
      <w:sz w:val="18"/>
      <w:szCs w:val="18"/>
      <w:lang w:val="en-US" w:eastAsia="zh-CN" w:bidi="ar-SA"/>
    </w:rPr>
  </w:style>
  <w:style w:type="character" w:customStyle="1" w:styleId="261">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262">
    <w:name w:val="普通文字 Char3"/>
    <w:qFormat/>
    <w:uiPriority w:val="0"/>
    <w:rPr>
      <w:rFonts w:ascii="宋体" w:hAnsi="Courier New" w:eastAsia="宋体" w:cs="Times New Roman"/>
      <w:kern w:val="2"/>
      <w:sz w:val="21"/>
      <w:lang w:val="en-US" w:eastAsia="zh-CN" w:bidi="ar-SA"/>
    </w:rPr>
  </w:style>
  <w:style w:type="character" w:customStyle="1" w:styleId="263">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264">
    <w:name w:val="正文首行缩进 Char Char Char Char Char"/>
    <w:qFormat/>
    <w:uiPriority w:val="0"/>
    <w:rPr>
      <w:rFonts w:ascii="宋体" w:hAnsi="Times New Roman" w:eastAsia="宋体" w:cs="Times New Roman"/>
      <w:kern w:val="2"/>
      <w:sz w:val="24"/>
      <w:lang w:val="zh-CN"/>
    </w:rPr>
  </w:style>
  <w:style w:type="character" w:customStyle="1" w:styleId="265">
    <w:name w:val="PI Char"/>
    <w:qFormat/>
    <w:uiPriority w:val="0"/>
    <w:rPr>
      <w:rFonts w:ascii="宋体" w:hAnsi="宋体" w:eastAsia="宋体" w:cs="Times New Roman"/>
      <w:kern w:val="2"/>
      <w:sz w:val="24"/>
      <w:szCs w:val="24"/>
      <w:lang w:val="en-US" w:eastAsia="zh-CN" w:bidi="ar-SA"/>
    </w:rPr>
  </w:style>
  <w:style w:type="paragraph" w:customStyle="1" w:styleId="26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7">
    <w:name w:val="style91"/>
    <w:qFormat/>
    <w:uiPriority w:val="0"/>
    <w:rPr>
      <w:rFonts w:ascii="Times New Roman" w:hAnsi="Times New Roman" w:eastAsia="宋体" w:cs="Times New Roman"/>
      <w:color w:val="333333"/>
    </w:rPr>
  </w:style>
  <w:style w:type="character" w:customStyle="1" w:styleId="268">
    <w:name w:val="列出段落 Char2"/>
    <w:qFormat/>
    <w:uiPriority w:val="0"/>
    <w:rPr>
      <w:rFonts w:ascii="Calibri" w:hAnsi="Calibri" w:eastAsia="宋体" w:cs="Times New Roman"/>
      <w:kern w:val="2"/>
      <w:sz w:val="28"/>
    </w:rPr>
  </w:style>
  <w:style w:type="character" w:customStyle="1" w:styleId="269">
    <w:name w:val="mdeck"/>
    <w:qFormat/>
    <w:uiPriority w:val="0"/>
    <w:rPr>
      <w:rFonts w:ascii="仿宋_GB2312" w:hAnsi="Times New Roman" w:eastAsia="微软雅黑" w:cs="Times New Roman"/>
      <w:b/>
      <w:kern w:val="2"/>
      <w:sz w:val="32"/>
      <w:szCs w:val="32"/>
      <w:lang w:val="en-US" w:eastAsia="zh-CN" w:bidi="ar-SA"/>
    </w:rPr>
  </w:style>
  <w:style w:type="character" w:customStyle="1" w:styleId="270">
    <w:name w:val="unnamed11"/>
    <w:qFormat/>
    <w:uiPriority w:val="0"/>
    <w:rPr>
      <w:rFonts w:ascii="Times New Roman" w:hAnsi="Times New Roman" w:eastAsia="宋体" w:cs="Times New Roman"/>
      <w:sz w:val="20"/>
      <w:szCs w:val="20"/>
    </w:rPr>
  </w:style>
  <w:style w:type="character" w:customStyle="1" w:styleId="271">
    <w:name w:val="正文文本 Char2"/>
    <w:qFormat/>
    <w:uiPriority w:val="0"/>
    <w:rPr>
      <w:rFonts w:ascii="Times New Roman" w:hAnsi="Times New Roman" w:eastAsia="宋体" w:cs="Times New Roman"/>
      <w:snapToGrid w:val="0"/>
      <w:kern w:val="0"/>
      <w:szCs w:val="24"/>
    </w:rPr>
  </w:style>
  <w:style w:type="character" w:customStyle="1" w:styleId="272">
    <w:name w:val="标书正文格式 Char"/>
    <w:qFormat/>
    <w:uiPriority w:val="0"/>
    <w:rPr>
      <w:rFonts w:ascii="Times New Roman" w:hAnsi="Times New Roman" w:eastAsia="楷体_GB2312" w:cs="Times New Roman"/>
      <w:kern w:val="2"/>
      <w:sz w:val="24"/>
      <w:szCs w:val="24"/>
      <w:lang w:bidi="ar-SA"/>
    </w:rPr>
  </w:style>
  <w:style w:type="character" w:customStyle="1" w:styleId="273">
    <w:name w:val="Char Char11"/>
    <w:qFormat/>
    <w:uiPriority w:val="0"/>
    <w:rPr>
      <w:rFonts w:ascii="宋体" w:hAnsi="宋体" w:eastAsia="宋体" w:cs="Times New Roman"/>
      <w:b/>
      <w:kern w:val="2"/>
      <w:sz w:val="24"/>
      <w:szCs w:val="24"/>
      <w:lang w:val="en-US" w:eastAsia="zh-CN" w:bidi="ar-SA"/>
    </w:rPr>
  </w:style>
  <w:style w:type="character" w:customStyle="1" w:styleId="274">
    <w:name w:val="ca-131"/>
    <w:qFormat/>
    <w:uiPriority w:val="0"/>
    <w:rPr>
      <w:rFonts w:hint="eastAsia" w:ascii="仿宋_GB2312" w:hAnsi="Times New Roman" w:eastAsia="仿宋_GB2312" w:cs="Times New Roman"/>
      <w:b/>
      <w:bCs/>
      <w:color w:val="000000"/>
      <w:spacing w:val="-20"/>
      <w:sz w:val="24"/>
      <w:szCs w:val="24"/>
    </w:rPr>
  </w:style>
  <w:style w:type="character" w:customStyle="1" w:styleId="275">
    <w:name w:val="tw4winMark"/>
    <w:qFormat/>
    <w:uiPriority w:val="0"/>
    <w:rPr>
      <w:rFonts w:ascii="Courier New" w:hAnsi="Courier New" w:eastAsia="宋体" w:cs="Courier New"/>
      <w:vanish/>
      <w:color w:val="800080"/>
      <w:sz w:val="24"/>
      <w:szCs w:val="24"/>
      <w:vertAlign w:val="subscript"/>
    </w:rPr>
  </w:style>
  <w:style w:type="character" w:customStyle="1" w:styleId="276">
    <w:name w:val="正文样式 Char"/>
    <w:link w:val="277"/>
    <w:qFormat/>
    <w:uiPriority w:val="0"/>
    <w:rPr>
      <w:rFonts w:ascii="Calibri" w:hAnsi="Calibri" w:eastAsia="宋体" w:cs="Times New Roman"/>
      <w:sz w:val="24"/>
      <w:szCs w:val="24"/>
    </w:rPr>
  </w:style>
  <w:style w:type="paragraph" w:customStyle="1" w:styleId="277">
    <w:name w:val="正文样式"/>
    <w:basedOn w:val="1"/>
    <w:link w:val="276"/>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78">
    <w:name w:val="表正文 Char3"/>
    <w:qFormat/>
    <w:uiPriority w:val="0"/>
    <w:rPr>
      <w:rFonts w:ascii="Times New Roman" w:hAnsi="Times New Roman" w:eastAsia="宋体" w:cs="Times New Roman"/>
    </w:rPr>
  </w:style>
  <w:style w:type="character" w:customStyle="1" w:styleId="279">
    <w:name w:val="H5 Char"/>
    <w:qFormat/>
    <w:uiPriority w:val="0"/>
    <w:rPr>
      <w:rFonts w:ascii="Times New Roman" w:hAnsi="Times New Roman" w:eastAsia="宋体" w:cs="Times New Roman"/>
      <w:b/>
      <w:bCs/>
      <w:kern w:val="2"/>
      <w:sz w:val="28"/>
      <w:szCs w:val="28"/>
    </w:rPr>
  </w:style>
  <w:style w:type="character" w:customStyle="1" w:styleId="280">
    <w:name w:val="Char Char3"/>
    <w:qFormat/>
    <w:uiPriority w:val="0"/>
    <w:rPr>
      <w:rFonts w:ascii="Times New Roman" w:hAnsi="Times New Roman" w:eastAsia="宋体" w:cs="Times New Roman"/>
      <w:kern w:val="2"/>
      <w:sz w:val="21"/>
      <w:szCs w:val="24"/>
      <w:lang w:val="en-US" w:eastAsia="zh-CN" w:bidi="ar-SA"/>
    </w:rPr>
  </w:style>
  <w:style w:type="character" w:customStyle="1" w:styleId="281">
    <w:name w:val="正文 编号 Char"/>
    <w:qFormat/>
    <w:uiPriority w:val="0"/>
    <w:rPr>
      <w:rFonts w:ascii="仿宋_GB2312" w:hAnsi="仿宋_GB2312" w:eastAsia="仿宋_GB2312" w:cs="Times New Roman"/>
      <w:kern w:val="2"/>
      <w:sz w:val="24"/>
      <w:lang w:bidi="ar-SA"/>
    </w:rPr>
  </w:style>
  <w:style w:type="character" w:customStyle="1" w:styleId="282">
    <w:name w:val="question-title2"/>
    <w:qFormat/>
    <w:uiPriority w:val="0"/>
    <w:rPr>
      <w:rFonts w:ascii="Arial" w:hAnsi="Arial" w:eastAsia="黑体" w:cs="Arial"/>
      <w:snapToGrid w:val="0"/>
      <w:kern w:val="0"/>
      <w:szCs w:val="21"/>
    </w:rPr>
  </w:style>
  <w:style w:type="character" w:customStyle="1" w:styleId="283">
    <w:name w:val="gf正文1 Char Char"/>
    <w:link w:val="284"/>
    <w:qFormat/>
    <w:uiPriority w:val="0"/>
    <w:rPr>
      <w:rFonts w:ascii="宋体" w:hAnsi="宋体" w:eastAsia="宋体" w:cs="宋体"/>
      <w:kern w:val="2"/>
      <w:sz w:val="24"/>
      <w:szCs w:val="24"/>
    </w:rPr>
  </w:style>
  <w:style w:type="paragraph" w:customStyle="1" w:styleId="284">
    <w:name w:val="gf正文1"/>
    <w:basedOn w:val="1"/>
    <w:link w:val="283"/>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285">
    <w:name w:val="Char Char15"/>
    <w:qFormat/>
    <w:uiPriority w:val="0"/>
    <w:rPr>
      <w:rFonts w:ascii="宋体" w:hAnsi="宋体" w:eastAsia="宋体" w:cs="Times New Roman"/>
      <w:kern w:val="1"/>
      <w:sz w:val="21"/>
    </w:rPr>
  </w:style>
  <w:style w:type="character" w:customStyle="1" w:styleId="28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87">
    <w:name w:val="列出段落 Char1"/>
    <w:link w:val="288"/>
    <w:qFormat/>
    <w:uiPriority w:val="0"/>
    <w:rPr>
      <w:rFonts w:ascii="Calibri" w:hAnsi="Calibri" w:eastAsia="宋体" w:cs="Times New Roman"/>
      <w:sz w:val="24"/>
      <w:lang w:eastAsia="en-US"/>
    </w:rPr>
  </w:style>
  <w:style w:type="paragraph" w:customStyle="1" w:styleId="288">
    <w:name w:val="列表1"/>
    <w:basedOn w:val="1"/>
    <w:next w:val="129"/>
    <w:link w:val="287"/>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character" w:customStyle="1" w:styleId="289">
    <w:name w:val="Char Char8"/>
    <w:qFormat/>
    <w:uiPriority w:val="0"/>
    <w:rPr>
      <w:rFonts w:ascii="Times New Roman" w:hAnsi="Times New Roman" w:eastAsia="宋体" w:cs="Times New Roman"/>
      <w:b/>
      <w:sz w:val="24"/>
      <w:lang w:val="en-GB" w:eastAsia="zh-CN"/>
    </w:rPr>
  </w:style>
  <w:style w:type="character" w:customStyle="1" w:styleId="290">
    <w:name w:val="Normal Indent Char Char"/>
    <w:qFormat/>
    <w:uiPriority w:val="0"/>
    <w:rPr>
      <w:rFonts w:ascii="Times New Roman" w:hAnsi="Times New Roman" w:eastAsia="宋体" w:cs="Times New Roman"/>
      <w:kern w:val="2"/>
      <w:sz w:val="21"/>
      <w:lang w:val="en-US" w:eastAsia="zh-CN" w:bidi="ar-SA"/>
    </w:rPr>
  </w:style>
  <w:style w:type="character" w:customStyle="1" w:styleId="291">
    <w:name w:val="列表段落 字符"/>
    <w:qFormat/>
    <w:uiPriority w:val="0"/>
    <w:rPr>
      <w:rFonts w:ascii="Times New Roman" w:hAnsi="Times New Roman" w:eastAsia="宋体" w:cs="Times New Roman"/>
    </w:rPr>
  </w:style>
  <w:style w:type="character" w:customStyle="1" w:styleId="292">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293">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294">
    <w:name w:val="Char Char30"/>
    <w:qFormat/>
    <w:uiPriority w:val="0"/>
    <w:rPr>
      <w:rFonts w:ascii="Arial" w:hAnsi="Arial" w:eastAsia="黑体" w:cs="Times New Roman"/>
      <w:kern w:val="1"/>
      <w:sz w:val="21"/>
      <w:szCs w:val="21"/>
    </w:rPr>
  </w:style>
  <w:style w:type="character" w:customStyle="1" w:styleId="295">
    <w:name w:val="font01"/>
    <w:qFormat/>
    <w:uiPriority w:val="0"/>
    <w:rPr>
      <w:rFonts w:hint="eastAsia" w:ascii="微软雅黑" w:hAnsi="微软雅黑" w:eastAsia="微软雅黑" w:cs="微软雅黑"/>
      <w:color w:val="000000"/>
      <w:sz w:val="20"/>
      <w:szCs w:val="20"/>
      <w:u w:val="none"/>
    </w:rPr>
  </w:style>
  <w:style w:type="character" w:customStyle="1" w:styleId="296">
    <w:name w:val="Char Char20"/>
    <w:qFormat/>
    <w:uiPriority w:val="0"/>
    <w:rPr>
      <w:rFonts w:ascii="Times New Roman" w:hAnsi="Times New Roman" w:eastAsia="宋体" w:cs="Times New Roman"/>
      <w:kern w:val="1"/>
      <w:sz w:val="24"/>
    </w:rPr>
  </w:style>
  <w:style w:type="character" w:customStyle="1" w:styleId="297">
    <w:name w:val="tw4winExternal"/>
    <w:qFormat/>
    <w:uiPriority w:val="0"/>
    <w:rPr>
      <w:rFonts w:ascii="Courier New" w:hAnsi="Courier New" w:eastAsia="宋体" w:cs="Courier New"/>
      <w:color w:val="808080"/>
      <w:lang w:val="en-US" w:eastAsia="zh-CN"/>
    </w:rPr>
  </w:style>
  <w:style w:type="character" w:customStyle="1" w:styleId="298">
    <w:name w:val="标题 4 Char1"/>
    <w:qFormat/>
    <w:uiPriority w:val="0"/>
    <w:rPr>
      <w:rFonts w:ascii="Cambria" w:hAnsi="Cambria" w:eastAsia="宋体" w:cs="Times New Roman"/>
      <w:b/>
      <w:bCs/>
      <w:kern w:val="2"/>
      <w:sz w:val="28"/>
      <w:szCs w:val="28"/>
    </w:rPr>
  </w:style>
  <w:style w:type="character" w:customStyle="1" w:styleId="299">
    <w:name w:val="批注文字 Char2"/>
    <w:qFormat/>
    <w:uiPriority w:val="0"/>
    <w:rPr>
      <w:rFonts w:ascii="Times New Roman" w:hAnsi="Times New Roman" w:eastAsia="宋体" w:cs="Times New Roman"/>
      <w:snapToGrid w:val="0"/>
      <w:kern w:val="0"/>
      <w:szCs w:val="24"/>
    </w:rPr>
  </w:style>
  <w:style w:type="character" w:customStyle="1" w:styleId="300">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301">
    <w:name w:val="Ò³Ã¼ Char Char"/>
    <w:qFormat/>
    <w:uiPriority w:val="0"/>
    <w:rPr>
      <w:rFonts w:ascii="Times New Roman" w:hAnsi="Times New Roman" w:eastAsia="宋体" w:cs="Times New Roman"/>
      <w:kern w:val="2"/>
      <w:sz w:val="18"/>
      <w:lang w:val="en-US" w:eastAsia="zh-CN" w:bidi="ar-SA"/>
    </w:rPr>
  </w:style>
  <w:style w:type="character" w:customStyle="1" w:styleId="302">
    <w:name w:val="message1"/>
    <w:qFormat/>
    <w:uiPriority w:val="0"/>
    <w:rPr>
      <w:rFonts w:hint="default" w:ascii="Tahoma" w:hAnsi="Tahoma" w:eastAsia="宋体" w:cs="Tahoma"/>
      <w:sz w:val="18"/>
      <w:szCs w:val="18"/>
    </w:rPr>
  </w:style>
  <w:style w:type="character" w:customStyle="1" w:styleId="303">
    <w:name w:val="Char Char23"/>
    <w:qFormat/>
    <w:uiPriority w:val="0"/>
    <w:rPr>
      <w:rFonts w:ascii="Times New Roman" w:hAnsi="Times New Roman" w:eastAsia="宋体" w:cs="Times New Roman"/>
      <w:color w:val="0000FF"/>
      <w:sz w:val="21"/>
    </w:rPr>
  </w:style>
  <w:style w:type="character" w:customStyle="1" w:styleId="304">
    <w:name w:val="批注框文本 字符"/>
    <w:qFormat/>
    <w:uiPriority w:val="0"/>
    <w:rPr>
      <w:rFonts w:ascii="Arial" w:hAnsi="Arial" w:eastAsia="黑体" w:cs="Arial"/>
      <w:snapToGrid w:val="0"/>
      <w:kern w:val="0"/>
      <w:sz w:val="18"/>
      <w:szCs w:val="18"/>
    </w:rPr>
  </w:style>
  <w:style w:type="character" w:customStyle="1" w:styleId="305">
    <w:name w:val="纯文本 Char2"/>
    <w:qFormat/>
    <w:uiPriority w:val="0"/>
    <w:rPr>
      <w:rFonts w:ascii="宋体" w:hAnsi="Courier New" w:eastAsia="宋体" w:cs="Courier New"/>
    </w:rPr>
  </w:style>
  <w:style w:type="character" w:customStyle="1" w:styleId="306">
    <w:name w:val="Char Char25"/>
    <w:qFormat/>
    <w:uiPriority w:val="0"/>
    <w:rPr>
      <w:rFonts w:ascii="宋体" w:hAnsi="宋体" w:eastAsia="宋体" w:cs="Times New Roman"/>
      <w:kern w:val="1"/>
      <w:sz w:val="24"/>
      <w:lang w:val="zh-CN"/>
    </w:rPr>
  </w:style>
  <w:style w:type="character" w:customStyle="1" w:styleId="307">
    <w:name w:val="Char Char411"/>
    <w:qFormat/>
    <w:uiPriority w:val="0"/>
    <w:rPr>
      <w:rFonts w:ascii="Times New Roman" w:hAnsi="Times New Roman" w:eastAsia="宋体" w:cs="Times New Roman"/>
      <w:b/>
      <w:sz w:val="24"/>
      <w:lang w:val="en-GB" w:eastAsia="zh-CN" w:bidi="ar-SA"/>
    </w:rPr>
  </w:style>
  <w:style w:type="character" w:customStyle="1" w:styleId="308">
    <w:name w:val="Heading 7 Char"/>
    <w:qFormat/>
    <w:uiPriority w:val="0"/>
    <w:rPr>
      <w:rFonts w:ascii="宋体" w:hAnsi="宋体" w:eastAsia="宋体" w:cs="Times New Roman"/>
      <w:b/>
      <w:bCs/>
      <w:kern w:val="2"/>
      <w:sz w:val="24"/>
      <w:szCs w:val="24"/>
      <w:lang w:val="en-US" w:eastAsia="zh-CN" w:bidi="ar-SA"/>
    </w:rPr>
  </w:style>
  <w:style w:type="character" w:customStyle="1" w:styleId="309">
    <w:name w:val="此正文 Char"/>
    <w:link w:val="310"/>
    <w:qFormat/>
    <w:uiPriority w:val="0"/>
    <w:rPr>
      <w:rFonts w:ascii="Times New Roman" w:hAnsi="Times New Roman" w:eastAsia="宋体" w:cs="Times New Roman"/>
      <w:kern w:val="2"/>
      <w:sz w:val="24"/>
      <w:szCs w:val="24"/>
    </w:rPr>
  </w:style>
  <w:style w:type="paragraph" w:customStyle="1" w:styleId="310">
    <w:name w:val="此正文"/>
    <w:basedOn w:val="1"/>
    <w:link w:val="309"/>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311">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12">
    <w:name w:val="Footer-Even Char1"/>
    <w:qFormat/>
    <w:uiPriority w:val="0"/>
    <w:rPr>
      <w:rFonts w:ascii="Times New Roman" w:hAnsi="Times New Roman" w:eastAsia="宋体" w:cs="Times New Roman"/>
      <w:kern w:val="2"/>
      <w:sz w:val="18"/>
      <w:szCs w:val="18"/>
      <w:lang w:val="en-US" w:eastAsia="zh-CN" w:bidi="ar-SA"/>
    </w:rPr>
  </w:style>
  <w:style w:type="character" w:customStyle="1" w:styleId="313">
    <w:name w:val="Char Char29"/>
    <w:qFormat/>
    <w:uiPriority w:val="0"/>
    <w:rPr>
      <w:rFonts w:ascii="Arial" w:hAnsi="Arial" w:eastAsia="微软雅黑" w:cs="Times New Roman"/>
      <w:b/>
      <w:kern w:val="1"/>
      <w:sz w:val="44"/>
      <w:szCs w:val="32"/>
      <w:lang w:val="en-US" w:eastAsia="zh-CN" w:bidi="ar-SA"/>
    </w:rPr>
  </w:style>
  <w:style w:type="character" w:customStyle="1" w:styleId="314">
    <w:name w:val="font81"/>
    <w:qFormat/>
    <w:uiPriority w:val="0"/>
    <w:rPr>
      <w:rFonts w:ascii="微软雅黑" w:hAnsi="微软雅黑" w:eastAsia="微软雅黑" w:cs="微软雅黑"/>
      <w:color w:val="000000"/>
      <w:sz w:val="20"/>
      <w:szCs w:val="20"/>
      <w:u w:val="none"/>
    </w:rPr>
  </w:style>
  <w:style w:type="character" w:customStyle="1" w:styleId="315">
    <w:name w:val="Char Char312"/>
    <w:qFormat/>
    <w:uiPriority w:val="0"/>
    <w:rPr>
      <w:rFonts w:ascii="Times New Roman" w:hAnsi="Times New Roman" w:eastAsia="宋体" w:cs="Times New Roman"/>
      <w:b/>
      <w:kern w:val="2"/>
      <w:sz w:val="32"/>
      <w:szCs w:val="24"/>
      <w:lang w:val="en-US" w:eastAsia="zh-CN" w:bidi="ar-SA"/>
    </w:rPr>
  </w:style>
  <w:style w:type="character" w:customStyle="1" w:styleId="316">
    <w:name w:val="t21"/>
    <w:qFormat/>
    <w:uiPriority w:val="0"/>
    <w:rPr>
      <w:rFonts w:ascii="仿宋_GB2312" w:hAnsi="Times New Roman" w:eastAsia="微软雅黑" w:cs="Times New Roman"/>
      <w:b/>
      <w:kern w:val="2"/>
      <w:sz w:val="23"/>
      <w:szCs w:val="23"/>
      <w:lang w:val="en-US" w:eastAsia="zh-CN" w:bidi="ar-SA"/>
    </w:rPr>
  </w:style>
  <w:style w:type="character" w:customStyle="1" w:styleId="317">
    <w:name w:val="样式8 Char"/>
    <w:qFormat/>
    <w:uiPriority w:val="0"/>
    <w:rPr>
      <w:rFonts w:ascii="仿宋_GB2312" w:hAnsi="宋体" w:eastAsia="仿宋_GB2312" w:cs="Times New Roman"/>
      <w:b/>
      <w:bCs/>
      <w:kern w:val="2"/>
      <w:sz w:val="24"/>
      <w:szCs w:val="24"/>
    </w:rPr>
  </w:style>
  <w:style w:type="character" w:customStyle="1" w:styleId="318">
    <w:name w:val="表格 Char Char"/>
    <w:qFormat/>
    <w:uiPriority w:val="0"/>
    <w:rPr>
      <w:rFonts w:ascii="宋体" w:hAnsi="宋体" w:eastAsia="宋体" w:cs="Times New Roman"/>
      <w:lang w:bidi="ar-SA"/>
    </w:rPr>
  </w:style>
  <w:style w:type="character" w:customStyle="1" w:styleId="319">
    <w:name w:val="正文文本 字符1"/>
    <w:qFormat/>
    <w:uiPriority w:val="0"/>
    <w:rPr>
      <w:rFonts w:ascii="Calibri" w:hAnsi="Calibri" w:eastAsia="黑体" w:cs="Arial"/>
      <w:snapToGrid w:val="0"/>
      <w:kern w:val="2"/>
      <w:sz w:val="28"/>
      <w:szCs w:val="21"/>
    </w:rPr>
  </w:style>
  <w:style w:type="character" w:customStyle="1" w:styleId="320">
    <w:name w:val="标题 6 Char1"/>
    <w:qFormat/>
    <w:uiPriority w:val="0"/>
    <w:rPr>
      <w:rFonts w:ascii="Arial" w:hAnsi="Arial" w:eastAsia="黑体" w:cs="Times New Roman"/>
      <w:b/>
      <w:sz w:val="24"/>
      <w:szCs w:val="20"/>
      <w:lang w:bidi="ar-SA"/>
    </w:rPr>
  </w:style>
  <w:style w:type="character" w:customStyle="1" w:styleId="321">
    <w:name w:val="带编号样式 Char"/>
    <w:qFormat/>
    <w:uiPriority w:val="0"/>
    <w:rPr>
      <w:rFonts w:ascii="仿宋_GB2312" w:hAnsi="Times New Roman" w:eastAsia="仿宋_GB2312" w:cs="Times New Roman"/>
      <w:color w:val="000000"/>
      <w:sz w:val="24"/>
      <w:lang w:bidi="ar-SA"/>
    </w:rPr>
  </w:style>
  <w:style w:type="character" w:customStyle="1" w:styleId="322">
    <w:name w:val="unnamed31"/>
    <w:qFormat/>
    <w:uiPriority w:val="0"/>
    <w:rPr>
      <w:rFonts w:ascii="Tahoma" w:hAnsi="Tahoma" w:eastAsia="宋体" w:cs="Times New Roman"/>
      <w:b/>
      <w:kern w:val="2"/>
      <w:sz w:val="24"/>
      <w:szCs w:val="32"/>
      <w:u w:val="none"/>
      <w:lang w:val="en-US" w:eastAsia="zh-CN" w:bidi="ar-SA"/>
    </w:rPr>
  </w:style>
  <w:style w:type="character" w:customStyle="1" w:styleId="323">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324">
    <w:name w:val="文本正文 Char Char"/>
    <w:qFormat/>
    <w:uiPriority w:val="0"/>
    <w:rPr>
      <w:rFonts w:ascii="Times New Roman" w:hAnsi="Times New Roman" w:eastAsia="宋体" w:cs="Times New Roman"/>
      <w:sz w:val="24"/>
      <w:lang w:bidi="ar-SA"/>
    </w:rPr>
  </w:style>
  <w:style w:type="character" w:customStyle="1" w:styleId="325">
    <w:name w:val="正文缩进 字符"/>
    <w:qFormat/>
    <w:uiPriority w:val="0"/>
    <w:rPr>
      <w:rFonts w:ascii="宋体" w:hAnsi="Times New Roman" w:eastAsia="宋体" w:cs="Times New Roman"/>
      <w:snapToGrid w:val="0"/>
      <w:color w:val="000000"/>
      <w:kern w:val="28"/>
      <w:sz w:val="28"/>
      <w:lang w:val="en-US" w:eastAsia="zh-CN" w:bidi="ar-SA"/>
    </w:rPr>
  </w:style>
  <w:style w:type="paragraph" w:customStyle="1" w:styleId="326">
    <w:name w:val="样式 标题 4h4H4Fab-4T5Ref Heading 1rh1Heading sqlsect 1.2.3...."/>
    <w:basedOn w:val="5"/>
    <w:link w:val="327"/>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327">
    <w:name w:val="样式 标题 4h4H4Fab-4T5Ref Heading 1rh1Heading sqlsect 1.2.3.... Char"/>
    <w:link w:val="326"/>
    <w:qFormat/>
    <w:uiPriority w:val="0"/>
    <w:rPr>
      <w:rFonts w:ascii="微软雅黑" w:hAnsi="微软雅黑" w:eastAsia="微软雅黑" w:cs="Times New Roman"/>
      <w:b/>
      <w:bCs/>
      <w:kern w:val="2"/>
      <w:sz w:val="24"/>
      <w:szCs w:val="28"/>
    </w:rPr>
  </w:style>
  <w:style w:type="character" w:customStyle="1" w:styleId="328">
    <w:name w:val="样式 样式 标题 4h4H4Fab-4T5Ref Heading 1rh1Heading sqlsect 1.2.3.... +... Char"/>
    <w:link w:val="329"/>
    <w:qFormat/>
    <w:uiPriority w:val="0"/>
    <w:rPr>
      <w:rFonts w:ascii="微软雅黑" w:hAnsi="微软雅黑" w:eastAsia="微软雅黑" w:cs="Times New Roman"/>
      <w:b/>
      <w:bCs/>
      <w:kern w:val="2"/>
      <w:sz w:val="24"/>
      <w:szCs w:val="28"/>
    </w:rPr>
  </w:style>
  <w:style w:type="paragraph" w:customStyle="1" w:styleId="329">
    <w:name w:val="样式 样式 标题 4h4H4Fab-4T5Ref Heading 1rh1Heading sqlsect 1.2.3.... +..."/>
    <w:basedOn w:val="326"/>
    <w:link w:val="328"/>
    <w:qFormat/>
    <w:uiPriority w:val="0"/>
    <w:rPr>
      <w:rFonts w:ascii="Times New Roman" w:hAnsi="Times New Roman" w:eastAsia="宋体" w:cs="Times New Roman"/>
    </w:rPr>
  </w:style>
  <w:style w:type="character" w:customStyle="1" w:styleId="330">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331">
    <w:name w:val="Char Char5"/>
    <w:qFormat/>
    <w:uiPriority w:val="0"/>
    <w:rPr>
      <w:rFonts w:ascii="宋体" w:hAnsi="Courier New" w:eastAsia="宋体" w:cs="Times New Roman"/>
      <w:kern w:val="2"/>
      <w:sz w:val="21"/>
      <w:lang w:val="en-US" w:eastAsia="zh-CN"/>
    </w:rPr>
  </w:style>
  <w:style w:type="character" w:customStyle="1" w:styleId="332">
    <w:name w:val="称呼 Char1"/>
    <w:qFormat/>
    <w:uiPriority w:val="0"/>
    <w:rPr>
      <w:rFonts w:ascii="Times New Roman" w:hAnsi="Times New Roman" w:eastAsia="宋体" w:cs="Times New Roman"/>
      <w:szCs w:val="24"/>
    </w:rPr>
  </w:style>
  <w:style w:type="character" w:customStyle="1" w:styleId="333">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334">
    <w:name w:val="正文缩进 Char1"/>
    <w:qFormat/>
    <w:uiPriority w:val="0"/>
    <w:rPr>
      <w:rFonts w:ascii="宋体" w:hAnsi="Times New Roman" w:eastAsia="宋体" w:cs="Times New Roman"/>
      <w:snapToGrid w:val="0"/>
      <w:color w:val="000000"/>
      <w:kern w:val="28"/>
      <w:sz w:val="28"/>
      <w:lang w:val="en-US" w:eastAsia="zh-CN" w:bidi="ar-SA"/>
    </w:rPr>
  </w:style>
  <w:style w:type="character" w:customStyle="1" w:styleId="335">
    <w:name w:val="font21"/>
    <w:qFormat/>
    <w:uiPriority w:val="0"/>
    <w:rPr>
      <w:rFonts w:hint="eastAsia" w:ascii="宋体" w:hAnsi="宋体" w:eastAsia="宋体" w:cs="Times New Roman"/>
      <w:kern w:val="2"/>
      <w:sz w:val="28"/>
      <w:szCs w:val="28"/>
      <w:lang w:val="en-US" w:eastAsia="zh-CN" w:bidi="ar-SA"/>
    </w:rPr>
  </w:style>
  <w:style w:type="character" w:customStyle="1" w:styleId="336">
    <w:name w:val="Char Char26"/>
    <w:qFormat/>
    <w:uiPriority w:val="0"/>
    <w:rPr>
      <w:rFonts w:ascii="Times New Roman" w:hAnsi="Times New Roman" w:eastAsia="宋体" w:cs="Times New Roman"/>
      <w:kern w:val="1"/>
      <w:sz w:val="21"/>
      <w:szCs w:val="24"/>
    </w:rPr>
  </w:style>
  <w:style w:type="character" w:customStyle="1" w:styleId="337">
    <w:name w:val="Item List Char"/>
    <w:link w:val="338"/>
    <w:qFormat/>
    <w:uiPriority w:val="0"/>
    <w:rPr>
      <w:rFonts w:ascii="Arial" w:hAnsi="Times New Roman" w:eastAsia="宋体" w:cs="Times New Roman"/>
      <w:bCs/>
      <w:sz w:val="21"/>
      <w:szCs w:val="21"/>
      <w:lang w:val="en-US" w:eastAsia="zh-CN" w:bidi="ar-SA"/>
    </w:rPr>
  </w:style>
  <w:style w:type="paragraph" w:customStyle="1" w:styleId="338">
    <w:name w:val="Item List"/>
    <w:link w:val="3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9">
    <w:name w:val="批注框文本 Char1"/>
    <w:qFormat/>
    <w:uiPriority w:val="0"/>
    <w:rPr>
      <w:rFonts w:ascii="Times New Roman" w:hAnsi="Times New Roman" w:eastAsia="宋体" w:cs="Times New Roman"/>
      <w:sz w:val="18"/>
      <w:szCs w:val="18"/>
    </w:rPr>
  </w:style>
  <w:style w:type="character" w:customStyle="1" w:styleId="340">
    <w:name w:val="纯文本 Char1"/>
    <w:link w:val="341"/>
    <w:qFormat/>
    <w:uiPriority w:val="0"/>
    <w:rPr>
      <w:rFonts w:ascii="宋体" w:hAnsi="Courier New" w:eastAsia="宋体" w:cs="Times New Roman"/>
    </w:rPr>
  </w:style>
  <w:style w:type="paragraph" w:customStyle="1" w:styleId="341">
    <w:name w:val="纯文本1"/>
    <w:basedOn w:val="1"/>
    <w:link w:val="340"/>
    <w:qFormat/>
    <w:uiPriority w:val="0"/>
    <w:pPr>
      <w:adjustRightInd/>
    </w:pPr>
    <w:rPr>
      <w:rFonts w:ascii="宋体" w:hAnsi="Courier New" w:eastAsia="宋体" w:cs="Times New Roman"/>
      <w:kern w:val="0"/>
      <w:sz w:val="20"/>
      <w:szCs w:val="20"/>
    </w:rPr>
  </w:style>
  <w:style w:type="character" w:customStyle="1" w:styleId="342">
    <w:name w:val="h3 Char"/>
    <w:qFormat/>
    <w:uiPriority w:val="0"/>
    <w:rPr>
      <w:rFonts w:ascii="Times New Roman" w:hAnsi="Times New Roman" w:eastAsia="宋体" w:cs="Times New Roman"/>
      <w:b/>
      <w:kern w:val="2"/>
      <w:sz w:val="32"/>
      <w:lang w:val="en-US" w:eastAsia="zh-CN" w:bidi="ar-SA"/>
    </w:rPr>
  </w:style>
  <w:style w:type="character" w:customStyle="1" w:styleId="343">
    <w:name w:val="dandyren_title1"/>
    <w:qFormat/>
    <w:uiPriority w:val="0"/>
    <w:rPr>
      <w:rFonts w:ascii="Times New Roman" w:hAnsi="Times New Roman" w:eastAsia="宋体" w:cs="Times New Roman"/>
      <w:b/>
      <w:bCs/>
      <w:color w:val="FF6633"/>
      <w:sz w:val="18"/>
      <w:szCs w:val="18"/>
    </w:rPr>
  </w:style>
  <w:style w:type="character" w:customStyle="1" w:styleId="344">
    <w:name w:val="Char Char31"/>
    <w:qFormat/>
    <w:uiPriority w:val="0"/>
    <w:rPr>
      <w:rFonts w:ascii="Arial" w:hAnsi="Arial" w:eastAsia="黑体" w:cs="Times New Roman"/>
      <w:kern w:val="1"/>
      <w:sz w:val="24"/>
      <w:szCs w:val="24"/>
    </w:rPr>
  </w:style>
  <w:style w:type="character" w:customStyle="1" w:styleId="345">
    <w:name w:val="h Char1"/>
    <w:qFormat/>
    <w:uiPriority w:val="0"/>
    <w:rPr>
      <w:rFonts w:ascii="Times New Roman" w:hAnsi="Times New Roman" w:eastAsia="宋体" w:cs="Times New Roman"/>
      <w:sz w:val="18"/>
      <w:szCs w:val="18"/>
    </w:rPr>
  </w:style>
  <w:style w:type="character" w:customStyle="1" w:styleId="346">
    <w:name w:val="solutionfonts"/>
    <w:qFormat/>
    <w:uiPriority w:val="0"/>
    <w:rPr>
      <w:rFonts w:ascii="Times New Roman" w:hAnsi="Times New Roman" w:eastAsia="宋体" w:cs="Times New Roman"/>
    </w:rPr>
  </w:style>
  <w:style w:type="character" w:customStyle="1" w:styleId="347">
    <w:name w:val="首行缩进 Char"/>
    <w:qFormat/>
    <w:uiPriority w:val="0"/>
    <w:rPr>
      <w:rFonts w:ascii="宋体" w:hAnsi="Times New Roman" w:eastAsia="宋体" w:cs="Times New Roman"/>
      <w:kern w:val="2"/>
      <w:sz w:val="24"/>
      <w:lang w:val="en-US" w:eastAsia="zh-CN" w:bidi="ar-SA"/>
    </w:rPr>
  </w:style>
  <w:style w:type="character" w:customStyle="1" w:styleId="348">
    <w:name w:val="Char Char52"/>
    <w:qFormat/>
    <w:uiPriority w:val="0"/>
    <w:rPr>
      <w:rFonts w:ascii="宋体" w:hAnsi="Courier New" w:eastAsia="宋体" w:cs="Times New Roman"/>
      <w:kern w:val="2"/>
      <w:sz w:val="21"/>
      <w:lang w:val="en-US" w:eastAsia="zh-CN"/>
    </w:rPr>
  </w:style>
  <w:style w:type="character" w:customStyle="1" w:styleId="349">
    <w:name w:val="font31"/>
    <w:qFormat/>
    <w:uiPriority w:val="0"/>
    <w:rPr>
      <w:rFonts w:hint="eastAsia" w:ascii="仿宋" w:hAnsi="仿宋" w:eastAsia="仿宋" w:cs="仿宋"/>
      <w:color w:val="000000"/>
      <w:sz w:val="20"/>
      <w:szCs w:val="20"/>
      <w:u w:val="none"/>
    </w:rPr>
  </w:style>
  <w:style w:type="character" w:customStyle="1" w:styleId="350">
    <w:name w:val="正文说明 Char"/>
    <w:link w:val="351"/>
    <w:qFormat/>
    <w:uiPriority w:val="0"/>
    <w:rPr>
      <w:rFonts w:ascii="Times New Roman" w:hAnsi="Times New Roman" w:eastAsia="宋体" w:cs="Times New Roman"/>
      <w:sz w:val="24"/>
      <w:szCs w:val="24"/>
    </w:rPr>
  </w:style>
  <w:style w:type="paragraph" w:customStyle="1" w:styleId="351">
    <w:name w:val="正文说明"/>
    <w:basedOn w:val="1"/>
    <w:link w:val="350"/>
    <w:qFormat/>
    <w:uiPriority w:val="0"/>
    <w:pPr>
      <w:adjustRightInd/>
      <w:spacing w:line="360" w:lineRule="auto"/>
    </w:pPr>
    <w:rPr>
      <w:rFonts w:ascii="Times New Roman" w:hAnsi="Times New Roman" w:eastAsia="宋体" w:cs="Times New Roman"/>
      <w:kern w:val="0"/>
      <w:sz w:val="24"/>
    </w:rPr>
  </w:style>
  <w:style w:type="character" w:customStyle="1" w:styleId="352">
    <w:name w:val="脚注文本 Char1"/>
    <w:qFormat/>
    <w:uiPriority w:val="0"/>
    <w:rPr>
      <w:rFonts w:ascii="Times New Roman" w:hAnsi="Times New Roman" w:eastAsia="宋体" w:cs="Times New Roman"/>
      <w:sz w:val="18"/>
      <w:szCs w:val="18"/>
    </w:rPr>
  </w:style>
  <w:style w:type="character" w:customStyle="1" w:styleId="35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354">
    <w:name w:val="标题 Char"/>
    <w:qFormat/>
    <w:uiPriority w:val="0"/>
    <w:rPr>
      <w:rFonts w:ascii="Times New Roman" w:hAnsi="Times New Roman" w:eastAsia="宋体" w:cs="Times New Roman"/>
      <w:b/>
      <w:sz w:val="24"/>
      <w:lang w:val="en-GB" w:eastAsia="zh-CN" w:bidi="ar-SA"/>
    </w:rPr>
  </w:style>
  <w:style w:type="character" w:customStyle="1" w:styleId="355">
    <w:name w:val="Char Char35"/>
    <w:qFormat/>
    <w:uiPriority w:val="0"/>
    <w:rPr>
      <w:rFonts w:ascii="Arial" w:hAnsi="Arial" w:eastAsia="黑体" w:cs="Times New Roman"/>
      <w:b/>
      <w:kern w:val="1"/>
      <w:sz w:val="28"/>
      <w:szCs w:val="28"/>
      <w:lang w:val="zh-CN"/>
    </w:rPr>
  </w:style>
  <w:style w:type="character" w:customStyle="1" w:styleId="356">
    <w:name w:val="纯文本 Char Char Char"/>
    <w:qFormat/>
    <w:uiPriority w:val="0"/>
    <w:rPr>
      <w:rFonts w:ascii="宋体" w:hAnsi="Courier New" w:eastAsia="宋体" w:cs="Times New Roman"/>
      <w:kern w:val="2"/>
      <w:sz w:val="21"/>
      <w:lang w:val="en-US" w:eastAsia="zh-CN" w:bidi="ar-SA"/>
    </w:rPr>
  </w:style>
  <w:style w:type="character" w:customStyle="1" w:styleId="357">
    <w:name w:val="Table Text Char"/>
    <w:link w:val="358"/>
    <w:qFormat/>
    <w:uiPriority w:val="0"/>
    <w:rPr>
      <w:rFonts w:ascii="Times New Roman" w:hAnsi="Times New Roman" w:eastAsia="宋体" w:cs="Times New Roman"/>
      <w:sz w:val="24"/>
      <w:szCs w:val="24"/>
    </w:rPr>
  </w:style>
  <w:style w:type="paragraph" w:customStyle="1" w:styleId="358">
    <w:name w:val="Table Text"/>
    <w:basedOn w:val="1"/>
    <w:link w:val="357"/>
    <w:qFormat/>
    <w:uiPriority w:val="0"/>
    <w:pPr>
      <w:widowControl/>
      <w:spacing w:before="60" w:after="60"/>
      <w:jc w:val="left"/>
    </w:pPr>
    <w:rPr>
      <w:rFonts w:ascii="Times New Roman" w:hAnsi="Times New Roman" w:eastAsia="宋体" w:cs="Times New Roman"/>
      <w:kern w:val="0"/>
      <w:sz w:val="24"/>
    </w:rPr>
  </w:style>
  <w:style w:type="character" w:customStyle="1" w:styleId="359">
    <w:name w:val="正文1 Char1"/>
    <w:qFormat/>
    <w:uiPriority w:val="0"/>
    <w:rPr>
      <w:rFonts w:ascii="仿宋_GB2312" w:hAnsi="Courier New" w:eastAsia="仿宋_GB2312" w:cs="Times New Roman"/>
      <w:kern w:val="28"/>
      <w:sz w:val="24"/>
      <w:szCs w:val="24"/>
      <w:lang w:val="en-US" w:eastAsia="zh-CN"/>
    </w:rPr>
  </w:style>
  <w:style w:type="character" w:customStyle="1" w:styleId="360">
    <w:name w:val="页脚 Char1"/>
    <w:qFormat/>
    <w:uiPriority w:val="0"/>
    <w:rPr>
      <w:rFonts w:ascii="Times New Roman" w:hAnsi="Times New Roman" w:eastAsia="宋体" w:cs="Times New Roman"/>
      <w:kern w:val="2"/>
      <w:sz w:val="18"/>
      <w:szCs w:val="18"/>
      <w:lang w:val="en-US" w:eastAsia="zh-CN" w:bidi="ar-SA"/>
    </w:rPr>
  </w:style>
  <w:style w:type="character" w:customStyle="1" w:styleId="361">
    <w:name w:val="Bold"/>
    <w:qFormat/>
    <w:uiPriority w:val="0"/>
    <w:rPr>
      <w:rFonts w:ascii="Arial" w:hAnsi="Arial" w:eastAsia="黑体" w:cs="Times New Roman"/>
      <w:b/>
      <w:kern w:val="2"/>
      <w:sz w:val="32"/>
      <w:szCs w:val="32"/>
      <w:lang w:val="en-US" w:eastAsia="zh-CN" w:bidi="ar-SA"/>
    </w:rPr>
  </w:style>
  <w:style w:type="character" w:customStyle="1" w:styleId="362">
    <w:name w:val="hui3"/>
    <w:qFormat/>
    <w:uiPriority w:val="0"/>
    <w:rPr>
      <w:rFonts w:ascii="Times New Roman" w:hAnsi="Times New Roman" w:eastAsia="宋体" w:cs="Times New Roman"/>
      <w:color w:val="333333"/>
    </w:rPr>
  </w:style>
  <w:style w:type="character" w:customStyle="1" w:styleId="363">
    <w:name w:val="Char Char17"/>
    <w:qFormat/>
    <w:uiPriority w:val="0"/>
    <w:rPr>
      <w:rFonts w:ascii="Times New Roman" w:hAnsi="Times New Roman" w:eastAsia="仿宋_GB2312" w:cs="Times New Roman"/>
      <w:sz w:val="24"/>
    </w:rPr>
  </w:style>
  <w:style w:type="character" w:customStyle="1" w:styleId="364">
    <w:name w:val="标题 4 字符"/>
    <w:qFormat/>
    <w:uiPriority w:val="0"/>
    <w:rPr>
      <w:rFonts w:ascii="等线 Light" w:hAnsi="等线 Light" w:eastAsia="等线 Light" w:cs="Times New Roman"/>
      <w:b/>
      <w:bCs/>
      <w:snapToGrid w:val="0"/>
      <w:kern w:val="0"/>
      <w:sz w:val="28"/>
      <w:szCs w:val="28"/>
    </w:rPr>
  </w:style>
  <w:style w:type="character" w:customStyle="1" w:styleId="365">
    <w:name w:val="Char Char37"/>
    <w:qFormat/>
    <w:uiPriority w:val="0"/>
    <w:rPr>
      <w:rFonts w:ascii="Times New Roman" w:hAnsi="Times New Roman" w:eastAsia="宋体" w:cs="Times New Roman"/>
      <w:b/>
      <w:kern w:val="1"/>
      <w:sz w:val="44"/>
      <w:szCs w:val="44"/>
    </w:rPr>
  </w:style>
  <w:style w:type="character" w:customStyle="1" w:styleId="366">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67">
    <w:name w:val="正文文本缩进 3 Char1"/>
    <w:qFormat/>
    <w:uiPriority w:val="0"/>
    <w:rPr>
      <w:rFonts w:ascii="Times New Roman" w:hAnsi="Times New Roman" w:eastAsia="宋体" w:cs="Times New Roman"/>
      <w:sz w:val="16"/>
      <w:szCs w:val="16"/>
    </w:rPr>
  </w:style>
  <w:style w:type="character" w:customStyle="1" w:styleId="368">
    <w:name w:val="公文正文 Char Char"/>
    <w:link w:val="369"/>
    <w:qFormat/>
    <w:uiPriority w:val="0"/>
    <w:rPr>
      <w:rFonts w:ascii="仿宋_GB2312" w:hAnsi="Times New Roman" w:eastAsia="仿宋_GB2312" w:cs="Times New Roman"/>
      <w:kern w:val="2"/>
      <w:sz w:val="24"/>
      <w:szCs w:val="24"/>
    </w:rPr>
  </w:style>
  <w:style w:type="paragraph" w:customStyle="1" w:styleId="369">
    <w:name w:val="公文正文"/>
    <w:basedOn w:val="1"/>
    <w:link w:val="368"/>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370">
    <w:name w:val="Table Text Char1"/>
    <w:qFormat/>
    <w:uiPriority w:val="0"/>
    <w:rPr>
      <w:rFonts w:ascii="Times New Roman" w:hAnsi="Times New Roman" w:eastAsia="宋体" w:cs="Times New Roman"/>
      <w:sz w:val="24"/>
      <w:szCs w:val="24"/>
      <w:lang w:val="en-US" w:eastAsia="zh-CN" w:bidi="ar-SA"/>
    </w:rPr>
  </w:style>
  <w:style w:type="character" w:customStyle="1" w:styleId="371">
    <w:name w:val="标题 1 Char Char"/>
    <w:qFormat/>
    <w:uiPriority w:val="0"/>
    <w:rPr>
      <w:rFonts w:hint="eastAsia" w:ascii="宋体" w:hAnsi="宋体" w:eastAsia="宋体" w:cs="Times New Roman"/>
      <w:b/>
      <w:spacing w:val="-2"/>
      <w:sz w:val="24"/>
      <w:lang w:val="en-US" w:eastAsia="zh-CN" w:bidi="ar-SA"/>
    </w:rPr>
  </w:style>
  <w:style w:type="character" w:customStyle="1" w:styleId="372">
    <w:name w:val="正文（缩进2汉字） Char"/>
    <w:link w:val="373"/>
    <w:qFormat/>
    <w:uiPriority w:val="0"/>
    <w:rPr>
      <w:rFonts w:ascii="宋体" w:hAnsi="Times New Roman" w:eastAsia="宋体" w:cs="Times New Roman"/>
    </w:rPr>
  </w:style>
  <w:style w:type="paragraph" w:customStyle="1" w:styleId="373">
    <w:name w:val="正文（缩进2汉字）"/>
    <w:basedOn w:val="1"/>
    <w:link w:val="372"/>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374">
    <w:name w:val="标书表格字体格式 Char"/>
    <w:qFormat/>
    <w:uiPriority w:val="0"/>
    <w:rPr>
      <w:rFonts w:ascii="Times New Roman" w:hAnsi="Times New Roman" w:eastAsia="宋体" w:cs="Times New Roman"/>
      <w:kern w:val="2"/>
      <w:sz w:val="21"/>
      <w:szCs w:val="24"/>
      <w:lang w:bidi="ar-SA"/>
    </w:rPr>
  </w:style>
  <w:style w:type="character" w:customStyle="1" w:styleId="375">
    <w:name w:val="tw4winError"/>
    <w:qFormat/>
    <w:uiPriority w:val="0"/>
    <w:rPr>
      <w:rFonts w:ascii="Courier New" w:hAnsi="Courier New" w:eastAsia="宋体" w:cs="Courier New"/>
      <w:color w:val="00FF00"/>
      <w:sz w:val="40"/>
      <w:szCs w:val="40"/>
    </w:rPr>
  </w:style>
  <w:style w:type="character" w:customStyle="1" w:styleId="376">
    <w:name w:val="Body Text(ch) Char Char"/>
    <w:qFormat/>
    <w:uiPriority w:val="0"/>
    <w:rPr>
      <w:rFonts w:ascii="宋体" w:hAnsi="Times New Roman" w:eastAsia="宋体" w:cs="Times New Roman"/>
      <w:kern w:val="2"/>
      <w:sz w:val="24"/>
      <w:szCs w:val="21"/>
      <w:lang w:val="zh-CN"/>
    </w:rPr>
  </w:style>
  <w:style w:type="character" w:customStyle="1" w:styleId="377">
    <w:name w:val="正文首行缩进两字 Char"/>
    <w:qFormat/>
    <w:uiPriority w:val="0"/>
    <w:rPr>
      <w:rFonts w:ascii="Times New Roman" w:hAnsi="Times New Roman" w:eastAsia="宋体" w:cs="Times New Roman"/>
      <w:sz w:val="24"/>
      <w:szCs w:val="24"/>
      <w:lang w:val="en-US" w:eastAsia="zh-CN" w:bidi="ar-SA"/>
    </w:rPr>
  </w:style>
  <w:style w:type="character" w:customStyle="1" w:styleId="378">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79">
    <w:name w:val="文档结构图 字符1"/>
    <w:qFormat/>
    <w:uiPriority w:val="0"/>
    <w:rPr>
      <w:rFonts w:ascii="宋体" w:hAnsi="Calibri" w:eastAsia="黑体" w:cs="Arial"/>
      <w:snapToGrid w:val="0"/>
      <w:kern w:val="2"/>
      <w:sz w:val="18"/>
      <w:szCs w:val="18"/>
    </w:rPr>
  </w:style>
  <w:style w:type="character" w:customStyle="1" w:styleId="380">
    <w:name w:val="content"/>
    <w:qFormat/>
    <w:uiPriority w:val="0"/>
    <w:rPr>
      <w:rFonts w:ascii="Times New Roman" w:hAnsi="Times New Roman" w:eastAsia="宋体" w:cs="Times New Roman"/>
    </w:rPr>
  </w:style>
  <w:style w:type="character" w:customStyle="1" w:styleId="381">
    <w:name w:val="tw4winPopup"/>
    <w:qFormat/>
    <w:uiPriority w:val="0"/>
    <w:rPr>
      <w:rFonts w:ascii="Courier New" w:hAnsi="Courier New" w:eastAsia="宋体" w:cs="Courier New"/>
      <w:color w:val="008000"/>
      <w:lang w:val="en-US" w:eastAsia="zh-CN"/>
    </w:rPr>
  </w:style>
  <w:style w:type="character" w:customStyle="1" w:styleId="382">
    <w:name w:val="param-name"/>
    <w:qFormat/>
    <w:uiPriority w:val="0"/>
    <w:rPr>
      <w:rFonts w:ascii="Arial" w:hAnsi="Arial" w:eastAsia="黑体" w:cs="Arial"/>
      <w:snapToGrid w:val="0"/>
      <w:kern w:val="0"/>
      <w:szCs w:val="21"/>
    </w:rPr>
  </w:style>
  <w:style w:type="character" w:customStyle="1" w:styleId="383">
    <w:name w:val="标准正文格式 Char"/>
    <w:qFormat/>
    <w:uiPriority w:val="0"/>
    <w:rPr>
      <w:rFonts w:ascii="宋体" w:hAnsi="Times New Roman" w:eastAsia="仿宋_GB2312" w:cs="宋体"/>
      <w:color w:val="000000"/>
      <w:sz w:val="24"/>
      <w:lang w:val="en-US" w:eastAsia="zh-CN" w:bidi="ar-SA"/>
    </w:rPr>
  </w:style>
  <w:style w:type="character" w:customStyle="1" w:styleId="384">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385">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86">
    <w:name w:val="zbggmain style9"/>
    <w:qFormat/>
    <w:uiPriority w:val="0"/>
    <w:rPr>
      <w:rFonts w:ascii="Times New Roman" w:hAnsi="Times New Roman" w:eastAsia="宋体" w:cs="Times New Roman"/>
    </w:rPr>
  </w:style>
  <w:style w:type="character" w:customStyle="1" w:styleId="387">
    <w:name w:val="Char Char16"/>
    <w:qFormat/>
    <w:uiPriority w:val="0"/>
    <w:rPr>
      <w:rFonts w:ascii="Times New Roman" w:hAnsi="Times New Roman" w:eastAsia="宋体" w:cs="Times New Roman"/>
      <w:kern w:val="1"/>
      <w:sz w:val="18"/>
      <w:szCs w:val="18"/>
    </w:rPr>
  </w:style>
  <w:style w:type="character" w:customStyle="1" w:styleId="388">
    <w:name w:val="font51"/>
    <w:qFormat/>
    <w:uiPriority w:val="0"/>
    <w:rPr>
      <w:rFonts w:hint="eastAsia" w:ascii="仿宋" w:hAnsi="仿宋" w:eastAsia="仿宋" w:cs="仿宋"/>
      <w:color w:val="000000"/>
      <w:sz w:val="20"/>
      <w:szCs w:val="20"/>
      <w:u w:val="none"/>
    </w:rPr>
  </w:style>
  <w:style w:type="character" w:customStyle="1" w:styleId="389">
    <w:name w:val="Char Char82"/>
    <w:qFormat/>
    <w:uiPriority w:val="0"/>
    <w:rPr>
      <w:rFonts w:ascii="Times New Roman" w:hAnsi="Times New Roman" w:eastAsia="宋体" w:cs="Times New Roman"/>
      <w:b/>
      <w:sz w:val="24"/>
      <w:lang w:val="en-GB" w:eastAsia="zh-CN"/>
    </w:rPr>
  </w:style>
  <w:style w:type="character" w:customStyle="1" w:styleId="390">
    <w:name w:val="日期 Char1"/>
    <w:qFormat/>
    <w:uiPriority w:val="0"/>
    <w:rPr>
      <w:rFonts w:ascii="Times New Roman" w:hAnsi="Times New Roman" w:eastAsia="宋体" w:cs="Times New Roman"/>
      <w:szCs w:val="24"/>
    </w:rPr>
  </w:style>
  <w:style w:type="character" w:customStyle="1" w:styleId="391">
    <w:name w:val="页眉 字符"/>
    <w:qFormat/>
    <w:uiPriority w:val="0"/>
    <w:rPr>
      <w:rFonts w:ascii="Times New Roman" w:hAnsi="Times New Roman" w:eastAsia="宋体" w:cs="Times New Roman"/>
      <w:kern w:val="2"/>
      <w:sz w:val="18"/>
      <w:szCs w:val="18"/>
    </w:rPr>
  </w:style>
  <w:style w:type="character" w:customStyle="1" w:styleId="392">
    <w:name w:val="Char Char33"/>
    <w:qFormat/>
    <w:uiPriority w:val="0"/>
    <w:rPr>
      <w:rFonts w:ascii="Arial" w:hAnsi="Arial" w:eastAsia="黑体" w:cs="Times New Roman"/>
      <w:b/>
      <w:kern w:val="1"/>
      <w:sz w:val="24"/>
      <w:szCs w:val="24"/>
    </w:rPr>
  </w:style>
  <w:style w:type="character" w:customStyle="1" w:styleId="393">
    <w:name w:val="b11_01b Char"/>
    <w:link w:val="394"/>
    <w:qFormat/>
    <w:uiPriority w:val="0"/>
    <w:rPr>
      <w:rFonts w:ascii="Verdana" w:hAnsi="Verdana" w:eastAsia="宋体" w:cs="Times New Roman"/>
      <w:b/>
      <w:bCs/>
      <w:color w:val="4A82CA"/>
      <w:sz w:val="17"/>
      <w:szCs w:val="17"/>
    </w:rPr>
  </w:style>
  <w:style w:type="paragraph" w:customStyle="1" w:styleId="394">
    <w:name w:val="b11_01b"/>
    <w:basedOn w:val="1"/>
    <w:next w:val="1"/>
    <w:link w:val="393"/>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95">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396">
    <w:name w:val="Footer-Even Char"/>
    <w:qFormat/>
    <w:uiPriority w:val="0"/>
    <w:rPr>
      <w:rFonts w:ascii="Times New Roman" w:hAnsi="Times New Roman" w:eastAsia="宋体" w:cs="Times New Roman"/>
      <w:kern w:val="2"/>
      <w:sz w:val="18"/>
      <w:lang w:val="en-US" w:eastAsia="zh-CN" w:bidi="ar-SA"/>
    </w:rPr>
  </w:style>
  <w:style w:type="character" w:customStyle="1" w:styleId="397">
    <w:name w:val="Char Char36"/>
    <w:qFormat/>
    <w:uiPriority w:val="0"/>
    <w:rPr>
      <w:rFonts w:ascii="仿宋_GB2312" w:hAnsi="仿宋_GB2312" w:eastAsia="仿宋_GB2312" w:cs="Arial"/>
      <w:b/>
      <w:kern w:val="1"/>
      <w:sz w:val="32"/>
      <w:szCs w:val="32"/>
      <w:lang w:val="zh-CN" w:eastAsia="zh-CN" w:bidi="ar-SA"/>
    </w:rPr>
  </w:style>
  <w:style w:type="character" w:customStyle="1" w:styleId="398">
    <w:name w:val="Char Char61"/>
    <w:qFormat/>
    <w:uiPriority w:val="0"/>
    <w:rPr>
      <w:rFonts w:ascii="Times New Roman" w:hAnsi="Times New Roman" w:eastAsia="宋体" w:cs="Times New Roman"/>
      <w:kern w:val="2"/>
      <w:sz w:val="21"/>
      <w:szCs w:val="24"/>
      <w:lang w:val="en-US" w:eastAsia="zh-CN" w:bidi="ar-SA"/>
    </w:rPr>
  </w:style>
  <w:style w:type="character" w:customStyle="1" w:styleId="399">
    <w:name w:val="正文文字缩进 2 Char Char"/>
    <w:qFormat/>
    <w:uiPriority w:val="0"/>
    <w:rPr>
      <w:rFonts w:ascii="宋体" w:hAnsi="Times New Roman" w:eastAsia="宋体" w:cs="Times New Roman"/>
      <w:sz w:val="28"/>
    </w:rPr>
  </w:style>
  <w:style w:type="character" w:customStyle="1" w:styleId="400">
    <w:name w:val="f141"/>
    <w:qFormat/>
    <w:uiPriority w:val="0"/>
    <w:rPr>
      <w:rFonts w:ascii="Tahoma" w:hAnsi="Tahoma" w:eastAsia="宋体" w:cs="Times New Roman"/>
      <w:b/>
      <w:kern w:val="2"/>
      <w:sz w:val="21"/>
      <w:szCs w:val="21"/>
      <w:lang w:val="en-US" w:eastAsia="zh-CN" w:bidi="ar-SA"/>
    </w:rPr>
  </w:style>
  <w:style w:type="character" w:customStyle="1" w:styleId="401">
    <w:name w:val="段落 Char Char"/>
    <w:link w:val="402"/>
    <w:qFormat/>
    <w:uiPriority w:val="0"/>
    <w:rPr>
      <w:rFonts w:ascii="宋体" w:hAnsi="宋体" w:eastAsia="宋体" w:cs="Times New Roman"/>
      <w:sz w:val="24"/>
    </w:rPr>
  </w:style>
  <w:style w:type="paragraph" w:customStyle="1" w:styleId="402">
    <w:name w:val="段落"/>
    <w:basedOn w:val="1"/>
    <w:link w:val="401"/>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403">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404">
    <w:name w:val="apple-converted-space"/>
    <w:qFormat/>
    <w:uiPriority w:val="0"/>
    <w:rPr>
      <w:rFonts w:ascii="Times New Roman" w:hAnsi="Times New Roman" w:eastAsia="宋体" w:cs="Times New Roman"/>
    </w:rPr>
  </w:style>
  <w:style w:type="character" w:customStyle="1" w:styleId="405">
    <w:name w:val="Char Char9"/>
    <w:qFormat/>
    <w:uiPriority w:val="0"/>
    <w:rPr>
      <w:rFonts w:ascii="Times New Roman" w:hAnsi="Times New Roman" w:eastAsia="宋体" w:cs="Times New Roman"/>
      <w:kern w:val="2"/>
      <w:sz w:val="18"/>
      <w:szCs w:val="18"/>
      <w:lang w:val="en-US" w:eastAsia="zh-CN" w:bidi="ar-SA"/>
    </w:rPr>
  </w:style>
  <w:style w:type="character" w:customStyle="1" w:styleId="406">
    <w:name w:val="Char Char41"/>
    <w:qFormat/>
    <w:uiPriority w:val="0"/>
    <w:rPr>
      <w:rFonts w:ascii="Times New Roman" w:hAnsi="Times New Roman" w:eastAsia="宋体" w:cs="Times New Roman"/>
      <w:b/>
      <w:sz w:val="24"/>
      <w:lang w:val="en-GB" w:eastAsia="zh-CN" w:bidi="ar-SA"/>
    </w:rPr>
  </w:style>
  <w:style w:type="character" w:customStyle="1" w:styleId="407">
    <w:name w:val="large1"/>
    <w:qFormat/>
    <w:uiPriority w:val="0"/>
    <w:rPr>
      <w:rFonts w:hint="eastAsia" w:ascii="宋体" w:hAnsi="宋体" w:eastAsia="宋体" w:cs="Times New Roman"/>
      <w:sz w:val="21"/>
      <w:szCs w:val="21"/>
    </w:rPr>
  </w:style>
  <w:style w:type="character" w:customStyle="1" w:styleId="408">
    <w:name w:val="正文段 Char"/>
    <w:link w:val="409"/>
    <w:qFormat/>
    <w:uiPriority w:val="0"/>
    <w:rPr>
      <w:rFonts w:ascii="Times New Roman" w:hAnsi="Times New Roman" w:eastAsia="宋体" w:cs="Times New Roman"/>
      <w:sz w:val="24"/>
    </w:rPr>
  </w:style>
  <w:style w:type="paragraph" w:customStyle="1" w:styleId="409">
    <w:name w:val="正文段"/>
    <w:basedOn w:val="1"/>
    <w:link w:val="408"/>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410">
    <w:name w:val="Char Char13"/>
    <w:qFormat/>
    <w:uiPriority w:val="0"/>
    <w:rPr>
      <w:rFonts w:ascii="宋体" w:hAnsi="宋体" w:eastAsia="宋体" w:cs="Times New Roman"/>
      <w:kern w:val="1"/>
      <w:sz w:val="21"/>
      <w:szCs w:val="24"/>
    </w:rPr>
  </w:style>
  <w:style w:type="character" w:customStyle="1" w:styleId="4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2">
    <w:name w:val="冯广丽 Char"/>
    <w:link w:val="413"/>
    <w:qFormat/>
    <w:uiPriority w:val="0"/>
    <w:rPr>
      <w:rFonts w:ascii="宋体" w:hAnsi="宋体" w:eastAsia="宋体" w:cs="Times New Roman"/>
      <w:kern w:val="2"/>
      <w:sz w:val="24"/>
      <w:szCs w:val="22"/>
    </w:rPr>
  </w:style>
  <w:style w:type="paragraph" w:customStyle="1" w:styleId="413">
    <w:name w:val="冯广丽"/>
    <w:basedOn w:val="1"/>
    <w:link w:val="412"/>
    <w:qFormat/>
    <w:uiPriority w:val="0"/>
    <w:pPr>
      <w:adjustRightInd/>
      <w:spacing w:line="360" w:lineRule="auto"/>
      <w:ind w:firstLine="480" w:firstLineChars="200"/>
    </w:pPr>
    <w:rPr>
      <w:rFonts w:ascii="宋体" w:hAnsi="宋体" w:eastAsia="宋体" w:cs="Times New Roman"/>
      <w:sz w:val="24"/>
      <w:szCs w:val="22"/>
    </w:rPr>
  </w:style>
  <w:style w:type="character" w:customStyle="1" w:styleId="414">
    <w:name w:val="批注文字 字符"/>
    <w:qFormat/>
    <w:uiPriority w:val="0"/>
    <w:rPr>
      <w:rFonts w:ascii="Arial" w:hAnsi="Arial" w:eastAsia="黑体" w:cs="Arial"/>
      <w:snapToGrid w:val="0"/>
      <w:kern w:val="0"/>
      <w:szCs w:val="21"/>
    </w:rPr>
  </w:style>
  <w:style w:type="character" w:customStyle="1" w:styleId="415">
    <w:name w:val="Char Char161"/>
    <w:qFormat/>
    <w:uiPriority w:val="0"/>
    <w:rPr>
      <w:rFonts w:ascii="Times New Roman" w:hAnsi="Times New Roman" w:eastAsia="宋体" w:cs="Times New Roman"/>
      <w:b/>
      <w:kern w:val="2"/>
      <w:sz w:val="32"/>
      <w:lang w:val="en-US" w:eastAsia="zh-CN"/>
    </w:rPr>
  </w:style>
  <w:style w:type="character" w:customStyle="1" w:styleId="416">
    <w:name w:val="javascript"/>
    <w:qFormat/>
    <w:uiPriority w:val="0"/>
    <w:rPr>
      <w:rFonts w:ascii="Times New Roman" w:hAnsi="Times New Roman" w:eastAsia="宋体" w:cs="Times New Roman"/>
    </w:rPr>
  </w:style>
  <w:style w:type="character" w:customStyle="1" w:styleId="417">
    <w:name w:val="图名 Char"/>
    <w:qFormat/>
    <w:uiPriority w:val="0"/>
    <w:rPr>
      <w:rFonts w:ascii="Arial" w:hAnsi="Arial" w:eastAsia="黑体" w:cs="Times New Roman"/>
      <w:kern w:val="2"/>
      <w:sz w:val="24"/>
      <w:szCs w:val="24"/>
      <w:lang w:val="en-US" w:eastAsia="zh-CN" w:bidi="ar-SA"/>
    </w:rPr>
  </w:style>
  <w:style w:type="character" w:customStyle="1" w:styleId="418">
    <w:name w:val="Used by Word for text of Help footnotes Char Char"/>
    <w:qFormat/>
    <w:uiPriority w:val="0"/>
    <w:rPr>
      <w:rFonts w:ascii="Times New Roman" w:hAnsi="Times New Roman" w:eastAsia="宋体" w:cs="Times New Roman"/>
      <w:sz w:val="20"/>
      <w:szCs w:val="20"/>
    </w:rPr>
  </w:style>
  <w:style w:type="character" w:customStyle="1" w:styleId="419">
    <w:name w:val="编号，小四 Char"/>
    <w:link w:val="420"/>
    <w:qFormat/>
    <w:uiPriority w:val="0"/>
    <w:rPr>
      <w:rFonts w:ascii="Arial" w:hAnsi="Arial" w:eastAsia="宋体" w:cs="Times New Roman"/>
      <w:sz w:val="24"/>
    </w:rPr>
  </w:style>
  <w:style w:type="paragraph" w:customStyle="1" w:styleId="420">
    <w:name w:val="编号，小四"/>
    <w:basedOn w:val="1"/>
    <w:link w:val="419"/>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421">
    <w:name w:val="Font Style82"/>
    <w:qFormat/>
    <w:uiPriority w:val="0"/>
    <w:rPr>
      <w:rFonts w:ascii="宋体" w:hAnsi="Times New Roman" w:eastAsia="宋体" w:cs="宋体"/>
      <w:color w:val="000000"/>
      <w:sz w:val="14"/>
      <w:szCs w:val="14"/>
    </w:rPr>
  </w:style>
  <w:style w:type="character" w:customStyle="1" w:styleId="422">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423">
    <w:name w:val="未用 Char"/>
    <w:qFormat/>
    <w:uiPriority w:val="0"/>
    <w:rPr>
      <w:rFonts w:ascii="Arial" w:hAnsi="Arial" w:eastAsia="黑体" w:cs="Times New Roman"/>
      <w:kern w:val="2"/>
      <w:sz w:val="21"/>
      <w:szCs w:val="21"/>
      <w:lang w:val="en-US" w:eastAsia="zh-CN" w:bidi="ar-SA"/>
    </w:rPr>
  </w:style>
  <w:style w:type="character" w:customStyle="1" w:styleId="424">
    <w:name w:val="myp1111"/>
    <w:qFormat/>
    <w:uiPriority w:val="0"/>
    <w:rPr>
      <w:rFonts w:hint="default" w:ascii="ˎ̥" w:hAnsi="ˎ̥" w:eastAsia="宋体" w:cs="Times New Roman"/>
      <w:color w:val="000000"/>
      <w:sz w:val="20"/>
      <w:szCs w:val="20"/>
      <w:u w:val="none"/>
    </w:rPr>
  </w:style>
  <w:style w:type="character" w:customStyle="1" w:styleId="425">
    <w:name w:val="h Char Char"/>
    <w:qFormat/>
    <w:uiPriority w:val="0"/>
    <w:rPr>
      <w:rFonts w:ascii="Times New Roman" w:hAnsi="Times New Roman" w:eastAsia="宋体" w:cs="Times New Roman"/>
      <w:kern w:val="2"/>
      <w:sz w:val="18"/>
      <w:lang w:val="en-US" w:eastAsia="zh-CN" w:bidi="ar-SA"/>
    </w:rPr>
  </w:style>
  <w:style w:type="character" w:customStyle="1" w:styleId="426">
    <w:name w:val="仿宋正文 Char"/>
    <w:link w:val="427"/>
    <w:qFormat/>
    <w:uiPriority w:val="0"/>
    <w:rPr>
      <w:rFonts w:ascii="仿宋_GB2312" w:hAnsi="Times New Roman" w:eastAsia="仿宋_GB2312" w:cs="Times New Roman"/>
      <w:kern w:val="2"/>
      <w:sz w:val="24"/>
      <w:lang w:val="en-US" w:eastAsia="zh-CN" w:bidi="ar-SA"/>
    </w:rPr>
  </w:style>
  <w:style w:type="paragraph" w:customStyle="1" w:styleId="427">
    <w:name w:val="仿宋正文"/>
    <w:basedOn w:val="1"/>
    <w:link w:val="426"/>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428">
    <w:name w:val="正文首行缩进 Char Char Char Char Char Char"/>
    <w:qFormat/>
    <w:uiPriority w:val="0"/>
    <w:rPr>
      <w:rFonts w:ascii="宋体" w:hAnsi="Times New Roman" w:eastAsia="宋体" w:cs="Times New Roman"/>
      <w:kern w:val="2"/>
      <w:sz w:val="24"/>
      <w:lang w:val="zh-CN" w:bidi="ar-SA"/>
    </w:rPr>
  </w:style>
  <w:style w:type="character" w:customStyle="1" w:styleId="429">
    <w:name w:val="样式 宋体"/>
    <w:qFormat/>
    <w:uiPriority w:val="0"/>
    <w:rPr>
      <w:rFonts w:ascii="宋体" w:hAnsi="宋体" w:eastAsia="宋体" w:cs="Times New Roman"/>
      <w:sz w:val="24"/>
    </w:rPr>
  </w:style>
  <w:style w:type="character" w:customStyle="1" w:styleId="430">
    <w:name w:val="tw4winJump"/>
    <w:qFormat/>
    <w:uiPriority w:val="0"/>
    <w:rPr>
      <w:rFonts w:ascii="Courier New" w:hAnsi="Courier New" w:eastAsia="宋体" w:cs="Courier New"/>
      <w:color w:val="008080"/>
      <w:lang w:val="en-US" w:eastAsia="zh-CN"/>
    </w:rPr>
  </w:style>
  <w:style w:type="character" w:customStyle="1" w:styleId="431">
    <w:name w:val="标题 1 字符"/>
    <w:qFormat/>
    <w:uiPriority w:val="0"/>
    <w:rPr>
      <w:rFonts w:ascii="Arial" w:hAnsi="Arial" w:eastAsia="黑体" w:cs="Arial"/>
      <w:b/>
      <w:bCs/>
      <w:snapToGrid w:val="0"/>
      <w:kern w:val="44"/>
      <w:sz w:val="44"/>
      <w:szCs w:val="44"/>
    </w:rPr>
  </w:style>
  <w:style w:type="character" w:customStyle="1" w:styleId="432">
    <w:name w:val="style36"/>
    <w:qFormat/>
    <w:uiPriority w:val="0"/>
    <w:rPr>
      <w:rFonts w:ascii="Arial" w:hAnsi="Arial" w:eastAsia="黑体" w:cs="Arial"/>
      <w:snapToGrid w:val="0"/>
      <w:kern w:val="0"/>
      <w:szCs w:val="21"/>
    </w:rPr>
  </w:style>
  <w:style w:type="character" w:customStyle="1" w:styleId="433">
    <w:name w:val="pt9"/>
    <w:qFormat/>
    <w:uiPriority w:val="0"/>
    <w:rPr>
      <w:rFonts w:ascii="仿宋_GB2312" w:hAnsi="Times New Roman" w:eastAsia="微软雅黑" w:cs="Times New Roman"/>
      <w:b/>
      <w:kern w:val="2"/>
      <w:sz w:val="32"/>
      <w:szCs w:val="32"/>
      <w:lang w:val="en-US" w:eastAsia="zh-CN" w:bidi="ar-SA"/>
    </w:rPr>
  </w:style>
  <w:style w:type="character" w:customStyle="1" w:styleId="434">
    <w:name w:val="DO_NOT_TRANSLATE"/>
    <w:qFormat/>
    <w:uiPriority w:val="0"/>
    <w:rPr>
      <w:rFonts w:ascii="Courier New" w:hAnsi="Courier New" w:eastAsia="宋体" w:cs="Courier New"/>
      <w:color w:val="800000"/>
      <w:lang w:val="en-US" w:eastAsia="zh-CN"/>
    </w:rPr>
  </w:style>
  <w:style w:type="character" w:customStyle="1" w:styleId="435">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436">
    <w:name w:val="页脚 字符"/>
    <w:qFormat/>
    <w:uiPriority w:val="0"/>
    <w:rPr>
      <w:rFonts w:ascii="Times New Roman" w:hAnsi="Times New Roman" w:eastAsia="宋体" w:cs="Times New Roman"/>
      <w:kern w:val="2"/>
      <w:sz w:val="18"/>
      <w:szCs w:val="18"/>
    </w:rPr>
  </w:style>
  <w:style w:type="character" w:customStyle="1" w:styleId="437">
    <w:name w:val="正文2 Char"/>
    <w:qFormat/>
    <w:uiPriority w:val="0"/>
    <w:rPr>
      <w:rFonts w:ascii="Times New Roman" w:hAnsi="Times New Roman" w:eastAsia="宋体" w:cs="Times New Roman"/>
      <w:kern w:val="2"/>
      <w:sz w:val="24"/>
      <w:lang w:val="en-US" w:eastAsia="zh-CN" w:bidi="ar-SA"/>
    </w:rPr>
  </w:style>
  <w:style w:type="character" w:customStyle="1" w:styleId="438">
    <w:name w:val="Char Char21"/>
    <w:qFormat/>
    <w:uiPriority w:val="0"/>
    <w:rPr>
      <w:rFonts w:ascii="宋体" w:hAnsi="宋体" w:eastAsia="宋体" w:cs="Times New Roman"/>
      <w:kern w:val="1"/>
      <w:sz w:val="24"/>
      <w:szCs w:val="21"/>
      <w:lang w:val="zh-CN"/>
    </w:rPr>
  </w:style>
  <w:style w:type="character" w:customStyle="1" w:styleId="439">
    <w:name w:val="样式 正文缩进 + 首行缩进:  2 字符 Char Char"/>
    <w:link w:val="440"/>
    <w:qFormat/>
    <w:uiPriority w:val="0"/>
    <w:rPr>
      <w:rFonts w:ascii="Times New Roman" w:hAnsi="Times New Roman" w:eastAsia="宋体" w:cs="宋体"/>
      <w:kern w:val="2"/>
      <w:sz w:val="24"/>
    </w:rPr>
  </w:style>
  <w:style w:type="paragraph" w:customStyle="1" w:styleId="440">
    <w:name w:val="样式 正文缩进 + 首行缩进:  2 字符"/>
    <w:basedOn w:val="16"/>
    <w:link w:val="439"/>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41">
    <w:name w:val="gray6"/>
    <w:qFormat/>
    <w:uiPriority w:val="0"/>
    <w:rPr>
      <w:rFonts w:ascii="Arial" w:hAnsi="Arial" w:eastAsia="黑体" w:cs="Arial"/>
      <w:snapToGrid w:val="0"/>
      <w:kern w:val="0"/>
      <w:szCs w:val="21"/>
    </w:rPr>
  </w:style>
  <w:style w:type="character" w:customStyle="1" w:styleId="442">
    <w:name w:val="hui"/>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eastAsia="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eastAsia="宋体" w:cs="宋体"/>
      <w:b/>
      <w:bCs/>
      <w:sz w:val="24"/>
      <w:szCs w:val="20"/>
    </w:rPr>
  </w:style>
  <w:style w:type="paragraph" w:customStyle="1" w:styleId="451">
    <w:name w:val="标题4_自定义"/>
    <w:basedOn w:val="5"/>
    <w:qFormat/>
    <w:uiPriority w:val="0"/>
    <w:pPr>
      <w:adjustRightInd/>
      <w:spacing w:before="0" w:after="0" w:line="360" w:lineRule="auto"/>
    </w:pPr>
    <w:rPr>
      <w:rFonts w:ascii="Verdana" w:hAnsi="Times New Roman" w:eastAsia="Verdana" w:cs="Times New Roman"/>
      <w:sz w:val="21"/>
      <w:lang w:val="en-US"/>
    </w:rPr>
  </w:style>
  <w:style w:type="paragraph" w:customStyle="1" w:styleId="452">
    <w:name w:val="My正文"/>
    <w:basedOn w:val="1"/>
    <w:qFormat/>
    <w:uiPriority w:val="0"/>
    <w:pPr>
      <w:spacing w:before="120" w:line="360" w:lineRule="auto"/>
      <w:ind w:firstLine="567"/>
    </w:pPr>
    <w:rPr>
      <w:rFonts w:ascii="Arial" w:hAnsi="Arial" w:eastAsia="宋体" w:cs="Times New Roman"/>
      <w:sz w:val="20"/>
      <w:szCs w:val="20"/>
    </w:rPr>
  </w:style>
  <w:style w:type="paragraph" w:customStyle="1" w:styleId="453">
    <w:name w:val="正文 内标 序号标"/>
    <w:basedOn w:val="452"/>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2">
    <w:name w:val="Char1 Char Char Char5"/>
    <w:basedOn w:val="1"/>
    <w:qFormat/>
    <w:uiPriority w:val="0"/>
    <w:pPr>
      <w:adjustRightInd/>
      <w:ind w:firstLine="200" w:firstLineChars="200"/>
    </w:pPr>
    <w:rPr>
      <w:rFonts w:ascii="Tahoma" w:hAnsi="Tahoma" w:eastAsia="宋体" w:cs="Times New Roman"/>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465">
    <w:name w:val="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466">
    <w:name w:val="Char Char11 Char Char Char"/>
    <w:basedOn w:val="1"/>
    <w:qFormat/>
    <w:uiPriority w:val="0"/>
    <w:pPr>
      <w:spacing w:line="360" w:lineRule="auto"/>
    </w:pPr>
    <w:rPr>
      <w:rFonts w:ascii="Times New Roman" w:hAnsi="Times New Roman" w:eastAsia="宋体" w:cs="Times New Roman"/>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470">
    <w:name w:val="样式3"/>
    <w:basedOn w:val="469"/>
    <w:qFormat/>
    <w:uiPriority w:val="0"/>
    <w:pPr>
      <w:spacing w:before="312" w:beforeLines="100"/>
      <w:jc w:val="left"/>
    </w:pPr>
    <w:rPr>
      <w:rFonts w:ascii="Times New Roman" w:hAnsi="Times New Roman" w:eastAsia="宋体" w:cs="Times New Roman"/>
    </w:rPr>
  </w:style>
  <w:style w:type="paragraph" w:customStyle="1" w:styleId="471">
    <w:name w:val="Char Char1 Char Char1 Char Char1"/>
    <w:basedOn w:val="1"/>
    <w:qFormat/>
    <w:uiPriority w:val="0"/>
    <w:pPr>
      <w:tabs>
        <w:tab w:val="left" w:pos="840"/>
      </w:tabs>
      <w:ind w:left="840" w:hanging="420"/>
    </w:pPr>
    <w:rPr>
      <w:rFonts w:ascii="Tahoma" w:hAnsi="Tahoma" w:eastAsia="宋体" w:cs="Times New Roman"/>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47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hAnsi="Times New Roman"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476">
    <w:name w:val="Test2"/>
    <w:basedOn w:val="3"/>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78">
    <w:name w:val="Char1"/>
    <w:basedOn w:val="1"/>
    <w:qFormat/>
    <w:uiPriority w:val="0"/>
    <w:rPr>
      <w:rFonts w:ascii="仿宋_GB2312" w:hAnsi="Times New Roman" w:eastAsia="仿宋_GB2312" w:cs="Times New Roman"/>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rFonts w:ascii="Times New Roman" w:hAnsi="Times New Roman" w:eastAsia="宋体" w:cs="Times New Roman"/>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eastAsia="宋体" w:cs="Times New Roman"/>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4级标题"/>
    <w:basedOn w:val="12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5级标题"/>
    <w:basedOn w:val="483"/>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485">
    <w:name w:val="6级标题"/>
    <w:basedOn w:val="484"/>
    <w:qFormat/>
    <w:uiPriority w:val="0"/>
    <w:pPr>
      <w:keepNext/>
      <w:spacing w:before="0" w:after="0"/>
      <w:outlineLvl w:val="5"/>
    </w:pPr>
    <w:rPr>
      <w:rFonts w:ascii="Times New Roman" w:hAnsi="Times New Roman" w:eastAsia="宋体" w:cs="Times New Roman"/>
    </w:rPr>
  </w:style>
  <w:style w:type="paragraph" w:customStyle="1" w:styleId="486">
    <w:name w:val="样式 正文文本缩进 + 段前: 2 字符"/>
    <w:basedOn w:val="1"/>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487">
    <w:name w:val="Char2 Char Char"/>
    <w:basedOn w:val="1"/>
    <w:qFormat/>
    <w:uiPriority w:val="0"/>
    <w:pPr>
      <w:adjustRightInd/>
    </w:pPr>
    <w:rPr>
      <w:rFonts w:ascii="Tahoma" w:hAnsi="Tahoma" w:eastAsia="宋体" w:cs="Times New Roman"/>
      <w:sz w:val="24"/>
      <w:szCs w:val="20"/>
    </w:rPr>
  </w:style>
  <w:style w:type="paragraph" w:customStyle="1" w:styleId="488">
    <w:name w:val="_Style 11"/>
    <w:basedOn w:val="1"/>
    <w:qFormat/>
    <w:uiPriority w:val="0"/>
    <w:pPr>
      <w:adjustRightInd/>
      <w:ind w:firstLine="420" w:firstLineChars="200"/>
    </w:pPr>
    <w:rPr>
      <w:rFonts w:ascii="Times New Roman" w:hAnsi="Times New Roman" w:eastAsia="仿宋_GB2312" w:cs="Times New Roman"/>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eastAsia="宋体" w:cs="Times New Roman"/>
      <w:sz w:val="24"/>
      <w:szCs w:val="20"/>
    </w:rPr>
  </w:style>
  <w:style w:type="paragraph" w:customStyle="1" w:styleId="491">
    <w:name w:val="数字标题6"/>
    <w:basedOn w:val="7"/>
    <w:next w:val="1"/>
    <w:qFormat/>
    <w:uiPriority w:val="0"/>
    <w:pPr>
      <w:tabs>
        <w:tab w:val="left" w:pos="1080"/>
      </w:tabs>
      <w:ind w:left="1080" w:hanging="1080"/>
    </w:pPr>
    <w:rPr>
      <w:rFonts w:ascii="Times New Roman" w:hAnsi="Times New Roman" w:eastAsia="宋体" w:cs="Times New Roman"/>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3">
    <w:name w:val="No Spacing"/>
    <w:basedOn w:val="1"/>
    <w:link w:val="494"/>
    <w:qFormat/>
    <w:uiPriority w:val="0"/>
    <w:rPr>
      <w:rFonts w:ascii="Times New Roman" w:hAnsi="Times New Roman" w:eastAsia="宋体" w:cs="Times New Roman"/>
      <w:szCs w:val="22"/>
    </w:rPr>
  </w:style>
  <w:style w:type="character" w:customStyle="1" w:styleId="494">
    <w:name w:val="无间隔 字符"/>
    <w:link w:val="493"/>
    <w:qFormat/>
    <w:uiPriority w:val="0"/>
    <w:rPr>
      <w:rFonts w:ascii="Times New Roman" w:hAnsi="Times New Roman" w:eastAsia="宋体" w:cs="Times New Roman"/>
      <w:kern w:val="2"/>
      <w:sz w:val="21"/>
      <w:szCs w:val="22"/>
    </w:rPr>
  </w:style>
  <w:style w:type="paragraph" w:customStyle="1" w:styleId="49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6">
    <w:name w:val="Char Char Char Char Char Char Char Char Char Char Char Char1 Char1"/>
    <w:basedOn w:val="1"/>
    <w:qFormat/>
    <w:uiPriority w:val="0"/>
    <w:rPr>
      <w:rFonts w:ascii="Tahoma" w:hAnsi="Tahoma" w:eastAsia="宋体" w:cs="仿宋_GB2312"/>
      <w:sz w:val="24"/>
      <w:szCs w:val="20"/>
    </w:rPr>
  </w:style>
  <w:style w:type="paragraph" w:customStyle="1" w:styleId="49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8">
    <w:name w:val="Char Char1 Char1"/>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4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500">
    <w:name w:val="MM Topic 2"/>
    <w:basedOn w:val="3"/>
    <w:qFormat/>
    <w:uiPriority w:val="0"/>
    <w:pPr>
      <w:tabs>
        <w:tab w:val="left" w:pos="1260"/>
      </w:tabs>
      <w:ind w:left="1260" w:hanging="420"/>
    </w:pPr>
    <w:rPr>
      <w:rFonts w:ascii="Arial" w:hAnsi="Arial" w:eastAsia="黑体" w:cs="Times New Roman"/>
      <w:lang w:val="en-US"/>
    </w:rPr>
  </w:style>
  <w:style w:type="paragraph" w:customStyle="1" w:styleId="501">
    <w:name w:val="五级无标题条"/>
    <w:basedOn w:val="1"/>
    <w:qFormat/>
    <w:uiPriority w:val="0"/>
    <w:pPr>
      <w:adjustRightInd/>
    </w:pPr>
    <w:rPr>
      <w:rFonts w:ascii="Times New Roman" w:hAnsi="Times New Roman" w:eastAsia="宋体" w:cs="Times New Roman"/>
    </w:rPr>
  </w:style>
  <w:style w:type="paragraph" w:customStyle="1" w:styleId="502">
    <w:name w:val="Char5"/>
    <w:basedOn w:val="1"/>
    <w:qFormat/>
    <w:uiPriority w:val="0"/>
    <w:rPr>
      <w:rFonts w:ascii="仿宋_GB2312" w:hAnsi="Times New Roman" w:eastAsia="仿宋_GB2312" w:cs="Times New Roman"/>
      <w:b/>
      <w:sz w:val="32"/>
      <w:szCs w:val="32"/>
    </w:rPr>
  </w:style>
  <w:style w:type="paragraph" w:customStyle="1" w:styleId="503">
    <w:name w:val="TOC 标题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04">
    <w:name w:val="彩色列表 - 强调文字颜色 12"/>
    <w:basedOn w:val="1"/>
    <w:qFormat/>
    <w:uiPriority w:val="0"/>
    <w:pPr>
      <w:adjustRightInd/>
      <w:ind w:firstLine="420" w:firstLineChars="200"/>
    </w:pPr>
    <w:rPr>
      <w:rFonts w:ascii="Calibri" w:hAnsi="Calibri" w:eastAsia="宋体" w:cs="Times New Roman"/>
      <w:szCs w:val="22"/>
    </w:rPr>
  </w:style>
  <w:style w:type="paragraph" w:customStyle="1" w:styleId="5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6">
    <w:name w:val="Char2"/>
    <w:basedOn w:val="1"/>
    <w:qFormat/>
    <w:uiPriority w:val="0"/>
    <w:rPr>
      <w:rFonts w:ascii="仿宋_GB2312" w:hAnsi="Times New Roman" w:eastAsia="仿宋_GB2312" w:cs="Times New Roman"/>
      <w:b/>
      <w:sz w:val="32"/>
      <w:szCs w:val="32"/>
    </w:rPr>
  </w:style>
  <w:style w:type="paragraph" w:customStyle="1" w:styleId="507">
    <w:name w:val="数字标题3"/>
    <w:basedOn w:val="4"/>
    <w:next w:val="1"/>
    <w:qFormat/>
    <w:uiPriority w:val="0"/>
    <w:pPr>
      <w:spacing w:line="240" w:lineRule="auto"/>
    </w:pPr>
    <w:rPr>
      <w:rFonts w:ascii="Times New Roman" w:hAnsi="Times New Roman" w:eastAsia="宋体" w:cs="Times New Roman"/>
      <w:sz w:val="28"/>
      <w:szCs w:val="28"/>
    </w:rPr>
  </w:style>
  <w:style w:type="paragraph" w:customStyle="1" w:styleId="508">
    <w:name w:val="FA正文"/>
    <w:basedOn w:val="1"/>
    <w:qFormat/>
    <w:uiPriority w:val="0"/>
    <w:pPr>
      <w:spacing w:line="360" w:lineRule="auto"/>
      <w:ind w:firstLine="480" w:firstLineChars="200"/>
    </w:pPr>
    <w:rPr>
      <w:rFonts w:ascii="Times New Roman" w:hAnsi="宋体" w:eastAsia="宋体" w:cs="Times New Roman"/>
      <w:sz w:val="24"/>
      <w:szCs w:val="20"/>
    </w:rPr>
  </w:style>
  <w:style w:type="paragraph" w:customStyle="1" w:styleId="509">
    <w:name w:val="MM Topic 5"/>
    <w:basedOn w:val="6"/>
    <w:qFormat/>
    <w:uiPriority w:val="0"/>
    <w:pPr>
      <w:tabs>
        <w:tab w:val="left" w:pos="2520"/>
      </w:tabs>
      <w:adjustRightInd/>
      <w:ind w:left="2520" w:hanging="420"/>
    </w:pPr>
    <w:rPr>
      <w:rFonts w:ascii="Times New Roman" w:hAnsi="Times New Roman" w:eastAsia="宋体" w:cs="Times New Roman"/>
    </w:rPr>
  </w:style>
  <w:style w:type="paragraph" w:customStyle="1" w:styleId="510">
    <w:name w:val="Char Char Char Char Char Char Char Char Char Char1"/>
    <w:basedOn w:val="1"/>
    <w:qFormat/>
    <w:uiPriority w:val="0"/>
    <w:rPr>
      <w:rFonts w:ascii="仿宋_GB2312" w:hAnsi="Times New Roman" w:eastAsia="仿宋_GB2312" w:cs="Times New Roman"/>
      <w:b/>
      <w:sz w:val="32"/>
      <w:szCs w:val="32"/>
    </w:rPr>
  </w:style>
  <w:style w:type="paragraph" w:customStyle="1" w:styleId="51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512">
    <w:name w:val="修订1"/>
    <w:qFormat/>
    <w:uiPriority w:val="0"/>
    <w:rPr>
      <w:rFonts w:ascii="Times New Roman" w:hAnsi="Times New Roman" w:eastAsia="宋体" w:cs="Times New Roman"/>
      <w:color w:val="000000"/>
      <w:kern w:val="1"/>
      <w:sz w:val="21"/>
      <w:lang w:val="en-US" w:eastAsia="zh-CN" w:bidi="ar-SA"/>
    </w:rPr>
  </w:style>
  <w:style w:type="paragraph" w:customStyle="1" w:styleId="513">
    <w:name w:val="Char2 Char Char Char"/>
    <w:basedOn w:val="1"/>
    <w:qFormat/>
    <w:uiPriority w:val="0"/>
    <w:rPr>
      <w:rFonts w:ascii="仿宋_GB2312" w:hAnsi="Times New Roman" w:eastAsia="仿宋_GB2312" w:cs="Times New Roman"/>
      <w:b/>
      <w:sz w:val="32"/>
      <w:szCs w:val="32"/>
    </w:rPr>
  </w:style>
  <w:style w:type="paragraph" w:customStyle="1" w:styleId="514">
    <w:name w:val="Char2 Char Char Char1"/>
    <w:basedOn w:val="1"/>
    <w:qFormat/>
    <w:uiPriority w:val="0"/>
    <w:rPr>
      <w:rFonts w:ascii="仿宋_GB2312" w:hAnsi="Times New Roman" w:eastAsia="仿宋_GB2312" w:cs="Times New Roman"/>
      <w:b/>
      <w:sz w:val="32"/>
      <w:szCs w:val="32"/>
    </w:rPr>
  </w:style>
  <w:style w:type="paragraph" w:customStyle="1" w:styleId="515">
    <w:name w:val="默认段落样式"/>
    <w:basedOn w:val="117"/>
    <w:qFormat/>
    <w:uiPriority w:val="0"/>
    <w:pPr>
      <w:spacing w:before="0"/>
      <w:ind w:firstLine="480"/>
      <w:outlineLvl w:val="2"/>
    </w:pPr>
    <w:rPr>
      <w:rFonts w:ascii="仿宋_GB2312" w:hAnsi="宋体" w:eastAsia="仿宋_GB2312" w:cs="Times New Roman"/>
      <w:color w:val="000000"/>
      <w:szCs w:val="24"/>
    </w:rPr>
  </w:style>
  <w:style w:type="paragraph" w:customStyle="1" w:styleId="516">
    <w:name w:val="图中文字"/>
    <w:basedOn w:val="1"/>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1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8">
    <w:name w:val="MM Topic 3"/>
    <w:basedOn w:val="4"/>
    <w:qFormat/>
    <w:uiPriority w:val="0"/>
    <w:pPr>
      <w:tabs>
        <w:tab w:val="left" w:pos="1680"/>
      </w:tabs>
      <w:adjustRightInd/>
      <w:ind w:left="1680" w:hanging="420"/>
    </w:pPr>
    <w:rPr>
      <w:rFonts w:ascii="Times New Roman" w:hAnsi="Times New Roman" w:eastAsia="宋体" w:cs="Times New Roman"/>
    </w:rPr>
  </w:style>
  <w:style w:type="paragraph" w:customStyle="1" w:styleId="519">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52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1">
    <w:name w:val="表格（小）"/>
    <w:basedOn w:val="1"/>
    <w:qFormat/>
    <w:uiPriority w:val="0"/>
    <w:pPr>
      <w:adjustRightInd/>
      <w:snapToGrid w:val="0"/>
      <w:spacing w:line="300" w:lineRule="auto"/>
    </w:pPr>
    <w:rPr>
      <w:rFonts w:ascii="Times New Roman" w:hAnsi="Times New Roman" w:eastAsia="仿宋" w:cs="Times New Roman"/>
      <w:szCs w:val="21"/>
    </w:rPr>
  </w:style>
  <w:style w:type="paragraph" w:customStyle="1" w:styleId="52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23">
    <w:name w:val="Char2 Char Char1"/>
    <w:basedOn w:val="1"/>
    <w:qFormat/>
    <w:uiPriority w:val="0"/>
    <w:pPr>
      <w:adjustRightInd/>
    </w:pPr>
    <w:rPr>
      <w:rFonts w:ascii="Tahoma" w:hAnsi="Tahoma" w:eastAsia="宋体" w:cs="Times New Roman"/>
      <w:sz w:val="24"/>
      <w:szCs w:val="20"/>
    </w:rPr>
  </w:style>
  <w:style w:type="paragraph" w:customStyle="1" w:styleId="524">
    <w:name w:val="列出段落5"/>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525">
    <w:name w:val="font7"/>
    <w:basedOn w:val="1"/>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ascii="Times New Roman" w:hAnsi="Times New Roman" w:eastAsia="宋体"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0"/>
    <w:pPr>
      <w:adjustRightInd/>
      <w:ind w:firstLine="420" w:firstLineChars="200"/>
    </w:pPr>
    <w:rPr>
      <w:rFonts w:ascii="Times New Roman" w:hAnsi="Times New Roman" w:eastAsia="仿宋_GB2312" w:cs="Times New Roman"/>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3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534">
    <w:name w:val="左对齐表格文字"/>
    <w:basedOn w:val="1"/>
    <w:qFormat/>
    <w:uiPriority w:val="0"/>
    <w:pPr>
      <w:adjustRightInd/>
      <w:ind w:firstLine="200" w:firstLineChars="200"/>
      <w:jc w:val="right"/>
    </w:pPr>
    <w:rPr>
      <w:rFonts w:ascii="Times New Roman" w:hAnsi="Times New Roman" w:eastAsia="宋体" w:cs="Times New Roman"/>
    </w:rPr>
  </w:style>
  <w:style w:type="paragraph" w:customStyle="1" w:styleId="535">
    <w:name w:val="Char Char11 Char Char Char Char Char Char Char Char Char"/>
    <w:basedOn w:val="1"/>
    <w:qFormat/>
    <w:uiPriority w:val="0"/>
    <w:pPr>
      <w:spacing w:line="360" w:lineRule="auto"/>
    </w:pPr>
    <w:rPr>
      <w:rFonts w:ascii="Times New Roman" w:hAnsi="Times New Roman" w:eastAsia="宋体" w:cs="Times New Roman"/>
      <w:szCs w:val="20"/>
    </w:rPr>
  </w:style>
  <w:style w:type="paragraph" w:customStyle="1" w:styleId="536">
    <w:name w:val="正文1.25"/>
    <w:basedOn w:val="1"/>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0"/>
    <w:rPr>
      <w:rFonts w:ascii="仿宋_GB2312" w:hAnsi="Times New Roman" w:eastAsia="仿宋_GB2312" w:cs="Times New Roman"/>
      <w:b/>
      <w:sz w:val="32"/>
      <w:szCs w:val="20"/>
    </w:rPr>
  </w:style>
  <w:style w:type="paragraph" w:customStyle="1" w:styleId="541">
    <w:name w:val="列出段落2"/>
    <w:basedOn w:val="1"/>
    <w:qFormat/>
    <w:uiPriority w:val="0"/>
    <w:pPr>
      <w:adjustRightInd/>
      <w:ind w:firstLine="420" w:firstLineChars="200"/>
    </w:pPr>
    <w:rPr>
      <w:rFonts w:ascii="宋体" w:hAnsi="宋体" w:eastAsia="宋体" w:cs="Times New Roman"/>
      <w:sz w:val="24"/>
    </w:rPr>
  </w:style>
  <w:style w:type="paragraph" w:customStyle="1" w:styleId="542">
    <w:name w:val="默认段落字体 Para Char Char Char Char Char Char Char"/>
    <w:basedOn w:val="1"/>
    <w:qFormat/>
    <w:uiPriority w:val="0"/>
    <w:rPr>
      <w:rFonts w:ascii="Times New Roman" w:hAnsi="Times New Roman" w:eastAsia="仿宋_GB2312" w:cs="Times New Roman"/>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5"/>
    <w:qFormat/>
    <w:uiPriority w:val="0"/>
    <w:pPr>
      <w:widowControl/>
      <w:jc w:val="left"/>
    </w:pPr>
    <w:rPr>
      <w:rFonts w:ascii="Times New Roman" w:hAnsi="Times New Roman" w:eastAsia="宋体" w:cs="宋体"/>
      <w:sz w:val="24"/>
      <w:szCs w:val="20"/>
    </w:rPr>
  </w:style>
  <w:style w:type="paragraph" w:customStyle="1" w:styleId="545">
    <w:name w:val="彩色列表 - 强调文字颜色 11"/>
    <w:basedOn w:val="1"/>
    <w:qFormat/>
    <w:uiPriority w:val="0"/>
    <w:pPr>
      <w:adjustRightInd/>
      <w:ind w:firstLine="420" w:firstLineChars="200"/>
    </w:pPr>
    <w:rPr>
      <w:rFonts w:ascii="Calibri" w:hAnsi="Calibri" w:eastAsia="宋体" w:cs="Times New Roman"/>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549">
    <w:name w:val="Char Char Char1 Char1"/>
    <w:basedOn w:val="1"/>
    <w:qFormat/>
    <w:uiPriority w:val="0"/>
    <w:rPr>
      <w:rFonts w:ascii="Times New Roman" w:hAnsi="Times New Roman" w:eastAsia="宋体" w:cs="Times New Roman"/>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55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5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55">
    <w:name w:val="CM14"/>
    <w:basedOn w:val="121"/>
    <w:next w:val="121"/>
    <w:qFormat/>
    <w:uiPriority w:val="0"/>
    <w:pPr>
      <w:spacing w:after="68"/>
    </w:pPr>
    <w:rPr>
      <w:rFonts w:ascii="FHLHE E+ Futura Bk" w:hAnsi="Times New Roman"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cs="Times New Roman"/>
      <w:sz w:val="28"/>
    </w:rPr>
  </w:style>
  <w:style w:type="paragraph" w:customStyle="1" w:styleId="559">
    <w:name w:val="正文文字 2"/>
    <w:basedOn w:val="121"/>
    <w:next w:val="121"/>
    <w:qFormat/>
    <w:uiPriority w:val="0"/>
    <w:rPr>
      <w:rFonts w:ascii="宋体" w:hAnsi="Times New Roman"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hAnsi="Times New Roman" w:eastAsia="仿宋_GB2312" w:cs="Times New Roman"/>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rFonts w:ascii="Times New Roman" w:hAnsi="Times New Roman" w:eastAsia="宋体" w:cs="Times New Roman"/>
      <w:szCs w:val="20"/>
    </w:rPr>
  </w:style>
  <w:style w:type="paragraph" w:customStyle="1" w:styleId="565">
    <w:name w:val="Char"/>
    <w:basedOn w:val="1"/>
    <w:qFormat/>
    <w:uiPriority w:val="0"/>
    <w:rPr>
      <w:rFonts w:ascii="仿宋_GB2312" w:hAnsi="Times New Roman" w:eastAsia="仿宋_GB2312" w:cs="Times New Roman"/>
      <w:b/>
      <w:sz w:val="32"/>
      <w:szCs w:val="32"/>
    </w:rPr>
  </w:style>
  <w:style w:type="paragraph" w:customStyle="1" w:styleId="566">
    <w:name w:val="RFI Heading 2nd Level"/>
    <w:basedOn w:val="1"/>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567">
    <w:name w:val="Char Char Char1 Char"/>
    <w:basedOn w:val="1"/>
    <w:qFormat/>
    <w:uiPriority w:val="0"/>
    <w:rPr>
      <w:rFonts w:ascii="Times New Roman" w:hAnsi="Times New Roman" w:eastAsia="宋体" w:cs="Times New Roman"/>
      <w:szCs w:val="20"/>
    </w:rPr>
  </w:style>
  <w:style w:type="paragraph" w:customStyle="1" w:styleId="568">
    <w:name w:val="正文标准"/>
    <w:basedOn w:val="1"/>
    <w:qFormat/>
    <w:uiPriority w:val="0"/>
    <w:pPr>
      <w:adjustRightInd/>
      <w:spacing w:line="360" w:lineRule="auto"/>
      <w:ind w:firstLine="200" w:firstLineChars="200"/>
    </w:pPr>
    <w:rPr>
      <w:rFonts w:ascii="宋体" w:hAnsi="Calibri" w:eastAsia="宋体" w:cs="Times New Roman"/>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580">
    <w:name w:val="标准有序列表（L1）"/>
    <w:basedOn w:val="16"/>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81">
    <w:name w:val="Char Char Char Char Char Char Char Char Char Char"/>
    <w:basedOn w:val="1"/>
    <w:qFormat/>
    <w:uiPriority w:val="0"/>
    <w:rPr>
      <w:rFonts w:ascii="仿宋_GB2312" w:hAnsi="Times New Roman" w:eastAsia="仿宋_GB2312" w:cs="Times New Roman"/>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rFonts w:ascii="Times New Roman" w:hAnsi="Times New Roman" w:eastAsia="宋体" w:cs="Times New Roman"/>
      <w:kern w:val="0"/>
      <w:sz w:val="24"/>
      <w:szCs w:val="20"/>
    </w:rPr>
  </w:style>
  <w:style w:type="paragraph" w:customStyle="1" w:styleId="583">
    <w:name w:val="_正文段落"/>
    <w:basedOn w:val="1"/>
    <w:qFormat/>
    <w:uiPriority w:val="0"/>
    <w:pPr>
      <w:adjustRightInd/>
      <w:ind w:firstLine="560"/>
    </w:pPr>
    <w:rPr>
      <w:rFonts w:ascii="仿宋_GB2312" w:hAnsi="仿宋" w:eastAsia="仿宋_GB2312" w:cs="Times New Roman"/>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rFonts w:ascii="Times New Roman" w:hAnsi="Times New Roman" w:eastAsia="宋体" w:cs="Times New Roman"/>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qFormat/>
    <w:uiPriority w:val="0"/>
    <w:rPr>
      <w:rFonts w:ascii="Tahoma" w:hAnsi="Tahoma" w:eastAsia="宋体" w:cs="Times New Roman"/>
      <w:sz w:val="24"/>
      <w:szCs w:val="20"/>
    </w:rPr>
  </w:style>
  <w:style w:type="paragraph" w:customStyle="1" w:styleId="593">
    <w:name w:val="标题五"/>
    <w:basedOn w:val="1"/>
    <w:qFormat/>
    <w:uiPriority w:val="0"/>
    <w:pPr>
      <w:adjustRightInd/>
      <w:spacing w:before="156" w:beforeLines="50" w:line="360" w:lineRule="auto"/>
    </w:pPr>
    <w:rPr>
      <w:rFonts w:ascii="Times New Roman" w:hAnsi="Times New Roman" w:eastAsia="宋体" w:cs="Times New Roman"/>
      <w:b/>
      <w:sz w:val="24"/>
    </w:rPr>
  </w:style>
  <w:style w:type="paragraph" w:customStyle="1" w:styleId="594">
    <w:name w:val="Char Char1101"/>
    <w:basedOn w:val="1"/>
    <w:qFormat/>
    <w:uiPriority w:val="0"/>
    <w:pPr>
      <w:spacing w:line="360" w:lineRule="auto"/>
    </w:pPr>
    <w:rPr>
      <w:rFonts w:ascii="Tahoma" w:hAnsi="Tahoma" w:eastAsia="宋体" w:cs="Times New Roman"/>
      <w:sz w:val="24"/>
      <w:szCs w:val="20"/>
    </w:rPr>
  </w:style>
  <w:style w:type="paragraph" w:customStyle="1" w:styleId="595">
    <w:name w:val="Char Char Char Char Char Char Char Char1"/>
    <w:basedOn w:val="1"/>
    <w:qFormat/>
    <w:uiPriority w:val="0"/>
    <w:pPr>
      <w:tabs>
        <w:tab w:val="left" w:pos="360"/>
      </w:tabs>
    </w:pPr>
    <w:rPr>
      <w:rFonts w:ascii="Times New Roman" w:hAnsi="Times New Roman" w:eastAsia="宋体" w:cs="Times New Roman"/>
      <w:sz w:val="24"/>
      <w:szCs w:val="20"/>
    </w:rPr>
  </w:style>
  <w:style w:type="paragraph" w:customStyle="1" w:styleId="596">
    <w:name w:val="Char Char Char 字元 字元"/>
    <w:basedOn w:val="1"/>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0"/>
    <w:rPr>
      <w:rFonts w:ascii="仿宋_GB2312" w:hAnsi="Times New Roman" w:eastAsia="仿宋_GB2312" w:cs="Times New Roman"/>
      <w:b/>
      <w:sz w:val="32"/>
      <w:szCs w:val="32"/>
    </w:rPr>
  </w:style>
  <w:style w:type="paragraph" w:customStyle="1" w:styleId="599">
    <w:name w:val="文章附标题"/>
    <w:basedOn w:val="1"/>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600">
    <w:name w:val="a2"/>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602">
    <w:name w:val="样式6"/>
    <w:basedOn w:val="33"/>
    <w:qFormat/>
    <w:uiPriority w:val="0"/>
    <w:pPr>
      <w:spacing w:line="460" w:lineRule="exact"/>
      <w:outlineLvl w:val="2"/>
    </w:pPr>
    <w:rPr>
      <w:rFonts w:ascii="仿宋_GB2312" w:hAnsi="宋体" w:eastAsia="仿宋_GB2312" w:cs="Times New Roman"/>
      <w:b/>
      <w:bCs/>
      <w:sz w:val="24"/>
      <w:szCs w:val="24"/>
    </w:rPr>
  </w:style>
  <w:style w:type="paragraph" w:customStyle="1" w:styleId="603">
    <w:name w:val="批注框文本 Char Char"/>
    <w:basedOn w:val="1"/>
    <w:qFormat/>
    <w:uiPriority w:val="0"/>
    <w:pPr>
      <w:adjustRightInd/>
    </w:pPr>
    <w:rPr>
      <w:rFonts w:ascii="Times New Roman" w:hAnsi="Times New Roman" w:eastAsia="宋体" w:cs="Times New Roman"/>
      <w:sz w:val="18"/>
      <w:szCs w:val="20"/>
    </w:rPr>
  </w:style>
  <w:style w:type="paragraph" w:customStyle="1" w:styleId="604">
    <w:name w:val="封面华为技术"/>
    <w:basedOn w:val="1"/>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60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06">
    <w:name w:val="Char Char11 Char Char Char Char Char Char Char Char Char Char Char Char Char"/>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60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8">
    <w:name w:val="索引 11"/>
    <w:basedOn w:val="1"/>
    <w:next w:val="1"/>
    <w:qFormat/>
    <w:uiPriority w:val="0"/>
    <w:pPr>
      <w:adjustRightInd/>
      <w:spacing w:line="360" w:lineRule="auto"/>
    </w:pPr>
    <w:rPr>
      <w:rFonts w:ascii="仿宋_GB2312" w:hAnsi="Times New Roman" w:eastAsia="仿宋_GB2312" w:cs="Times New Roman"/>
      <w:sz w:val="24"/>
      <w:szCs w:val="20"/>
    </w:rPr>
  </w:style>
  <w:style w:type="paragraph" w:customStyle="1" w:styleId="60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611">
    <w:name w:val="正文文字缩进项目"/>
    <w:basedOn w:val="25"/>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613">
    <w:name w:val="正文文字表格居中"/>
    <w:basedOn w:val="1"/>
    <w:next w:val="56"/>
    <w:qFormat/>
    <w:uiPriority w:val="0"/>
    <w:pPr>
      <w:snapToGrid w:val="0"/>
      <w:spacing w:line="360" w:lineRule="auto"/>
    </w:pPr>
    <w:rPr>
      <w:rFonts w:ascii="宋体" w:hAnsi="Times New Roman" w:eastAsia="宋体" w:cs="Times New Roman"/>
      <w:b/>
      <w:sz w:val="24"/>
      <w:szCs w:val="20"/>
    </w:rPr>
  </w:style>
  <w:style w:type="paragraph" w:customStyle="1" w:styleId="614">
    <w:name w:val="规划正文"/>
    <w:basedOn w:val="1"/>
    <w:qFormat/>
    <w:uiPriority w:val="0"/>
    <w:pPr>
      <w:adjustRightInd/>
      <w:spacing w:before="312" w:beforeLines="100" w:line="360" w:lineRule="auto"/>
      <w:jc w:val="left"/>
    </w:pPr>
    <w:rPr>
      <w:rFonts w:ascii="Arial" w:hAnsi="Arial" w:eastAsia="仿宋_GB2312" w:cs="Times New Roman"/>
      <w:bCs/>
      <w:sz w:val="28"/>
    </w:rPr>
  </w:style>
  <w:style w:type="paragraph" w:customStyle="1" w:styleId="615">
    <w:name w:val="小节"/>
    <w:basedOn w:val="4"/>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616">
    <w:name w:val="Plain Text1"/>
    <w:basedOn w:val="1"/>
    <w:qFormat/>
    <w:uiPriority w:val="0"/>
    <w:pPr>
      <w:adjustRightInd/>
    </w:pPr>
    <w:rPr>
      <w:rFonts w:ascii="宋体" w:hAnsi="Courier New" w:eastAsia="宋体" w:cs="Times New Roman"/>
    </w:rPr>
  </w:style>
  <w:style w:type="paragraph" w:customStyle="1" w:styleId="617">
    <w:name w:val="Char3"/>
    <w:basedOn w:val="1"/>
    <w:qFormat/>
    <w:uiPriority w:val="0"/>
    <w:pPr>
      <w:adjustRightInd/>
    </w:pPr>
    <w:rPr>
      <w:rFonts w:ascii="仿宋_GB2312" w:hAnsi="Times New Roman" w:eastAsia="仿宋_GB2312" w:cs="Times New Roman"/>
      <w:b/>
      <w:sz w:val="32"/>
      <w:szCs w:val="32"/>
    </w:rPr>
  </w:style>
  <w:style w:type="paragraph" w:customStyle="1" w:styleId="61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19">
    <w:name w:val="ÕýÎÄÊ×ÐÐËõ½ø"/>
    <w:basedOn w:val="1"/>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620">
    <w:name w:val="标题2"/>
    <w:basedOn w:val="3"/>
    <w:next w:val="1"/>
    <w:qFormat/>
    <w:uiPriority w:val="0"/>
    <w:pPr>
      <w:tabs>
        <w:tab w:val="left" w:pos="578"/>
        <w:tab w:val="left" w:pos="900"/>
        <w:tab w:val="left" w:pos="1440"/>
      </w:tabs>
      <w:ind w:left="1440" w:hanging="360"/>
    </w:pPr>
    <w:rPr>
      <w:rFonts w:ascii="仿宋" w:hAnsi="Times New Roman" w:eastAsia="仿宋" w:cs="宋体"/>
      <w:szCs w:val="28"/>
    </w:rPr>
  </w:style>
  <w:style w:type="paragraph" w:customStyle="1" w:styleId="621">
    <w:name w:val="List Paragraph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62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2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625">
    <w:name w:val="Char3 Char Char Char"/>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626">
    <w:name w:val="表格内文"/>
    <w:basedOn w:val="1"/>
    <w:qFormat/>
    <w:uiPriority w:val="0"/>
    <w:pPr>
      <w:adjustRightInd/>
      <w:spacing w:line="360" w:lineRule="auto"/>
    </w:pPr>
    <w:rPr>
      <w:rFonts w:ascii="宋体" w:hAnsi="宋体" w:eastAsia="宋体" w:cs="宋体"/>
      <w:color w:val="000000"/>
      <w:szCs w:val="20"/>
    </w:rPr>
  </w:style>
  <w:style w:type="paragraph" w:customStyle="1" w:styleId="627">
    <w:name w:val="表格标题2"/>
    <w:basedOn w:val="626"/>
    <w:qFormat/>
    <w:uiPriority w:val="0"/>
    <w:rPr>
      <w:rFonts w:ascii="Times New Roman" w:hAnsi="Times New Roman" w:eastAsia="宋体" w:cs="Times New Roman"/>
      <w:b/>
    </w:rPr>
  </w:style>
  <w:style w:type="paragraph" w:customStyle="1" w:styleId="628">
    <w:name w:val="Char Char Char Char Char Char Char Char Char Char2"/>
    <w:basedOn w:val="1"/>
    <w:qFormat/>
    <w:uiPriority w:val="0"/>
    <w:rPr>
      <w:rFonts w:ascii="仿宋_GB2312" w:hAnsi="Times New Roman" w:eastAsia="仿宋_GB2312" w:cs="Times New Roman"/>
      <w:b/>
      <w:sz w:val="32"/>
      <w:szCs w:val="32"/>
    </w:rPr>
  </w:style>
  <w:style w:type="paragraph" w:customStyle="1" w:styleId="62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qFormat/>
    <w:uiPriority w:val="0"/>
    <w:pPr>
      <w:spacing w:line="360" w:lineRule="auto"/>
    </w:pPr>
    <w:rPr>
      <w:rFonts w:ascii="Times New Roman" w:hAnsi="Times New Roman" w:eastAsia="宋体" w:cs="Times New Roman"/>
      <w:szCs w:val="20"/>
    </w:rPr>
  </w:style>
  <w:style w:type="paragraph" w:customStyle="1" w:styleId="632">
    <w:name w:val="正文 大标"/>
    <w:basedOn w:val="1"/>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633">
    <w:name w:val="样式  + 首行缩进:  2 字符"/>
    <w:basedOn w:val="1"/>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34">
    <w:name w:val="MM Topic 1"/>
    <w:basedOn w:val="2"/>
    <w:qFormat/>
    <w:uiPriority w:val="0"/>
    <w:pPr>
      <w:tabs>
        <w:tab w:val="left" w:pos="840"/>
      </w:tabs>
      <w:adjustRightInd/>
      <w:ind w:left="840" w:hanging="420"/>
    </w:pPr>
    <w:rPr>
      <w:rFonts w:ascii="Times New Roman" w:hAnsi="Times New Roman" w:eastAsia="宋体" w:cs="Times New Roman"/>
    </w:rPr>
  </w:style>
  <w:style w:type="paragraph" w:customStyle="1" w:styleId="63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636">
    <w:name w:val="文本正文 Char"/>
    <w:basedOn w:val="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637">
    <w:name w:val="标书标题4"/>
    <w:basedOn w:val="5"/>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6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641">
    <w:name w:val="EB_表格"/>
    <w:basedOn w:val="1"/>
    <w:qFormat/>
    <w:uiPriority w:val="0"/>
    <w:pPr>
      <w:adjustRightInd/>
      <w:spacing w:line="300" w:lineRule="auto"/>
      <w:jc w:val="center"/>
    </w:pPr>
    <w:rPr>
      <w:rFonts w:ascii="Times New Roman" w:hAnsi="Times New Roman" w:eastAsia="宋体" w:cs="Times New Roman"/>
    </w:rPr>
  </w:style>
  <w:style w:type="paragraph" w:customStyle="1" w:styleId="642">
    <w:name w:val="_Style 6"/>
    <w:basedOn w:val="1"/>
    <w:qFormat/>
    <w:uiPriority w:val="0"/>
    <w:pPr>
      <w:adjustRightInd/>
      <w:ind w:firstLine="420" w:firstLineChars="200"/>
    </w:pPr>
    <w:rPr>
      <w:rFonts w:ascii="Times New Roman" w:hAnsi="Times New Roman" w:eastAsia="仿宋_GB2312" w:cs="Times New Roman"/>
      <w:sz w:val="28"/>
    </w:rPr>
  </w:style>
  <w:style w:type="paragraph" w:customStyle="1" w:styleId="643">
    <w:name w:val="zTableCellBody"/>
    <w:basedOn w:val="1"/>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44">
    <w:name w:val="button"/>
    <w:basedOn w:val="1"/>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645">
    <w:name w:val="!大节"/>
    <w:basedOn w:val="3"/>
    <w:qFormat/>
    <w:uiPriority w:val="0"/>
    <w:pPr>
      <w:spacing w:before="260" w:after="260" w:line="415" w:lineRule="auto"/>
      <w:ind w:left="420" w:hanging="420"/>
    </w:pPr>
    <w:rPr>
      <w:rFonts w:ascii="Arial" w:hAnsi="Arial" w:eastAsia="微软雅黑" w:cs="Times New Roman"/>
      <w:lang w:val="en-US"/>
    </w:rPr>
  </w:style>
  <w:style w:type="paragraph" w:customStyle="1" w:styleId="646">
    <w:name w:val="正文文本 22"/>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Char Char Char Char Char Char"/>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650">
    <w:name w:val="trademark"/>
    <w:qFormat/>
    <w:uiPriority w:val="0"/>
    <w:pPr>
      <w:spacing w:after="60"/>
    </w:pPr>
    <w:rPr>
      <w:rFonts w:ascii="Futura Bk" w:hAnsi="Futura Bk" w:eastAsia="宋体" w:cs="Times New Roman"/>
      <w:sz w:val="15"/>
      <w:lang w:val="en-US" w:eastAsia="en-US" w:bidi="ar-SA"/>
    </w:rPr>
  </w:style>
  <w:style w:type="paragraph" w:customStyle="1" w:styleId="651">
    <w:name w:val="Bullet with text 4"/>
    <w:basedOn w:val="1"/>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652">
    <w:name w:val="Char Char1 Char Char Char Char Char Char1"/>
    <w:basedOn w:val="1"/>
    <w:qFormat/>
    <w:uiPriority w:val="0"/>
    <w:rPr>
      <w:rFonts w:ascii="仿宋_GB2312" w:hAnsi="Times New Roman" w:eastAsia="仿宋_GB2312" w:cs="Times New Roman"/>
      <w:b/>
      <w:sz w:val="32"/>
      <w:szCs w:val="20"/>
    </w:rPr>
  </w:style>
  <w:style w:type="paragraph" w:customStyle="1" w:styleId="653">
    <w:name w:val="大汉方案正文"/>
    <w:basedOn w:val="1"/>
    <w:qFormat/>
    <w:uiPriority w:val="0"/>
    <w:pPr>
      <w:adjustRightInd/>
      <w:spacing w:line="360" w:lineRule="auto"/>
      <w:ind w:firstLine="200" w:firstLineChars="200"/>
    </w:pPr>
    <w:rPr>
      <w:rFonts w:ascii="Arial" w:hAnsi="Arial" w:eastAsia="宋体" w:cs="Times New Roman"/>
      <w:sz w:val="24"/>
      <w:szCs w:val="20"/>
    </w:rPr>
  </w:style>
  <w:style w:type="paragraph" w:customStyle="1" w:styleId="654">
    <w:name w:val="Char1 Char Char Char1"/>
    <w:basedOn w:val="1"/>
    <w:qFormat/>
    <w:uiPriority w:val="0"/>
    <w:pPr>
      <w:adjustRightInd/>
      <w:ind w:firstLine="200" w:firstLineChars="200"/>
    </w:pPr>
    <w:rPr>
      <w:rFonts w:ascii="Tahoma" w:hAnsi="Tahoma" w:eastAsia="宋体" w:cs="Times New Roman"/>
      <w:sz w:val="24"/>
      <w:szCs w:val="20"/>
    </w:rPr>
  </w:style>
  <w:style w:type="paragraph" w:customStyle="1" w:styleId="655">
    <w:name w:val="a1"/>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657">
    <w:name w:val="样式7"/>
    <w:basedOn w:val="656"/>
    <w:next w:val="1"/>
    <w:qFormat/>
    <w:uiPriority w:val="0"/>
    <w:pPr>
      <w:spacing w:after="156" w:afterLines="50"/>
      <w:jc w:val="left"/>
      <w:outlineLvl w:val="3"/>
    </w:pPr>
    <w:rPr>
      <w:rFonts w:ascii="Times New Roman" w:hAnsi="Times New Roman" w:eastAsia="宋体" w:cs="Times New Roman"/>
      <w:sz w:val="24"/>
      <w:szCs w:val="24"/>
    </w:rPr>
  </w:style>
  <w:style w:type="paragraph" w:customStyle="1" w:styleId="6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0">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0"/>
    <w:pPr>
      <w:adjustRightInd/>
    </w:pPr>
    <w:rPr>
      <w:rFonts w:ascii="Tahoma" w:hAnsi="Tahoma" w:eastAsia="宋体" w:cs="Times New Roman"/>
      <w:sz w:val="24"/>
      <w:szCs w:val="20"/>
    </w:rPr>
  </w:style>
  <w:style w:type="paragraph" w:customStyle="1" w:styleId="662">
    <w:name w:val="Char1 Char Char Char"/>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3">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一级条标题"/>
    <w:basedOn w:val="663"/>
    <w:next w:val="647"/>
    <w:qFormat/>
    <w:uiPriority w:val="0"/>
    <w:pPr>
      <w:tabs>
        <w:tab w:val="left" w:pos="1680"/>
      </w:tabs>
      <w:spacing w:before="0" w:beforeLines="0" w:after="0" w:afterLines="0"/>
      <w:ind w:left="1680"/>
      <w:outlineLvl w:val="2"/>
    </w:pPr>
    <w:rPr>
      <w:rFonts w:ascii="Times New Roman" w:hAnsi="Times New Roman" w:eastAsia="宋体" w:cs="Times New Roman"/>
    </w:rPr>
  </w:style>
  <w:style w:type="paragraph" w:customStyle="1" w:styleId="665">
    <w:name w:val="二级条标题"/>
    <w:basedOn w:val="664"/>
    <w:next w:val="647"/>
    <w:qFormat/>
    <w:uiPriority w:val="0"/>
    <w:pPr>
      <w:tabs>
        <w:tab w:val="left" w:pos="2100"/>
      </w:tabs>
      <w:ind w:left="0"/>
      <w:outlineLvl w:val="3"/>
    </w:pPr>
    <w:rPr>
      <w:rFonts w:ascii="Times New Roman" w:hAnsi="Times New Roman" w:eastAsia="宋体" w:cs="Times New Roman"/>
    </w:rPr>
  </w:style>
  <w:style w:type="paragraph" w:customStyle="1" w:styleId="666">
    <w:name w:val="三级条标题"/>
    <w:basedOn w:val="665"/>
    <w:next w:val="647"/>
    <w:qFormat/>
    <w:uiPriority w:val="0"/>
    <w:pPr>
      <w:tabs>
        <w:tab w:val="left" w:pos="2520"/>
      </w:tabs>
      <w:ind w:left="2520"/>
      <w:outlineLvl w:val="4"/>
    </w:pPr>
    <w:rPr>
      <w:rFonts w:ascii="Times New Roman" w:hAnsi="Times New Roman" w:eastAsia="宋体" w:cs="Times New Roman"/>
    </w:rPr>
  </w:style>
  <w:style w:type="paragraph" w:customStyle="1" w:styleId="667">
    <w:name w:val="数字标题2"/>
    <w:basedOn w:val="3"/>
    <w:next w:val="1"/>
    <w:qFormat/>
    <w:uiPriority w:val="0"/>
    <w:pPr>
      <w:tabs>
        <w:tab w:val="left" w:pos="480"/>
      </w:tabs>
      <w:ind w:left="480" w:hanging="480"/>
    </w:pPr>
    <w:rPr>
      <w:rFonts w:ascii="Times New Roman" w:hAnsi="Times New Roman" w:eastAsia="宋体" w:cs="Times New Roman"/>
      <w:i/>
      <w:sz w:val="36"/>
      <w:szCs w:val="36"/>
      <w:lang w:val="en-US"/>
    </w:rPr>
  </w:style>
  <w:style w:type="paragraph" w:customStyle="1" w:styleId="668">
    <w:name w:val="tablete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6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671">
    <w:name w:val="样式 标题 1章节第一层h1H"/>
    <w:basedOn w:val="2"/>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6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74">
    <w:name w:val="正文 项目2"/>
    <w:basedOn w:val="673"/>
    <w:qFormat/>
    <w:uiPriority w:val="0"/>
    <w:pPr>
      <w:spacing w:after="0"/>
      <w:ind w:left="900"/>
    </w:pPr>
    <w:rPr>
      <w:rFonts w:ascii="Times New Roman" w:hAnsi="Times New Roman" w:eastAsia="宋体" w:cs="Times New Roman"/>
    </w:rPr>
  </w:style>
  <w:style w:type="paragraph" w:customStyle="1" w:styleId="675">
    <w:name w:val="Body Text 2*"/>
    <w:basedOn w:val="1"/>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76">
    <w:name w:val="表1"/>
    <w:basedOn w:val="1"/>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677">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679">
    <w:name w:val="章正文"/>
    <w:basedOn w:val="1"/>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681">
    <w:name w:val="2级标题"/>
    <w:basedOn w:val="680"/>
    <w:qFormat/>
    <w:uiPriority w:val="0"/>
    <w:pPr>
      <w:jc w:val="left"/>
      <w:outlineLvl w:val="1"/>
    </w:pPr>
    <w:rPr>
      <w:rFonts w:ascii="Times New Roman" w:hAnsi="Times New Roman" w:eastAsia="仿宋" w:cs="Times New Roman"/>
      <w:sz w:val="30"/>
    </w:rPr>
  </w:style>
  <w:style w:type="paragraph" w:customStyle="1" w:styleId="6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86">
    <w:name w:val="bullet"/>
    <w:basedOn w:val="1"/>
    <w:qFormat/>
    <w:uiPriority w:val="0"/>
    <w:pPr>
      <w:tabs>
        <w:tab w:val="left" w:pos="840"/>
      </w:tabs>
      <w:adjustRightInd/>
      <w:ind w:left="840" w:hanging="420"/>
    </w:pPr>
    <w:rPr>
      <w:rFonts w:ascii="Times New Roman" w:hAnsi="Times New Roman" w:eastAsia="宋体" w:cs="Times New Roman"/>
    </w:rPr>
  </w:style>
  <w:style w:type="paragraph" w:customStyle="1" w:styleId="687">
    <w:name w:val="f9a style88 f9a"/>
    <w:basedOn w:val="1"/>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6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689">
    <w:name w:val="说明"/>
    <w:basedOn w:val="1"/>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690">
    <w:name w:val="xl55"/>
    <w:basedOn w:val="1"/>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691">
    <w:name w:val="Preformatted Text"/>
    <w:basedOn w:val="1"/>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692">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qFormat/>
    <w:uiPriority w:val="0"/>
    <w:pPr>
      <w:tabs>
        <w:tab w:val="left" w:pos="2100"/>
      </w:tabs>
      <w:adjustRightInd/>
      <w:ind w:left="2100" w:hanging="420"/>
    </w:pPr>
    <w:rPr>
      <w:rFonts w:ascii="Times New Roman" w:hAnsi="Times New Roman" w:eastAsia="宋体" w:cs="Times New Roman"/>
      <w:lang w:val="en-US"/>
    </w:rPr>
  </w:style>
  <w:style w:type="paragraph" w:customStyle="1" w:styleId="695">
    <w:name w:val="Char11"/>
    <w:basedOn w:val="1"/>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6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7">
    <w:name w:val="Char Char11 Char Char Char Char Char Char Char Char Char1"/>
    <w:basedOn w:val="1"/>
    <w:qFormat/>
    <w:uiPriority w:val="0"/>
    <w:pPr>
      <w:spacing w:line="360" w:lineRule="auto"/>
    </w:pPr>
    <w:rPr>
      <w:rFonts w:ascii="Times New Roman" w:hAnsi="Times New Roman" w:eastAsia="宋体" w:cs="Times New Roman"/>
      <w:szCs w:val="20"/>
    </w:rPr>
  </w:style>
  <w:style w:type="paragraph" w:customStyle="1" w:styleId="698">
    <w:name w:val="金宏发行正文 Char"/>
    <w:basedOn w:val="1"/>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9">
    <w:name w:val="批注框文本1"/>
    <w:basedOn w:val="1"/>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700">
    <w:name w:val="body text bold"/>
    <w:basedOn w:val="24"/>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706">
    <w:name w:val="单元格居中"/>
    <w:basedOn w:val="1"/>
    <w:qFormat/>
    <w:uiPriority w:val="0"/>
    <w:pPr>
      <w:adjustRightInd/>
      <w:spacing w:line="360" w:lineRule="auto"/>
      <w:jc w:val="center"/>
    </w:pPr>
    <w:rPr>
      <w:rFonts w:ascii="Times New Roman" w:hAnsi="Times New Roman" w:eastAsia="宋体" w:cs="Times New Roman"/>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0"/>
    <w:rPr>
      <w:rFonts w:ascii="仿宋_GB2312" w:hAnsi="Times New Roman" w:eastAsia="仿宋_GB2312" w:cs="Times New Roman"/>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712">
    <w:name w:val="Char Char1121"/>
    <w:basedOn w:val="1"/>
    <w:qFormat/>
    <w:uiPriority w:val="0"/>
    <w:pPr>
      <w:spacing w:line="360" w:lineRule="auto"/>
    </w:pPr>
    <w:rPr>
      <w:rFonts w:ascii="Times New Roman" w:hAnsi="Times New Roman" w:eastAsia="宋体" w:cs="Times New Roman"/>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6"/>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eastAsia="宋体" w:cs="Times New Roman"/>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22">
    <w:name w:val="默认段落字体 Para Char Char Char1 Char"/>
    <w:basedOn w:val="1"/>
    <w:qFormat/>
    <w:uiPriority w:val="0"/>
    <w:pPr>
      <w:spacing w:line="240" w:lineRule="atLeast"/>
      <w:ind w:left="420" w:firstLine="420"/>
    </w:pPr>
    <w:rPr>
      <w:rFonts w:ascii="Times New Roman" w:hAnsi="Times New Roman" w:eastAsia="宋体" w:cs="Times New Roman"/>
      <w:sz w:val="24"/>
    </w:rPr>
  </w:style>
  <w:style w:type="paragraph" w:customStyle="1" w:styleId="723">
    <w:name w:val="WW-正文文字缩进 2"/>
    <w:basedOn w:val="1"/>
    <w:qFormat/>
    <w:uiPriority w:val="0"/>
    <w:pPr>
      <w:suppressAutoHyphens/>
      <w:adjustRightInd/>
      <w:ind w:firstLine="420"/>
    </w:pPr>
    <w:rPr>
      <w:rFonts w:ascii="Times New Roman" w:hAnsi="Times New Roman" w:eastAsia="宋体" w:cs="Times New Roman"/>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cs="Times New Roman"/>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eastAsia="宋体" w:cs="Times New Roman"/>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729">
    <w:name w:val="4"/>
    <w:basedOn w:val="1"/>
    <w:next w:val="37"/>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hAnsi="Times New Roman" w:eastAsia="仿宋_GB2312" w:cs="Times New Roman"/>
      <w:sz w:val="24"/>
      <w:szCs w:val="20"/>
    </w:rPr>
  </w:style>
  <w:style w:type="paragraph" w:customStyle="1" w:styleId="734">
    <w:name w:val="小标题"/>
    <w:basedOn w:val="1"/>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hAnsi="Times New Roman" w:eastAsia="仿宋_GB2312" w:cs="Times New Roman"/>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742">
    <w:name w:val="Char Char1 Char Char Char2"/>
    <w:basedOn w:val="1"/>
    <w:qFormat/>
    <w:uiPriority w:val="0"/>
    <w:rPr>
      <w:rFonts w:ascii="仿宋_GB2312" w:hAnsi="Times New Roman" w:eastAsia="仿宋_GB2312" w:cs="Times New Roman"/>
      <w:b/>
      <w:sz w:val="32"/>
      <w:szCs w:val="32"/>
    </w:rPr>
  </w:style>
  <w:style w:type="paragraph" w:customStyle="1" w:styleId="743">
    <w:name w:val="Char3 Char Char Char1"/>
    <w:basedOn w:val="1"/>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744">
    <w:name w:val="Char1 Char Char Char21"/>
    <w:basedOn w:val="1"/>
    <w:qFormat/>
    <w:uiPriority w:val="0"/>
    <w:rPr>
      <w:rFonts w:ascii="Tahoma" w:hAnsi="Tahoma" w:eastAsia="宋体" w:cs="Times New Roman"/>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eastAsia="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eastAsia="宋体" w:cs="Times New Roman"/>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758">
    <w:name w:val="四号　首行缩进"/>
    <w:basedOn w:val="1"/>
    <w:qFormat/>
    <w:uiPriority w:val="0"/>
    <w:pPr>
      <w:adjustRightInd/>
      <w:spacing w:line="360" w:lineRule="auto"/>
    </w:pPr>
    <w:rPr>
      <w:rFonts w:ascii="宋体" w:hAnsi="宋体" w:eastAsia="宋体" w:cs="Times New Roman"/>
      <w:szCs w:val="20"/>
    </w:rPr>
  </w:style>
  <w:style w:type="paragraph" w:customStyle="1" w:styleId="759">
    <w:name w:val="深色列表 - 强调文字颜色 51"/>
    <w:basedOn w:val="1"/>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eastAsia="宋体" w:cs="Times New Roman"/>
      <w:sz w:val="24"/>
    </w:rPr>
  </w:style>
  <w:style w:type="paragraph" w:customStyle="1" w:styleId="761">
    <w:name w:val="Char Char Char Char11"/>
    <w:basedOn w:val="1"/>
    <w:qFormat/>
    <w:uiPriority w:val="0"/>
    <w:rPr>
      <w:rFonts w:ascii="Tahoma" w:hAnsi="Tahoma" w:eastAsia="宋体" w:cs="Times New Roman"/>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763">
    <w:name w:val="Char Char Char Char"/>
    <w:basedOn w:val="1"/>
    <w:qFormat/>
    <w:uiPriority w:val="0"/>
    <w:rPr>
      <w:rFonts w:ascii="Tahoma" w:hAnsi="Tahoma" w:eastAsia="宋体" w:cs="Times New Roman"/>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765">
    <w:name w:val="Char19"/>
    <w:basedOn w:val="1"/>
    <w:qFormat/>
    <w:uiPriority w:val="0"/>
    <w:pPr>
      <w:adjustRightInd/>
    </w:pPr>
    <w:rPr>
      <w:rFonts w:ascii="Times New Roman" w:hAnsi="Times New Roman" w:eastAsia="宋体" w:cs="Times New Roman"/>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68">
    <w:name w:val="_Style 5"/>
    <w:basedOn w:val="1"/>
    <w:qFormat/>
    <w:uiPriority w:val="0"/>
    <w:pPr>
      <w:adjustRightInd/>
      <w:ind w:firstLine="420" w:firstLineChars="200"/>
    </w:pPr>
    <w:rPr>
      <w:rFonts w:ascii="Times New Roman" w:hAnsi="Times New Roman" w:eastAsia="仿宋_GB2312" w:cs="Times New Roman"/>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770">
    <w:name w:val="列出段落*"/>
    <w:basedOn w:val="1"/>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59"/>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2">
    <w:name w:val="Char Char Char Char Char Char Char Char2"/>
    <w:basedOn w:val="1"/>
    <w:qFormat/>
    <w:uiPriority w:val="0"/>
    <w:pPr>
      <w:tabs>
        <w:tab w:val="left" w:pos="360"/>
      </w:tabs>
    </w:pPr>
    <w:rPr>
      <w:rFonts w:ascii="Times New Roman" w:hAnsi="Times New Roman" w:eastAsia="宋体" w:cs="Times New Roman"/>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791">
    <w:name w:val="p0"/>
    <w:basedOn w:val="1"/>
    <w:qFormat/>
    <w:uiPriority w:val="0"/>
    <w:pPr>
      <w:widowControl/>
      <w:adjustRightInd/>
    </w:pPr>
    <w:rPr>
      <w:rFonts w:ascii="Times New Roman" w:hAnsi="Times New Roman" w:eastAsia="宋体" w:cs="Times New Roman"/>
      <w:kern w:val="0"/>
      <w:szCs w:val="21"/>
    </w:rPr>
  </w:style>
  <w:style w:type="paragraph" w:customStyle="1" w:styleId="792">
    <w:name w:val="Char6"/>
    <w:basedOn w:val="1"/>
    <w:qFormat/>
    <w:uiPriority w:val="0"/>
    <w:rPr>
      <w:rFonts w:ascii="仿宋_GB2312" w:hAnsi="Times New Roman" w:eastAsia="仿宋_GB2312" w:cs="Times New Roman"/>
      <w:b/>
      <w:sz w:val="32"/>
      <w:szCs w:val="32"/>
    </w:rPr>
  </w:style>
  <w:style w:type="paragraph" w:customStyle="1" w:styleId="793">
    <w:name w:val="Char111"/>
    <w:basedOn w:val="1"/>
    <w:qFormat/>
    <w:uiPriority w:val="0"/>
    <w:rPr>
      <w:rFonts w:ascii="仿宋_GB2312" w:hAnsi="Times New Roman" w:eastAsia="仿宋_GB2312" w:cs="Times New Roman"/>
      <w:b/>
      <w:sz w:val="32"/>
      <w:szCs w:val="32"/>
    </w:rPr>
  </w:style>
  <w:style w:type="paragraph" w:customStyle="1" w:styleId="79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796">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eastAsia="宋体" w:cs="Times New Roman"/>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hAnsi="Times New Roman" w:eastAsia="仿宋_GB2312" w:cs="Times New Roman"/>
      <w:b/>
      <w:sz w:val="32"/>
      <w:szCs w:val="32"/>
    </w:rPr>
  </w:style>
  <w:style w:type="paragraph" w:customStyle="1" w:styleId="801">
    <w:name w:val="四级条标题"/>
    <w:basedOn w:val="666"/>
    <w:next w:val="647"/>
    <w:qFormat/>
    <w:uiPriority w:val="0"/>
    <w:pPr>
      <w:tabs>
        <w:tab w:val="left" w:pos="2940"/>
        <w:tab w:val="clear" w:pos="2520"/>
      </w:tabs>
      <w:ind w:left="2940"/>
      <w:outlineLvl w:val="5"/>
    </w:pPr>
    <w:rPr>
      <w:rFonts w:ascii="Times New Roman" w:hAnsi="Times New Roman" w:eastAsia="宋体" w:cs="Times New Roman"/>
    </w:rPr>
  </w:style>
  <w:style w:type="paragraph" w:customStyle="1" w:styleId="802">
    <w:name w:val="五级条标题"/>
    <w:basedOn w:val="801"/>
    <w:next w:val="647"/>
    <w:qFormat/>
    <w:uiPriority w:val="0"/>
    <w:pPr>
      <w:tabs>
        <w:tab w:val="left" w:pos="3360"/>
      </w:tabs>
      <w:ind w:left="3360"/>
      <w:outlineLvl w:val="6"/>
    </w:pPr>
    <w:rPr>
      <w:rFonts w:ascii="Times New Roman" w:hAnsi="Times New Roman" w:eastAsia="宋体" w:cs="Times New Roman"/>
    </w:r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804">
    <w:name w:val="Char23"/>
    <w:basedOn w:val="1"/>
    <w:qFormat/>
    <w:uiPriority w:val="0"/>
    <w:rPr>
      <w:rFonts w:ascii="仿宋_GB2312" w:hAnsi="Times New Roman" w:eastAsia="仿宋_GB2312" w:cs="Times New Roman"/>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06">
    <w:name w:val="列出段落3"/>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07">
    <w:name w:val="首行缩进"/>
    <w:basedOn w:val="1"/>
    <w:next w:val="1"/>
    <w:qFormat/>
    <w:uiPriority w:val="0"/>
    <w:pPr>
      <w:spacing w:line="360" w:lineRule="auto"/>
      <w:ind w:firstLine="480" w:firstLineChars="200"/>
    </w:pPr>
    <w:rPr>
      <w:rFonts w:ascii="宋体" w:hAnsi="Times New Roman" w:eastAsia="宋体" w:cs="Times New Roman"/>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09">
    <w:name w:val="单元格左对齐"/>
    <w:basedOn w:val="1"/>
    <w:qFormat/>
    <w:uiPriority w:val="0"/>
    <w:pPr>
      <w:adjustRightInd/>
      <w:spacing w:line="360" w:lineRule="auto"/>
    </w:pPr>
    <w:rPr>
      <w:rFonts w:ascii="Times New Roman" w:hAnsi="Times New Roman" w:eastAsia="宋体" w:cs="Times New Roman"/>
      <w:sz w:val="24"/>
    </w:rPr>
  </w:style>
  <w:style w:type="paragraph" w:customStyle="1" w:styleId="810">
    <w:name w:val="正文主体"/>
    <w:basedOn w:val="633"/>
    <w:qFormat/>
    <w:uiPriority w:val="0"/>
    <w:rPr>
      <w:rFonts w:ascii="Times New Roman" w:hAnsi="Times New Roman" w:eastAsia="宋体" w:cs="Times New Roman"/>
    </w:rPr>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81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815">
    <w:name w:val="P1"/>
    <w:basedOn w:val="1"/>
    <w:qFormat/>
    <w:uiPriority w:val="0"/>
    <w:pPr>
      <w:adjustRightInd/>
      <w:spacing w:line="288" w:lineRule="auto"/>
      <w:ind w:firstLine="425" w:firstLineChars="200"/>
    </w:pPr>
    <w:rPr>
      <w:rFonts w:ascii="Times New Roman" w:hAnsi="Times New Roman" w:eastAsia="宋体" w:cs="Times New Roman"/>
    </w:rPr>
  </w:style>
  <w:style w:type="paragraph" w:customStyle="1" w:styleId="816">
    <w:name w:val="列表内容"/>
    <w:basedOn w:val="1"/>
    <w:next w:val="1"/>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17">
    <w:name w:val="Char Char11 Char Char Char1"/>
    <w:basedOn w:val="1"/>
    <w:qFormat/>
    <w:uiPriority w:val="0"/>
    <w:pPr>
      <w:spacing w:line="360" w:lineRule="auto"/>
    </w:pPr>
    <w:rPr>
      <w:rFonts w:ascii="Times New Roman" w:hAnsi="Times New Roman" w:eastAsia="宋体" w:cs="Times New Roman"/>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eastAsia="宋体" w:cs="Times New Roman"/>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820">
    <w:name w:val="标题 41"/>
    <w:basedOn w:val="1"/>
    <w:next w:val="1"/>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823">
    <w:name w:val="默认段落字体 Para Char Char Char Char"/>
    <w:basedOn w:val="1"/>
    <w:qFormat/>
    <w:uiPriority w:val="0"/>
    <w:pPr>
      <w:spacing w:line="360" w:lineRule="auto"/>
    </w:pPr>
    <w:rPr>
      <w:rFonts w:ascii="Times New Roman" w:hAnsi="Times New Roman" w:eastAsia="宋体" w:cs="Times New Roman"/>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hAnsi="Times New Roman" w:eastAsia="仿宋_GB2312" w:cs="Times New Roman"/>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ascii="Times New Roman" w:hAnsi="Times New Roman" w:eastAsia="宋体" w:cs="宋体"/>
      <w:sz w:val="24"/>
      <w:szCs w:val="20"/>
    </w:rPr>
  </w:style>
  <w:style w:type="paragraph" w:customStyle="1" w:styleId="830">
    <w:name w:val="Char Char4 Char Char"/>
    <w:basedOn w:val="1"/>
    <w:qFormat/>
    <w:uiPriority w:val="0"/>
    <w:pPr>
      <w:widowControl/>
      <w:adjustRightInd/>
      <w:spacing w:after="160" w:line="240" w:lineRule="exact"/>
      <w:jc w:val="left"/>
    </w:pPr>
    <w:rPr>
      <w:rFonts w:ascii="Times New Roman" w:hAnsi="Times New Roman" w:eastAsia="宋体" w:cs="Times New Roman"/>
    </w:r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832">
    <w:name w:val="Char Char11 Char Char Char2"/>
    <w:basedOn w:val="1"/>
    <w:qFormat/>
    <w:uiPriority w:val="0"/>
    <w:pPr>
      <w:spacing w:line="360" w:lineRule="auto"/>
    </w:pPr>
    <w:rPr>
      <w:rFonts w:ascii="Times New Roman" w:hAnsi="Times New Roman" w:eastAsia="宋体" w:cs="Times New Roman"/>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837">
    <w:name w:val="插图说明"/>
    <w:basedOn w:val="1"/>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839">
    <w:name w:val="Char311"/>
    <w:basedOn w:val="1"/>
    <w:qFormat/>
    <w:uiPriority w:val="0"/>
    <w:pPr>
      <w:adjustRightInd/>
      <w:ind w:firstLine="200" w:firstLineChars="200"/>
    </w:pPr>
    <w:rPr>
      <w:rFonts w:ascii="Tahoma" w:hAnsi="Tahoma" w:eastAsia="宋体" w:cs="Times New Roman"/>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rPr>
      <w:rFonts w:ascii="Times New Roman" w:hAnsi="Times New Roman" w:eastAsia="宋体" w:cs="Times New Roman"/>
    </w:rPr>
  </w:style>
  <w:style w:type="paragraph" w:customStyle="1" w:styleId="843">
    <w:name w:val="Bulleted List"/>
    <w:basedOn w:val="1"/>
    <w:qFormat/>
    <w:uiPriority w:val="0"/>
    <w:pPr>
      <w:tabs>
        <w:tab w:val="left" w:pos="1260"/>
      </w:tabs>
      <w:adjustRightInd/>
      <w:ind w:left="1260" w:hanging="420"/>
    </w:pPr>
    <w:rPr>
      <w:rFonts w:ascii="Times New Roman" w:hAnsi="Times New Roman" w:eastAsia="宋体" w:cs="Times New Roman"/>
    </w:r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845">
    <w:name w:val="样式 左侧:  0.85 厘米"/>
    <w:basedOn w:val="1"/>
    <w:qFormat/>
    <w:uiPriority w:val="0"/>
    <w:pPr>
      <w:adjustRightInd/>
      <w:spacing w:line="360" w:lineRule="auto"/>
    </w:pPr>
    <w:rPr>
      <w:rFonts w:ascii="Times New Roman" w:hAnsi="Times New Roman" w:eastAsia="宋体" w:cs="宋体"/>
      <w:sz w:val="24"/>
      <w:szCs w:val="20"/>
    </w:rPr>
  </w:style>
  <w:style w:type="paragraph" w:customStyle="1" w:styleId="846">
    <w:name w:val="Char Char Char Char Char Char Char Char Char Char Char Char1 Char"/>
    <w:basedOn w:val="1"/>
    <w:qFormat/>
    <w:uiPriority w:val="0"/>
    <w:rPr>
      <w:rFonts w:ascii="Tahoma" w:hAnsi="Tahoma" w:eastAsia="宋体"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cs="Times New Roman"/>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cs="Times New Roman"/>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0"/>
    <w:rPr>
      <w:rFonts w:ascii="仿宋_GB2312" w:hAnsi="Times New Roman" w:eastAsia="仿宋_GB2312" w:cs="Times New Roman"/>
      <w:b/>
      <w:sz w:val="32"/>
      <w:szCs w:val="20"/>
    </w:rPr>
  </w:style>
  <w:style w:type="paragraph" w:customStyle="1" w:styleId="852">
    <w:name w:val="font8"/>
    <w:basedOn w:val="1"/>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53">
    <w:name w:val="Char Char1 Char Char Char Char Char Char2"/>
    <w:basedOn w:val="1"/>
    <w:qFormat/>
    <w:uiPriority w:val="0"/>
    <w:rPr>
      <w:rFonts w:ascii="仿宋_GB2312" w:hAnsi="Times New Roman" w:eastAsia="仿宋_GB2312" w:cs="Times New Roman"/>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eastAsia="宋体" w:cs="Times New Roman"/>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ascii="Times New Roman" w:hAnsi="Times New Roman"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863">
    <w:name w:val="Char31"/>
    <w:basedOn w:val="1"/>
    <w:qFormat/>
    <w:uiPriority w:val="0"/>
    <w:pPr>
      <w:adjustRightInd/>
    </w:pPr>
    <w:rPr>
      <w:rFonts w:ascii="仿宋_GB2312" w:hAnsi="Times New Roman" w:eastAsia="仿宋_GB2312" w:cs="Times New Roman"/>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ascii="Times New Roman" w:hAnsi="Times New Roman" w:eastAsia="黑体" w:cs="宋体"/>
      <w:sz w:val="28"/>
      <w:szCs w:val="20"/>
    </w:rPr>
  </w:style>
  <w:style w:type="paragraph" w:customStyle="1" w:styleId="865">
    <w:name w:val="Char Char Char Char Char Char1"/>
    <w:basedOn w:val="1"/>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868">
    <w:name w:val="Char21"/>
    <w:basedOn w:val="1"/>
    <w:qFormat/>
    <w:uiPriority w:val="0"/>
    <w:pPr>
      <w:adjustRightInd/>
      <w:ind w:firstLine="200" w:firstLineChars="200"/>
    </w:pPr>
    <w:rPr>
      <w:rFonts w:ascii="仿宋_GB2312" w:hAnsi="Times New Roman" w:eastAsia="仿宋_GB2312" w:cs="Times New Roman"/>
      <w:b/>
      <w:sz w:val="32"/>
      <w:szCs w:val="32"/>
    </w:rPr>
  </w:style>
  <w:style w:type="paragraph" w:customStyle="1" w:styleId="869">
    <w:name w:val="列表段落1"/>
    <w:basedOn w:val="1"/>
    <w:qFormat/>
    <w:uiPriority w:val="0"/>
    <w:pPr>
      <w:adjustRightInd/>
      <w:ind w:right="238" w:firstLine="420"/>
    </w:pPr>
    <w:rPr>
      <w:rFonts w:ascii="Calibri" w:hAnsi="Calibri" w:eastAsia="宋体" w:cs="Times New Roman"/>
      <w:sz w:val="24"/>
    </w:rPr>
  </w:style>
  <w:style w:type="paragraph" w:customStyle="1" w:styleId="870">
    <w:name w:val="Char Char110"/>
    <w:basedOn w:val="1"/>
    <w:qFormat/>
    <w:uiPriority w:val="0"/>
    <w:pPr>
      <w:spacing w:line="360" w:lineRule="auto"/>
    </w:pPr>
    <w:rPr>
      <w:rFonts w:ascii="Tahoma" w:hAnsi="Tahoma" w:eastAsia="宋体" w:cs="Times New Roman"/>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eastAsia="宋体"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878">
    <w:name w:val="样式 列表编号 + 段后: 0.5 行"/>
    <w:basedOn w:val="15"/>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79">
    <w:name w:val="Char Char Char Char Char Char Char Char Char"/>
    <w:basedOn w:val="1"/>
    <w:qFormat/>
    <w:uiPriority w:val="0"/>
    <w:pPr>
      <w:adjustRightInd/>
      <w:ind w:firstLine="200" w:firstLineChars="200"/>
    </w:pPr>
    <w:rPr>
      <w:rFonts w:ascii="Tahoma" w:hAnsi="Tahoma" w:eastAsia="宋体" w:cs="Times New Roman"/>
      <w:sz w:val="24"/>
      <w:szCs w:val="20"/>
    </w:rPr>
  </w:style>
  <w:style w:type="paragraph" w:customStyle="1" w:styleId="880">
    <w:name w:val="_Style 12"/>
    <w:basedOn w:val="19"/>
    <w:qFormat/>
    <w:uiPriority w:val="0"/>
    <w:pPr>
      <w:snapToGrid w:val="0"/>
      <w:spacing w:line="360" w:lineRule="auto"/>
    </w:pPr>
    <w:rPr>
      <w:rFonts w:ascii="Times New Roman" w:hAnsi="Times New Roman" w:eastAsia="宋体" w:cs="Times New Roman"/>
    </w:rPr>
  </w:style>
  <w:style w:type="paragraph" w:customStyle="1" w:styleId="881">
    <w:name w:val="样式 首行缩进:  0 字符"/>
    <w:basedOn w:val="1"/>
    <w:qFormat/>
    <w:uiPriority w:val="0"/>
    <w:pPr>
      <w:adjustRightInd/>
      <w:spacing w:line="360" w:lineRule="auto"/>
      <w:ind w:firstLine="200" w:firstLineChars="200"/>
    </w:pPr>
    <w:rPr>
      <w:rFonts w:ascii="Arial" w:hAnsi="Arial" w:eastAsia="宋体" w:cs="宋体"/>
      <w:sz w:val="24"/>
      <w:szCs w:val="20"/>
    </w:rPr>
  </w:style>
  <w:style w:type="paragraph" w:customStyle="1" w:styleId="882">
    <w:name w:val="Char1 Char Char Char6"/>
    <w:basedOn w:val="1"/>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83">
    <w:name w:val="_Style 94"/>
    <w:basedOn w:val="1"/>
    <w:next w:val="129"/>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887">
    <w:name w:val="3级标题"/>
    <w:basedOn w:val="681"/>
    <w:qFormat/>
    <w:uiPriority w:val="0"/>
    <w:pPr>
      <w:outlineLvl w:val="2"/>
    </w:pPr>
    <w:rPr>
      <w:rFonts w:ascii="Times New Roman" w:hAnsi="Times New Roman" w:eastAsia="宋体" w:cs="Times New Roman"/>
    </w:r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eastAsia="宋体" w:cs="Times New Roman"/>
      <w:sz w:val="24"/>
      <w:szCs w:val="20"/>
    </w:rPr>
  </w:style>
  <w:style w:type="paragraph" w:customStyle="1" w:styleId="890">
    <w:name w:val="GP正文(首行缩进)"/>
    <w:basedOn w:val="1"/>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891">
    <w:name w:val="MM Empty"/>
    <w:basedOn w:val="1"/>
    <w:qFormat/>
    <w:uiPriority w:val="0"/>
    <w:pPr>
      <w:adjustRightInd/>
    </w:pPr>
    <w:rPr>
      <w:rFonts w:ascii="Times New Roman" w:hAnsi="Times New Roman" w:eastAsia="宋体" w:cs="Times New Roman"/>
    </w:rPr>
  </w:style>
  <w:style w:type="paragraph" w:customStyle="1" w:styleId="892">
    <w:name w:val="Char24"/>
    <w:basedOn w:val="1"/>
    <w:qFormat/>
    <w:uiPriority w:val="0"/>
    <w:rPr>
      <w:rFonts w:ascii="仿宋_GB2312" w:hAnsi="Times New Roman" w:eastAsia="仿宋_GB2312" w:cs="Times New Roman"/>
      <w:b/>
      <w:sz w:val="32"/>
      <w:szCs w:val="32"/>
    </w:rPr>
  </w:style>
  <w:style w:type="paragraph" w:customStyle="1" w:styleId="893">
    <w:name w:val="正文箭头"/>
    <w:basedOn w:val="548"/>
    <w:qFormat/>
    <w:uiPriority w:val="0"/>
    <w:rPr>
      <w:rFonts w:ascii="Times New Roman" w:hAnsi="Times New Roman" w:eastAsia="宋体" w:cs="Times New Roman"/>
    </w:rPr>
  </w:style>
  <w:style w:type="paragraph" w:customStyle="1" w:styleId="894">
    <w:name w:val="U_编号2"/>
    <w:basedOn w:val="1"/>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97">
    <w:name w:val="TOC 标题11"/>
    <w:basedOn w:val="2"/>
    <w:next w:val="1"/>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98">
    <w:name w:val="_Style 1"/>
    <w:basedOn w:val="1"/>
    <w:qFormat/>
    <w:uiPriority w:val="0"/>
    <w:pPr>
      <w:adjustRightInd/>
      <w:ind w:firstLine="420" w:firstLineChars="200"/>
    </w:pPr>
    <w:rPr>
      <w:rFonts w:ascii="Times New Roman" w:hAnsi="Times New Roman" w:eastAsia="仿宋_GB2312" w:cs="Times New Roman"/>
      <w:sz w:val="28"/>
    </w:rPr>
  </w:style>
  <w:style w:type="paragraph" w:customStyle="1" w:styleId="899">
    <w:name w:val="表格 内容"/>
    <w:basedOn w:val="736"/>
    <w:qFormat/>
    <w:uiPriority w:val="0"/>
    <w:rPr>
      <w:rFonts w:ascii="Times New Roman" w:hAnsi="Times New Roman" w:eastAsia="宋体" w:cs="Times New Roman"/>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901">
    <w:name w:val="数字标题5"/>
    <w:basedOn w:val="6"/>
    <w:next w:val="1"/>
    <w:qFormat/>
    <w:uiPriority w:val="0"/>
    <w:pPr>
      <w:tabs>
        <w:tab w:val="left" w:pos="1080"/>
      </w:tabs>
      <w:ind w:left="1080" w:hanging="1080"/>
    </w:pPr>
    <w:rPr>
      <w:rFonts w:ascii="Times New Roman" w:hAnsi="Times New Roman" w:eastAsia="宋体" w:cs="Times New Roman"/>
    </w:rPr>
  </w:style>
  <w:style w:type="paragraph" w:customStyle="1" w:styleId="902">
    <w:name w:val="数字标题1"/>
    <w:basedOn w:val="2"/>
    <w:next w:val="1"/>
    <w:qFormat/>
    <w:uiPriority w:val="0"/>
    <w:pPr>
      <w:tabs>
        <w:tab w:val="left" w:pos="480"/>
      </w:tabs>
      <w:ind w:left="480" w:hanging="480"/>
    </w:pPr>
    <w:rPr>
      <w:rFonts w:ascii="Times New Roman" w:hAnsi="Times New Roman" w:eastAsia="宋体" w:cs="Times New Roman"/>
    </w:r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rFonts w:ascii="Times New Roman" w:hAnsi="Times New Roman" w:eastAsia="宋体" w:cs="Times New Roman"/>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909">
    <w:name w:val="0"/>
    <w:basedOn w:val="1"/>
    <w:qFormat/>
    <w:uiPriority w:val="0"/>
    <w:pPr>
      <w:widowControl/>
    </w:pPr>
    <w:rPr>
      <w:rFonts w:ascii="Times New Roman" w:hAnsi="Times New Roman" w:eastAsia="宋体" w:cs="Times New Roman"/>
      <w:kern w:val="0"/>
      <w:sz w:val="24"/>
      <w:szCs w:val="20"/>
    </w:rPr>
  </w:style>
  <w:style w:type="paragraph" w:customStyle="1" w:styleId="910">
    <w:name w:val="Char Char113"/>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cs="Times New Roman"/>
      <w:sz w:val="24"/>
    </w:rPr>
  </w:style>
  <w:style w:type="paragraph" w:customStyle="1" w:styleId="912">
    <w:name w:val="_Style 8"/>
    <w:basedOn w:val="1"/>
    <w:qFormat/>
    <w:uiPriority w:val="0"/>
    <w:pPr>
      <w:adjustRightInd/>
      <w:ind w:firstLine="420" w:firstLineChars="200"/>
    </w:pPr>
    <w:rPr>
      <w:rFonts w:ascii="Times New Roman" w:hAnsi="Times New Roman" w:eastAsia="仿宋_GB2312" w:cs="Times New Roman"/>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918">
    <w:name w:val="Char Char112"/>
    <w:basedOn w:val="1"/>
    <w:qFormat/>
    <w:uiPriority w:val="0"/>
    <w:pPr>
      <w:widowControl/>
      <w:spacing w:after="160" w:line="240" w:lineRule="exact"/>
      <w:jc w:val="left"/>
    </w:pPr>
    <w:rPr>
      <w:rFonts w:ascii="Times New Roman" w:hAnsi="Times New Roman" w:eastAsia="仿宋_GB2312" w:cs="Times New Roman"/>
      <w:sz w:val="28"/>
    </w:rPr>
  </w:style>
  <w:style w:type="paragraph" w:customStyle="1" w:styleId="919">
    <w:name w:val="正文 图"/>
    <w:basedOn w:val="452"/>
    <w:qFormat/>
    <w:uiPriority w:val="0"/>
    <w:pPr>
      <w:adjustRightInd/>
      <w:spacing w:before="0"/>
      <w:ind w:firstLine="0"/>
      <w:jc w:val="center"/>
    </w:pPr>
    <w:rPr>
      <w:rFonts w:ascii="微软雅黑" w:hAnsi="微软雅黑" w:eastAsia="宋体" w:cs="Times New Roman"/>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922">
    <w:name w:val="Thf"/>
    <w:basedOn w:val="571"/>
    <w:qFormat/>
    <w:uiPriority w:val="0"/>
    <w:pPr>
      <w:ind w:left="0"/>
    </w:pPr>
    <w:rPr>
      <w:rFonts w:ascii="Times New Roman" w:hAnsi="Times New Roman" w:eastAsia="宋体" w:cs="Times New Roman"/>
    </w:r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rFonts w:ascii="Times New Roman" w:hAnsi="Times New Roman" w:eastAsia="宋体" w:cs="Times New Roman"/>
      <w:sz w:val="24"/>
    </w:rPr>
  </w:style>
  <w:style w:type="table" w:customStyle="1" w:styleId="926">
    <w:name w:val="网格型2"/>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0"/>
    <w:pPr>
      <w:ind w:firstLine="420" w:firstLineChars="200"/>
    </w:pPr>
    <w:rPr>
      <w:rFonts w:ascii="Times New Roman" w:hAnsi="Times New Roman" w:eastAsia="宋体" w:cs="Times New Roman"/>
    </w:rPr>
  </w:style>
  <w:style w:type="character" w:customStyle="1" w:styleId="933">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934">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935">
    <w:name w:val="页脚 字符1"/>
    <w:qFormat/>
    <w:uiPriority w:val="0"/>
    <w:rPr>
      <w:rFonts w:ascii="Times New Roman" w:hAnsi="Times New Roman" w:eastAsia="宋体" w:cs="Times New Roman"/>
      <w:kern w:val="2"/>
      <w:sz w:val="18"/>
      <w:szCs w:val="18"/>
    </w:rPr>
  </w:style>
  <w:style w:type="character" w:customStyle="1" w:styleId="936">
    <w:name w:val="页眉 字符1"/>
    <w:qFormat/>
    <w:uiPriority w:val="0"/>
    <w:rPr>
      <w:rFonts w:ascii="Times New Roman" w:hAnsi="Times New Roman" w:eastAsia="宋体" w:cs="Times New Roman"/>
      <w:kern w:val="2"/>
      <w:sz w:val="18"/>
      <w:szCs w:val="18"/>
    </w:rPr>
  </w:style>
  <w:style w:type="character" w:customStyle="1" w:styleId="937">
    <w:name w:val="标准文本 Char Char"/>
    <w:link w:val="938"/>
    <w:qFormat/>
    <w:uiPriority w:val="0"/>
    <w:rPr>
      <w:rFonts w:ascii="Times New Roman" w:hAnsi="Times New Roman" w:eastAsia="宋体"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939">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eastAsia="宋体" w:cs="Times New Roman"/>
      <w:color w:val="0000FF"/>
      <w:u w:val="single"/>
    </w:rPr>
  </w:style>
  <w:style w:type="character" w:customStyle="1" w:styleId="942">
    <w:name w:val="16"/>
    <w:qFormat/>
    <w:uiPriority w:val="0"/>
    <w:rPr>
      <w:rFonts w:hint="eastAsia" w:ascii="宋体" w:hAnsi="宋体" w:eastAsia="宋体" w:cs="Times New Roman"/>
      <w:color w:val="000000"/>
      <w:sz w:val="20"/>
      <w:szCs w:val="20"/>
    </w:rPr>
  </w:style>
  <w:style w:type="character" w:customStyle="1" w:styleId="943">
    <w:name w:val="edui-unclickable"/>
    <w:qFormat/>
    <w:uiPriority w:val="0"/>
    <w:rPr>
      <w:rFonts w:ascii="Times New Roman" w:hAnsi="Times New Roman" w:eastAsia="宋体" w:cs="Times New Roman"/>
      <w:color w:val="808080"/>
    </w:rPr>
  </w:style>
  <w:style w:type="character" w:customStyle="1" w:styleId="944">
    <w:name w:val="tpc_content1"/>
    <w:qFormat/>
    <w:uiPriority w:val="0"/>
    <w:rPr>
      <w:rFonts w:ascii="Times New Roman" w:hAnsi="Times New Roman" w:eastAsia="宋体" w:cs="Times New Roman"/>
      <w:sz w:val="20"/>
      <w:szCs w:val="20"/>
    </w:rPr>
  </w:style>
  <w:style w:type="character" w:customStyle="1" w:styleId="945">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946">
    <w:name w:val="正文文本 2 字符"/>
    <w:qFormat/>
    <w:uiPriority w:val="0"/>
    <w:rPr>
      <w:rFonts w:ascii="Arial" w:hAnsi="Arial" w:eastAsia="宋体" w:cs="Times New Roman"/>
      <w:kern w:val="2"/>
      <w:sz w:val="24"/>
      <w:szCs w:val="24"/>
      <w:lang w:val="en-US" w:eastAsia="zh-CN" w:bidi="ar-SA"/>
    </w:rPr>
  </w:style>
  <w:style w:type="character" w:customStyle="1" w:styleId="947">
    <w:name w:val="edui-clickable2"/>
    <w:qFormat/>
    <w:uiPriority w:val="0"/>
    <w:rPr>
      <w:rFonts w:ascii="Times New Roman" w:hAnsi="Times New Roman" w:eastAsia="宋体" w:cs="Times New Roman"/>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rFonts w:ascii="Times New Roman" w:hAnsi="Times New Roman" w:eastAsia="宋体" w:cs="Times New Roman"/>
      <w:color w:val="000000"/>
      <w:sz w:val="18"/>
    </w:rPr>
  </w:style>
  <w:style w:type="paragraph" w:customStyle="1" w:styleId="952">
    <w:name w:val="_Style 947"/>
    <w:basedOn w:val="1"/>
    <w:next w:val="129"/>
    <w:qFormat/>
    <w:uiPriority w:val="0"/>
    <w:pPr>
      <w:adjustRightInd/>
      <w:ind w:firstLine="420" w:firstLineChars="200"/>
    </w:pPr>
    <w:rPr>
      <w:rFonts w:ascii="Times New Roman" w:hAnsi="Times New Roman" w:eastAsia="宋体" w:cs="Times New Roman"/>
    </w:r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cs="Times New Roman"/>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cs="Times New Roman"/>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959">
    <w:name w:val="p1"/>
    <w:basedOn w:val="1"/>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960">
    <w:name w:val="Table Paragraph"/>
    <w:basedOn w:val="1"/>
    <w:qFormat/>
    <w:uiPriority w:val="0"/>
    <w:pPr>
      <w:adjustRightInd/>
      <w:jc w:val="left"/>
    </w:pPr>
    <w:rPr>
      <w:rFonts w:ascii="Calibri" w:hAnsi="Calibri" w:eastAsia="宋体" w:cs="Times New Roman"/>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963">
    <w:name w:val="text-tag"/>
    <w:basedOn w:val="1"/>
    <w:qFormat/>
    <w:uiPriority w:val="0"/>
    <w:pPr>
      <w:widowControl/>
      <w:adjustRightInd/>
      <w:spacing w:before="100" w:beforeAutospacing="1" w:after="100" w:afterAutospacing="1"/>
      <w:jc w:val="left"/>
    </w:pPr>
    <w:rPr>
      <w:rFonts w:ascii="宋体" w:hAnsi="宋体" w:eastAsia="宋体" w:cs="宋体"/>
      <w:kern w:val="0"/>
      <w:sz w:val="24"/>
    </w:rPr>
  </w:style>
  <w:style w:type="character" w:customStyle="1" w:styleId="964">
    <w:name w:val="ksfind_class_select1"/>
    <w:qFormat/>
    <w:uiPriority w:val="0"/>
    <w:rPr>
      <w:rFonts w:ascii="Times New Roman" w:hAnsi="Times New Roman" w:eastAsia="宋体" w:cs="Times New Roman"/>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eastAsia="宋体" w:cs="宋体"/>
      <w:lang w:val="zh-TW" w:eastAsia="zh-TW" w:bidi="zh-TW"/>
    </w:rPr>
  </w:style>
  <w:style w:type="character" w:customStyle="1" w:styleId="968">
    <w:name w:val="font10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qFormat/>
    <w:uiPriority w:val="0"/>
    <w:rPr>
      <w:rFonts w:ascii="Times New Roman" w:hAnsi="Times New Roman" w:eastAsia="宋体" w:cs="Times New Roman"/>
      <w:lang w:val="en-US" w:eastAsia="zh-CN" w:bidi="ar-SA"/>
    </w:rPr>
    <w:tblPr>
      <w:tblCellMar>
        <w:top w:w="0" w:type="dxa"/>
        <w:left w:w="0" w:type="dxa"/>
        <w:bottom w:w="0" w:type="dxa"/>
        <w:right w:w="0" w:type="dxa"/>
      </w:tblCellMar>
    </w:tblPr>
  </w:style>
  <w:style w:type="character" w:customStyle="1" w:styleId="971">
    <w:name w:val="NormalCharacter"/>
    <w:qFormat/>
    <w:uiPriority w:val="0"/>
    <w:rPr>
      <w:rFonts w:ascii="Times New Roman" w:hAnsi="Times New Roman" w:eastAsia="宋体" w:cs="Times New Roman"/>
      <w:kern w:val="2"/>
      <w:sz w:val="21"/>
      <w:szCs w:val="24"/>
      <w:lang w:val="en-US" w:eastAsia="zh-CN" w:bidi="ar-SA"/>
    </w:rPr>
  </w:style>
  <w:style w:type="paragraph" w:customStyle="1" w:styleId="972">
    <w:name w:val="_Style 97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7022</Words>
  <Characters>7703</Characters>
  <Lines>194</Lines>
  <Paragraphs>54</Paragraphs>
  <TotalTime>100</TotalTime>
  <ScaleCrop>false</ScaleCrop>
  <LinksUpToDate>false</LinksUpToDate>
  <CharactersWithSpaces>7814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2024-03-09T18:35:00Z</dcterms:created>
  <dc:creator>玥</dc:creator>
  <cp:lastModifiedBy>北极熊不吃鱼</cp:lastModifiedBy>
  <cp:lastPrinted>2025-06-19T17:25:00Z</cp:lastPrinted>
  <dcterms:modified xsi:type="dcterms:W3CDTF">2025-06-25T01:57:48Z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EAB8036D2FDF44C498F7E8A473681CBC_13</vt:lpwstr>
  </property>
  <property fmtid="{D5CDD505-2E9C-101B-9397-08002B2CF9AE}" pid="5" name="commondata">
    <vt:lpwstr>eyJoZGlkIjoiMzdkYTNjODAzOWEyZTBjZWI2OWE0Y2U2MTNhOGNiNmUifQ==</vt:lpwstr>
  </property>
  <property fmtid="{D5CDD505-2E9C-101B-9397-08002B2CF9AE}" pid="6" name="KSOTemplateDocerSaveRecord">
    <vt:lpwstr>eyJoZGlkIjoiZDdiNDMxZjc3NTlkYzkwMzdjMTMwZTRlYmNiNjExOTEiLCJ1c2VySWQiOiIzNTYxMDIxMDMifQ==</vt:lpwstr>
  </property>
</Properties>
</file>