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44CAD">
      <w:pPr>
        <w:autoSpaceDE w:val="0"/>
        <w:autoSpaceDN w:val="0"/>
        <w:spacing w:line="500" w:lineRule="atLeast"/>
        <w:textAlignment w:val="bottom"/>
        <w:rPr>
          <w:rFonts w:ascii="新宋体" w:hAnsi="新宋体" w:eastAsia="新宋体" w:cs="新宋体"/>
          <w:b/>
          <w:bCs/>
          <w:color w:val="auto"/>
          <w:spacing w:val="120"/>
          <w:sz w:val="72"/>
          <w:szCs w:val="72"/>
          <w:highlight w:val="none"/>
        </w:rPr>
      </w:pPr>
    </w:p>
    <w:p w14:paraId="4C4FF4EB">
      <w:pPr>
        <w:autoSpaceDE w:val="0"/>
        <w:autoSpaceDN w:val="0"/>
        <w:spacing w:line="500" w:lineRule="atLeast"/>
        <w:jc w:val="center"/>
        <w:textAlignment w:val="bottom"/>
        <w:rPr>
          <w:rFonts w:ascii="新宋体" w:hAnsi="新宋体" w:eastAsia="新宋体" w:cs="新宋体"/>
          <w:bCs/>
          <w:color w:val="auto"/>
          <w:sz w:val="84"/>
          <w:szCs w:val="84"/>
          <w:highlight w:val="none"/>
        </w:rPr>
      </w:pPr>
      <w:r>
        <w:rPr>
          <w:rFonts w:hint="eastAsia" w:ascii="新宋体" w:hAnsi="新宋体" w:eastAsia="新宋体" w:cs="新宋体"/>
          <w:b/>
          <w:bCs/>
          <w:color w:val="auto"/>
          <w:spacing w:val="120"/>
          <w:sz w:val="84"/>
          <w:szCs w:val="84"/>
          <w:highlight w:val="none"/>
        </w:rPr>
        <w:t>温州市国有企业</w:t>
      </w:r>
    </w:p>
    <w:p w14:paraId="57AB2D94">
      <w:pPr>
        <w:spacing w:line="400" w:lineRule="atLeast"/>
        <w:jc w:val="center"/>
        <w:rPr>
          <w:rFonts w:ascii="新宋体" w:hAnsi="新宋体" w:eastAsia="新宋体" w:cs="新宋体"/>
          <w:b/>
          <w:color w:val="auto"/>
          <w:sz w:val="52"/>
          <w:highlight w:val="none"/>
        </w:rPr>
      </w:pPr>
    </w:p>
    <w:p w14:paraId="7A056B4E">
      <w:pPr>
        <w:tabs>
          <w:tab w:val="left" w:pos="6660"/>
        </w:tabs>
        <w:spacing w:line="400" w:lineRule="atLeast"/>
        <w:jc w:val="center"/>
        <w:rPr>
          <w:rFonts w:ascii="新宋体" w:hAnsi="新宋体" w:eastAsia="新宋体" w:cs="新宋体"/>
          <w:b/>
          <w:color w:val="auto"/>
          <w:sz w:val="52"/>
          <w:highlight w:val="none"/>
        </w:rPr>
      </w:pPr>
    </w:p>
    <w:p w14:paraId="5801372F">
      <w:pPr>
        <w:spacing w:line="400" w:lineRule="atLeast"/>
        <w:jc w:val="center"/>
        <w:rPr>
          <w:rFonts w:ascii="新宋体" w:hAnsi="新宋体" w:eastAsia="新宋体" w:cs="新宋体"/>
          <w:b/>
          <w:color w:val="auto"/>
          <w:sz w:val="52"/>
          <w:highlight w:val="none"/>
        </w:rPr>
      </w:pPr>
    </w:p>
    <w:p w14:paraId="7131E1A7">
      <w:pPr>
        <w:spacing w:line="400" w:lineRule="atLeast"/>
        <w:jc w:val="center"/>
        <w:rPr>
          <w:rFonts w:ascii="新宋体" w:hAnsi="新宋体" w:eastAsia="新宋体" w:cs="新宋体"/>
          <w:b/>
          <w:color w:val="auto"/>
          <w:sz w:val="52"/>
          <w:highlight w:val="none"/>
        </w:rPr>
      </w:pPr>
    </w:p>
    <w:p w14:paraId="0C7DDE4F">
      <w:pPr>
        <w:autoSpaceDE w:val="0"/>
        <w:autoSpaceDN w:val="0"/>
        <w:spacing w:line="500" w:lineRule="atLeast"/>
        <w:jc w:val="center"/>
        <w:textAlignment w:val="bottom"/>
        <w:rPr>
          <w:rFonts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采 购 文 件</w:t>
      </w:r>
    </w:p>
    <w:p w14:paraId="53CECD04">
      <w:pPr>
        <w:spacing w:line="400" w:lineRule="atLeast"/>
        <w:jc w:val="center"/>
        <w:rPr>
          <w:rFonts w:ascii="新宋体" w:hAnsi="新宋体" w:eastAsia="新宋体" w:cs="新宋体"/>
          <w:b/>
          <w:color w:val="auto"/>
          <w:sz w:val="52"/>
          <w:highlight w:val="none"/>
        </w:rPr>
      </w:pPr>
    </w:p>
    <w:p w14:paraId="0B18029C">
      <w:pPr>
        <w:spacing w:line="400" w:lineRule="atLeast"/>
        <w:jc w:val="center"/>
        <w:rPr>
          <w:rFonts w:ascii="新宋体" w:hAnsi="新宋体" w:eastAsia="新宋体" w:cs="新宋体"/>
          <w:b/>
          <w:color w:val="auto"/>
          <w:sz w:val="52"/>
          <w:highlight w:val="none"/>
        </w:rPr>
      </w:pPr>
    </w:p>
    <w:p w14:paraId="09341900">
      <w:pPr>
        <w:spacing w:line="400" w:lineRule="atLeast"/>
        <w:jc w:val="center"/>
        <w:rPr>
          <w:rFonts w:ascii="新宋体" w:hAnsi="新宋体" w:eastAsia="新宋体" w:cs="新宋体"/>
          <w:b/>
          <w:color w:val="auto"/>
          <w:sz w:val="52"/>
          <w:highlight w:val="none"/>
        </w:rPr>
      </w:pPr>
    </w:p>
    <w:p w14:paraId="35780EBB">
      <w:pPr>
        <w:tabs>
          <w:tab w:val="left" w:pos="4860"/>
        </w:tabs>
        <w:spacing w:line="600" w:lineRule="exact"/>
        <w:ind w:right="1143"/>
        <w:jc w:val="left"/>
        <w:rPr>
          <w:rFonts w:hint="eastAsia" w:ascii="新宋体" w:hAnsi="新宋体" w:eastAsia="新宋体" w:cs="新宋体"/>
          <w:b/>
          <w:color w:val="auto"/>
          <w:sz w:val="24"/>
          <w:szCs w:val="24"/>
          <w:highlight w:val="none"/>
          <w:lang w:eastAsia="zh-CN"/>
        </w:rPr>
      </w:pPr>
      <w:r>
        <w:rPr>
          <w:rFonts w:hint="eastAsia" w:ascii="新宋体" w:hAnsi="新宋体" w:eastAsia="新宋体" w:cs="新宋体"/>
          <w:b/>
          <w:color w:val="auto"/>
          <w:spacing w:val="40"/>
          <w:sz w:val="24"/>
          <w:szCs w:val="24"/>
          <w:highlight w:val="none"/>
        </w:rPr>
        <w:t>项目编号：</w:t>
      </w:r>
      <w:r>
        <w:rPr>
          <w:rFonts w:hint="eastAsia" w:ascii="新宋体" w:hAnsi="新宋体" w:eastAsia="新宋体" w:cs="新宋体"/>
          <w:b/>
          <w:color w:val="auto"/>
          <w:spacing w:val="40"/>
          <w:sz w:val="24"/>
          <w:szCs w:val="24"/>
          <w:highlight w:val="none"/>
          <w:lang w:eastAsia="zh-CN"/>
        </w:rPr>
        <w:t>WGSS-CFJT-X-2025017</w:t>
      </w:r>
    </w:p>
    <w:p w14:paraId="67B1AE94">
      <w:pPr>
        <w:tabs>
          <w:tab w:val="left" w:pos="2100"/>
          <w:tab w:val="left" w:pos="4860"/>
        </w:tabs>
        <w:spacing w:line="600" w:lineRule="exact"/>
        <w:ind w:right="1143"/>
        <w:jc w:val="left"/>
        <w:rPr>
          <w:rFonts w:hint="eastAsia" w:ascii="新宋体" w:hAnsi="新宋体" w:eastAsia="新宋体" w:cs="新宋体"/>
          <w:b/>
          <w:color w:val="auto"/>
          <w:spacing w:val="40"/>
          <w:sz w:val="24"/>
          <w:szCs w:val="24"/>
          <w:highlight w:val="none"/>
          <w:lang w:eastAsia="zh-CN"/>
        </w:rPr>
      </w:pPr>
      <w:r>
        <w:rPr>
          <w:rFonts w:hint="eastAsia" w:ascii="新宋体" w:hAnsi="新宋体" w:eastAsia="新宋体" w:cs="新宋体"/>
          <w:b/>
          <w:color w:val="auto"/>
          <w:spacing w:val="40"/>
          <w:sz w:val="24"/>
          <w:szCs w:val="24"/>
          <w:highlight w:val="none"/>
        </w:rPr>
        <w:t>项目名称：</w:t>
      </w:r>
      <w:r>
        <w:rPr>
          <w:rFonts w:hint="eastAsia" w:ascii="新宋体" w:hAnsi="新宋体" w:eastAsia="新宋体" w:cs="新宋体"/>
          <w:b/>
          <w:color w:val="auto"/>
          <w:spacing w:val="40"/>
          <w:sz w:val="24"/>
          <w:szCs w:val="24"/>
          <w:highlight w:val="none"/>
          <w:lang w:eastAsia="zh-CN"/>
        </w:rPr>
        <w:t>第十五届中国（温州）国际园林博览会筹开服务</w:t>
      </w:r>
    </w:p>
    <w:p w14:paraId="61DE0FC5">
      <w:pPr>
        <w:tabs>
          <w:tab w:val="left" w:pos="4860"/>
        </w:tabs>
        <w:spacing w:line="600" w:lineRule="exact"/>
        <w:ind w:right="1143"/>
        <w:jc w:val="left"/>
        <w:rPr>
          <w:rFonts w:ascii="新宋体" w:hAnsi="新宋体" w:eastAsia="新宋体" w:cs="新宋体"/>
          <w:b/>
          <w:color w:val="auto"/>
          <w:spacing w:val="40"/>
          <w:sz w:val="24"/>
          <w:szCs w:val="24"/>
          <w:highlight w:val="none"/>
        </w:rPr>
      </w:pPr>
      <w:r>
        <w:rPr>
          <w:rFonts w:hint="eastAsia" w:ascii="新宋体" w:hAnsi="新宋体" w:eastAsia="新宋体" w:cs="新宋体"/>
          <w:b/>
          <w:color w:val="auto"/>
          <w:spacing w:val="40"/>
          <w:sz w:val="24"/>
          <w:szCs w:val="24"/>
          <w:highlight w:val="none"/>
        </w:rPr>
        <w:t>采购方式：公开招标</w:t>
      </w:r>
    </w:p>
    <w:p w14:paraId="3ACB46B7">
      <w:pPr>
        <w:spacing w:line="400" w:lineRule="atLeast"/>
        <w:rPr>
          <w:rFonts w:ascii="新宋体" w:hAnsi="新宋体" w:eastAsia="新宋体" w:cs="新宋体"/>
          <w:b/>
          <w:color w:val="auto"/>
          <w:sz w:val="52"/>
          <w:highlight w:val="none"/>
        </w:rPr>
      </w:pPr>
    </w:p>
    <w:p w14:paraId="1DCD0018">
      <w:pPr>
        <w:spacing w:line="600" w:lineRule="exact"/>
        <w:rPr>
          <w:rFonts w:ascii="新宋体" w:hAnsi="新宋体" w:eastAsia="新宋体" w:cs="新宋体"/>
          <w:b/>
          <w:color w:val="auto"/>
          <w:sz w:val="30"/>
          <w:szCs w:val="30"/>
          <w:highlight w:val="none"/>
        </w:rPr>
      </w:pPr>
    </w:p>
    <w:p w14:paraId="5D3737C9">
      <w:pPr>
        <w:pStyle w:val="23"/>
        <w:ind w:firstLine="200"/>
        <w:rPr>
          <w:rFonts w:ascii="新宋体" w:hAnsi="新宋体" w:eastAsia="新宋体"/>
          <w:color w:val="auto"/>
          <w:highlight w:val="none"/>
        </w:rPr>
      </w:pPr>
    </w:p>
    <w:p w14:paraId="7E589F7F">
      <w:pPr>
        <w:spacing w:line="600" w:lineRule="exact"/>
        <w:ind w:firstLine="2159" w:firstLineChars="717"/>
        <w:rPr>
          <w:rFonts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采 购 人：</w:t>
      </w:r>
      <w:r>
        <w:rPr>
          <w:rFonts w:hint="eastAsia" w:ascii="新宋体" w:hAnsi="新宋体" w:eastAsia="新宋体" w:cs="新宋体"/>
          <w:b/>
          <w:color w:val="auto"/>
          <w:sz w:val="30"/>
          <w:szCs w:val="30"/>
          <w:highlight w:val="none"/>
          <w:lang w:eastAsia="zh-CN"/>
        </w:rPr>
        <w:t>温州园博园建设发展有限公司</w:t>
      </w:r>
      <w:r>
        <w:rPr>
          <w:rFonts w:hint="eastAsia" w:ascii="新宋体" w:hAnsi="新宋体" w:eastAsia="新宋体" w:cs="新宋体"/>
          <w:b/>
          <w:color w:val="auto"/>
          <w:sz w:val="30"/>
          <w:szCs w:val="30"/>
          <w:highlight w:val="none"/>
        </w:rPr>
        <w:t xml:space="preserve"> </w:t>
      </w:r>
    </w:p>
    <w:p w14:paraId="0823D267">
      <w:pPr>
        <w:spacing w:line="600" w:lineRule="exact"/>
        <w:ind w:firstLine="2159" w:firstLineChars="717"/>
        <w:rPr>
          <w:rFonts w:ascii="新宋体" w:hAnsi="新宋体" w:eastAsia="新宋体" w:cs="新宋体"/>
          <w:b/>
          <w:color w:val="auto"/>
          <w:spacing w:val="40"/>
          <w:sz w:val="30"/>
          <w:szCs w:val="30"/>
          <w:highlight w:val="none"/>
        </w:rPr>
      </w:pPr>
      <w:r>
        <w:rPr>
          <w:rFonts w:hint="eastAsia" w:ascii="新宋体" w:hAnsi="新宋体" w:eastAsia="新宋体" w:cs="新宋体"/>
          <w:b/>
          <w:color w:val="auto"/>
          <w:sz w:val="30"/>
          <w:szCs w:val="30"/>
          <w:highlight w:val="none"/>
        </w:rPr>
        <w:t>采购代理：浙江鼎力工程项目管理有限公司</w:t>
      </w:r>
    </w:p>
    <w:p w14:paraId="22A1B2AF">
      <w:pPr>
        <w:spacing w:line="600" w:lineRule="exact"/>
        <w:jc w:val="center"/>
        <w:rPr>
          <w:rFonts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五</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六</w:t>
      </w:r>
      <w:r>
        <w:rPr>
          <w:rFonts w:hint="eastAsia" w:ascii="新宋体" w:hAnsi="新宋体" w:eastAsia="新宋体" w:cs="新宋体"/>
          <w:b/>
          <w:color w:val="auto"/>
          <w:spacing w:val="40"/>
          <w:sz w:val="30"/>
          <w:szCs w:val="30"/>
          <w:highlight w:val="none"/>
        </w:rPr>
        <w:t>月</w:t>
      </w:r>
    </w:p>
    <w:p w14:paraId="7DB134E1">
      <w:pPr>
        <w:spacing w:line="600" w:lineRule="exact"/>
        <w:jc w:val="center"/>
        <w:rPr>
          <w:rFonts w:ascii="新宋体" w:hAnsi="新宋体" w:eastAsia="新宋体" w:cs="新宋体"/>
          <w:b/>
          <w:bCs/>
          <w:color w:val="auto"/>
          <w:sz w:val="32"/>
          <w:szCs w:val="32"/>
          <w:highlight w:val="none"/>
        </w:rPr>
        <w:sectPr>
          <w:headerReference r:id="rId4" w:type="first"/>
          <w:headerReference r:id="rId3" w:type="default"/>
          <w:footerReference r:id="rId5" w:type="default"/>
          <w:pgSz w:w="11900" w:h="16840"/>
          <w:pgMar w:top="1134" w:right="1134" w:bottom="1134" w:left="1134" w:header="850" w:footer="850" w:gutter="0"/>
          <w:cols w:space="720" w:num="1"/>
          <w:titlePg/>
          <w:docGrid w:linePitch="360" w:charSpace="0"/>
        </w:sectPr>
      </w:pPr>
    </w:p>
    <w:p w14:paraId="1A01997C">
      <w:pPr>
        <w:spacing w:line="600" w:lineRule="exact"/>
        <w:jc w:val="center"/>
        <w:rPr>
          <w:rFonts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57967390">
      <w:pPr>
        <w:pStyle w:val="23"/>
        <w:ind w:firstLine="200"/>
        <w:rPr>
          <w:rFonts w:ascii="新宋体" w:hAnsi="新宋体" w:eastAsia="新宋体"/>
          <w:color w:val="auto"/>
          <w:highlight w:val="none"/>
        </w:rPr>
      </w:pPr>
    </w:p>
    <w:p w14:paraId="1F5545B6">
      <w:pPr>
        <w:pStyle w:val="18"/>
        <w:tabs>
          <w:tab w:val="right" w:leader="dot" w:pos="9638"/>
          <w:tab w:val="clear" w:pos="9628"/>
        </w:tabs>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"_Toc16976" </w:instrText>
      </w:r>
      <w:r>
        <w:rPr>
          <w:color w:val="auto"/>
          <w:highlight w:val="none"/>
        </w:rPr>
        <w:fldChar w:fldCharType="separate"/>
      </w:r>
      <w:r>
        <w:rPr>
          <w:rFonts w:hint="eastAsia" w:ascii="宋体" w:hAnsi="宋体" w:eastAsia="宋体" w:cs="宋体"/>
          <w:color w:val="auto"/>
          <w:highlight w:val="none"/>
        </w:rPr>
        <w:t>温州市城发集团所属</w:t>
      </w:r>
      <w:r>
        <w:rPr>
          <w:rFonts w:hint="eastAsia" w:ascii="宋体" w:hAnsi="宋体" w:eastAsia="宋体" w:cs="宋体"/>
          <w:color w:val="auto"/>
          <w:highlight w:val="none"/>
          <w:lang w:eastAsia="zh-CN"/>
        </w:rPr>
        <w:t>温州园博园建设发展有限公司</w:t>
      </w:r>
      <w:r>
        <w:rPr>
          <w:rFonts w:hint="eastAsia" w:ascii="宋体" w:hAnsi="宋体" w:eastAsia="宋体" w:cs="宋体"/>
          <w:color w:val="auto"/>
          <w:highlight w:val="none"/>
        </w:rPr>
        <w:t>关于</w:t>
      </w:r>
      <w:r>
        <w:rPr>
          <w:rFonts w:hint="eastAsia" w:ascii="宋体" w:hAnsi="宋体" w:eastAsia="宋体" w:cs="宋体"/>
          <w:color w:val="auto"/>
          <w:highlight w:val="none"/>
          <w:lang w:eastAsia="zh-CN"/>
        </w:rPr>
        <w:t>第十五届中国（温州）国际园林博览会筹开服务</w:t>
      </w:r>
      <w:r>
        <w:rPr>
          <w:rFonts w:hint="eastAsia" w:ascii="宋体" w:hAnsi="宋体" w:eastAsia="宋体" w:cs="宋体"/>
          <w:color w:val="auto"/>
          <w:highlight w:val="none"/>
        </w:rPr>
        <w:t>项目的采购公告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_Toc16976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B0B33E0">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"_Toc21713" </w:instrText>
      </w:r>
      <w:r>
        <w:rPr>
          <w:color w:val="auto"/>
          <w:highlight w:val="none"/>
        </w:rPr>
        <w:fldChar w:fldCharType="separate"/>
      </w:r>
      <w:r>
        <w:rPr>
          <w:rFonts w:hint="eastAsia" w:ascii="宋体" w:hAnsi="宋体" w:eastAsia="宋体" w:cs="宋体"/>
          <w:color w:val="auto"/>
          <w:highlight w:val="none"/>
        </w:rPr>
        <w:t>温州市城发集团所属</w:t>
      </w:r>
      <w:r>
        <w:rPr>
          <w:rFonts w:hint="eastAsia" w:ascii="宋体" w:hAnsi="宋体" w:eastAsia="宋体" w:cs="宋体"/>
          <w:color w:val="auto"/>
          <w:highlight w:val="none"/>
          <w:lang w:eastAsia="zh-CN"/>
        </w:rPr>
        <w:t>温州园博园建设发展有限公司</w:t>
      </w:r>
      <w:r>
        <w:rPr>
          <w:rFonts w:hint="eastAsia" w:ascii="宋体" w:hAnsi="宋体" w:eastAsia="宋体" w:cs="宋体"/>
          <w:color w:val="auto"/>
          <w:highlight w:val="none"/>
        </w:rPr>
        <w:t>关于</w:t>
      </w:r>
      <w:r>
        <w:rPr>
          <w:rFonts w:hint="eastAsia" w:ascii="宋体" w:hAnsi="宋体" w:eastAsia="宋体" w:cs="宋体"/>
          <w:color w:val="auto"/>
          <w:highlight w:val="none"/>
          <w:lang w:eastAsia="zh-CN"/>
        </w:rPr>
        <w:t>第十五届中国（温州）国际园林博览会筹开服务</w:t>
      </w:r>
      <w:r>
        <w:rPr>
          <w:rFonts w:hint="eastAsia" w:ascii="宋体" w:hAnsi="宋体" w:eastAsia="宋体" w:cs="宋体"/>
          <w:color w:val="auto"/>
          <w:highlight w:val="none"/>
        </w:rPr>
        <w:t>项目的征求意见公示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2C741D">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"_Toc10353" </w:instrText>
      </w:r>
      <w:r>
        <w:rPr>
          <w:color w:val="auto"/>
          <w:highlight w:val="none"/>
        </w:rPr>
        <w:fldChar w:fldCharType="separate"/>
      </w:r>
      <w:r>
        <w:rPr>
          <w:rFonts w:hint="eastAsia" w:ascii="宋体" w:hAnsi="宋体" w:eastAsia="宋体" w:cs="宋体"/>
          <w:color w:val="auto"/>
          <w:highlight w:val="none"/>
        </w:rPr>
        <w:t>投标供应商须知前附表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D07AD4">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"_Toc2518" </w:instrText>
      </w:r>
      <w:r>
        <w:rPr>
          <w:color w:val="auto"/>
          <w:highlight w:val="none"/>
        </w:rPr>
        <w:fldChar w:fldCharType="separate"/>
      </w:r>
      <w:r>
        <w:rPr>
          <w:rFonts w:hint="eastAsia" w:ascii="宋体" w:hAnsi="宋体" w:eastAsia="宋体" w:cs="宋体"/>
          <w:color w:val="auto"/>
          <w:highlight w:val="none"/>
        </w:rPr>
        <w:t>第一部分    投标供应商须知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FF3EF6">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"_Toc6088"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67F523">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"_Toc17088" </w:instrText>
      </w:r>
      <w:r>
        <w:rPr>
          <w:color w:val="auto"/>
          <w:highlight w:val="none"/>
        </w:rPr>
        <w:fldChar w:fldCharType="separate"/>
      </w:r>
      <w:r>
        <w:rPr>
          <w:rFonts w:hint="eastAsia" w:ascii="宋体" w:hAnsi="宋体" w:eastAsia="宋体" w:cs="宋体"/>
          <w:color w:val="auto"/>
          <w:highlight w:val="none"/>
        </w:rPr>
        <w:t>二、 采购文件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A01715">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"_Toc16866"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F243750">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"_Toc2319"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894E88">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"_Toc22461" </w:instrText>
      </w:r>
      <w:r>
        <w:rPr>
          <w:color w:val="auto"/>
          <w:highlight w:val="none"/>
        </w:rPr>
        <w:fldChar w:fldCharType="separate"/>
      </w:r>
      <w:r>
        <w:rPr>
          <w:rFonts w:hint="eastAsia" w:ascii="宋体" w:hAnsi="宋体" w:eastAsia="宋体" w:cs="宋体"/>
          <w:color w:val="auto"/>
          <w:highlight w:val="none"/>
        </w:rPr>
        <w:t>五、 开标和评标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CCD3CE">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"_Toc26949"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000896">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"_Toc15718" </w:instrText>
      </w:r>
      <w:r>
        <w:rPr>
          <w:color w:val="auto"/>
          <w:highlight w:val="none"/>
        </w:rPr>
        <w:fldChar w:fldCharType="separate"/>
      </w:r>
      <w:r>
        <w:rPr>
          <w:rFonts w:hint="eastAsia" w:ascii="宋体" w:hAnsi="宋体" w:eastAsia="宋体" w:cs="宋体"/>
          <w:color w:val="auto"/>
          <w:highlight w:val="none"/>
        </w:rPr>
        <w:t>第二部分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_Toc15718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036C3F">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"_Toc25218" </w:instrText>
      </w:r>
      <w:r>
        <w:rPr>
          <w:color w:val="auto"/>
          <w:highlight w:val="none"/>
        </w:rPr>
        <w:fldChar w:fldCharType="separate"/>
      </w:r>
      <w:r>
        <w:rPr>
          <w:rFonts w:hint="eastAsia" w:ascii="宋体" w:hAnsi="宋体" w:eastAsia="宋体" w:cs="宋体"/>
          <w:color w:val="auto"/>
          <w:highlight w:val="none"/>
        </w:rPr>
        <w:t>第三部分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_Toc25218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C0C829">
      <w:pPr>
        <w:pStyle w:val="18"/>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"_Toc7076" </w:instrText>
      </w:r>
      <w:r>
        <w:rPr>
          <w:color w:val="auto"/>
          <w:highlight w:val="none"/>
        </w:rPr>
        <w:fldChar w:fldCharType="separate"/>
      </w:r>
      <w:r>
        <w:rPr>
          <w:rFonts w:hint="eastAsia" w:ascii="宋体" w:hAnsi="宋体" w:eastAsia="宋体" w:cs="宋体"/>
          <w:color w:val="auto"/>
          <w:highlight w:val="none"/>
        </w:rPr>
        <w:t>第四部分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69EDF1">
      <w:pPr>
        <w:pStyle w:val="20"/>
        <w:tabs>
          <w:tab w:val="right" w:leader="dot" w:pos="9638"/>
        </w:tabs>
        <w:ind w:left="0" w:leftChars="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"_Toc18857" </w:instrText>
      </w:r>
      <w:r>
        <w:rPr>
          <w:color w:val="auto"/>
          <w:highlight w:val="none"/>
        </w:rPr>
        <w:fldChar w:fldCharType="separate"/>
      </w:r>
      <w:r>
        <w:rPr>
          <w:rFonts w:hint="eastAsia" w:ascii="宋体" w:hAnsi="宋体" w:cs="宋体"/>
          <w:color w:val="auto"/>
          <w:sz w:val="24"/>
          <w:highlight w:val="none"/>
        </w:rPr>
        <w:t>第五部分   评标原则及方法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_Toc18857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9E43960">
      <w:pPr>
        <w:pStyle w:val="18"/>
        <w:tabs>
          <w:tab w:val="right" w:leader="dot" w:pos="9972"/>
          <w:tab w:val="clear" w:pos="9628"/>
        </w:tabs>
        <w:rPr>
          <w:rFonts w:ascii="新宋体" w:hAnsi="新宋体" w:eastAsia="新宋体" w:cs="新宋体"/>
          <w:b/>
          <w:bCs w:val="0"/>
          <w:color w:val="auto"/>
          <w:sz w:val="22"/>
          <w:szCs w:val="22"/>
          <w:highlight w:val="none"/>
        </w:rPr>
      </w:pPr>
      <w:r>
        <w:rPr>
          <w:rFonts w:hint="eastAsia" w:ascii="宋体" w:hAnsi="宋体" w:eastAsia="宋体" w:cs="宋体"/>
          <w:color w:val="auto"/>
          <w:highlight w:val="none"/>
        </w:rPr>
        <w:fldChar w:fldCharType="end"/>
      </w:r>
    </w:p>
    <w:p w14:paraId="50DE18C2">
      <w:pPr>
        <w:spacing w:line="5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注：采购文件中加“▲”且加下划线的条款，为采购的实质性要求和条件，着重提醒各投标供应商注意，并认真查看采购文件中的每一个条款及要求，因误读采购文件而造成的后果，采购人概不负责。</w:t>
      </w:r>
    </w:p>
    <w:p w14:paraId="60468087">
      <w:pPr>
        <w:spacing w:line="560" w:lineRule="exact"/>
        <w:rPr>
          <w:rFonts w:ascii="新宋体" w:hAnsi="新宋体" w:eastAsia="新宋体" w:cs="新宋体"/>
          <w:b/>
          <w:bCs/>
          <w:color w:val="auto"/>
          <w:sz w:val="22"/>
          <w:szCs w:val="22"/>
          <w:highlight w:val="none"/>
        </w:rPr>
      </w:pPr>
    </w:p>
    <w:p w14:paraId="7AF0CA7D">
      <w:pPr>
        <w:spacing w:line="480" w:lineRule="auto"/>
        <w:jc w:val="right"/>
        <w:rPr>
          <w:rFonts w:ascii="新宋体" w:hAnsi="新宋体" w:eastAsia="新宋体" w:cs="新宋体"/>
          <w:color w:val="auto"/>
          <w:sz w:val="22"/>
          <w:szCs w:val="22"/>
          <w:highlight w:val="none"/>
        </w:rPr>
      </w:pPr>
    </w:p>
    <w:p w14:paraId="29BC1C3F">
      <w:pPr>
        <w:pStyle w:val="2"/>
        <w:spacing w:line="360" w:lineRule="auto"/>
        <w:rPr>
          <w:rFonts w:ascii="新宋体" w:hAnsi="新宋体" w:eastAsia="新宋体" w:cs="新宋体"/>
          <w:color w:val="auto"/>
          <w:sz w:val="32"/>
          <w:szCs w:val="32"/>
          <w:highlight w:val="none"/>
        </w:rPr>
      </w:pPr>
      <w:bookmarkStart w:id="0" w:name="_Toc462130148"/>
      <w:bookmarkStart w:id="1" w:name="_Toc434310670"/>
      <w:bookmarkStart w:id="2" w:name="_Toc15028"/>
      <w:r>
        <w:rPr>
          <w:rFonts w:hint="eastAsia" w:ascii="新宋体" w:hAnsi="新宋体" w:eastAsia="新宋体" w:cs="宋体"/>
          <w:color w:val="auto"/>
          <w:sz w:val="32"/>
          <w:szCs w:val="32"/>
          <w:highlight w:val="none"/>
        </w:rPr>
        <w:br w:type="page"/>
      </w:r>
      <w:bookmarkStart w:id="3" w:name="_Toc71374667"/>
      <w:bookmarkStart w:id="4" w:name="_Toc16976"/>
      <w:r>
        <w:rPr>
          <w:rFonts w:hint="eastAsia" w:ascii="新宋体" w:hAnsi="新宋体" w:eastAsia="新宋体" w:cs="宋体"/>
          <w:color w:val="auto"/>
          <w:sz w:val="32"/>
          <w:szCs w:val="32"/>
          <w:highlight w:val="none"/>
          <w:lang w:eastAsia="zh-CN"/>
        </w:rPr>
        <w:t>温州园博园建设发展有限公司</w:t>
      </w:r>
      <w:r>
        <w:rPr>
          <w:rFonts w:hint="eastAsia" w:ascii="新宋体" w:hAnsi="新宋体" w:eastAsia="新宋体" w:cs="宋体"/>
          <w:color w:val="auto"/>
          <w:sz w:val="32"/>
          <w:szCs w:val="32"/>
          <w:highlight w:val="none"/>
        </w:rPr>
        <w:t>关于</w:t>
      </w:r>
      <w:r>
        <w:rPr>
          <w:rFonts w:hint="eastAsia" w:ascii="新宋体" w:hAnsi="新宋体" w:eastAsia="新宋体" w:cs="新宋体"/>
          <w:color w:val="auto"/>
          <w:sz w:val="32"/>
          <w:szCs w:val="32"/>
          <w:highlight w:val="none"/>
          <w:lang w:eastAsia="zh-CN"/>
        </w:rPr>
        <w:t>第十五届中国（温州）国际园林博览会筹开服务</w:t>
      </w:r>
      <w:r>
        <w:rPr>
          <w:rFonts w:hint="eastAsia" w:ascii="新宋体" w:hAnsi="新宋体" w:eastAsia="新宋体" w:cs="新宋体"/>
          <w:color w:val="auto"/>
          <w:sz w:val="32"/>
          <w:szCs w:val="32"/>
          <w:highlight w:val="none"/>
        </w:rPr>
        <w:t>项目的采购公告</w:t>
      </w:r>
      <w:bookmarkEnd w:id="0"/>
      <w:bookmarkEnd w:id="1"/>
      <w:bookmarkEnd w:id="2"/>
      <w:bookmarkEnd w:id="3"/>
      <w:bookmarkEnd w:id="4"/>
    </w:p>
    <w:p w14:paraId="7B4E6537">
      <w:pPr>
        <w:pStyle w:val="23"/>
        <w:spacing w:after="0" w:line="324" w:lineRule="auto"/>
        <w:ind w:firstLine="440" w:firstLineChars="200"/>
        <w:rPr>
          <w:rFonts w:ascii="宋体" w:hAnsi="宋体" w:eastAsia="宋体" w:cs="Yu Mincho Light"/>
          <w:color w:val="auto"/>
          <w:sz w:val="22"/>
          <w:szCs w:val="22"/>
          <w:highlight w:val="none"/>
        </w:rPr>
      </w:pPr>
      <w:r>
        <w:rPr>
          <w:rFonts w:hint="eastAsia" w:ascii="宋体" w:hAnsi="宋体" w:eastAsia="宋体" w:cs="Yu Mincho Light"/>
          <w:color w:val="auto"/>
          <w:sz w:val="22"/>
          <w:szCs w:val="22"/>
          <w:highlight w:val="none"/>
        </w:rPr>
        <w:t>根据《温州市市属国有企业采购管理办法》等有关规定，浙江鼎力工程项目管理有限公司受</w:t>
      </w:r>
      <w:r>
        <w:rPr>
          <w:rFonts w:hint="eastAsia" w:ascii="宋体" w:hAnsi="宋体" w:eastAsia="宋体" w:cs="Yu Mincho Light"/>
          <w:color w:val="auto"/>
          <w:sz w:val="22"/>
          <w:szCs w:val="22"/>
          <w:highlight w:val="none"/>
          <w:lang w:eastAsia="zh-CN"/>
        </w:rPr>
        <w:t>温州园博园建设发展有限公司</w:t>
      </w:r>
      <w:r>
        <w:rPr>
          <w:rFonts w:hint="eastAsia" w:ascii="宋体" w:hAnsi="宋体" w:eastAsia="宋体" w:cs="Yu Mincho Light"/>
          <w:color w:val="auto"/>
          <w:sz w:val="22"/>
          <w:szCs w:val="22"/>
          <w:highlight w:val="none"/>
        </w:rPr>
        <w:t>委托，就</w:t>
      </w:r>
      <w:r>
        <w:rPr>
          <w:rFonts w:hint="eastAsia" w:ascii="宋体" w:hAnsi="宋体" w:eastAsia="宋体" w:cs="Yu Mincho Light"/>
          <w:color w:val="auto"/>
          <w:sz w:val="22"/>
          <w:szCs w:val="22"/>
          <w:highlight w:val="none"/>
          <w:lang w:eastAsia="zh-CN"/>
        </w:rPr>
        <w:t>第十五届中国（温州）国际园林博览会筹开服务</w:t>
      </w:r>
      <w:r>
        <w:rPr>
          <w:rFonts w:hint="eastAsia" w:ascii="宋体" w:hAnsi="宋体" w:eastAsia="宋体" w:cs="Yu Mincho Light"/>
          <w:color w:val="auto"/>
          <w:sz w:val="22"/>
          <w:szCs w:val="22"/>
          <w:highlight w:val="none"/>
        </w:rPr>
        <w:t>项目以公开招标方式进行国企采购，欢迎国内合格的供应商前来投标。</w:t>
      </w:r>
    </w:p>
    <w:p w14:paraId="1D0E9E5B">
      <w:pPr>
        <w:widowControl/>
        <w:spacing w:line="324"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一、公告类型：</w:t>
      </w:r>
      <w:r>
        <w:rPr>
          <w:rFonts w:hint="eastAsia" w:ascii="新宋体" w:hAnsi="新宋体" w:eastAsia="新宋体" w:cs="新宋体"/>
          <w:bCs/>
          <w:color w:val="auto"/>
          <w:kern w:val="0"/>
          <w:sz w:val="22"/>
          <w:szCs w:val="22"/>
          <w:highlight w:val="none"/>
        </w:rPr>
        <w:t>采购公告</w:t>
      </w:r>
    </w:p>
    <w:p w14:paraId="73C5FF94">
      <w:pPr>
        <w:widowControl/>
        <w:spacing w:line="324"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二、采购方式：</w:t>
      </w:r>
      <w:r>
        <w:rPr>
          <w:rFonts w:hint="eastAsia" w:ascii="新宋体" w:hAnsi="新宋体" w:eastAsia="新宋体" w:cs="新宋体"/>
          <w:bCs/>
          <w:color w:val="auto"/>
          <w:kern w:val="0"/>
          <w:sz w:val="22"/>
          <w:szCs w:val="22"/>
          <w:highlight w:val="none"/>
        </w:rPr>
        <w:t>公开招标</w:t>
      </w:r>
    </w:p>
    <w:p w14:paraId="7B045C8E">
      <w:pPr>
        <w:widowControl/>
        <w:spacing w:line="324" w:lineRule="auto"/>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rPr>
        <w:t>三、项目编号：</w:t>
      </w:r>
      <w:r>
        <w:rPr>
          <w:rFonts w:hint="eastAsia" w:ascii="新宋体" w:hAnsi="新宋体" w:eastAsia="新宋体" w:cs="新宋体"/>
          <w:b/>
          <w:bCs/>
          <w:color w:val="auto"/>
          <w:kern w:val="0"/>
          <w:sz w:val="22"/>
          <w:szCs w:val="22"/>
          <w:highlight w:val="none"/>
          <w:lang w:eastAsia="zh-CN"/>
        </w:rPr>
        <w:t>WGSS-CFJT-X-2025017</w:t>
      </w:r>
    </w:p>
    <w:p w14:paraId="68245C3D">
      <w:pPr>
        <w:pStyle w:val="23"/>
        <w:spacing w:after="0" w:line="324" w:lineRule="auto"/>
        <w:ind w:firstLine="0" w:firstLineChars="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四、项目性质：</w:t>
      </w:r>
      <w:r>
        <w:rPr>
          <w:rFonts w:hint="eastAsia" w:ascii="新宋体" w:hAnsi="新宋体" w:eastAsia="新宋体" w:cs="新宋体"/>
          <w:color w:val="auto"/>
          <w:sz w:val="22"/>
          <w:szCs w:val="22"/>
          <w:highlight w:val="none"/>
        </w:rPr>
        <w:t>国企采购（非政府采购）</w:t>
      </w:r>
    </w:p>
    <w:p w14:paraId="3E654266">
      <w:pPr>
        <w:widowControl/>
        <w:spacing w:line="324" w:lineRule="auto"/>
        <w:jc w:val="left"/>
        <w:rPr>
          <w:rFonts w:hint="eastAsia" w:ascii="新宋体" w:hAnsi="新宋体" w:eastAsia="新宋体" w:cs="新宋体"/>
          <w:b/>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rPr>
        <w:t>五、项目名称：</w:t>
      </w:r>
      <w:r>
        <w:rPr>
          <w:rFonts w:hint="eastAsia" w:ascii="新宋体" w:hAnsi="新宋体" w:eastAsia="新宋体" w:cs="新宋体"/>
          <w:bCs/>
          <w:color w:val="auto"/>
          <w:kern w:val="0"/>
          <w:sz w:val="22"/>
          <w:szCs w:val="22"/>
          <w:highlight w:val="none"/>
          <w:lang w:eastAsia="zh-CN"/>
        </w:rPr>
        <w:t>第十五届中国（温州）国际园林博览会筹开服务</w:t>
      </w:r>
    </w:p>
    <w:p w14:paraId="72151351">
      <w:pPr>
        <w:widowControl/>
        <w:spacing w:line="324" w:lineRule="auto"/>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六、预算金额：</w:t>
      </w:r>
      <w:r>
        <w:rPr>
          <w:rFonts w:hint="eastAsia" w:ascii="新宋体" w:hAnsi="新宋体" w:eastAsia="新宋体" w:cs="新宋体"/>
          <w:bCs/>
          <w:color w:val="auto"/>
          <w:kern w:val="0"/>
          <w:sz w:val="22"/>
          <w:szCs w:val="22"/>
          <w:highlight w:val="none"/>
          <w:lang w:val="en-US" w:eastAsia="zh-CN"/>
        </w:rPr>
        <w:t>7800000</w:t>
      </w:r>
      <w:r>
        <w:rPr>
          <w:rFonts w:hint="eastAsia" w:ascii="新宋体" w:hAnsi="新宋体" w:eastAsia="新宋体" w:cs="新宋体"/>
          <w:bCs/>
          <w:color w:val="auto"/>
          <w:kern w:val="0"/>
          <w:sz w:val="22"/>
          <w:szCs w:val="22"/>
          <w:highlight w:val="none"/>
        </w:rPr>
        <w:t>元</w:t>
      </w:r>
    </w:p>
    <w:p w14:paraId="37158366">
      <w:pPr>
        <w:widowControl/>
        <w:spacing w:line="324" w:lineRule="auto"/>
        <w:jc w:val="left"/>
        <w:rPr>
          <w:rFonts w:hint="default" w:ascii="新宋体" w:hAnsi="新宋体" w:eastAsia="新宋体" w:cs="新宋体"/>
          <w:b/>
          <w:bCs/>
          <w:color w:val="auto"/>
          <w:kern w:val="0"/>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七、最高投标限价：</w:t>
      </w:r>
      <w:r>
        <w:rPr>
          <w:rFonts w:hint="eastAsia" w:ascii="新宋体" w:hAnsi="新宋体" w:eastAsia="新宋体" w:cs="新宋体"/>
          <w:b w:val="0"/>
          <w:bCs w:val="0"/>
          <w:color w:val="auto"/>
          <w:kern w:val="0"/>
          <w:sz w:val="22"/>
          <w:szCs w:val="22"/>
          <w:highlight w:val="none"/>
          <w:lang w:val="en-US" w:eastAsia="zh-CN"/>
        </w:rPr>
        <w:t>7000000元</w:t>
      </w:r>
    </w:p>
    <w:p w14:paraId="4DAD9C15">
      <w:pPr>
        <w:widowControl/>
        <w:spacing w:line="324"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eastAsia="zh-CN"/>
        </w:rPr>
        <w:t>八</w:t>
      </w:r>
      <w:r>
        <w:rPr>
          <w:rFonts w:hint="eastAsia" w:ascii="新宋体" w:hAnsi="新宋体" w:eastAsia="新宋体" w:cs="新宋体"/>
          <w:b/>
          <w:bCs/>
          <w:color w:val="auto"/>
          <w:kern w:val="0"/>
          <w:sz w:val="22"/>
          <w:szCs w:val="22"/>
          <w:highlight w:val="none"/>
        </w:rPr>
        <w:t>、采购内容（具体采购内容及详细技术要求见采购文件相关部分）：</w:t>
      </w:r>
    </w:p>
    <w:tbl>
      <w:tblPr>
        <w:tblStyle w:val="25"/>
        <w:tblW w:w="4971" w:type="pct"/>
        <w:tblInd w:w="0" w:type="dxa"/>
        <w:tblLayout w:type="autofit"/>
        <w:tblCellMar>
          <w:top w:w="0" w:type="dxa"/>
          <w:left w:w="108" w:type="dxa"/>
          <w:bottom w:w="0" w:type="dxa"/>
          <w:right w:w="108" w:type="dxa"/>
        </w:tblCellMar>
      </w:tblPr>
      <w:tblGrid>
        <w:gridCol w:w="837"/>
        <w:gridCol w:w="1915"/>
        <w:gridCol w:w="943"/>
        <w:gridCol w:w="1290"/>
        <w:gridCol w:w="4812"/>
      </w:tblGrid>
      <w:tr w14:paraId="2B7541EE">
        <w:tblPrEx>
          <w:tblCellMar>
            <w:top w:w="0" w:type="dxa"/>
            <w:left w:w="108" w:type="dxa"/>
            <w:bottom w:w="0" w:type="dxa"/>
            <w:right w:w="108" w:type="dxa"/>
          </w:tblCellMar>
        </w:tblPrEx>
        <w:trPr>
          <w:trHeight w:val="868"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12D99CE2">
            <w:pPr>
              <w:widowControl/>
              <w:spacing w:before="60" w:after="60" w:line="324"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977" w:type="pct"/>
            <w:tcBorders>
              <w:top w:val="single" w:color="000000" w:sz="4" w:space="0"/>
              <w:left w:val="single" w:color="000000" w:sz="4" w:space="0"/>
              <w:bottom w:val="single" w:color="000000" w:sz="4" w:space="0"/>
              <w:right w:val="single" w:color="000000" w:sz="4" w:space="0"/>
            </w:tcBorders>
            <w:vAlign w:val="center"/>
          </w:tcPr>
          <w:p w14:paraId="0FCC8C5B">
            <w:pPr>
              <w:widowControl/>
              <w:spacing w:before="60" w:after="60" w:line="324"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标项名称</w:t>
            </w:r>
          </w:p>
        </w:tc>
        <w:tc>
          <w:tcPr>
            <w:tcW w:w="481" w:type="pct"/>
            <w:tcBorders>
              <w:top w:val="single" w:color="000000" w:sz="4" w:space="0"/>
              <w:left w:val="single" w:color="000000" w:sz="4" w:space="0"/>
              <w:bottom w:val="single" w:color="000000" w:sz="4" w:space="0"/>
              <w:right w:val="single" w:color="000000" w:sz="4" w:space="0"/>
            </w:tcBorders>
            <w:vAlign w:val="center"/>
          </w:tcPr>
          <w:p w14:paraId="0883CEBF">
            <w:pPr>
              <w:widowControl/>
              <w:spacing w:before="60" w:after="60" w:line="324"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数量</w:t>
            </w:r>
          </w:p>
        </w:tc>
        <w:tc>
          <w:tcPr>
            <w:tcW w:w="658" w:type="pct"/>
            <w:tcBorders>
              <w:top w:val="single" w:color="000000" w:sz="4" w:space="0"/>
              <w:left w:val="single" w:color="000000" w:sz="4" w:space="0"/>
              <w:bottom w:val="single" w:color="000000" w:sz="4" w:space="0"/>
              <w:right w:val="single" w:color="000000" w:sz="4" w:space="0"/>
            </w:tcBorders>
            <w:vAlign w:val="center"/>
          </w:tcPr>
          <w:p w14:paraId="0F3CF310">
            <w:pPr>
              <w:widowControl/>
              <w:spacing w:before="60" w:after="60" w:line="324"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采购预算（万元）</w:t>
            </w:r>
          </w:p>
        </w:tc>
        <w:tc>
          <w:tcPr>
            <w:tcW w:w="2455" w:type="pct"/>
            <w:tcBorders>
              <w:top w:val="single" w:color="000000" w:sz="4" w:space="0"/>
              <w:left w:val="single" w:color="000000" w:sz="4" w:space="0"/>
              <w:bottom w:val="single" w:color="000000" w:sz="4" w:space="0"/>
              <w:right w:val="single" w:color="000000" w:sz="4" w:space="0"/>
            </w:tcBorders>
            <w:vAlign w:val="center"/>
          </w:tcPr>
          <w:p w14:paraId="1AE59C7E">
            <w:pPr>
              <w:widowControl/>
              <w:spacing w:before="60" w:after="60" w:line="324" w:lineRule="auto"/>
              <w:ind w:left="60" w:right="60"/>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简要技术要求概述</w:t>
            </w:r>
          </w:p>
        </w:tc>
      </w:tr>
      <w:tr w14:paraId="09B59390">
        <w:tblPrEx>
          <w:tblCellMar>
            <w:top w:w="0" w:type="dxa"/>
            <w:left w:w="108" w:type="dxa"/>
            <w:bottom w:w="0" w:type="dxa"/>
            <w:right w:w="108" w:type="dxa"/>
          </w:tblCellMar>
        </w:tblPrEx>
        <w:trPr>
          <w:trHeight w:val="2791" w:hRule="atLeast"/>
        </w:trPr>
        <w:tc>
          <w:tcPr>
            <w:tcW w:w="427" w:type="pct"/>
            <w:tcBorders>
              <w:top w:val="single" w:color="000000" w:sz="4" w:space="0"/>
              <w:left w:val="single" w:color="000000" w:sz="4" w:space="0"/>
              <w:bottom w:val="single" w:color="000000" w:sz="4" w:space="0"/>
              <w:right w:val="single" w:color="000000" w:sz="4" w:space="0"/>
            </w:tcBorders>
            <w:vAlign w:val="center"/>
          </w:tcPr>
          <w:p w14:paraId="762AE59F">
            <w:pPr>
              <w:widowControl/>
              <w:spacing w:before="60" w:after="60" w:line="324" w:lineRule="auto"/>
              <w:jc w:val="center"/>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p>
        </w:tc>
        <w:tc>
          <w:tcPr>
            <w:tcW w:w="977" w:type="pct"/>
            <w:tcBorders>
              <w:top w:val="single" w:color="000000" w:sz="4" w:space="0"/>
              <w:left w:val="single" w:color="000000" w:sz="4" w:space="0"/>
              <w:bottom w:val="single" w:color="000000" w:sz="4" w:space="0"/>
              <w:right w:val="single" w:color="000000" w:sz="4" w:space="0"/>
            </w:tcBorders>
            <w:vAlign w:val="center"/>
          </w:tcPr>
          <w:p w14:paraId="238E6CF7">
            <w:pPr>
              <w:widowControl/>
              <w:spacing w:before="60" w:after="60" w:line="324" w:lineRule="auto"/>
              <w:jc w:val="center"/>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lang w:eastAsia="zh-CN"/>
              </w:rPr>
              <w:t>第十五届中国（温州）国际园林博览会筹开服务</w:t>
            </w:r>
          </w:p>
        </w:tc>
        <w:tc>
          <w:tcPr>
            <w:tcW w:w="481" w:type="pct"/>
            <w:tcBorders>
              <w:top w:val="single" w:color="000000" w:sz="4" w:space="0"/>
              <w:left w:val="single" w:color="000000" w:sz="4" w:space="0"/>
              <w:bottom w:val="single" w:color="000000" w:sz="4" w:space="0"/>
              <w:right w:val="single" w:color="000000" w:sz="4" w:space="0"/>
            </w:tcBorders>
            <w:vAlign w:val="center"/>
          </w:tcPr>
          <w:p w14:paraId="63DEBFDA">
            <w:pPr>
              <w:widowControl/>
              <w:spacing w:before="60" w:after="60" w:line="324" w:lineRule="auto"/>
              <w:jc w:val="center"/>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1项</w:t>
            </w:r>
          </w:p>
        </w:tc>
        <w:tc>
          <w:tcPr>
            <w:tcW w:w="658" w:type="pct"/>
            <w:tcBorders>
              <w:top w:val="single" w:color="000000" w:sz="4" w:space="0"/>
              <w:left w:val="single" w:color="000000" w:sz="4" w:space="0"/>
              <w:bottom w:val="single" w:color="000000" w:sz="4" w:space="0"/>
              <w:right w:val="single" w:color="000000" w:sz="4" w:space="0"/>
            </w:tcBorders>
            <w:vAlign w:val="center"/>
          </w:tcPr>
          <w:p w14:paraId="4D484ADC">
            <w:pPr>
              <w:widowControl/>
              <w:spacing w:before="60" w:after="60" w:line="324"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780</w:t>
            </w:r>
          </w:p>
        </w:tc>
        <w:tc>
          <w:tcPr>
            <w:tcW w:w="2455" w:type="pct"/>
            <w:tcBorders>
              <w:top w:val="single" w:color="000000" w:sz="4" w:space="0"/>
              <w:left w:val="single" w:color="000000" w:sz="4" w:space="0"/>
              <w:bottom w:val="single" w:color="000000" w:sz="4" w:space="0"/>
              <w:right w:val="single" w:color="000000" w:sz="4" w:space="0"/>
            </w:tcBorders>
            <w:vAlign w:val="center"/>
          </w:tcPr>
          <w:p w14:paraId="36DB1842">
            <w:pPr>
              <w:widowControl/>
              <w:spacing w:before="60" w:after="60" w:line="324" w:lineRule="auto"/>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lang w:val="en-US" w:eastAsia="zh-CN"/>
              </w:rPr>
              <w:t>采购内容：</w:t>
            </w:r>
            <w:r>
              <w:rPr>
                <w:rFonts w:hint="eastAsia" w:ascii="新宋体" w:hAnsi="新宋体" w:eastAsia="新宋体" w:cs="新宋体"/>
                <w:bCs/>
                <w:color w:val="auto"/>
                <w:kern w:val="0"/>
                <w:sz w:val="22"/>
                <w:szCs w:val="22"/>
                <w:highlight w:val="none"/>
                <w:lang w:eastAsia="zh-CN"/>
              </w:rPr>
              <w:t>第十五届中国（温州）国际园林博览会筹开服务，包括</w:t>
            </w:r>
            <w:r>
              <w:rPr>
                <w:rFonts w:hint="eastAsia" w:ascii="新宋体" w:hAnsi="新宋体" w:eastAsia="新宋体" w:cs="新宋体"/>
                <w:bCs/>
                <w:color w:val="auto"/>
                <w:kern w:val="0"/>
                <w:sz w:val="22"/>
                <w:szCs w:val="22"/>
                <w:highlight w:val="none"/>
                <w:lang w:val="en-US" w:eastAsia="zh-CN"/>
              </w:rPr>
              <w:t>项目文旅商项目策划；景区指示系统规划及设计；景区筹开运营管理等工作。</w:t>
            </w:r>
          </w:p>
          <w:p w14:paraId="6CEDF1F3">
            <w:pPr>
              <w:widowControl/>
              <w:spacing w:before="60" w:after="60" w:line="324" w:lineRule="auto"/>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bCs/>
                <w:color w:val="auto"/>
                <w:kern w:val="0"/>
                <w:sz w:val="22"/>
                <w:szCs w:val="22"/>
                <w:highlight w:val="none"/>
                <w:lang w:val="en-US" w:eastAsia="zh-CN"/>
              </w:rPr>
              <w:t>服务期限：</w:t>
            </w:r>
            <w:r>
              <w:rPr>
                <w:rFonts w:hint="eastAsia" w:ascii="新宋体" w:hAnsi="新宋体" w:eastAsia="新宋体" w:cs="新宋体"/>
                <w:color w:val="auto"/>
                <w:kern w:val="0"/>
                <w:sz w:val="22"/>
                <w:szCs w:val="22"/>
                <w:highlight w:val="none"/>
              </w:rPr>
              <w:t>合同签订之日起至第十五届中国（温州）国际园林博览会会期结束之日（服务期限最长不超过1年）</w:t>
            </w:r>
            <w:r>
              <w:rPr>
                <w:rFonts w:hint="eastAsia" w:ascii="新宋体" w:hAnsi="新宋体" w:eastAsia="新宋体" w:cs="新宋体"/>
                <w:color w:val="auto"/>
                <w:kern w:val="0"/>
                <w:sz w:val="22"/>
                <w:szCs w:val="22"/>
                <w:highlight w:val="none"/>
                <w:lang w:eastAsia="zh-CN"/>
              </w:rPr>
              <w:t>。</w:t>
            </w:r>
          </w:p>
          <w:p w14:paraId="63986A19">
            <w:pPr>
              <w:widowControl/>
              <w:spacing w:before="60" w:after="60" w:line="324" w:lineRule="auto"/>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lang w:eastAsia="zh-CN"/>
              </w:rPr>
              <w:t>具体采购内容及详细技术要求见采购文件相关部分。</w:t>
            </w:r>
          </w:p>
          <w:p w14:paraId="09AC26BC">
            <w:pPr>
              <w:widowControl/>
              <w:spacing w:before="60" w:after="60" w:line="324" w:lineRule="auto"/>
              <w:jc w:val="left"/>
              <w:rPr>
                <w:rFonts w:hint="default" w:ascii="新宋体" w:hAnsi="新宋体" w:eastAsia="新宋体" w:cs="新宋体"/>
                <w:bCs/>
                <w:color w:val="auto"/>
                <w:kern w:val="0"/>
                <w:sz w:val="22"/>
                <w:szCs w:val="22"/>
                <w:highlight w:val="none"/>
                <w:lang w:val="en-US"/>
              </w:rPr>
            </w:pPr>
            <w:r>
              <w:rPr>
                <w:rFonts w:hint="eastAsia" w:ascii="新宋体" w:hAnsi="新宋体" w:eastAsia="新宋体" w:cs="新宋体"/>
                <w:b/>
                <w:bCs w:val="0"/>
                <w:color w:val="auto"/>
                <w:kern w:val="0"/>
                <w:sz w:val="22"/>
                <w:szCs w:val="22"/>
                <w:highlight w:val="none"/>
                <w:lang w:val="en-US" w:eastAsia="zh-CN"/>
              </w:rPr>
              <w:t>最高投标限价700万元。</w:t>
            </w:r>
          </w:p>
        </w:tc>
      </w:tr>
    </w:tbl>
    <w:p w14:paraId="34F75FDF">
      <w:pPr>
        <w:widowControl/>
        <w:spacing w:line="324"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eastAsia="zh-CN"/>
        </w:rPr>
        <w:t>九</w:t>
      </w:r>
      <w:r>
        <w:rPr>
          <w:rFonts w:hint="eastAsia" w:ascii="新宋体" w:hAnsi="新宋体" w:eastAsia="新宋体" w:cs="新宋体"/>
          <w:b/>
          <w:bCs/>
          <w:color w:val="auto"/>
          <w:kern w:val="0"/>
          <w:sz w:val="22"/>
          <w:szCs w:val="22"/>
          <w:highlight w:val="none"/>
        </w:rPr>
        <w:t>、投标供应商资格要求</w:t>
      </w:r>
    </w:p>
    <w:p w14:paraId="609B2FB3">
      <w:pPr>
        <w:widowControl/>
        <w:spacing w:line="324" w:lineRule="auto"/>
        <w:ind w:right="60" w:firstLine="440" w:firstLineChars="200"/>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1.符合《温州市市属国有企业采购管理办法》第十八条对供应商参加温州市国有企业采购活动应当具备的条件的要求；</w:t>
      </w:r>
    </w:p>
    <w:p w14:paraId="4A36B4EE">
      <w:pPr>
        <w:widowControl/>
        <w:spacing w:line="324" w:lineRule="auto"/>
        <w:ind w:right="60" w:firstLine="440" w:firstLineChars="200"/>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2.投标供应商未被列入“信用中国”网(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snapToGrid w:val="0"/>
          <w:color w:val="auto"/>
          <w:sz w:val="22"/>
          <w:szCs w:val="22"/>
          <w:highlight w:val="none"/>
        </w:rPr>
        <w:t>www.creditchina.gov.cn</w:t>
      </w:r>
      <w:r>
        <w:rPr>
          <w:rFonts w:hint="eastAsia" w:ascii="新宋体" w:hAnsi="新宋体" w:eastAsia="新宋体" w:cs="新宋体"/>
          <w:snapToGrid w:val="0"/>
          <w:color w:val="auto"/>
          <w:sz w:val="22"/>
          <w:szCs w:val="22"/>
          <w:highlight w:val="none"/>
        </w:rPr>
        <w:fldChar w:fldCharType="end"/>
      </w:r>
      <w:r>
        <w:rPr>
          <w:rFonts w:hint="eastAsia" w:ascii="新宋体" w:hAnsi="新宋体" w:eastAsia="新宋体" w:cs="新宋体"/>
          <w:snapToGrid w:val="0"/>
          <w:color w:val="auto"/>
          <w:sz w:val="22"/>
          <w:szCs w:val="22"/>
          <w:highlight w:val="none"/>
        </w:rPr>
        <w:t>)、中国政府采购网（http://www.ccgp.gov.cn/）失信被执行人、重大税收违法案件当事人名单、政府采购严重违法失信行为记录名单且尚处于禁止参加采购活动期内；</w:t>
      </w:r>
    </w:p>
    <w:p w14:paraId="7D0004B1">
      <w:pPr>
        <w:widowControl/>
        <w:spacing w:line="324" w:lineRule="auto"/>
        <w:ind w:right="60" w:firstLine="440" w:firstLineChars="200"/>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3.单位负责人为同一人或者存在直接控股、管理关系的不同供应商，不得参加同一合同项下的国企采购活动；</w:t>
      </w:r>
    </w:p>
    <w:p w14:paraId="18CE82F3">
      <w:pPr>
        <w:widowControl/>
        <w:spacing w:line="324" w:lineRule="auto"/>
        <w:ind w:right="60" w:firstLine="440" w:firstLineChars="200"/>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4.本项目不接受联合体投标。</w:t>
      </w:r>
    </w:p>
    <w:p w14:paraId="330EBAC2">
      <w:pPr>
        <w:widowControl/>
        <w:spacing w:line="324" w:lineRule="auto"/>
        <w:ind w:right="60"/>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eastAsia="zh-CN"/>
        </w:rPr>
        <w:t>十</w:t>
      </w:r>
      <w:r>
        <w:rPr>
          <w:rFonts w:hint="eastAsia" w:ascii="新宋体" w:hAnsi="新宋体" w:eastAsia="新宋体" w:cs="新宋体"/>
          <w:b/>
          <w:bCs/>
          <w:color w:val="auto"/>
          <w:kern w:val="0"/>
          <w:sz w:val="22"/>
          <w:szCs w:val="22"/>
          <w:highlight w:val="none"/>
        </w:rPr>
        <w:t>、</w:t>
      </w:r>
      <w:r>
        <w:rPr>
          <w:rFonts w:hint="eastAsia" w:ascii="新宋体" w:hAnsi="新宋体" w:eastAsia="新宋体" w:cs="新宋体"/>
          <w:b/>
          <w:color w:val="auto"/>
          <w:kern w:val="0"/>
          <w:sz w:val="22"/>
          <w:szCs w:val="22"/>
          <w:highlight w:val="none"/>
        </w:rPr>
        <w:t>获取采购文件时间、地点及方式:</w:t>
      </w:r>
    </w:p>
    <w:p w14:paraId="2B0E6D26">
      <w:pPr>
        <w:widowControl/>
        <w:spacing w:line="324" w:lineRule="auto"/>
        <w:ind w:right="60" w:firstLine="440" w:firstLineChars="200"/>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1.申请获取采购文件方式：供应商在乐采云平台（www.lecaiyun.com）上登录申请获取本项目采购文件，将以下书面资料提交至采购代理机构并办理购买采购文件事宜（亦可通过邮箱将报名资料扫描件发送至</w:t>
      </w:r>
      <w:r>
        <w:rPr>
          <w:rFonts w:hint="eastAsia" w:ascii="新宋体" w:hAnsi="新宋体" w:eastAsia="新宋体" w:cs="新宋体"/>
          <w:snapToGrid w:val="0"/>
          <w:color w:val="auto"/>
          <w:sz w:val="22"/>
          <w:szCs w:val="22"/>
          <w:highlight w:val="none"/>
          <w:lang w:val="en-US" w:eastAsia="zh-CN"/>
        </w:rPr>
        <w:t>1033422571</w:t>
      </w:r>
      <w:r>
        <w:rPr>
          <w:rFonts w:hint="eastAsia" w:ascii="新宋体" w:hAnsi="新宋体" w:eastAsia="新宋体" w:cs="新宋体"/>
          <w:snapToGrid w:val="0"/>
          <w:color w:val="auto"/>
          <w:sz w:val="22"/>
          <w:szCs w:val="22"/>
          <w:highlight w:val="none"/>
        </w:rPr>
        <w:t>@qq.com进行报名），采购代理机构将对书面资料进行审核：</w:t>
      </w:r>
    </w:p>
    <w:p w14:paraId="20F769A1">
      <w:pPr>
        <w:widowControl/>
        <w:spacing w:line="324" w:lineRule="auto"/>
        <w:ind w:right="60" w:firstLine="424" w:firstLineChars="193"/>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①　公司介绍信</w:t>
      </w:r>
      <w:r>
        <w:rPr>
          <w:rFonts w:hint="eastAsia" w:ascii="新宋体" w:hAnsi="新宋体" w:eastAsia="新宋体" w:cs="新宋体"/>
          <w:snapToGrid w:val="0"/>
          <w:color w:val="auto"/>
          <w:sz w:val="22"/>
          <w:szCs w:val="22"/>
          <w:highlight w:val="none"/>
          <w:lang w:eastAsia="zh-CN"/>
        </w:rPr>
        <w:t>或</w:t>
      </w:r>
      <w:r>
        <w:rPr>
          <w:rFonts w:hint="eastAsia" w:ascii="新宋体" w:hAnsi="新宋体" w:eastAsia="新宋体" w:cs="新宋体"/>
          <w:snapToGrid w:val="0"/>
          <w:color w:val="auto"/>
          <w:sz w:val="22"/>
          <w:szCs w:val="22"/>
          <w:highlight w:val="none"/>
        </w:rPr>
        <w:t>法定代表人（单位负责人）授权委托书；</w:t>
      </w:r>
    </w:p>
    <w:p w14:paraId="2F2C62D3">
      <w:pPr>
        <w:widowControl/>
        <w:spacing w:line="324" w:lineRule="auto"/>
        <w:ind w:right="60" w:firstLine="424" w:firstLineChars="193"/>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②　被授权人身份证复印件；</w:t>
      </w:r>
    </w:p>
    <w:p w14:paraId="618BBBC2">
      <w:pPr>
        <w:widowControl/>
        <w:spacing w:line="324" w:lineRule="auto"/>
        <w:ind w:right="60" w:firstLine="424" w:firstLineChars="193"/>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③　加盖有效公章的营业执照副本复印件。</w:t>
      </w:r>
    </w:p>
    <w:p w14:paraId="563BD602">
      <w:pPr>
        <w:widowControl/>
        <w:spacing w:line="324" w:lineRule="auto"/>
        <w:ind w:right="60" w:firstLine="440" w:firstLineChars="200"/>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2.申请获取采购文件时间：公告发布之日起至投标响应文件递交截止时间前（节假日除外），上午：08:30－11:30，下午：14:00－16:30。</w:t>
      </w:r>
    </w:p>
    <w:p w14:paraId="2DB35310">
      <w:pPr>
        <w:widowControl/>
        <w:spacing w:line="324" w:lineRule="auto"/>
        <w:ind w:right="60" w:firstLine="440" w:firstLineChars="200"/>
        <w:jc w:val="left"/>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购领采购文件时间和地点：浙江鼎力工程项目管理有限公司（温州市龙湾区蒲州街道汤车路55号汤锦园商业办公楼1号楼20层）。采购代理机构将拒收未购领采购文件的潜在供应商递交的投标响应文件，采购文件每份300元整，售后不退。</w:t>
      </w:r>
    </w:p>
    <w:p w14:paraId="12550C46">
      <w:pPr>
        <w:widowControl/>
        <w:spacing w:line="324"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w:t>
      </w:r>
      <w:r>
        <w:rPr>
          <w:rFonts w:hint="eastAsia" w:ascii="新宋体" w:hAnsi="新宋体" w:eastAsia="新宋体" w:cs="新宋体"/>
          <w:b/>
          <w:bCs/>
          <w:color w:val="auto"/>
          <w:kern w:val="0"/>
          <w:sz w:val="22"/>
          <w:szCs w:val="22"/>
          <w:highlight w:val="none"/>
          <w:lang w:eastAsia="zh-CN"/>
        </w:rPr>
        <w:t>一</w:t>
      </w:r>
      <w:r>
        <w:rPr>
          <w:rFonts w:hint="eastAsia" w:ascii="新宋体" w:hAnsi="新宋体" w:eastAsia="新宋体" w:cs="新宋体"/>
          <w:b/>
          <w:bCs/>
          <w:color w:val="auto"/>
          <w:kern w:val="0"/>
          <w:sz w:val="22"/>
          <w:szCs w:val="22"/>
          <w:highlight w:val="none"/>
        </w:rPr>
        <w:t>、投标文件递交截止时间、开标时间及地点：</w:t>
      </w:r>
    </w:p>
    <w:p w14:paraId="6181840B">
      <w:pPr>
        <w:widowControl/>
        <w:spacing w:line="324"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1.投标文件递交截止时间：202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日</w:t>
      </w:r>
      <w:r>
        <w:rPr>
          <w:rFonts w:hint="eastAsia" w:ascii="新宋体" w:hAnsi="新宋体" w:eastAsia="新宋体" w:cs="新宋体"/>
          <w:color w:val="auto"/>
          <w:kern w:val="0"/>
          <w:sz w:val="22"/>
          <w:szCs w:val="22"/>
          <w:highlight w:val="none"/>
          <w:lang w:val="en-US" w:eastAsia="zh-CN"/>
        </w:rPr>
        <w:t>14</w:t>
      </w:r>
      <w:r>
        <w:rPr>
          <w:rFonts w:hint="eastAsia" w:ascii="新宋体" w:hAnsi="新宋体" w:eastAsia="新宋体" w:cs="新宋体"/>
          <w:color w:val="auto"/>
          <w:kern w:val="0"/>
          <w:sz w:val="22"/>
          <w:szCs w:val="22"/>
          <w:highlight w:val="none"/>
        </w:rPr>
        <w:t>：30</w:t>
      </w:r>
    </w:p>
    <w:p w14:paraId="5382242C">
      <w:pPr>
        <w:widowControl/>
        <w:spacing w:line="324" w:lineRule="auto"/>
        <w:ind w:firstLine="440" w:firstLineChars="20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2.递交地点：</w:t>
      </w:r>
      <w:r>
        <w:rPr>
          <w:rFonts w:hint="eastAsia" w:ascii="新宋体" w:hAnsi="新宋体" w:eastAsia="新宋体" w:cs="新宋体"/>
          <w:color w:val="auto"/>
          <w:kern w:val="0"/>
          <w:sz w:val="22"/>
          <w:szCs w:val="22"/>
          <w:highlight w:val="none"/>
          <w:lang w:eastAsia="zh-CN"/>
        </w:rPr>
        <w:t>温州市政务服务管理中心开标室（温州市鹿城区会展路1268号温州市民中心A座3楼公共资源交易专区）（详见当天大厅大屏幕）。</w:t>
      </w:r>
    </w:p>
    <w:p w14:paraId="466F5EA0">
      <w:pPr>
        <w:widowControl/>
        <w:spacing w:line="324"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3.开标时间：202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日</w:t>
      </w:r>
      <w:r>
        <w:rPr>
          <w:rFonts w:hint="eastAsia" w:ascii="新宋体" w:hAnsi="新宋体" w:eastAsia="新宋体" w:cs="新宋体"/>
          <w:color w:val="auto"/>
          <w:kern w:val="0"/>
          <w:sz w:val="22"/>
          <w:szCs w:val="22"/>
          <w:highlight w:val="none"/>
          <w:lang w:val="en-US" w:eastAsia="zh-CN"/>
        </w:rPr>
        <w:t>14</w:t>
      </w:r>
      <w:r>
        <w:rPr>
          <w:rFonts w:hint="eastAsia" w:ascii="新宋体" w:hAnsi="新宋体" w:eastAsia="新宋体" w:cs="新宋体"/>
          <w:color w:val="auto"/>
          <w:kern w:val="0"/>
          <w:sz w:val="22"/>
          <w:szCs w:val="22"/>
          <w:highlight w:val="none"/>
        </w:rPr>
        <w:t>：30</w:t>
      </w:r>
    </w:p>
    <w:p w14:paraId="341812BB">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4.开标地点：</w:t>
      </w:r>
      <w:r>
        <w:rPr>
          <w:rFonts w:hint="eastAsia" w:ascii="新宋体" w:hAnsi="新宋体" w:eastAsia="新宋体" w:cs="新宋体"/>
          <w:color w:val="auto"/>
          <w:kern w:val="0"/>
          <w:sz w:val="22"/>
          <w:szCs w:val="22"/>
          <w:highlight w:val="none"/>
          <w:lang w:eastAsia="zh-CN"/>
        </w:rPr>
        <w:t>温州市政务服务管理中心开标室（温州市鹿城区会展路1268号温州市民中心A座3楼公共资源交易专区）（详见当天大厅大屏幕）。</w:t>
      </w:r>
    </w:p>
    <w:p w14:paraId="2B9CF676">
      <w:pPr>
        <w:widowControl/>
        <w:spacing w:line="324" w:lineRule="auto"/>
        <w:jc w:val="lef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十</w:t>
      </w:r>
      <w:r>
        <w:rPr>
          <w:rFonts w:hint="eastAsia" w:ascii="新宋体" w:hAnsi="新宋体" w:eastAsia="新宋体" w:cs="新宋体"/>
          <w:b/>
          <w:bCs/>
          <w:color w:val="auto"/>
          <w:kern w:val="0"/>
          <w:sz w:val="22"/>
          <w:szCs w:val="22"/>
          <w:highlight w:val="none"/>
          <w:lang w:eastAsia="zh-CN"/>
        </w:rPr>
        <w:t>二</w:t>
      </w:r>
      <w:r>
        <w:rPr>
          <w:rFonts w:hint="eastAsia" w:ascii="新宋体" w:hAnsi="新宋体" w:eastAsia="新宋体" w:cs="新宋体"/>
          <w:b/>
          <w:bCs/>
          <w:color w:val="auto"/>
          <w:kern w:val="0"/>
          <w:sz w:val="22"/>
          <w:szCs w:val="22"/>
          <w:highlight w:val="none"/>
        </w:rPr>
        <w:t>、投标保证金</w:t>
      </w:r>
    </w:p>
    <w:p w14:paraId="26FCC815">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投标保证金：人民币</w:t>
      </w:r>
      <w:r>
        <w:rPr>
          <w:rFonts w:hint="eastAsia" w:ascii="新宋体" w:hAnsi="新宋体" w:eastAsia="新宋体" w:cs="新宋体"/>
          <w:color w:val="auto"/>
          <w:kern w:val="0"/>
          <w:sz w:val="22"/>
          <w:szCs w:val="22"/>
          <w:highlight w:val="none"/>
          <w:lang w:val="en-US" w:eastAsia="zh-CN"/>
        </w:rPr>
        <w:t>柒万</w:t>
      </w:r>
      <w:r>
        <w:rPr>
          <w:rFonts w:hint="eastAsia" w:ascii="新宋体" w:hAnsi="新宋体" w:eastAsia="新宋体" w:cs="新宋体"/>
          <w:color w:val="auto"/>
          <w:kern w:val="0"/>
          <w:sz w:val="22"/>
          <w:szCs w:val="22"/>
          <w:highlight w:val="none"/>
          <w:lang w:eastAsia="zh-CN"/>
        </w:rPr>
        <w:t>元整（¥</w:t>
      </w:r>
      <w:r>
        <w:rPr>
          <w:rFonts w:hint="eastAsia" w:ascii="新宋体" w:hAnsi="新宋体" w:eastAsia="新宋体" w:cs="新宋体"/>
          <w:color w:val="auto"/>
          <w:kern w:val="0"/>
          <w:sz w:val="22"/>
          <w:szCs w:val="22"/>
          <w:highlight w:val="none"/>
          <w:lang w:val="en-US" w:eastAsia="zh-CN"/>
        </w:rPr>
        <w:t>70</w:t>
      </w:r>
      <w:r>
        <w:rPr>
          <w:rFonts w:hint="eastAsia" w:ascii="新宋体" w:hAnsi="新宋体" w:eastAsia="新宋体" w:cs="新宋体"/>
          <w:color w:val="auto"/>
          <w:kern w:val="0"/>
          <w:sz w:val="22"/>
          <w:szCs w:val="22"/>
          <w:highlight w:val="none"/>
          <w:lang w:eastAsia="zh-CN"/>
        </w:rPr>
        <w:t>000元）</w:t>
      </w:r>
    </w:p>
    <w:p w14:paraId="66985FC6">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投标保证金缴纳截止时间：202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lang w:eastAsia="zh-CN"/>
        </w:rPr>
        <w:t>年</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lang w:eastAsia="zh-CN"/>
        </w:rPr>
        <w:t>月</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lang w:eastAsia="zh-CN"/>
        </w:rPr>
        <w:t>日</w:t>
      </w:r>
      <w:r>
        <w:rPr>
          <w:rFonts w:hint="eastAsia" w:ascii="新宋体" w:hAnsi="新宋体" w:eastAsia="新宋体" w:cs="新宋体"/>
          <w:color w:val="auto"/>
          <w:kern w:val="0"/>
          <w:sz w:val="22"/>
          <w:szCs w:val="22"/>
          <w:highlight w:val="none"/>
          <w:lang w:val="en-US" w:eastAsia="zh-CN"/>
        </w:rPr>
        <w:t>14</w:t>
      </w:r>
      <w:r>
        <w:rPr>
          <w:rFonts w:hint="eastAsia" w:ascii="新宋体" w:hAnsi="新宋体" w:eastAsia="新宋体" w:cs="新宋体"/>
          <w:color w:val="auto"/>
          <w:kern w:val="0"/>
          <w:sz w:val="22"/>
          <w:szCs w:val="22"/>
          <w:highlight w:val="none"/>
          <w:lang w:eastAsia="zh-CN"/>
        </w:rPr>
        <w:t>：30</w:t>
      </w:r>
    </w:p>
    <w:p w14:paraId="6766004F">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户名：浙江鼎力工程项目管理有限公司</w:t>
      </w:r>
    </w:p>
    <w:p w14:paraId="3DE8976C">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账号：</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lang w:eastAsia="zh-CN"/>
        </w:rPr>
        <w:t xml:space="preserve"> 6232593499228864484</w:t>
      </w:r>
    </w:p>
    <w:p w14:paraId="5E2FD385">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 xml:space="preserve">开户行：广发银行温州分行营业部 </w:t>
      </w:r>
    </w:p>
    <w:p w14:paraId="633C163F">
      <w:pPr>
        <w:widowControl/>
        <w:spacing w:line="324" w:lineRule="auto"/>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w:t>
      </w:r>
      <w:r>
        <w:rPr>
          <w:rFonts w:hint="eastAsia" w:ascii="新宋体" w:hAnsi="新宋体" w:eastAsia="新宋体" w:cs="新宋体"/>
          <w:b/>
          <w:bCs/>
          <w:color w:val="auto"/>
          <w:kern w:val="0"/>
          <w:sz w:val="22"/>
          <w:szCs w:val="22"/>
          <w:highlight w:val="none"/>
          <w:lang w:eastAsia="zh-CN"/>
        </w:rPr>
        <w:t>三</w:t>
      </w:r>
      <w:r>
        <w:rPr>
          <w:rFonts w:hint="eastAsia" w:ascii="新宋体" w:hAnsi="新宋体" w:eastAsia="新宋体" w:cs="新宋体"/>
          <w:b/>
          <w:bCs/>
          <w:color w:val="auto"/>
          <w:kern w:val="0"/>
          <w:sz w:val="22"/>
          <w:szCs w:val="22"/>
          <w:highlight w:val="none"/>
        </w:rPr>
        <w:t>、其他事项</w:t>
      </w:r>
    </w:p>
    <w:p w14:paraId="32AE0BC4">
      <w:pPr>
        <w:widowControl/>
        <w:spacing w:line="324" w:lineRule="auto"/>
        <w:ind w:firstLine="440" w:firstLineChars="200"/>
        <w:jc w:val="left"/>
        <w:rPr>
          <w:rFonts w:ascii="新宋体" w:hAnsi="新宋体" w:eastAsia="新宋体" w:cs="新宋体"/>
          <w:color w:val="auto"/>
          <w:kern w:val="0"/>
          <w:sz w:val="22"/>
          <w:szCs w:val="22"/>
          <w:highlight w:val="none"/>
          <w:u w:val="none"/>
        </w:rPr>
      </w:pPr>
      <w:r>
        <w:rPr>
          <w:rFonts w:hint="eastAsia" w:ascii="新宋体" w:hAnsi="新宋体" w:eastAsia="新宋体" w:cs="新宋体"/>
          <w:color w:val="auto"/>
          <w:kern w:val="0"/>
          <w:sz w:val="22"/>
          <w:szCs w:val="22"/>
          <w:highlight w:val="none"/>
          <w:u w:val="none"/>
        </w:rPr>
        <w:t>1.采购公告期限：5个工作日，以公告发布次日起计。</w:t>
      </w:r>
    </w:p>
    <w:p w14:paraId="34A140C4">
      <w:pPr>
        <w:widowControl/>
        <w:spacing w:line="324" w:lineRule="auto"/>
        <w:ind w:firstLine="440" w:firstLineChars="200"/>
        <w:jc w:val="left"/>
        <w:rPr>
          <w:rFonts w:ascii="新宋体" w:hAnsi="新宋体" w:eastAsia="新宋体" w:cs="新宋体"/>
          <w:color w:val="auto"/>
          <w:kern w:val="0"/>
          <w:sz w:val="22"/>
          <w:szCs w:val="22"/>
          <w:highlight w:val="none"/>
          <w:u w:val="none"/>
        </w:rPr>
      </w:pPr>
      <w:r>
        <w:rPr>
          <w:rFonts w:hint="eastAsia" w:ascii="新宋体" w:hAnsi="新宋体" w:eastAsia="新宋体" w:cs="新宋体"/>
          <w:color w:val="auto"/>
          <w:kern w:val="0"/>
          <w:sz w:val="22"/>
          <w:szCs w:val="22"/>
          <w:highlight w:val="none"/>
          <w:u w:val="none"/>
        </w:rPr>
        <w:t>2.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w:t>
      </w:r>
      <w:r>
        <w:rPr>
          <w:rFonts w:hint="eastAsia" w:ascii="新宋体" w:hAnsi="新宋体" w:eastAsia="新宋体" w:cs="新宋体"/>
          <w:color w:val="auto"/>
          <w:kern w:val="0"/>
          <w:sz w:val="22"/>
          <w:szCs w:val="22"/>
          <w:highlight w:val="none"/>
          <w:u w:val="none"/>
          <w:lang w:eastAsia="zh-CN"/>
        </w:rPr>
        <w:t>内向</w:t>
      </w:r>
      <w:r>
        <w:rPr>
          <w:rFonts w:hint="eastAsia" w:ascii="新宋体" w:hAnsi="新宋体" w:eastAsia="新宋体" w:cs="新宋体"/>
          <w:color w:val="auto"/>
          <w:kern w:val="0"/>
          <w:sz w:val="22"/>
          <w:szCs w:val="22"/>
          <w:highlight w:val="none"/>
          <w:u w:val="none"/>
        </w:rPr>
        <w:t>温州市城市建设发展集团有限公司采购管理委员会投诉。</w:t>
      </w:r>
    </w:p>
    <w:p w14:paraId="64375BCC">
      <w:pPr>
        <w:pStyle w:val="23"/>
        <w:spacing w:after="0" w:line="324" w:lineRule="auto"/>
        <w:ind w:firstLine="440" w:firstLineChars="200"/>
        <w:rPr>
          <w:rFonts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3.</w:t>
      </w:r>
      <w:r>
        <w:rPr>
          <w:rFonts w:hint="eastAsia" w:ascii="新宋体" w:hAnsi="新宋体" w:eastAsia="新宋体" w:cs="新宋体"/>
          <w:color w:val="auto"/>
          <w:sz w:val="22"/>
          <w:szCs w:val="22"/>
          <w:highlight w:val="none"/>
          <w:u w:val="none"/>
          <w:lang w:eastAsia="zh-CN"/>
        </w:rPr>
        <w:t>温州园博园建设发展有限公司</w:t>
      </w:r>
      <w:r>
        <w:rPr>
          <w:rFonts w:hint="eastAsia" w:ascii="新宋体" w:hAnsi="新宋体" w:eastAsia="新宋体" w:cs="新宋体"/>
          <w:color w:val="auto"/>
          <w:sz w:val="22"/>
          <w:szCs w:val="22"/>
          <w:highlight w:val="none"/>
          <w:u w:val="none"/>
        </w:rPr>
        <w:t>负责对投标供应商反映的企业本部及所属企业在采购活动中出现的违法违规问题进行答疑回复。投标供应商认为</w:t>
      </w:r>
      <w:r>
        <w:rPr>
          <w:rFonts w:hint="eastAsia" w:ascii="新宋体" w:hAnsi="新宋体" w:eastAsia="新宋体" w:cs="新宋体"/>
          <w:color w:val="auto"/>
          <w:sz w:val="22"/>
          <w:szCs w:val="22"/>
          <w:highlight w:val="none"/>
          <w:u w:val="none"/>
          <w:lang w:eastAsia="zh-CN"/>
        </w:rPr>
        <w:t>温州园博园建设发展有限公司</w:t>
      </w:r>
      <w:r>
        <w:rPr>
          <w:rFonts w:hint="eastAsia" w:ascii="新宋体" w:hAnsi="新宋体" w:eastAsia="新宋体" w:cs="新宋体"/>
          <w:color w:val="auto"/>
          <w:sz w:val="22"/>
          <w:szCs w:val="22"/>
          <w:highlight w:val="none"/>
          <w:u w:val="none"/>
        </w:rPr>
        <w:t>答疑回复处理结果不合法的，可以采购人或代理机构为对象依法向采购人所在地人民法院提起诉讼。</w:t>
      </w:r>
    </w:p>
    <w:p w14:paraId="1DAA6110">
      <w:pPr>
        <w:widowControl/>
        <w:spacing w:line="324"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4.采购公告附件的采购文件仅供阅览使用，未按照本公告规定的方式获取采购文件的潜在供应商提起的质疑采购组织机构将不予受理、答复。</w:t>
      </w:r>
    </w:p>
    <w:p w14:paraId="57195EF9">
      <w:pPr>
        <w:widowControl/>
        <w:spacing w:line="324"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5.采购文件发售截止时间之后潜在投标供应商仍然可以购买采购文件，但该投标供应商如对采购文件有疑问应按采购文件规定的询疑截止时间前提出，逾期提出的，采购代理机构可以不予受理、答复。</w:t>
      </w:r>
    </w:p>
    <w:p w14:paraId="24289637">
      <w:pPr>
        <w:widowControl/>
        <w:spacing w:line="324" w:lineRule="auto"/>
        <w:ind w:firstLine="440" w:firstLineChars="200"/>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6.书面质疑受理地点：温州市龙湾区蒲州街道汤车路55号汤锦园商业办公楼1号楼20层，联系人：</w:t>
      </w:r>
      <w:r>
        <w:rPr>
          <w:rFonts w:hint="eastAsia" w:ascii="新宋体" w:hAnsi="新宋体" w:eastAsia="新宋体" w:cs="新宋体"/>
          <w:color w:val="auto"/>
          <w:kern w:val="0"/>
          <w:sz w:val="22"/>
          <w:szCs w:val="22"/>
          <w:highlight w:val="none"/>
          <w:lang w:val="en-US" w:eastAsia="zh-CN"/>
        </w:rPr>
        <w:t>程女士</w:t>
      </w:r>
      <w:r>
        <w:rPr>
          <w:rFonts w:hint="eastAsia" w:ascii="新宋体" w:hAnsi="新宋体" w:eastAsia="新宋体" w:cs="新宋体"/>
          <w:color w:val="auto"/>
          <w:kern w:val="0"/>
          <w:sz w:val="22"/>
          <w:szCs w:val="22"/>
          <w:highlight w:val="none"/>
        </w:rPr>
        <w:t xml:space="preserve"> ，联系电话：</w:t>
      </w:r>
      <w:r>
        <w:rPr>
          <w:rFonts w:hint="eastAsia" w:ascii="新宋体" w:hAnsi="新宋体" w:eastAsia="新宋体" w:cs="新宋体"/>
          <w:color w:val="auto"/>
          <w:kern w:val="0"/>
          <w:sz w:val="22"/>
          <w:szCs w:val="22"/>
          <w:highlight w:val="none"/>
          <w:lang w:val="en-US" w:eastAsia="zh-CN"/>
        </w:rPr>
        <w:t>18562583565</w:t>
      </w:r>
    </w:p>
    <w:p w14:paraId="310BDDA9">
      <w:pPr>
        <w:widowControl/>
        <w:spacing w:line="324" w:lineRule="auto"/>
        <w:jc w:val="lef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十</w:t>
      </w:r>
      <w:r>
        <w:rPr>
          <w:rFonts w:hint="eastAsia" w:ascii="新宋体" w:hAnsi="新宋体" w:eastAsia="新宋体" w:cs="新宋体"/>
          <w:b/>
          <w:bCs/>
          <w:color w:val="auto"/>
          <w:kern w:val="0"/>
          <w:sz w:val="22"/>
          <w:szCs w:val="22"/>
          <w:highlight w:val="none"/>
          <w:lang w:eastAsia="zh-CN"/>
        </w:rPr>
        <w:t>四</w:t>
      </w:r>
      <w:r>
        <w:rPr>
          <w:rFonts w:hint="eastAsia" w:ascii="新宋体" w:hAnsi="新宋体" w:eastAsia="新宋体" w:cs="新宋体"/>
          <w:b/>
          <w:bCs/>
          <w:color w:val="auto"/>
          <w:kern w:val="0"/>
          <w:sz w:val="22"/>
          <w:szCs w:val="22"/>
          <w:highlight w:val="none"/>
        </w:rPr>
        <w:t>、联系人及联系电话</w:t>
      </w:r>
    </w:p>
    <w:p w14:paraId="3B9AE66D">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eastAsia="zh-CN"/>
        </w:rPr>
        <w:t>温州园博园建设发展有限公司</w:t>
      </w:r>
    </w:p>
    <w:p w14:paraId="596F22F7">
      <w:pPr>
        <w:widowControl/>
        <w:spacing w:line="324" w:lineRule="auto"/>
        <w:ind w:firstLine="440" w:firstLineChars="200"/>
        <w:jc w:val="left"/>
        <w:rPr>
          <w:rFonts w:ascii="新宋体" w:hAnsi="新宋体" w:eastAsia="新宋体" w:cs="宋体"/>
          <w:color w:val="auto"/>
          <w:kern w:val="0"/>
          <w:sz w:val="22"/>
          <w:szCs w:val="22"/>
          <w:highlight w:val="none"/>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宋体"/>
          <w:color w:val="auto"/>
          <w:kern w:val="0"/>
          <w:sz w:val="22"/>
          <w:szCs w:val="22"/>
          <w:highlight w:val="none"/>
        </w:rPr>
        <w:t>浙江省温州市鹿城区府东路宏国大厦17楼</w:t>
      </w:r>
    </w:p>
    <w:p w14:paraId="62E2175A">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联系人：陈女士</w:t>
      </w:r>
    </w:p>
    <w:p w14:paraId="7E02BAFB">
      <w:pPr>
        <w:widowControl/>
        <w:spacing w:line="324" w:lineRule="auto"/>
        <w:ind w:firstLine="440" w:firstLineChars="200"/>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联系电话：18957755778</w:t>
      </w:r>
    </w:p>
    <w:p w14:paraId="5D423776">
      <w:pPr>
        <w:widowControl/>
        <w:spacing w:line="324"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采购代理机构名称：浙江鼎力工程项目管理有限公司</w:t>
      </w:r>
    </w:p>
    <w:p w14:paraId="113C91F3">
      <w:pPr>
        <w:widowControl/>
        <w:spacing w:line="324"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地址：温州市龙湾区蒲州街道汤车路55号汤锦园商业办公楼1号楼20层</w:t>
      </w:r>
    </w:p>
    <w:p w14:paraId="32B26B0F">
      <w:pPr>
        <w:widowControl/>
        <w:spacing w:line="324"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0"/>
          <w:sz w:val="22"/>
          <w:szCs w:val="22"/>
          <w:highlight w:val="none"/>
          <w:lang w:eastAsia="zh-CN"/>
        </w:rPr>
        <w:t>程女士、王先生</w:t>
      </w:r>
    </w:p>
    <w:p w14:paraId="0949A15B">
      <w:pPr>
        <w:widowControl/>
        <w:spacing w:line="324" w:lineRule="auto"/>
        <w:ind w:firstLine="440" w:firstLineChars="200"/>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联系电话：</w:t>
      </w:r>
      <w:r>
        <w:rPr>
          <w:rFonts w:hint="eastAsia" w:ascii="新宋体" w:hAnsi="新宋体" w:eastAsia="新宋体" w:cs="新宋体"/>
          <w:color w:val="auto"/>
          <w:kern w:val="0"/>
          <w:sz w:val="22"/>
          <w:szCs w:val="22"/>
          <w:highlight w:val="none"/>
          <w:lang w:val="en-US" w:eastAsia="zh-CN"/>
        </w:rPr>
        <w:t>18562583565</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15868725861</w:t>
      </w:r>
    </w:p>
    <w:p w14:paraId="11B6AD8E">
      <w:pPr>
        <w:widowControl/>
        <w:spacing w:line="324"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采购监管部门：</w:t>
      </w:r>
      <w:r>
        <w:rPr>
          <w:rFonts w:hint="eastAsia" w:ascii="新宋体" w:hAnsi="新宋体" w:eastAsia="新宋体" w:cs="新宋体"/>
          <w:color w:val="auto"/>
          <w:kern w:val="0"/>
          <w:sz w:val="22"/>
          <w:szCs w:val="22"/>
          <w:highlight w:val="none"/>
          <w:lang w:eastAsia="zh-CN"/>
        </w:rPr>
        <w:t>温州市城市建设发展集团有限公司采购管理委员会</w:t>
      </w:r>
    </w:p>
    <w:p w14:paraId="1C99BB01">
      <w:pPr>
        <w:widowControl/>
        <w:spacing w:line="324"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业务咨询联系人：朱先生业务</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联系电话：0577-89867680</w:t>
      </w:r>
    </w:p>
    <w:p w14:paraId="30DA325A">
      <w:pPr>
        <w:widowControl/>
        <w:spacing w:line="324"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公司监察联系人：马先生公司</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监察电话：0577-89867667</w:t>
      </w:r>
    </w:p>
    <w:p w14:paraId="7876204C">
      <w:pPr>
        <w:widowControl/>
        <w:spacing w:line="324"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集团业务举报联系人：王女士</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集团业务举报</w:t>
      </w:r>
      <w:r>
        <w:rPr>
          <w:rFonts w:hint="eastAsia" w:ascii="新宋体" w:hAnsi="新宋体" w:eastAsia="新宋体" w:cs="新宋体"/>
          <w:color w:val="auto"/>
          <w:kern w:val="0"/>
          <w:sz w:val="22"/>
          <w:szCs w:val="22"/>
          <w:highlight w:val="none"/>
          <w:lang w:eastAsia="zh-CN"/>
        </w:rPr>
        <w:t>电话</w:t>
      </w:r>
      <w:r>
        <w:rPr>
          <w:rFonts w:hint="eastAsia" w:ascii="新宋体" w:hAnsi="新宋体" w:eastAsia="新宋体" w:cs="新宋体"/>
          <w:color w:val="auto"/>
          <w:kern w:val="0"/>
          <w:sz w:val="22"/>
          <w:szCs w:val="22"/>
          <w:highlight w:val="none"/>
        </w:rPr>
        <w:t>：0577-88565186</w:t>
      </w:r>
    </w:p>
    <w:p w14:paraId="7520FBBA">
      <w:pPr>
        <w:widowControl/>
        <w:spacing w:line="324"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集团纪检举报联系人：叶先生</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集团纪检举报</w:t>
      </w:r>
      <w:r>
        <w:rPr>
          <w:rFonts w:hint="eastAsia" w:ascii="新宋体" w:hAnsi="新宋体" w:eastAsia="新宋体" w:cs="新宋体"/>
          <w:color w:val="auto"/>
          <w:kern w:val="0"/>
          <w:sz w:val="22"/>
          <w:szCs w:val="22"/>
          <w:highlight w:val="none"/>
          <w:lang w:eastAsia="zh-CN"/>
        </w:rPr>
        <w:t>电话</w:t>
      </w:r>
      <w:r>
        <w:rPr>
          <w:rFonts w:hint="eastAsia" w:ascii="新宋体" w:hAnsi="新宋体" w:eastAsia="新宋体" w:cs="新宋体"/>
          <w:color w:val="auto"/>
          <w:kern w:val="0"/>
          <w:sz w:val="22"/>
          <w:szCs w:val="22"/>
          <w:highlight w:val="none"/>
        </w:rPr>
        <w:t>：0577-88568926</w:t>
      </w:r>
    </w:p>
    <w:p w14:paraId="30D6C843">
      <w:pPr>
        <w:widowControl/>
        <w:spacing w:line="324" w:lineRule="auto"/>
        <w:jc w:val="right"/>
        <w:rPr>
          <w:rFonts w:ascii="新宋体" w:hAnsi="新宋体" w:eastAsia="新宋体" w:cs="新宋体"/>
          <w:color w:val="auto"/>
          <w:kern w:val="0"/>
          <w:sz w:val="22"/>
          <w:szCs w:val="22"/>
          <w:highlight w:val="none"/>
        </w:rPr>
      </w:pPr>
    </w:p>
    <w:p w14:paraId="506892C2">
      <w:pPr>
        <w:widowControl/>
        <w:spacing w:line="324" w:lineRule="auto"/>
        <w:jc w:val="righ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温州园博园建设发展有限公司</w:t>
      </w:r>
    </w:p>
    <w:p w14:paraId="216E4FF3">
      <w:pPr>
        <w:widowControl/>
        <w:spacing w:line="324" w:lineRule="auto"/>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浙江鼎力工程项目管理有限公司</w:t>
      </w:r>
    </w:p>
    <w:p w14:paraId="281DCEAA">
      <w:pPr>
        <w:widowControl/>
        <w:spacing w:line="324" w:lineRule="auto"/>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27</w:t>
      </w:r>
      <w:r>
        <w:rPr>
          <w:rFonts w:hint="eastAsia" w:ascii="新宋体" w:hAnsi="新宋体" w:eastAsia="新宋体" w:cs="新宋体"/>
          <w:color w:val="auto"/>
          <w:kern w:val="0"/>
          <w:sz w:val="22"/>
          <w:szCs w:val="22"/>
          <w:highlight w:val="none"/>
        </w:rPr>
        <w:t>日</w:t>
      </w:r>
    </w:p>
    <w:p w14:paraId="17551343">
      <w:pPr>
        <w:rPr>
          <w:rFonts w:ascii="新宋体" w:hAnsi="新宋体" w:eastAsia="新宋体" w:cs="新宋体"/>
          <w:color w:val="auto"/>
          <w:sz w:val="32"/>
          <w:szCs w:val="32"/>
          <w:highlight w:val="none"/>
        </w:rPr>
      </w:pPr>
      <w:bookmarkStart w:id="5" w:name="_Toc71374668"/>
      <w:r>
        <w:rPr>
          <w:rFonts w:hint="eastAsia" w:ascii="新宋体" w:hAnsi="新宋体" w:eastAsia="新宋体" w:cs="新宋体"/>
          <w:color w:val="auto"/>
          <w:sz w:val="32"/>
          <w:szCs w:val="32"/>
          <w:highlight w:val="none"/>
        </w:rPr>
        <w:br w:type="page"/>
      </w:r>
    </w:p>
    <w:p w14:paraId="5FFED7CF">
      <w:pPr>
        <w:pStyle w:val="2"/>
        <w:spacing w:line="360" w:lineRule="auto"/>
        <w:rPr>
          <w:rFonts w:ascii="新宋体" w:hAnsi="新宋体" w:eastAsia="新宋体" w:cs="新宋体"/>
          <w:color w:val="auto"/>
          <w:sz w:val="32"/>
          <w:szCs w:val="32"/>
          <w:highlight w:val="none"/>
        </w:rPr>
      </w:pPr>
      <w:bookmarkStart w:id="6" w:name="_Toc21713"/>
      <w:r>
        <w:rPr>
          <w:rFonts w:hint="eastAsia" w:ascii="新宋体" w:hAnsi="新宋体" w:eastAsia="新宋体" w:cs="新宋体"/>
          <w:color w:val="auto"/>
          <w:sz w:val="32"/>
          <w:szCs w:val="32"/>
          <w:highlight w:val="none"/>
          <w:lang w:eastAsia="zh-CN"/>
        </w:rPr>
        <w:t>温州园博园建设发展有限公司</w:t>
      </w:r>
      <w:r>
        <w:rPr>
          <w:rFonts w:hint="eastAsia" w:ascii="新宋体" w:hAnsi="新宋体" w:eastAsia="新宋体" w:cs="新宋体"/>
          <w:color w:val="auto"/>
          <w:sz w:val="32"/>
          <w:szCs w:val="32"/>
          <w:highlight w:val="none"/>
        </w:rPr>
        <w:t>关于</w:t>
      </w:r>
      <w:r>
        <w:rPr>
          <w:rFonts w:hint="eastAsia" w:ascii="新宋体" w:hAnsi="新宋体" w:eastAsia="新宋体" w:cs="新宋体"/>
          <w:color w:val="auto"/>
          <w:sz w:val="32"/>
          <w:szCs w:val="32"/>
          <w:highlight w:val="none"/>
          <w:lang w:eastAsia="zh-CN"/>
        </w:rPr>
        <w:t>第十五届中国（温州）国际园林博览会筹开服务</w:t>
      </w:r>
      <w:r>
        <w:rPr>
          <w:rFonts w:hint="eastAsia" w:ascii="新宋体" w:hAnsi="新宋体" w:eastAsia="新宋体" w:cs="新宋体"/>
          <w:color w:val="auto"/>
          <w:sz w:val="32"/>
          <w:szCs w:val="32"/>
          <w:highlight w:val="none"/>
        </w:rPr>
        <w:t>项目的征求意见公示</w:t>
      </w:r>
      <w:bookmarkEnd w:id="5"/>
      <w:bookmarkEnd w:id="6"/>
    </w:p>
    <w:p w14:paraId="601D1169">
      <w:pPr>
        <w:pStyle w:val="23"/>
        <w:spacing w:line="360" w:lineRule="auto"/>
        <w:ind w:firstLine="0" w:firstLineChars="0"/>
        <w:rPr>
          <w:rFonts w:ascii="新宋体" w:hAnsi="新宋体" w:eastAsia="新宋体"/>
          <w:color w:val="auto"/>
          <w:highlight w:val="none"/>
        </w:rPr>
      </w:pPr>
    </w:p>
    <w:p w14:paraId="6971B8A2">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浙江鼎力工程项目管理有限公司就</w:t>
      </w:r>
      <w:r>
        <w:rPr>
          <w:rFonts w:hint="eastAsia" w:ascii="新宋体" w:hAnsi="新宋体" w:eastAsia="新宋体" w:cs="新宋体"/>
          <w:color w:val="auto"/>
          <w:kern w:val="0"/>
          <w:sz w:val="22"/>
          <w:szCs w:val="22"/>
          <w:highlight w:val="none"/>
          <w:lang w:eastAsia="zh-CN"/>
        </w:rPr>
        <w:t>温州园博园建设发展有限公司第十五届中国（温州）国际园林博览会筹开服务</w:t>
      </w:r>
      <w:r>
        <w:rPr>
          <w:rFonts w:hint="eastAsia" w:ascii="新宋体" w:hAnsi="新宋体" w:eastAsia="新宋体" w:cs="新宋体"/>
          <w:color w:val="auto"/>
          <w:kern w:val="0"/>
          <w:sz w:val="22"/>
          <w:szCs w:val="22"/>
          <w:highlight w:val="none"/>
        </w:rPr>
        <w:t>项目以公开招标方式进行国有企业采购。现将采购文件公布如下,并公开征求供应商及专家意见。</w:t>
      </w:r>
    </w:p>
    <w:p w14:paraId="2305D6DE">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一、征求意见范围：</w:t>
      </w:r>
    </w:p>
    <w:p w14:paraId="64745D85">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1.是否出现明显的倾向性意见和特定的性能指标；</w:t>
      </w:r>
    </w:p>
    <w:p w14:paraId="65374F46">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2.供应商资格条件是否具有明显倾向性和歧视性；</w:t>
      </w:r>
    </w:p>
    <w:p w14:paraId="095D883B">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3.影响国有企业采购“公开、公平、公正”原则的其他情况。 </w:t>
      </w:r>
    </w:p>
    <w:p w14:paraId="5DA1E4A0">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二、征求意见的回复：</w:t>
      </w:r>
    </w:p>
    <w:p w14:paraId="4F659DE6">
      <w:pPr>
        <w:widowControl/>
        <w:spacing w:line="360" w:lineRule="auto"/>
        <w:ind w:left="60" w:right="60" w:firstLine="435"/>
        <w:jc w:val="lef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各供应商及专家提出修改理由和建议的，请于202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3日</w:t>
      </w:r>
      <w:r>
        <w:rPr>
          <w:rFonts w:hint="eastAsia" w:ascii="新宋体" w:hAnsi="新宋体" w:eastAsia="新宋体" w:cs="新宋体"/>
          <w:color w:val="auto"/>
          <w:kern w:val="0"/>
          <w:sz w:val="22"/>
          <w:szCs w:val="22"/>
          <w:highlight w:val="none"/>
        </w:rPr>
        <w:t>下午17:00前（节假日除外）将书面材料签字（盖章）并密封后送至温州市龙湾区蒲州街道汤车路55号汤锦园商业办公楼1号楼20层，外地可传真送达，传真：0577-</w:t>
      </w:r>
      <w:r>
        <w:rPr>
          <w:color w:val="auto"/>
          <w:highlight w:val="none"/>
        </w:rPr>
        <w:t xml:space="preserve"> </w:t>
      </w:r>
      <w:r>
        <w:rPr>
          <w:rFonts w:ascii="新宋体" w:hAnsi="新宋体" w:eastAsia="新宋体" w:cs="新宋体"/>
          <w:color w:val="auto"/>
          <w:kern w:val="0"/>
          <w:sz w:val="22"/>
          <w:szCs w:val="22"/>
          <w:highlight w:val="none"/>
        </w:rPr>
        <w:t>86530500</w:t>
      </w:r>
      <w:r>
        <w:rPr>
          <w:rFonts w:hint="eastAsia" w:ascii="新宋体" w:hAnsi="新宋体" w:eastAsia="新宋体" w:cs="新宋体"/>
          <w:color w:val="auto"/>
          <w:kern w:val="0"/>
          <w:sz w:val="22"/>
          <w:szCs w:val="22"/>
          <w:highlight w:val="none"/>
        </w:rPr>
        <w:t>，传真件必须签字（盖章）。同时将电子文档发送至以下信箱：</w:t>
      </w:r>
      <w:r>
        <w:rPr>
          <w:rFonts w:hint="eastAsia" w:ascii="新宋体" w:hAnsi="新宋体" w:eastAsia="新宋体" w:cs="新宋体"/>
          <w:color w:val="auto"/>
          <w:kern w:val="0"/>
          <w:sz w:val="22"/>
          <w:szCs w:val="22"/>
          <w:highlight w:val="none"/>
          <w:lang w:val="en-US" w:eastAsia="zh-CN"/>
        </w:rPr>
        <w:t>1033422571</w:t>
      </w:r>
      <w:r>
        <w:rPr>
          <w:rFonts w:hint="eastAsia" w:ascii="新宋体" w:hAnsi="新宋体" w:eastAsia="新宋体" w:cs="新宋体"/>
          <w:color w:val="auto"/>
          <w:kern w:val="0"/>
          <w:sz w:val="22"/>
          <w:szCs w:val="22"/>
          <w:highlight w:val="none"/>
        </w:rPr>
        <w:t>@qq.com 。</w:t>
      </w:r>
    </w:p>
    <w:p w14:paraId="03106087">
      <w:pPr>
        <w:widowControl/>
        <w:spacing w:line="360" w:lineRule="auto"/>
        <w:ind w:left="60" w:right="60" w:firstLine="435"/>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0"/>
          <w:sz w:val="22"/>
          <w:szCs w:val="22"/>
          <w:highlight w:val="none"/>
          <w:lang w:eastAsia="zh-CN"/>
        </w:rPr>
        <w:t>程女士、王先生</w:t>
      </w:r>
      <w:r>
        <w:rPr>
          <w:rFonts w:hint="eastAsia" w:ascii="新宋体" w:hAnsi="新宋体" w:eastAsia="新宋体" w:cs="新宋体"/>
          <w:color w:val="auto"/>
          <w:kern w:val="0"/>
          <w:sz w:val="22"/>
          <w:szCs w:val="22"/>
          <w:highlight w:val="none"/>
        </w:rPr>
        <w:t xml:space="preserve"> 联系电话：</w:t>
      </w:r>
      <w:r>
        <w:rPr>
          <w:rFonts w:hint="eastAsia" w:ascii="新宋体" w:hAnsi="新宋体" w:eastAsia="新宋体" w:cs="新宋体"/>
          <w:color w:val="auto"/>
          <w:kern w:val="0"/>
          <w:sz w:val="22"/>
          <w:szCs w:val="22"/>
          <w:highlight w:val="none"/>
          <w:lang w:val="en-US" w:eastAsia="zh-CN"/>
        </w:rPr>
        <w:t>18562583565</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15868725861</w:t>
      </w:r>
      <w:r>
        <w:rPr>
          <w:rFonts w:hint="eastAsia" w:ascii="新宋体" w:hAnsi="新宋体" w:eastAsia="新宋体" w:cs="新宋体"/>
          <w:color w:val="auto"/>
          <w:kern w:val="0"/>
          <w:sz w:val="22"/>
          <w:szCs w:val="22"/>
          <w:highlight w:val="none"/>
        </w:rPr>
        <w:t>。对逾期送达的意见、建议书恕不接受。</w:t>
      </w:r>
    </w:p>
    <w:p w14:paraId="6C4C1687">
      <w:pPr>
        <w:widowControl/>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三、相关附件：</w:t>
      </w:r>
    </w:p>
    <w:p w14:paraId="645F2A3C">
      <w:pPr>
        <w:widowControl/>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采购文件</w:t>
      </w:r>
    </w:p>
    <w:p w14:paraId="4CA23A5F">
      <w:pPr>
        <w:pStyle w:val="23"/>
        <w:ind w:firstLine="200"/>
        <w:rPr>
          <w:color w:val="auto"/>
          <w:highlight w:val="none"/>
        </w:rPr>
      </w:pPr>
    </w:p>
    <w:p w14:paraId="7765EDC2">
      <w:pPr>
        <w:widowControl/>
        <w:spacing w:line="360" w:lineRule="auto"/>
        <w:jc w:val="right"/>
        <w:rPr>
          <w:rFonts w:hint="eastAsia" w:ascii="新宋体" w:hAnsi="新宋体" w:eastAsia="新宋体" w:cs="新宋体"/>
          <w:color w:val="auto"/>
          <w:kern w:val="0"/>
          <w:sz w:val="22"/>
          <w:szCs w:val="22"/>
          <w:highlight w:val="none"/>
          <w:lang w:eastAsia="zh-CN"/>
        </w:rPr>
      </w:pPr>
    </w:p>
    <w:p w14:paraId="6883ECBD">
      <w:pPr>
        <w:widowControl/>
        <w:spacing w:line="360" w:lineRule="auto"/>
        <w:jc w:val="right"/>
        <w:rPr>
          <w:rFonts w:hint="eastAsia" w:ascii="新宋体" w:hAnsi="新宋体" w:eastAsia="新宋体" w:cs="新宋体"/>
          <w:color w:val="auto"/>
          <w:kern w:val="0"/>
          <w:sz w:val="22"/>
          <w:szCs w:val="22"/>
          <w:highlight w:val="none"/>
          <w:lang w:eastAsia="zh-CN"/>
        </w:rPr>
      </w:pPr>
    </w:p>
    <w:p w14:paraId="46E67092">
      <w:pPr>
        <w:widowControl/>
        <w:spacing w:line="360" w:lineRule="auto"/>
        <w:jc w:val="right"/>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kern w:val="0"/>
          <w:sz w:val="22"/>
          <w:szCs w:val="22"/>
          <w:highlight w:val="none"/>
          <w:lang w:eastAsia="zh-CN"/>
        </w:rPr>
        <w:t>温州园博园建设发展有限公司</w:t>
      </w:r>
    </w:p>
    <w:p w14:paraId="536A40A2">
      <w:pPr>
        <w:widowControl/>
        <w:spacing w:line="360" w:lineRule="auto"/>
        <w:jc w:val="right"/>
        <w:rPr>
          <w:rFonts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浙江鼎力工程项目管理有限公司</w:t>
      </w:r>
    </w:p>
    <w:p w14:paraId="281E962F">
      <w:pPr>
        <w:widowControl/>
        <w:spacing w:before="60" w:after="60" w:line="360" w:lineRule="auto"/>
        <w:ind w:right="60"/>
        <w:jc w:val="right"/>
        <w:rPr>
          <w:rFonts w:hint="eastAsia" w:ascii="新宋体" w:hAnsi="新宋体" w:eastAsia="新宋体" w:cs="新宋体"/>
          <w:color w:val="auto"/>
          <w:highlight w:val="none"/>
          <w:lang w:val="en-US" w:eastAsia="zh-CN"/>
        </w:rPr>
      </w:pPr>
      <w:r>
        <w:rPr>
          <w:rFonts w:hint="eastAsia" w:ascii="新宋体" w:hAnsi="新宋体" w:eastAsia="新宋体" w:cs="新宋体"/>
          <w:color w:val="auto"/>
          <w:kern w:val="0"/>
          <w:sz w:val="22"/>
          <w:szCs w:val="22"/>
          <w:highlight w:val="none"/>
        </w:rPr>
        <w:t>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27</w:t>
      </w:r>
      <w:r>
        <w:rPr>
          <w:rFonts w:hint="eastAsia" w:ascii="新宋体" w:hAnsi="新宋体" w:eastAsia="新宋体" w:cs="新宋体"/>
          <w:color w:val="auto"/>
          <w:kern w:val="0"/>
          <w:sz w:val="22"/>
          <w:szCs w:val="22"/>
          <w:highlight w:val="none"/>
        </w:rPr>
        <w:t>日</w:t>
      </w:r>
    </w:p>
    <w:p w14:paraId="756AC573">
      <w:pPr>
        <w:widowControl/>
        <w:spacing w:line="360" w:lineRule="auto"/>
        <w:jc w:val="right"/>
        <w:rPr>
          <w:rFonts w:ascii="新宋体" w:hAnsi="新宋体" w:eastAsia="新宋体" w:cs="新宋体"/>
          <w:color w:val="auto"/>
          <w:szCs w:val="21"/>
          <w:highlight w:val="none"/>
        </w:rPr>
      </w:pPr>
    </w:p>
    <w:p w14:paraId="6708DED4">
      <w:pPr>
        <w:widowControl/>
        <w:spacing w:line="360" w:lineRule="auto"/>
        <w:jc w:val="right"/>
        <w:rPr>
          <w:rFonts w:ascii="新宋体" w:hAnsi="新宋体" w:eastAsia="新宋体" w:cs="新宋体"/>
          <w:color w:val="auto"/>
          <w:szCs w:val="21"/>
          <w:highlight w:val="none"/>
        </w:rPr>
      </w:pPr>
    </w:p>
    <w:p w14:paraId="5FABE4F3">
      <w:pPr>
        <w:widowControl/>
        <w:spacing w:line="360" w:lineRule="auto"/>
        <w:jc w:val="right"/>
        <w:rPr>
          <w:rFonts w:ascii="新宋体" w:hAnsi="新宋体" w:eastAsia="新宋体" w:cs="新宋体"/>
          <w:color w:val="auto"/>
          <w:szCs w:val="21"/>
          <w:highlight w:val="none"/>
        </w:rPr>
      </w:pPr>
    </w:p>
    <w:p w14:paraId="38513AA5">
      <w:pPr>
        <w:widowControl/>
        <w:spacing w:line="360" w:lineRule="auto"/>
        <w:rPr>
          <w:rFonts w:ascii="新宋体" w:hAnsi="新宋体" w:eastAsia="新宋体" w:cs="新宋体"/>
          <w:color w:val="auto"/>
          <w:szCs w:val="21"/>
          <w:highlight w:val="none"/>
        </w:rPr>
      </w:pPr>
    </w:p>
    <w:p w14:paraId="6C7E5199">
      <w:pPr>
        <w:widowControl/>
        <w:spacing w:line="360" w:lineRule="auto"/>
        <w:jc w:val="right"/>
        <w:rPr>
          <w:rFonts w:ascii="新宋体" w:hAnsi="新宋体" w:eastAsia="新宋体" w:cs="新宋体"/>
          <w:color w:val="auto"/>
          <w:szCs w:val="21"/>
          <w:highlight w:val="none"/>
        </w:rPr>
      </w:pPr>
    </w:p>
    <w:p w14:paraId="7C2AABCC">
      <w:pPr>
        <w:widowControl/>
        <w:spacing w:line="360" w:lineRule="auto"/>
        <w:jc w:val="right"/>
        <w:rPr>
          <w:rFonts w:ascii="新宋体" w:hAnsi="新宋体" w:eastAsia="新宋体" w:cs="新宋体"/>
          <w:color w:val="auto"/>
          <w:szCs w:val="21"/>
          <w:highlight w:val="none"/>
        </w:rPr>
      </w:pPr>
    </w:p>
    <w:p w14:paraId="3BDBDA0F">
      <w:pPr>
        <w:widowControl/>
        <w:spacing w:line="360" w:lineRule="auto"/>
        <w:jc w:val="right"/>
        <w:rPr>
          <w:rFonts w:ascii="新宋体" w:hAnsi="新宋体" w:eastAsia="新宋体" w:cs="新宋体"/>
          <w:color w:val="auto"/>
          <w:szCs w:val="21"/>
          <w:highlight w:val="none"/>
        </w:rPr>
      </w:pPr>
    </w:p>
    <w:p w14:paraId="58E484DA">
      <w:pPr>
        <w:rPr>
          <w:rFonts w:ascii="新宋体" w:hAnsi="新宋体" w:eastAsia="新宋体"/>
          <w:color w:val="auto"/>
          <w:highlight w:val="none"/>
        </w:rPr>
      </w:pPr>
    </w:p>
    <w:p w14:paraId="1320E0B0">
      <w:pPr>
        <w:pStyle w:val="23"/>
        <w:ind w:firstLine="200"/>
        <w:rPr>
          <w:rFonts w:ascii="新宋体" w:hAnsi="新宋体" w:eastAsia="新宋体"/>
          <w:color w:val="auto"/>
          <w:highlight w:val="none"/>
        </w:rPr>
      </w:pPr>
    </w:p>
    <w:p w14:paraId="232B28A6">
      <w:pPr>
        <w:pStyle w:val="2"/>
        <w:rPr>
          <w:rFonts w:ascii="新宋体" w:hAnsi="新宋体" w:eastAsia="新宋体" w:cs="新宋体"/>
          <w:color w:val="auto"/>
          <w:sz w:val="36"/>
          <w:szCs w:val="36"/>
          <w:highlight w:val="none"/>
        </w:rPr>
      </w:pPr>
      <w:bookmarkStart w:id="7" w:name="_Toc10353"/>
      <w:bookmarkStart w:id="8" w:name="_Toc71374669"/>
      <w:r>
        <w:rPr>
          <w:rFonts w:hint="eastAsia" w:ascii="新宋体" w:hAnsi="新宋体" w:eastAsia="新宋体" w:cs="新宋体"/>
          <w:color w:val="auto"/>
          <w:sz w:val="36"/>
          <w:szCs w:val="36"/>
          <w:highlight w:val="none"/>
        </w:rPr>
        <w:t>投标供应商须知前附表</w:t>
      </w:r>
      <w:bookmarkEnd w:id="7"/>
      <w:bookmarkEnd w:id="8"/>
    </w:p>
    <w:tbl>
      <w:tblPr>
        <w:tblStyle w:val="25"/>
        <w:tblW w:w="0" w:type="auto"/>
        <w:tblInd w:w="0" w:type="dxa"/>
        <w:tblLayout w:type="fixed"/>
        <w:tblCellMar>
          <w:top w:w="0" w:type="dxa"/>
          <w:left w:w="108" w:type="dxa"/>
          <w:bottom w:w="0" w:type="dxa"/>
          <w:right w:w="108" w:type="dxa"/>
        </w:tblCellMar>
      </w:tblPr>
      <w:tblGrid>
        <w:gridCol w:w="1036"/>
        <w:gridCol w:w="12"/>
        <w:gridCol w:w="1531"/>
        <w:gridCol w:w="7275"/>
      </w:tblGrid>
      <w:tr w14:paraId="6618483D">
        <w:tblPrEx>
          <w:tblCellMar>
            <w:top w:w="0" w:type="dxa"/>
            <w:left w:w="108" w:type="dxa"/>
            <w:bottom w:w="0" w:type="dxa"/>
            <w:right w:w="108" w:type="dxa"/>
          </w:tblCellMar>
        </w:tblPrEx>
        <w:trPr>
          <w:trHeight w:val="669" w:hRule="atLeast"/>
          <w:tblHeader/>
        </w:trPr>
        <w:tc>
          <w:tcPr>
            <w:tcW w:w="1048" w:type="dxa"/>
            <w:gridSpan w:val="2"/>
            <w:tcBorders>
              <w:top w:val="single" w:color="auto" w:sz="4" w:space="0"/>
              <w:left w:val="single" w:color="auto" w:sz="4" w:space="0"/>
              <w:bottom w:val="single" w:color="auto" w:sz="4" w:space="0"/>
              <w:right w:val="single" w:color="auto" w:sz="4" w:space="0"/>
            </w:tcBorders>
            <w:vAlign w:val="center"/>
          </w:tcPr>
          <w:p w14:paraId="75418352">
            <w:pPr>
              <w:spacing w:line="312" w:lineRule="auto"/>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1531" w:type="dxa"/>
            <w:tcBorders>
              <w:top w:val="single" w:color="auto" w:sz="4" w:space="0"/>
              <w:left w:val="single" w:color="auto" w:sz="4" w:space="0"/>
              <w:bottom w:val="single" w:color="auto" w:sz="4" w:space="0"/>
              <w:right w:val="single" w:color="auto" w:sz="4" w:space="0"/>
            </w:tcBorders>
            <w:vAlign w:val="center"/>
          </w:tcPr>
          <w:p w14:paraId="3715AD20">
            <w:pPr>
              <w:spacing w:line="312" w:lineRule="auto"/>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条款名称</w:t>
            </w:r>
          </w:p>
        </w:tc>
        <w:tc>
          <w:tcPr>
            <w:tcW w:w="7275" w:type="dxa"/>
            <w:tcBorders>
              <w:top w:val="single" w:color="auto" w:sz="4" w:space="0"/>
              <w:left w:val="single" w:color="auto" w:sz="4" w:space="0"/>
              <w:bottom w:val="single" w:color="auto" w:sz="4" w:space="0"/>
              <w:right w:val="single" w:color="auto" w:sz="4" w:space="0"/>
            </w:tcBorders>
            <w:vAlign w:val="center"/>
          </w:tcPr>
          <w:p w14:paraId="4B997DFB">
            <w:pPr>
              <w:spacing w:line="312" w:lineRule="auto"/>
              <w:jc w:val="center"/>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编列内容</w:t>
            </w:r>
          </w:p>
        </w:tc>
      </w:tr>
      <w:tr w14:paraId="6E5F503E">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2A2D7FF5">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31" w:type="dxa"/>
            <w:tcBorders>
              <w:top w:val="single" w:color="auto" w:sz="4" w:space="0"/>
              <w:left w:val="single" w:color="auto" w:sz="4" w:space="0"/>
              <w:bottom w:val="single" w:color="auto" w:sz="4" w:space="0"/>
              <w:right w:val="single" w:color="auto" w:sz="4" w:space="0"/>
            </w:tcBorders>
            <w:vAlign w:val="center"/>
          </w:tcPr>
          <w:p w14:paraId="06A517FE">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75" w:type="dxa"/>
            <w:tcBorders>
              <w:top w:val="single" w:color="auto" w:sz="4" w:space="0"/>
              <w:left w:val="single" w:color="auto" w:sz="4" w:space="0"/>
              <w:bottom w:val="single" w:color="auto" w:sz="4" w:space="0"/>
              <w:right w:val="single" w:color="auto" w:sz="4" w:space="0"/>
            </w:tcBorders>
            <w:vAlign w:val="center"/>
          </w:tcPr>
          <w:p w14:paraId="3B586EB8">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eastAsia="zh-CN"/>
              </w:rPr>
              <w:t>温州园博园建设发展有限公司</w:t>
            </w:r>
            <w:r>
              <w:rPr>
                <w:rFonts w:hint="eastAsia" w:ascii="新宋体" w:hAnsi="新宋体" w:eastAsia="新宋体" w:cs="新宋体"/>
                <w:color w:val="auto"/>
                <w:kern w:val="0"/>
                <w:sz w:val="22"/>
                <w:szCs w:val="22"/>
                <w:highlight w:val="none"/>
              </w:rPr>
              <w:t xml:space="preserve"> </w:t>
            </w:r>
          </w:p>
          <w:p w14:paraId="7091F361">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地址：浙江省温州市鹿城区府东路宏国大厦17楼</w:t>
            </w:r>
          </w:p>
          <w:p w14:paraId="1D57677F">
            <w:pPr>
              <w:spacing w:line="312" w:lineRule="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联系人：陈女士</w:t>
            </w:r>
          </w:p>
          <w:p w14:paraId="4B9AAE60">
            <w:pPr>
              <w:spacing w:line="312" w:lineRule="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联系电话：18957755778</w:t>
            </w:r>
          </w:p>
        </w:tc>
      </w:tr>
      <w:tr w14:paraId="2C2A4626">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343CD339">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31" w:type="dxa"/>
            <w:tcBorders>
              <w:top w:val="single" w:color="auto" w:sz="4" w:space="0"/>
              <w:left w:val="single" w:color="auto" w:sz="4" w:space="0"/>
              <w:bottom w:val="single" w:color="auto" w:sz="4" w:space="0"/>
              <w:right w:val="single" w:color="auto" w:sz="4" w:space="0"/>
            </w:tcBorders>
            <w:vAlign w:val="center"/>
          </w:tcPr>
          <w:p w14:paraId="616F5E0C">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75" w:type="dxa"/>
            <w:tcBorders>
              <w:top w:val="single" w:color="auto" w:sz="4" w:space="0"/>
              <w:left w:val="single" w:color="auto" w:sz="4" w:space="0"/>
              <w:bottom w:val="single" w:color="auto" w:sz="4" w:space="0"/>
              <w:right w:val="single" w:color="auto" w:sz="4" w:space="0"/>
            </w:tcBorders>
            <w:vAlign w:val="center"/>
          </w:tcPr>
          <w:p w14:paraId="4032A086">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代理机构名称：浙江鼎力工程项目管理有限公司</w:t>
            </w:r>
          </w:p>
          <w:p w14:paraId="591CE560">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地址：温州市龙湾区蒲州街道汤车路55号汤锦园商业办公楼1号楼20层</w:t>
            </w:r>
          </w:p>
          <w:p w14:paraId="014478C5">
            <w:pPr>
              <w:spacing w:line="312" w:lineRule="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联系人：程女士、王先生</w:t>
            </w:r>
          </w:p>
          <w:p w14:paraId="17B90015">
            <w:pPr>
              <w:spacing w:line="312" w:lineRule="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联系电话：</w:t>
            </w:r>
            <w:r>
              <w:rPr>
                <w:rFonts w:hint="eastAsia" w:ascii="新宋体" w:hAnsi="新宋体" w:eastAsia="新宋体" w:cs="新宋体"/>
                <w:color w:val="auto"/>
                <w:kern w:val="0"/>
                <w:sz w:val="22"/>
                <w:szCs w:val="22"/>
                <w:highlight w:val="none"/>
                <w:lang w:val="en-US" w:eastAsia="zh-CN"/>
              </w:rPr>
              <w:t>18562583565</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15868725861</w:t>
            </w:r>
          </w:p>
        </w:tc>
      </w:tr>
      <w:tr w14:paraId="6097C1B2">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03D00124">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31" w:type="dxa"/>
            <w:tcBorders>
              <w:top w:val="single" w:color="auto" w:sz="4" w:space="0"/>
              <w:left w:val="single" w:color="auto" w:sz="4" w:space="0"/>
              <w:bottom w:val="single" w:color="auto" w:sz="4" w:space="0"/>
              <w:right w:val="single" w:color="auto" w:sz="4" w:space="0"/>
            </w:tcBorders>
            <w:vAlign w:val="center"/>
          </w:tcPr>
          <w:p w14:paraId="755FBA42">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项目名称及编号</w:t>
            </w:r>
          </w:p>
        </w:tc>
        <w:tc>
          <w:tcPr>
            <w:tcW w:w="7275" w:type="dxa"/>
            <w:tcBorders>
              <w:top w:val="single" w:color="auto" w:sz="4" w:space="0"/>
              <w:left w:val="single" w:color="auto" w:sz="4" w:space="0"/>
              <w:bottom w:val="single" w:color="auto" w:sz="4" w:space="0"/>
              <w:right w:val="single" w:color="auto" w:sz="4" w:space="0"/>
            </w:tcBorders>
            <w:vAlign w:val="center"/>
          </w:tcPr>
          <w:p w14:paraId="1DE40EBC">
            <w:pPr>
              <w:spacing w:line="312" w:lineRule="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 xml:space="preserve">项目名称: </w:t>
            </w:r>
            <w:r>
              <w:rPr>
                <w:rFonts w:hint="eastAsia" w:ascii="新宋体" w:hAnsi="新宋体" w:eastAsia="新宋体" w:cs="新宋体"/>
                <w:color w:val="auto"/>
                <w:kern w:val="0"/>
                <w:sz w:val="22"/>
                <w:szCs w:val="22"/>
                <w:highlight w:val="none"/>
                <w:lang w:eastAsia="zh-CN"/>
              </w:rPr>
              <w:t>第十五届中国（温州）国际园林博览会筹开服务</w:t>
            </w:r>
          </w:p>
          <w:p w14:paraId="160A8DAF">
            <w:pPr>
              <w:spacing w:line="312" w:lineRule="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WGSS-CFJT-X-2025017</w:t>
            </w:r>
          </w:p>
        </w:tc>
      </w:tr>
      <w:tr w14:paraId="78BF4F91">
        <w:tblPrEx>
          <w:tblCellMar>
            <w:top w:w="0" w:type="dxa"/>
            <w:left w:w="108" w:type="dxa"/>
            <w:bottom w:w="0" w:type="dxa"/>
            <w:right w:w="108" w:type="dxa"/>
          </w:tblCellMar>
        </w:tblPrEx>
        <w:trPr>
          <w:trHeight w:val="82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1C482B97">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31" w:type="dxa"/>
            <w:tcBorders>
              <w:top w:val="single" w:color="auto" w:sz="4" w:space="0"/>
              <w:left w:val="single" w:color="auto" w:sz="4" w:space="0"/>
              <w:bottom w:val="single" w:color="auto" w:sz="4" w:space="0"/>
              <w:right w:val="single" w:color="auto" w:sz="4" w:space="0"/>
            </w:tcBorders>
            <w:vAlign w:val="center"/>
          </w:tcPr>
          <w:p w14:paraId="505D5D84">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75" w:type="dxa"/>
            <w:tcBorders>
              <w:top w:val="single" w:color="auto" w:sz="4" w:space="0"/>
              <w:left w:val="single" w:color="auto" w:sz="4" w:space="0"/>
              <w:bottom w:val="single" w:color="auto" w:sz="4" w:space="0"/>
              <w:right w:val="single" w:color="auto" w:sz="4" w:space="0"/>
            </w:tcBorders>
            <w:vAlign w:val="center"/>
          </w:tcPr>
          <w:p w14:paraId="41820F0C">
            <w:pPr>
              <w:spacing w:line="312" w:lineRule="auto"/>
              <w:rPr>
                <w:rFonts w:ascii="新宋体" w:hAnsi="新宋体" w:cs="新宋体"/>
                <w:color w:val="auto"/>
                <w:kern w:val="0"/>
                <w:sz w:val="22"/>
                <w:szCs w:val="22"/>
                <w:highlight w:val="none"/>
              </w:rPr>
            </w:pPr>
            <w:r>
              <w:rPr>
                <w:rFonts w:hint="eastAsia" w:ascii="新宋体" w:hAnsi="新宋体" w:eastAsia="新宋体" w:cs="新宋体"/>
                <w:bCs/>
                <w:color w:val="auto"/>
                <w:kern w:val="0"/>
                <w:sz w:val="22"/>
                <w:szCs w:val="22"/>
                <w:highlight w:val="none"/>
              </w:rPr>
              <w:t>向</w:t>
            </w:r>
            <w:r>
              <w:rPr>
                <w:rFonts w:hint="eastAsia" w:ascii="新宋体" w:hAnsi="新宋体" w:eastAsia="新宋体" w:cs="新宋体"/>
                <w:bCs/>
                <w:color w:val="auto"/>
                <w:kern w:val="0"/>
                <w:sz w:val="22"/>
                <w:szCs w:val="22"/>
                <w:highlight w:val="none"/>
                <w:lang w:eastAsia="zh-CN"/>
              </w:rPr>
              <w:t xml:space="preserve">园博园公司 </w:t>
            </w:r>
            <w:r>
              <w:rPr>
                <w:rFonts w:hint="eastAsia" w:ascii="新宋体" w:hAnsi="新宋体" w:eastAsia="新宋体" w:cs="新宋体"/>
                <w:bCs/>
                <w:color w:val="auto"/>
                <w:kern w:val="0"/>
                <w:sz w:val="22"/>
                <w:szCs w:val="22"/>
                <w:highlight w:val="none"/>
              </w:rPr>
              <w:t>提供</w:t>
            </w:r>
            <w:r>
              <w:rPr>
                <w:rFonts w:hint="eastAsia" w:ascii="新宋体" w:hAnsi="新宋体" w:eastAsia="新宋体" w:cs="新宋体"/>
                <w:bCs/>
                <w:color w:val="auto"/>
                <w:kern w:val="0"/>
                <w:sz w:val="22"/>
                <w:szCs w:val="22"/>
                <w:highlight w:val="none"/>
                <w:lang w:eastAsia="zh-CN"/>
              </w:rPr>
              <w:t>第十五届中国（温州）国际园林博览会筹开服务</w:t>
            </w:r>
            <w:r>
              <w:rPr>
                <w:rFonts w:ascii="新宋体" w:hAnsi="新宋体" w:cs="新宋体"/>
                <w:color w:val="auto"/>
                <w:kern w:val="0"/>
                <w:sz w:val="22"/>
                <w:szCs w:val="22"/>
                <w:highlight w:val="none"/>
              </w:rPr>
              <w:t>，具体采购内容及详细技术要求见采购文件相关部分。</w:t>
            </w:r>
          </w:p>
          <w:p w14:paraId="15E37911">
            <w:pPr>
              <w:spacing w:line="312" w:lineRule="auto"/>
              <w:rPr>
                <w:rFonts w:hint="default" w:ascii="新宋体" w:hAnsi="新宋体" w:eastAsia="宋体" w:cs="新宋体"/>
                <w:color w:val="auto"/>
                <w:kern w:val="0"/>
                <w:sz w:val="22"/>
                <w:szCs w:val="22"/>
                <w:highlight w:val="none"/>
                <w:lang w:val="en-US" w:eastAsia="zh-CN"/>
              </w:rPr>
            </w:pPr>
            <w:r>
              <w:rPr>
                <w:rFonts w:hint="eastAsia" w:ascii="新宋体" w:hAnsi="新宋体" w:cs="新宋体"/>
                <w:color w:val="auto"/>
                <w:kern w:val="0"/>
                <w:sz w:val="22"/>
                <w:szCs w:val="22"/>
                <w:highlight w:val="none"/>
              </w:rPr>
              <w:t>采购预算：</w:t>
            </w:r>
            <w:r>
              <w:rPr>
                <w:rFonts w:hint="eastAsia" w:ascii="新宋体" w:hAnsi="新宋体" w:cs="新宋体"/>
                <w:color w:val="auto"/>
                <w:kern w:val="0"/>
                <w:sz w:val="22"/>
                <w:szCs w:val="22"/>
                <w:highlight w:val="none"/>
                <w:lang w:val="en-US" w:eastAsia="zh-CN"/>
              </w:rPr>
              <w:t>780</w:t>
            </w:r>
            <w:r>
              <w:rPr>
                <w:rFonts w:hint="eastAsia" w:ascii="新宋体" w:hAnsi="新宋体" w:cs="新宋体"/>
                <w:color w:val="auto"/>
                <w:kern w:val="0"/>
                <w:sz w:val="22"/>
                <w:szCs w:val="22"/>
                <w:highlight w:val="none"/>
              </w:rPr>
              <w:t>万元整</w:t>
            </w:r>
            <w:r>
              <w:rPr>
                <w:rFonts w:hint="eastAsia" w:ascii="新宋体" w:hAnsi="新宋体" w:cs="新宋体"/>
                <w:color w:val="auto"/>
                <w:kern w:val="0"/>
                <w:sz w:val="22"/>
                <w:szCs w:val="22"/>
                <w:highlight w:val="none"/>
                <w:lang w:eastAsia="zh-CN"/>
              </w:rPr>
              <w:t>；</w:t>
            </w:r>
            <w:r>
              <w:rPr>
                <w:rFonts w:hint="eastAsia" w:ascii="新宋体" w:hAnsi="新宋体" w:cs="新宋体"/>
                <w:color w:val="auto"/>
                <w:kern w:val="0"/>
                <w:sz w:val="22"/>
                <w:szCs w:val="22"/>
                <w:highlight w:val="none"/>
                <w:lang w:val="en-US" w:eastAsia="zh-CN"/>
              </w:rPr>
              <w:t>最高投标限价：700万元整</w:t>
            </w:r>
          </w:p>
        </w:tc>
      </w:tr>
      <w:tr w14:paraId="1055F0A6">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5D1ABDA1">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531" w:type="dxa"/>
            <w:tcBorders>
              <w:top w:val="single" w:color="auto" w:sz="4" w:space="0"/>
              <w:left w:val="single" w:color="auto" w:sz="4" w:space="0"/>
              <w:bottom w:val="single" w:color="auto" w:sz="4" w:space="0"/>
              <w:right w:val="single" w:color="auto" w:sz="4" w:space="0"/>
            </w:tcBorders>
            <w:vAlign w:val="center"/>
          </w:tcPr>
          <w:p w14:paraId="049E495F">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服务时间</w:t>
            </w:r>
          </w:p>
        </w:tc>
        <w:tc>
          <w:tcPr>
            <w:tcW w:w="7275" w:type="dxa"/>
            <w:tcBorders>
              <w:top w:val="single" w:color="auto" w:sz="4" w:space="0"/>
              <w:left w:val="single" w:color="auto" w:sz="4" w:space="0"/>
              <w:bottom w:val="single" w:color="auto" w:sz="4" w:space="0"/>
              <w:right w:val="single" w:color="auto" w:sz="4" w:space="0"/>
            </w:tcBorders>
            <w:vAlign w:val="center"/>
          </w:tcPr>
          <w:p w14:paraId="0D205D1A">
            <w:pPr>
              <w:spacing w:line="312" w:lineRule="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合同签订之日起至第十五届中国（温州）国际园林博览会会期结束之日（服务期限最长不超过1年）</w:t>
            </w:r>
            <w:r>
              <w:rPr>
                <w:rFonts w:hint="eastAsia" w:ascii="新宋体" w:hAnsi="新宋体" w:eastAsia="新宋体" w:cs="新宋体"/>
                <w:color w:val="auto"/>
                <w:kern w:val="0"/>
                <w:sz w:val="22"/>
                <w:szCs w:val="22"/>
                <w:highlight w:val="none"/>
                <w:lang w:eastAsia="zh-CN"/>
              </w:rPr>
              <w:t>。</w:t>
            </w:r>
          </w:p>
        </w:tc>
      </w:tr>
      <w:tr w14:paraId="50832786">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78564B0C">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531" w:type="dxa"/>
            <w:tcBorders>
              <w:top w:val="single" w:color="auto" w:sz="4" w:space="0"/>
              <w:left w:val="single" w:color="auto" w:sz="4" w:space="0"/>
              <w:bottom w:val="single" w:color="auto" w:sz="4" w:space="0"/>
              <w:right w:val="single" w:color="auto" w:sz="4" w:space="0"/>
            </w:tcBorders>
            <w:vAlign w:val="center"/>
          </w:tcPr>
          <w:p w14:paraId="079DF004">
            <w:pPr>
              <w:spacing w:line="312" w:lineRule="auto"/>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投标供应商资格要求</w:t>
            </w:r>
          </w:p>
        </w:tc>
        <w:tc>
          <w:tcPr>
            <w:tcW w:w="7275" w:type="dxa"/>
            <w:tcBorders>
              <w:top w:val="single" w:color="auto" w:sz="4" w:space="0"/>
              <w:left w:val="single" w:color="auto" w:sz="4" w:space="0"/>
              <w:bottom w:val="single" w:color="auto" w:sz="4" w:space="0"/>
              <w:right w:val="single" w:color="auto" w:sz="4" w:space="0"/>
            </w:tcBorders>
            <w:vAlign w:val="center"/>
          </w:tcPr>
          <w:p w14:paraId="54F004F7">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见项目采购公告</w:t>
            </w:r>
          </w:p>
        </w:tc>
      </w:tr>
      <w:tr w14:paraId="05F4DF0F">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6C064665">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531" w:type="dxa"/>
            <w:tcBorders>
              <w:top w:val="single" w:color="auto" w:sz="4" w:space="0"/>
              <w:left w:val="single" w:color="auto" w:sz="4" w:space="0"/>
              <w:bottom w:val="single" w:color="auto" w:sz="4" w:space="0"/>
              <w:right w:val="single" w:color="auto" w:sz="4" w:space="0"/>
            </w:tcBorders>
            <w:vAlign w:val="center"/>
          </w:tcPr>
          <w:p w14:paraId="111F9343">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275" w:type="dxa"/>
            <w:tcBorders>
              <w:top w:val="single" w:color="auto" w:sz="4" w:space="0"/>
              <w:left w:val="single" w:color="auto" w:sz="4" w:space="0"/>
              <w:bottom w:val="single" w:color="auto" w:sz="4" w:space="0"/>
              <w:right w:val="single" w:color="auto" w:sz="4" w:space="0"/>
            </w:tcBorders>
            <w:vAlign w:val="center"/>
          </w:tcPr>
          <w:p w14:paraId="59FAC513">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不接受</w:t>
            </w:r>
          </w:p>
          <w:p w14:paraId="7538732C">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p>
        </w:tc>
      </w:tr>
      <w:tr w14:paraId="6F2756C5">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5AA74D8D">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531" w:type="dxa"/>
            <w:tcBorders>
              <w:top w:val="single" w:color="auto" w:sz="4" w:space="0"/>
              <w:left w:val="single" w:color="auto" w:sz="4" w:space="0"/>
              <w:bottom w:val="single" w:color="auto" w:sz="4" w:space="0"/>
              <w:right w:val="single" w:color="auto" w:sz="4" w:space="0"/>
            </w:tcBorders>
            <w:vAlign w:val="center"/>
          </w:tcPr>
          <w:p w14:paraId="7336E15D">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275" w:type="dxa"/>
            <w:tcBorders>
              <w:top w:val="single" w:color="auto" w:sz="4" w:space="0"/>
              <w:left w:val="single" w:color="auto" w:sz="4" w:space="0"/>
              <w:bottom w:val="single" w:color="auto" w:sz="4" w:space="0"/>
              <w:right w:val="single" w:color="auto" w:sz="4" w:space="0"/>
            </w:tcBorders>
            <w:vAlign w:val="center"/>
          </w:tcPr>
          <w:p w14:paraId="05209F71">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7947EDD6">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190A3E57">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2C60312D">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531" w:type="dxa"/>
            <w:tcBorders>
              <w:top w:val="single" w:color="auto" w:sz="4" w:space="0"/>
              <w:left w:val="single" w:color="auto" w:sz="4" w:space="0"/>
              <w:bottom w:val="single" w:color="auto" w:sz="4" w:space="0"/>
              <w:right w:val="single" w:color="auto" w:sz="4" w:space="0"/>
            </w:tcBorders>
            <w:vAlign w:val="center"/>
          </w:tcPr>
          <w:p w14:paraId="1407FEA3">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275" w:type="dxa"/>
            <w:tcBorders>
              <w:top w:val="single" w:color="auto" w:sz="4" w:space="0"/>
              <w:left w:val="single" w:color="auto" w:sz="4" w:space="0"/>
              <w:bottom w:val="single" w:color="auto" w:sz="4" w:space="0"/>
              <w:right w:val="single" w:color="auto" w:sz="4" w:space="0"/>
            </w:tcBorders>
            <w:vAlign w:val="center"/>
          </w:tcPr>
          <w:p w14:paraId="2F126DB0">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469C0A9D">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0AEB8696">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03FF50EA">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531" w:type="dxa"/>
            <w:tcBorders>
              <w:top w:val="single" w:color="auto" w:sz="4" w:space="0"/>
              <w:left w:val="single" w:color="auto" w:sz="4" w:space="0"/>
              <w:bottom w:val="single" w:color="auto" w:sz="4" w:space="0"/>
              <w:right w:val="single" w:color="auto" w:sz="4" w:space="0"/>
            </w:tcBorders>
            <w:vAlign w:val="center"/>
          </w:tcPr>
          <w:p w14:paraId="5072DCC4">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投标截止时间</w:t>
            </w:r>
          </w:p>
        </w:tc>
        <w:tc>
          <w:tcPr>
            <w:tcW w:w="7275" w:type="dxa"/>
            <w:tcBorders>
              <w:top w:val="single" w:color="auto" w:sz="4" w:space="0"/>
              <w:left w:val="single" w:color="auto" w:sz="4" w:space="0"/>
              <w:bottom w:val="single" w:color="auto" w:sz="4" w:space="0"/>
              <w:right w:val="single" w:color="auto" w:sz="4" w:space="0"/>
            </w:tcBorders>
            <w:vAlign w:val="center"/>
          </w:tcPr>
          <w:p w14:paraId="0EFAD917">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日</w:t>
            </w:r>
            <w:r>
              <w:rPr>
                <w:rFonts w:hint="eastAsia" w:ascii="新宋体" w:hAnsi="新宋体" w:eastAsia="新宋体" w:cs="新宋体"/>
                <w:color w:val="auto"/>
                <w:kern w:val="0"/>
                <w:sz w:val="22"/>
                <w:szCs w:val="22"/>
                <w:highlight w:val="none"/>
                <w:lang w:val="en-US" w:eastAsia="zh-CN"/>
              </w:rPr>
              <w:t>14</w:t>
            </w:r>
            <w:r>
              <w:rPr>
                <w:rFonts w:hint="eastAsia" w:ascii="新宋体" w:hAnsi="新宋体" w:eastAsia="新宋体" w:cs="新宋体"/>
                <w:color w:val="auto"/>
                <w:kern w:val="0"/>
                <w:sz w:val="22"/>
                <w:szCs w:val="22"/>
                <w:highlight w:val="none"/>
              </w:rPr>
              <w:t>：30</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暂定时间</w:t>
            </w:r>
            <w:r>
              <w:rPr>
                <w:rFonts w:hint="eastAsia" w:ascii="新宋体" w:hAnsi="新宋体" w:eastAsia="新宋体" w:cs="新宋体"/>
                <w:color w:val="auto"/>
                <w:kern w:val="0"/>
                <w:sz w:val="22"/>
                <w:szCs w:val="22"/>
                <w:highlight w:val="none"/>
                <w:lang w:eastAsia="zh-CN"/>
              </w:rPr>
              <w:t>）</w:t>
            </w:r>
          </w:p>
        </w:tc>
      </w:tr>
      <w:tr w14:paraId="0536C303">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1D9D0EAD">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531" w:type="dxa"/>
            <w:tcBorders>
              <w:top w:val="single" w:color="auto" w:sz="4" w:space="0"/>
              <w:left w:val="single" w:color="auto" w:sz="4" w:space="0"/>
              <w:bottom w:val="single" w:color="auto" w:sz="4" w:space="0"/>
              <w:right w:val="single" w:color="auto" w:sz="4" w:space="0"/>
            </w:tcBorders>
            <w:vAlign w:val="center"/>
          </w:tcPr>
          <w:p w14:paraId="3CE61118">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275" w:type="dxa"/>
            <w:tcBorders>
              <w:top w:val="single" w:color="auto" w:sz="4" w:space="0"/>
              <w:left w:val="single" w:color="auto" w:sz="4" w:space="0"/>
              <w:bottom w:val="single" w:color="auto" w:sz="4" w:space="0"/>
              <w:right w:val="single" w:color="auto" w:sz="4" w:space="0"/>
            </w:tcBorders>
            <w:vAlign w:val="center"/>
          </w:tcPr>
          <w:p w14:paraId="7C3E6AFC">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□允许</w:t>
            </w:r>
          </w:p>
          <w:p w14:paraId="743D15EF">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不允许</w:t>
            </w:r>
          </w:p>
        </w:tc>
      </w:tr>
      <w:tr w14:paraId="203C502D">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654B65F6">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531" w:type="dxa"/>
            <w:tcBorders>
              <w:top w:val="single" w:color="auto" w:sz="4" w:space="0"/>
              <w:left w:val="single" w:color="auto" w:sz="4" w:space="0"/>
              <w:bottom w:val="single" w:color="auto" w:sz="4" w:space="0"/>
              <w:right w:val="single" w:color="auto" w:sz="4" w:space="0"/>
            </w:tcBorders>
            <w:vAlign w:val="center"/>
          </w:tcPr>
          <w:p w14:paraId="3602C90C">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275" w:type="dxa"/>
            <w:tcBorders>
              <w:top w:val="single" w:color="auto" w:sz="4" w:space="0"/>
              <w:left w:val="single" w:color="auto" w:sz="4" w:space="0"/>
              <w:bottom w:val="single" w:color="auto" w:sz="4" w:space="0"/>
              <w:right w:val="single" w:color="auto" w:sz="4" w:space="0"/>
            </w:tcBorders>
            <w:vAlign w:val="center"/>
          </w:tcPr>
          <w:p w14:paraId="40A6410A">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14:paraId="0FCBE087">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11538D0D">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531" w:type="dxa"/>
            <w:tcBorders>
              <w:top w:val="single" w:color="auto" w:sz="4" w:space="0"/>
              <w:left w:val="single" w:color="auto" w:sz="4" w:space="0"/>
              <w:bottom w:val="single" w:color="auto" w:sz="4" w:space="0"/>
              <w:right w:val="single" w:color="auto" w:sz="4" w:space="0"/>
            </w:tcBorders>
            <w:vAlign w:val="center"/>
          </w:tcPr>
          <w:p w14:paraId="75A776B7">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275" w:type="dxa"/>
            <w:tcBorders>
              <w:top w:val="single" w:color="auto" w:sz="4" w:space="0"/>
              <w:left w:val="single" w:color="auto" w:sz="4" w:space="0"/>
              <w:bottom w:val="single" w:color="auto" w:sz="4" w:space="0"/>
              <w:right w:val="single" w:color="auto" w:sz="4" w:space="0"/>
            </w:tcBorders>
            <w:vAlign w:val="center"/>
          </w:tcPr>
          <w:p w14:paraId="1D0BEAFD">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3D038A6C">
        <w:tblPrEx>
          <w:tblCellMar>
            <w:top w:w="0" w:type="dxa"/>
            <w:left w:w="108" w:type="dxa"/>
            <w:bottom w:w="0" w:type="dxa"/>
            <w:right w:w="108" w:type="dxa"/>
          </w:tblCellMar>
        </w:tblPrEx>
        <w:trPr>
          <w:trHeight w:val="421"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436C986C">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531" w:type="dxa"/>
            <w:tcBorders>
              <w:top w:val="single" w:color="auto" w:sz="4" w:space="0"/>
              <w:left w:val="single" w:color="auto" w:sz="4" w:space="0"/>
              <w:bottom w:val="single" w:color="auto" w:sz="4" w:space="0"/>
              <w:right w:val="single" w:color="auto" w:sz="4" w:space="0"/>
            </w:tcBorders>
            <w:vAlign w:val="center"/>
          </w:tcPr>
          <w:p w14:paraId="6CD09F16">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275" w:type="dxa"/>
            <w:tcBorders>
              <w:top w:val="single" w:color="auto" w:sz="4" w:space="0"/>
              <w:left w:val="single" w:color="auto" w:sz="4" w:space="0"/>
              <w:bottom w:val="single" w:color="auto" w:sz="4" w:space="0"/>
              <w:right w:val="single" w:color="auto" w:sz="4" w:space="0"/>
            </w:tcBorders>
            <w:vAlign w:val="center"/>
          </w:tcPr>
          <w:p w14:paraId="07C7D20B">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投标保证金：人民币</w:t>
            </w:r>
            <w:r>
              <w:rPr>
                <w:rFonts w:hint="eastAsia" w:ascii="新宋体" w:hAnsi="新宋体" w:eastAsia="新宋体" w:cs="新宋体"/>
                <w:color w:val="auto"/>
                <w:kern w:val="0"/>
                <w:sz w:val="22"/>
                <w:szCs w:val="22"/>
                <w:highlight w:val="none"/>
                <w:lang w:val="en-US" w:eastAsia="zh-CN"/>
              </w:rPr>
              <w:t>柒万</w:t>
            </w:r>
            <w:r>
              <w:rPr>
                <w:rFonts w:hint="eastAsia" w:ascii="新宋体" w:hAnsi="新宋体" w:eastAsia="新宋体" w:cs="新宋体"/>
                <w:color w:val="auto"/>
                <w:kern w:val="0"/>
                <w:sz w:val="22"/>
                <w:szCs w:val="22"/>
                <w:highlight w:val="none"/>
              </w:rPr>
              <w:t>元整（¥</w:t>
            </w:r>
            <w:r>
              <w:rPr>
                <w:rFonts w:hint="eastAsia" w:ascii="新宋体" w:hAnsi="新宋体" w:eastAsia="新宋体" w:cs="新宋体"/>
                <w:color w:val="auto"/>
                <w:kern w:val="0"/>
                <w:sz w:val="22"/>
                <w:szCs w:val="22"/>
                <w:highlight w:val="none"/>
                <w:lang w:val="en-US" w:eastAsia="zh-CN"/>
              </w:rPr>
              <w:t>70</w:t>
            </w:r>
            <w:r>
              <w:rPr>
                <w:rFonts w:hint="eastAsia" w:ascii="新宋体" w:hAnsi="新宋体" w:eastAsia="新宋体" w:cs="新宋体"/>
                <w:color w:val="auto"/>
                <w:kern w:val="0"/>
                <w:sz w:val="22"/>
                <w:szCs w:val="22"/>
                <w:highlight w:val="none"/>
              </w:rPr>
              <w:t>000元）；必须在投标截止时间前以转账方式向代理机构提交。</w:t>
            </w:r>
          </w:p>
          <w:p w14:paraId="1F1069E0">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户名：浙江鼎力工程项目管理有限公司</w:t>
            </w:r>
          </w:p>
          <w:p w14:paraId="1C904874">
            <w:pPr>
              <w:widowControl/>
              <w:spacing w:line="324" w:lineRule="auto"/>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账号：</w:t>
            </w:r>
          </w:p>
          <w:p w14:paraId="421746D3">
            <w:pPr>
              <w:widowControl/>
              <w:spacing w:line="324" w:lineRule="auto"/>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开户行：广发银行温州分行营业部  </w:t>
            </w:r>
          </w:p>
        </w:tc>
      </w:tr>
      <w:tr w14:paraId="0203DFDE">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125E36C0">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1531" w:type="dxa"/>
            <w:tcBorders>
              <w:top w:val="single" w:color="auto" w:sz="4" w:space="0"/>
              <w:left w:val="single" w:color="auto" w:sz="4" w:space="0"/>
              <w:bottom w:val="single" w:color="auto" w:sz="4" w:space="0"/>
              <w:right w:val="single" w:color="auto" w:sz="4" w:space="0"/>
            </w:tcBorders>
            <w:vAlign w:val="center"/>
          </w:tcPr>
          <w:p w14:paraId="55329DAA">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投标文件装订及封装要求</w:t>
            </w:r>
          </w:p>
        </w:tc>
        <w:tc>
          <w:tcPr>
            <w:tcW w:w="7275" w:type="dxa"/>
            <w:tcBorders>
              <w:top w:val="single" w:color="auto" w:sz="4" w:space="0"/>
              <w:left w:val="single" w:color="auto" w:sz="4" w:space="0"/>
              <w:bottom w:val="single" w:color="auto" w:sz="4" w:space="0"/>
              <w:right w:val="single" w:color="auto" w:sz="4" w:space="0"/>
            </w:tcBorders>
            <w:vAlign w:val="center"/>
          </w:tcPr>
          <w:p w14:paraId="5AB55CFF">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（1）资格审查资料一式</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份，正本1份，副本</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份；</w:t>
            </w:r>
          </w:p>
          <w:p w14:paraId="69E2DEE5">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（2）技术资信标一式</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份，正本1份，副本</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份；</w:t>
            </w:r>
          </w:p>
          <w:p w14:paraId="03E742B8">
            <w:pPr>
              <w:spacing w:line="312"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（3）商务报价标一式</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份，正本1份，副本</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份。</w:t>
            </w:r>
          </w:p>
          <w:p w14:paraId="06667F03">
            <w:pPr>
              <w:spacing w:line="312" w:lineRule="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U盘1个（含资格审查资料、</w:t>
            </w:r>
            <w:r>
              <w:rPr>
                <w:rFonts w:hint="eastAsia" w:ascii="新宋体" w:hAnsi="新宋体" w:eastAsia="新宋体" w:cs="新宋体"/>
                <w:color w:val="auto"/>
                <w:sz w:val="22"/>
                <w:szCs w:val="22"/>
                <w:highlight w:val="none"/>
              </w:rPr>
              <w:t>技术资信标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商务报价标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演示文件）</w:t>
            </w:r>
          </w:p>
          <w:p w14:paraId="76EDAA3C">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）投标文件“资格审查资料”、“技术资信标”、“商务报价标”</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U盘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密封于各自包封袋中，并在封套的封口处加盖投标供应商单位章，并由法定代表人或其授权代表签字。</w:t>
            </w:r>
          </w:p>
        </w:tc>
      </w:tr>
      <w:tr w14:paraId="4F1A8479">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1941D485">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531" w:type="dxa"/>
            <w:tcBorders>
              <w:top w:val="single" w:color="auto" w:sz="4" w:space="0"/>
              <w:left w:val="single" w:color="auto" w:sz="4" w:space="0"/>
              <w:bottom w:val="single" w:color="auto" w:sz="4" w:space="0"/>
              <w:right w:val="single" w:color="auto" w:sz="4" w:space="0"/>
            </w:tcBorders>
            <w:vAlign w:val="center"/>
          </w:tcPr>
          <w:p w14:paraId="3DF868A4">
            <w:pPr>
              <w:adjustRightInd w:val="0"/>
              <w:snapToGrid w:val="0"/>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签字或盖章要求</w:t>
            </w:r>
          </w:p>
        </w:tc>
        <w:tc>
          <w:tcPr>
            <w:tcW w:w="7275" w:type="dxa"/>
            <w:tcBorders>
              <w:top w:val="single" w:color="auto" w:sz="4" w:space="0"/>
              <w:left w:val="single" w:color="auto" w:sz="4" w:space="0"/>
              <w:bottom w:val="single" w:color="auto" w:sz="4" w:space="0"/>
              <w:right w:val="single" w:color="auto" w:sz="4" w:space="0"/>
            </w:tcBorders>
            <w:vAlign w:val="center"/>
          </w:tcPr>
          <w:p w14:paraId="18CF8233">
            <w:pPr>
              <w:adjustRightInd w:val="0"/>
              <w:snapToGrid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投标文件的相应位置应加盖：</w:t>
            </w:r>
          </w:p>
          <w:p w14:paraId="7C1707E1">
            <w:pPr>
              <w:adjustRightInd w:val="0"/>
              <w:snapToGrid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（1）单位公章；</w:t>
            </w:r>
          </w:p>
          <w:p w14:paraId="3D2E5026">
            <w:pPr>
              <w:adjustRightInd w:val="0"/>
              <w:snapToGrid w:val="0"/>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（2）法定代表人或其授权委托代理人签字或盖章（如为授权委托代理人签字或盖章的须提供法定代表人授权委托书）；</w:t>
            </w:r>
          </w:p>
          <w:p w14:paraId="059ED517">
            <w:pPr>
              <w:adjustRightInd w:val="0"/>
              <w:snapToGrid w:val="0"/>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（3）投标供应商单位章不得以分公司章、投标专用章、合同专用章等其他形式印章代替，否则视为无效印章。</w:t>
            </w:r>
          </w:p>
        </w:tc>
      </w:tr>
      <w:tr w14:paraId="6867D826">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0621B910">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1531" w:type="dxa"/>
            <w:tcBorders>
              <w:top w:val="single" w:color="auto" w:sz="4" w:space="0"/>
              <w:left w:val="single" w:color="auto" w:sz="4" w:space="0"/>
              <w:bottom w:val="single" w:color="auto" w:sz="4" w:space="0"/>
              <w:right w:val="single" w:color="auto" w:sz="4" w:space="0"/>
            </w:tcBorders>
            <w:vAlign w:val="center"/>
          </w:tcPr>
          <w:p w14:paraId="2BBC3F05">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递交投标</w:t>
            </w:r>
          </w:p>
          <w:p w14:paraId="12715E62">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文件地点</w:t>
            </w:r>
          </w:p>
        </w:tc>
        <w:tc>
          <w:tcPr>
            <w:tcW w:w="7275" w:type="dxa"/>
            <w:tcBorders>
              <w:top w:val="single" w:color="auto" w:sz="4" w:space="0"/>
              <w:left w:val="single" w:color="auto" w:sz="4" w:space="0"/>
              <w:bottom w:val="single" w:color="auto" w:sz="4" w:space="0"/>
              <w:right w:val="single" w:color="auto" w:sz="4" w:space="0"/>
            </w:tcBorders>
            <w:vAlign w:val="center"/>
          </w:tcPr>
          <w:p w14:paraId="2448FB8B">
            <w:pPr>
              <w:spacing w:line="312" w:lineRule="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地点：</w:t>
            </w:r>
            <w:r>
              <w:rPr>
                <w:rFonts w:hint="eastAsia" w:ascii="新宋体" w:hAnsi="新宋体" w:eastAsia="新宋体" w:cs="新宋体"/>
                <w:color w:val="auto"/>
                <w:kern w:val="0"/>
                <w:sz w:val="22"/>
                <w:szCs w:val="22"/>
                <w:highlight w:val="none"/>
                <w:lang w:eastAsia="zh-CN"/>
              </w:rPr>
              <w:t>温州市政务服务管理中心开标室（温州市鹿城区会展路1268号温州市民中心A座3楼公共资源交易专区）（详见当天大厅大屏幕）</w:t>
            </w:r>
          </w:p>
        </w:tc>
      </w:tr>
      <w:tr w14:paraId="45A359E2">
        <w:tblPrEx>
          <w:tblCellMar>
            <w:top w:w="0" w:type="dxa"/>
            <w:left w:w="108" w:type="dxa"/>
            <w:bottom w:w="0" w:type="dxa"/>
            <w:right w:w="108" w:type="dxa"/>
          </w:tblCellMar>
        </w:tblPrEx>
        <w:trPr>
          <w:trHeight w:val="1169"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1170BDC7">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1531" w:type="dxa"/>
            <w:tcBorders>
              <w:top w:val="single" w:color="auto" w:sz="4" w:space="0"/>
              <w:left w:val="single" w:color="auto" w:sz="4" w:space="0"/>
              <w:bottom w:val="single" w:color="auto" w:sz="4" w:space="0"/>
              <w:right w:val="single" w:color="auto" w:sz="4" w:space="0"/>
            </w:tcBorders>
            <w:vAlign w:val="center"/>
          </w:tcPr>
          <w:p w14:paraId="5685717B">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开评标时间</w:t>
            </w:r>
          </w:p>
          <w:p w14:paraId="1BE722F6">
            <w:pPr>
              <w:spacing w:line="312" w:lineRule="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和地点</w:t>
            </w:r>
          </w:p>
        </w:tc>
        <w:tc>
          <w:tcPr>
            <w:tcW w:w="7275" w:type="dxa"/>
            <w:tcBorders>
              <w:top w:val="single" w:color="auto" w:sz="4" w:space="0"/>
              <w:left w:val="single" w:color="auto" w:sz="4" w:space="0"/>
              <w:bottom w:val="single" w:color="auto" w:sz="4" w:space="0"/>
              <w:right w:val="single" w:color="auto" w:sz="4" w:space="0"/>
            </w:tcBorders>
            <w:vAlign w:val="center"/>
          </w:tcPr>
          <w:p w14:paraId="37E16E64">
            <w:pPr>
              <w:spacing w:line="312" w:lineRule="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时间：</w:t>
            </w:r>
            <w:r>
              <w:rPr>
                <w:rFonts w:hint="eastAsia" w:ascii="新宋体" w:hAnsi="新宋体" w:eastAsia="新宋体" w:cs="新宋体"/>
                <w:color w:val="auto"/>
                <w:kern w:val="0"/>
                <w:sz w:val="22"/>
                <w:szCs w:val="22"/>
                <w:highlight w:val="none"/>
              </w:rPr>
              <w:t>202</w:t>
            </w: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日</w:t>
            </w:r>
            <w:r>
              <w:rPr>
                <w:rFonts w:hint="eastAsia" w:ascii="新宋体" w:hAnsi="新宋体" w:eastAsia="新宋体" w:cs="新宋体"/>
                <w:color w:val="auto"/>
                <w:kern w:val="0"/>
                <w:sz w:val="22"/>
                <w:szCs w:val="22"/>
                <w:highlight w:val="none"/>
                <w:lang w:val="en-US" w:eastAsia="zh-CN"/>
              </w:rPr>
              <w:t>14</w:t>
            </w:r>
            <w:r>
              <w:rPr>
                <w:rFonts w:hint="default" w:ascii="新宋体" w:hAnsi="新宋体" w:eastAsia="新宋体" w:cs="新宋体"/>
                <w:color w:val="auto"/>
                <w:kern w:val="0"/>
                <w:sz w:val="22"/>
                <w:szCs w:val="22"/>
                <w:highlight w:val="none"/>
                <w:lang w:val="en-US" w:eastAsia="zh-CN"/>
              </w:rPr>
              <w:t>：30</w:t>
            </w:r>
          </w:p>
          <w:p w14:paraId="43CED944">
            <w:pPr>
              <w:spacing w:line="312" w:lineRule="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eastAsia="zh-CN"/>
              </w:rPr>
              <w:t>地点：温州市政务服务管理中心开标室（温州市鹿城区会展路1268号温州市民中心A座3楼公共资源交易专区）（详见当天大厅大屏幕）</w:t>
            </w:r>
          </w:p>
        </w:tc>
      </w:tr>
      <w:tr w14:paraId="744E2193">
        <w:tblPrEx>
          <w:tblCellMar>
            <w:top w:w="0" w:type="dxa"/>
            <w:left w:w="108" w:type="dxa"/>
            <w:bottom w:w="0" w:type="dxa"/>
            <w:right w:w="108" w:type="dxa"/>
          </w:tblCellMar>
        </w:tblPrEx>
        <w:trPr>
          <w:trHeight w:val="416"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1493AE65">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1531" w:type="dxa"/>
            <w:tcBorders>
              <w:top w:val="single" w:color="auto" w:sz="4" w:space="0"/>
              <w:left w:val="single" w:color="auto" w:sz="4" w:space="0"/>
              <w:bottom w:val="single" w:color="auto" w:sz="4" w:space="0"/>
              <w:right w:val="single" w:color="auto" w:sz="4" w:space="0"/>
            </w:tcBorders>
            <w:vAlign w:val="center"/>
          </w:tcPr>
          <w:p w14:paraId="00953679">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开评标程序</w:t>
            </w:r>
          </w:p>
        </w:tc>
        <w:tc>
          <w:tcPr>
            <w:tcW w:w="7275" w:type="dxa"/>
            <w:tcBorders>
              <w:top w:val="single" w:color="auto" w:sz="4" w:space="0"/>
              <w:left w:val="single" w:color="auto" w:sz="4" w:space="0"/>
              <w:bottom w:val="single" w:color="auto" w:sz="4" w:space="0"/>
              <w:right w:val="single" w:color="auto" w:sz="4" w:space="0"/>
            </w:tcBorders>
            <w:vAlign w:val="center"/>
          </w:tcPr>
          <w:p w14:paraId="0622F967">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（1）宣布开标纪律；</w:t>
            </w:r>
          </w:p>
          <w:p w14:paraId="60561112">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（2）公布在投标截止时间前递交投标文件的投标供应商名称，并点名确认投标供应商是否派授权代表到场；</w:t>
            </w:r>
          </w:p>
          <w:p w14:paraId="4DBFA2D5">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（3）宣布唱标人、记录人、监督人员等有关人员姓名；</w:t>
            </w:r>
          </w:p>
          <w:p w14:paraId="519E7CFF">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（4）密封情况检查：由监督人员或投标供应商推选的代表检查投标文件密封情况；</w:t>
            </w:r>
          </w:p>
          <w:p w14:paraId="4B650030">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（5）开标顺序：投标供应商送达投标文件的逆序；</w:t>
            </w:r>
            <w:r>
              <w:rPr>
                <w:rFonts w:hint="eastAsia"/>
                <w:color w:val="auto"/>
                <w:sz w:val="22"/>
                <w:szCs w:val="22"/>
                <w:highlight w:val="none"/>
              </w:rPr>
              <w:t>在开标室里同时开启投标供应商资格审查文件、技术资信文件、商务报价文件；</w:t>
            </w:r>
          </w:p>
          <w:p w14:paraId="6B24C8AD">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（6）确认开标结果：投标供应商授权代表对开标记录进行当场校核及勘误，并签字确认；并同时由记录人、监督人当场签字确认；</w:t>
            </w:r>
          </w:p>
          <w:p w14:paraId="097BF1C9">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（7）宣布开标结束；</w:t>
            </w:r>
          </w:p>
          <w:p w14:paraId="2FD0E626">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（8）投标供应商授权代表未参加开标会议；未到场签字确认的，不影响开标，评标过程，视同认可开标结果；事后不得对采购相关人员、开标过程和开标结果提出异议；</w:t>
            </w:r>
          </w:p>
          <w:p w14:paraId="05AC3264">
            <w:pPr>
              <w:spacing w:line="312" w:lineRule="auto"/>
              <w:ind w:left="2"/>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（9）将开启的投标文件送交评标委员会评审。</w:t>
            </w:r>
          </w:p>
        </w:tc>
      </w:tr>
      <w:tr w14:paraId="1EBE7A34">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59C8B283">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1531" w:type="dxa"/>
            <w:tcBorders>
              <w:top w:val="single" w:color="auto" w:sz="4" w:space="0"/>
              <w:left w:val="single" w:color="auto" w:sz="4" w:space="0"/>
              <w:bottom w:val="single" w:color="auto" w:sz="4" w:space="0"/>
              <w:right w:val="single" w:color="auto" w:sz="4" w:space="0"/>
            </w:tcBorders>
            <w:vAlign w:val="center"/>
          </w:tcPr>
          <w:p w14:paraId="10A7805A">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5FBDE80A">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的组建</w:t>
            </w:r>
          </w:p>
        </w:tc>
        <w:tc>
          <w:tcPr>
            <w:tcW w:w="7275" w:type="dxa"/>
            <w:tcBorders>
              <w:top w:val="single" w:color="auto" w:sz="4" w:space="0"/>
              <w:left w:val="single" w:color="auto" w:sz="4" w:space="0"/>
              <w:bottom w:val="single" w:color="auto" w:sz="4" w:space="0"/>
              <w:right w:val="single" w:color="auto" w:sz="4" w:space="0"/>
            </w:tcBorders>
            <w:vAlign w:val="center"/>
          </w:tcPr>
          <w:p w14:paraId="7B69E8F9">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采购人按照相关规定组建评标委员会，评标委员会成员由采购人代表和有关技术、经济等方面的专家组成，成员人数为5人（含）以上单数。</w:t>
            </w:r>
          </w:p>
        </w:tc>
      </w:tr>
      <w:tr w14:paraId="4618DBD3">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69848990">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1531" w:type="dxa"/>
            <w:tcBorders>
              <w:top w:val="single" w:color="auto" w:sz="4" w:space="0"/>
              <w:left w:val="single" w:color="auto" w:sz="4" w:space="0"/>
              <w:bottom w:val="single" w:color="auto" w:sz="4" w:space="0"/>
              <w:right w:val="single" w:color="auto" w:sz="4" w:space="0"/>
            </w:tcBorders>
            <w:vAlign w:val="center"/>
          </w:tcPr>
          <w:p w14:paraId="0AE99789">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履约担保</w:t>
            </w:r>
          </w:p>
        </w:tc>
        <w:tc>
          <w:tcPr>
            <w:tcW w:w="7275" w:type="dxa"/>
            <w:tcBorders>
              <w:top w:val="single" w:color="auto" w:sz="4" w:space="0"/>
              <w:left w:val="single" w:color="auto" w:sz="4" w:space="0"/>
              <w:bottom w:val="single" w:color="auto" w:sz="4" w:space="0"/>
              <w:right w:val="single" w:color="auto" w:sz="4" w:space="0"/>
            </w:tcBorders>
            <w:vAlign w:val="center"/>
          </w:tcPr>
          <w:p w14:paraId="3796FE20">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□不需要</w:t>
            </w:r>
          </w:p>
          <w:p w14:paraId="44071409">
            <w:pPr>
              <w:spacing w:line="312" w:lineRule="auto"/>
              <w:rPr>
                <w:rFonts w:hint="eastAsia" w:ascii="宋体" w:hAnsi="宋体" w:cs="宋体"/>
                <w:color w:val="auto"/>
                <w:sz w:val="22"/>
                <w:szCs w:val="22"/>
                <w:highlight w:val="none"/>
                <w:lang w:val="en-US" w:eastAsia="zh-CN"/>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sz w:val="22"/>
                <w:szCs w:val="22"/>
                <w:highlight w:val="none"/>
              </w:rPr>
              <w:t xml:space="preserve">需要 </w:t>
            </w:r>
            <w:r>
              <w:rPr>
                <w:rFonts w:hint="eastAsia" w:ascii="宋体" w:hAnsi="宋体" w:cs="宋体"/>
                <w:color w:val="auto"/>
                <w:sz w:val="22"/>
                <w:szCs w:val="22"/>
                <w:highlight w:val="none"/>
              </w:rPr>
              <w:t>合同总价的</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%履约保证</w:t>
            </w:r>
            <w:r>
              <w:rPr>
                <w:rFonts w:hint="eastAsia" w:ascii="宋体" w:hAnsi="宋体" w:cs="宋体"/>
                <w:color w:val="auto"/>
                <w:sz w:val="22"/>
                <w:szCs w:val="22"/>
                <w:highlight w:val="none"/>
                <w:lang w:val="en-US" w:eastAsia="zh-CN"/>
              </w:rPr>
              <w:t>金。</w:t>
            </w:r>
          </w:p>
          <w:p w14:paraId="7D52847B">
            <w:pPr>
              <w:spacing w:line="312" w:lineRule="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履约保证金形式：转账或银行保函或保险保函或第三方担保机构出具的保函。</w:t>
            </w:r>
          </w:p>
        </w:tc>
      </w:tr>
      <w:tr w14:paraId="0586796C">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4296A9B7">
            <w:pPr>
              <w:spacing w:line="312" w:lineRule="auto"/>
              <w:jc w:val="center"/>
              <w:rPr>
                <w:rFonts w:ascii="新宋体" w:hAnsi="新宋体" w:eastAsia="新宋体" w:cs="新宋体"/>
                <w:color w:val="auto"/>
                <w:kern w:val="0"/>
                <w:sz w:val="22"/>
                <w:szCs w:val="22"/>
                <w:highlight w:val="none"/>
              </w:rPr>
            </w:pPr>
            <w:bookmarkStart w:id="9" w:name="_Toc221423615"/>
            <w:bookmarkStart w:id="10" w:name="_Toc265529379"/>
            <w:bookmarkStart w:id="11" w:name="_Toc222114875"/>
            <w:bookmarkStart w:id="12" w:name="_Toc221356882"/>
            <w:bookmarkStart w:id="13" w:name="_Toc223715994"/>
            <w:bookmarkStart w:id="14" w:name="_Toc221374622"/>
            <w:bookmarkStart w:id="15" w:name="_Toc221356947"/>
            <w:bookmarkStart w:id="16" w:name="_Toc241404198"/>
            <w:bookmarkStart w:id="17" w:name="_Toc239145350"/>
            <w:r>
              <w:rPr>
                <w:rFonts w:hint="eastAsia" w:ascii="新宋体" w:hAnsi="新宋体" w:eastAsia="新宋体" w:cs="新宋体"/>
                <w:color w:val="auto"/>
                <w:kern w:val="0"/>
                <w:sz w:val="22"/>
                <w:szCs w:val="22"/>
                <w:highlight w:val="none"/>
              </w:rPr>
              <w:t>22</w:t>
            </w:r>
          </w:p>
        </w:tc>
        <w:tc>
          <w:tcPr>
            <w:tcW w:w="1531" w:type="dxa"/>
            <w:tcBorders>
              <w:top w:val="single" w:color="auto" w:sz="4" w:space="0"/>
              <w:left w:val="single" w:color="auto" w:sz="4" w:space="0"/>
              <w:bottom w:val="single" w:color="auto" w:sz="4" w:space="0"/>
              <w:right w:val="single" w:color="auto" w:sz="4" w:space="0"/>
            </w:tcBorders>
            <w:vAlign w:val="center"/>
          </w:tcPr>
          <w:p w14:paraId="688D8200">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原 件</w:t>
            </w:r>
          </w:p>
        </w:tc>
        <w:tc>
          <w:tcPr>
            <w:tcW w:w="7275" w:type="dxa"/>
            <w:tcBorders>
              <w:top w:val="single" w:color="auto" w:sz="4" w:space="0"/>
              <w:left w:val="single" w:color="auto" w:sz="4" w:space="0"/>
              <w:bottom w:val="single" w:color="auto" w:sz="4" w:space="0"/>
              <w:right w:val="single" w:color="auto" w:sz="4" w:space="0"/>
            </w:tcBorders>
            <w:vAlign w:val="center"/>
          </w:tcPr>
          <w:p w14:paraId="78824004">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□提交</w:t>
            </w:r>
          </w:p>
          <w:p w14:paraId="4906BE78">
            <w:pPr>
              <w:spacing w:line="312" w:lineRule="auto"/>
              <w:rPr>
                <w:rFonts w:ascii="新宋体" w:hAnsi="新宋体" w:eastAsia="新宋体" w:cs="新宋体"/>
                <w:snapToGrid w:val="0"/>
                <w:color w:val="auto"/>
                <w:sz w:val="22"/>
                <w:szCs w:val="22"/>
                <w:highlight w:val="none"/>
              </w:rPr>
            </w:pPr>
            <w:r>
              <w:rPr>
                <w:rFonts w:ascii="新宋体" w:hAnsi="新宋体" w:eastAsia="新宋体" w:cs="新宋体"/>
                <w:b/>
                <w:snapToGrid w:val="0"/>
                <w:color w:val="auto"/>
                <w:sz w:val="22"/>
                <w:szCs w:val="22"/>
                <w:highlight w:val="none"/>
              </w:rPr>
              <w:sym w:font="Wingdings" w:char="00FE"/>
            </w:r>
            <w:r>
              <w:rPr>
                <w:rFonts w:hint="eastAsia" w:ascii="新宋体" w:hAnsi="新宋体" w:eastAsia="新宋体" w:cs="新宋体"/>
                <w:color w:val="auto"/>
                <w:kern w:val="0"/>
                <w:sz w:val="22"/>
                <w:szCs w:val="22"/>
                <w:highlight w:val="none"/>
              </w:rPr>
              <w:t>不提交</w:t>
            </w:r>
          </w:p>
        </w:tc>
      </w:tr>
      <w:tr w14:paraId="779BB3BC">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vAlign w:val="center"/>
          </w:tcPr>
          <w:p w14:paraId="6C2BEDE4">
            <w:pPr>
              <w:spacing w:line="312" w:lineRule="auto"/>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23</w:t>
            </w:r>
          </w:p>
        </w:tc>
        <w:tc>
          <w:tcPr>
            <w:tcW w:w="1531" w:type="dxa"/>
            <w:tcBorders>
              <w:top w:val="single" w:color="auto" w:sz="4" w:space="0"/>
              <w:left w:val="single" w:color="auto" w:sz="4" w:space="0"/>
              <w:bottom w:val="single" w:color="auto" w:sz="4" w:space="0"/>
              <w:right w:val="single" w:color="auto" w:sz="4" w:space="0"/>
            </w:tcBorders>
            <w:vAlign w:val="center"/>
          </w:tcPr>
          <w:p w14:paraId="278566BE">
            <w:pPr>
              <w:spacing w:line="312" w:lineRule="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其他要求</w:t>
            </w:r>
          </w:p>
        </w:tc>
        <w:tc>
          <w:tcPr>
            <w:tcW w:w="7275" w:type="dxa"/>
            <w:tcBorders>
              <w:top w:val="single" w:color="auto" w:sz="4" w:space="0"/>
              <w:left w:val="single" w:color="auto" w:sz="4" w:space="0"/>
              <w:bottom w:val="single" w:color="auto" w:sz="4" w:space="0"/>
              <w:right w:val="single" w:color="auto" w:sz="4" w:space="0"/>
            </w:tcBorders>
            <w:vAlign w:val="center"/>
          </w:tcPr>
          <w:p w14:paraId="5CCDB9CB">
            <w:pPr>
              <w:spacing w:line="312"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提供现场讲解；具体</w:t>
            </w:r>
            <w:r>
              <w:rPr>
                <w:rFonts w:hint="eastAsia" w:ascii="新宋体" w:hAnsi="新宋体" w:eastAsia="新宋体" w:cs="新宋体"/>
                <w:bCs/>
                <w:color w:val="auto"/>
                <w:sz w:val="22"/>
                <w:szCs w:val="22"/>
                <w:highlight w:val="none"/>
                <w:lang w:eastAsia="zh-CN"/>
              </w:rPr>
              <w:t>讲解</w:t>
            </w:r>
            <w:r>
              <w:rPr>
                <w:rFonts w:hint="eastAsia" w:ascii="新宋体" w:hAnsi="新宋体" w:eastAsia="新宋体" w:cs="新宋体"/>
                <w:bCs/>
                <w:color w:val="auto"/>
                <w:sz w:val="22"/>
                <w:szCs w:val="22"/>
                <w:highlight w:val="none"/>
              </w:rPr>
              <w:t>时间以现场安排为准。</w:t>
            </w:r>
          </w:p>
          <w:p w14:paraId="0D4916B5">
            <w:pPr>
              <w:spacing w:line="312" w:lineRule="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 xml:space="preserve">讲解的人员：1人 </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需为本项目的策划负责人，需要提供在投标单位在保的社保证明。</w:t>
            </w:r>
          </w:p>
          <w:p w14:paraId="2392D2D0">
            <w:pPr>
              <w:spacing w:line="312"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总时间：演示讲解时间不超过</w:t>
            </w:r>
            <w:r>
              <w:rPr>
                <w:rFonts w:hint="eastAsia" w:ascii="新宋体" w:hAnsi="新宋体" w:eastAsia="新宋体" w:cs="新宋体"/>
                <w:bCs/>
                <w:color w:val="auto"/>
                <w:sz w:val="22"/>
                <w:szCs w:val="22"/>
                <w:highlight w:val="none"/>
                <w:lang w:val="en-US" w:eastAsia="zh-CN"/>
              </w:rPr>
              <w:t>15</w:t>
            </w:r>
            <w:r>
              <w:rPr>
                <w:rFonts w:hint="eastAsia" w:ascii="新宋体" w:hAnsi="新宋体" w:eastAsia="新宋体" w:cs="新宋体"/>
                <w:bCs/>
                <w:color w:val="auto"/>
                <w:sz w:val="22"/>
                <w:szCs w:val="22"/>
                <w:highlight w:val="none"/>
              </w:rPr>
              <w:t>分钟</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涵盖现场问答时间</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w:t>
            </w:r>
          </w:p>
          <w:p w14:paraId="0BE92BC2">
            <w:pPr>
              <w:spacing w:line="312"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讲解演示内容：</w:t>
            </w:r>
            <w:r>
              <w:rPr>
                <w:rFonts w:hint="eastAsia" w:ascii="新宋体" w:hAnsi="新宋体" w:eastAsia="新宋体" w:cs="新宋体"/>
                <w:bCs/>
                <w:color w:val="auto"/>
                <w:kern w:val="0"/>
                <w:sz w:val="22"/>
                <w:szCs w:val="22"/>
                <w:highlight w:val="none"/>
                <w:lang w:val="en-US" w:eastAsia="zh-CN"/>
              </w:rPr>
              <w:t>策划</w:t>
            </w:r>
            <w:r>
              <w:rPr>
                <w:rFonts w:hint="eastAsia" w:ascii="新宋体" w:hAnsi="新宋体" w:eastAsia="新宋体" w:cs="新宋体"/>
                <w:bCs/>
                <w:color w:val="auto"/>
                <w:kern w:val="0"/>
                <w:sz w:val="22"/>
                <w:szCs w:val="22"/>
                <w:highlight w:val="none"/>
                <w:lang w:val="en-US" w:eastAsia="zh-CN" w:bidi="ar"/>
              </w:rPr>
              <w:t>方案</w:t>
            </w:r>
            <w:r>
              <w:rPr>
                <w:rFonts w:hint="eastAsia" w:ascii="新宋体" w:hAnsi="新宋体" w:eastAsia="新宋体" w:cs="新宋体"/>
                <w:bCs/>
                <w:color w:val="auto"/>
                <w:sz w:val="22"/>
                <w:szCs w:val="22"/>
                <w:highlight w:val="none"/>
                <w:lang w:val="en-US" w:eastAsia="zh-CN"/>
              </w:rPr>
              <w:t>等技术资信标内容</w:t>
            </w:r>
            <w:r>
              <w:rPr>
                <w:rFonts w:hint="eastAsia" w:ascii="新宋体" w:hAnsi="新宋体" w:eastAsia="新宋体" w:cs="新宋体"/>
                <w:bCs/>
                <w:color w:val="auto"/>
                <w:sz w:val="22"/>
                <w:szCs w:val="22"/>
                <w:highlight w:val="none"/>
              </w:rPr>
              <w:t>。</w:t>
            </w:r>
          </w:p>
          <w:p w14:paraId="72A5CF45">
            <w:pPr>
              <w:spacing w:line="312" w:lineRule="auto"/>
              <w:rPr>
                <w:rFonts w:hint="default" w:ascii="新宋体" w:hAnsi="新宋体" w:eastAsia="新宋体" w:cs="新宋体"/>
                <w:bCs/>
                <w:color w:val="auto"/>
                <w:sz w:val="22"/>
                <w:szCs w:val="22"/>
                <w:highlight w:val="none"/>
                <w:lang w:val="en-US" w:eastAsia="zh-CN"/>
              </w:rPr>
            </w:pPr>
            <w:r>
              <w:rPr>
                <w:rFonts w:hint="default" w:ascii="新宋体" w:hAnsi="新宋体" w:eastAsia="新宋体" w:cs="新宋体"/>
                <w:bCs/>
                <w:color w:val="auto"/>
                <w:sz w:val="22"/>
                <w:szCs w:val="22"/>
                <w:highlight w:val="none"/>
                <w:lang w:val="en-US" w:eastAsia="zh-CN"/>
              </w:rPr>
              <w:t>投标人在指定的询标室里（询标室仅配备台式电脑与耳机）与评标室的电脑通过远程桌面和语音的方式进行演示；</w:t>
            </w:r>
            <w:r>
              <w:rPr>
                <w:rFonts w:hint="eastAsia" w:ascii="新宋体" w:hAnsi="新宋体" w:eastAsia="新宋体" w:cs="新宋体"/>
                <w:bCs/>
                <w:color w:val="auto"/>
                <w:sz w:val="22"/>
                <w:szCs w:val="22"/>
                <w:highlight w:val="none"/>
                <w:lang w:val="en-US" w:eastAsia="zh-CN"/>
              </w:rPr>
              <w:t>讲解</w:t>
            </w:r>
            <w:r>
              <w:rPr>
                <w:rFonts w:hint="default" w:ascii="新宋体" w:hAnsi="新宋体" w:eastAsia="新宋体" w:cs="新宋体"/>
                <w:bCs/>
                <w:color w:val="auto"/>
                <w:sz w:val="22"/>
                <w:szCs w:val="22"/>
                <w:highlight w:val="none"/>
                <w:lang w:val="en-US" w:eastAsia="zh-CN"/>
              </w:rPr>
              <w:t>现场不提供网络和其他</w:t>
            </w:r>
            <w:r>
              <w:rPr>
                <w:rFonts w:hint="eastAsia" w:ascii="新宋体" w:hAnsi="新宋体" w:eastAsia="新宋体" w:cs="新宋体"/>
                <w:bCs/>
                <w:color w:val="auto"/>
                <w:sz w:val="22"/>
                <w:szCs w:val="22"/>
                <w:highlight w:val="none"/>
                <w:lang w:val="en-US" w:eastAsia="zh-CN"/>
              </w:rPr>
              <w:t>讲解</w:t>
            </w:r>
            <w:r>
              <w:rPr>
                <w:rFonts w:hint="default" w:ascii="新宋体" w:hAnsi="新宋体" w:eastAsia="新宋体" w:cs="新宋体"/>
                <w:bCs/>
                <w:color w:val="auto"/>
                <w:sz w:val="22"/>
                <w:szCs w:val="22"/>
                <w:highlight w:val="none"/>
                <w:lang w:val="en-US" w:eastAsia="zh-CN"/>
              </w:rPr>
              <w:t>设备，如需要该部分内容由投标人自行解决。</w:t>
            </w:r>
          </w:p>
          <w:p w14:paraId="7C133F3E">
            <w:pPr>
              <w:spacing w:line="312" w:lineRule="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讲解</w:t>
            </w:r>
            <w:r>
              <w:rPr>
                <w:rFonts w:hint="default" w:ascii="新宋体" w:hAnsi="新宋体" w:eastAsia="新宋体" w:cs="新宋体"/>
                <w:bCs/>
                <w:color w:val="auto"/>
                <w:sz w:val="22"/>
                <w:szCs w:val="22"/>
                <w:highlight w:val="none"/>
                <w:lang w:val="en-US" w:eastAsia="zh-CN"/>
              </w:rPr>
              <w:t>顺序按投标文件递交的逆序进行</w:t>
            </w:r>
          </w:p>
        </w:tc>
      </w:tr>
      <w:tr w14:paraId="34B67A8D">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5D6A9465">
            <w:pPr>
              <w:spacing w:line="312" w:lineRule="auto"/>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24</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33D7E25">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投标供应商信用查询</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502CABDC">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1"/>
                <w:rFonts w:hint="eastAsia" w:ascii="新宋体" w:hAnsi="新宋体" w:eastAsia="新宋体" w:cs="新宋体"/>
                <w:color w:val="auto"/>
                <w:sz w:val="22"/>
                <w:szCs w:val="22"/>
                <w:highlight w:val="none"/>
              </w:rPr>
              <w:t>www.creditchina.gov.cn</w:t>
            </w:r>
            <w:r>
              <w:rPr>
                <w:rStyle w:val="31"/>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)；“中国政府采购网”（http://www.ccgp.gov.cn/）；</w:t>
            </w:r>
          </w:p>
          <w:p w14:paraId="0418EDB0">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（2）供应商信用信息查询截止时点：本项目投标截止时间。</w:t>
            </w:r>
          </w:p>
          <w:p w14:paraId="47985220">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（3）供应商信用信息查询记录和证据留存的具体方式：网页截图打印；</w:t>
            </w:r>
          </w:p>
          <w:p w14:paraId="00017C32">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w:t>
            </w:r>
          </w:p>
          <w:p w14:paraId="148BD224">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在“信用中国”具有负面记录：列入失信被执行人、重大税收违法案件当事人名单、采购严重违法失信行为名单；</w:t>
            </w:r>
          </w:p>
          <w:p w14:paraId="296500FD">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（5）具有以上（4）所述信息记录的供应商，其投标做无效投标处理。</w:t>
            </w:r>
          </w:p>
          <w:p w14:paraId="3B1E2479">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（6）▲</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14:paraId="371C3F2B">
            <w:pPr>
              <w:spacing w:line="312"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ascii="新宋体" w:hAnsi="新宋体" w:eastAsia="新宋体" w:cs="新宋体"/>
                <w:color w:val="auto"/>
                <w:sz w:val="22"/>
                <w:szCs w:val="22"/>
                <w:highlight w:val="none"/>
              </w:rPr>
              <w:t>经营活动中的重大违法记录</w:t>
            </w:r>
            <w:r>
              <w:rPr>
                <w:rFonts w:hint="eastAsia" w:ascii="新宋体" w:hAnsi="新宋体" w:eastAsia="新宋体" w:cs="新宋体"/>
                <w:bCs/>
                <w:color w:val="auto"/>
                <w:sz w:val="22"/>
                <w:szCs w:val="22"/>
                <w:highlight w:val="none"/>
              </w:rPr>
              <w:t>”。</w:t>
            </w:r>
          </w:p>
          <w:p w14:paraId="232A33EA">
            <w:pPr>
              <w:spacing w:line="312"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②若供应商在“信用中国”无数据，亦须将搜索结果页面打印，并附说明。</w:t>
            </w:r>
          </w:p>
          <w:p w14:paraId="0A2780ED">
            <w:pPr>
              <w:spacing w:line="312" w:lineRule="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③供应商未提交的以评标现场查询结果为准。</w:t>
            </w:r>
          </w:p>
        </w:tc>
      </w:tr>
      <w:tr w14:paraId="1DEE8302">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3858E982">
            <w:pPr>
              <w:spacing w:line="312" w:lineRule="auto"/>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5</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A96FC3">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合同备案</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465B5B0E">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（1）中标供应商须在中标通知书发出之日起30日历天内与采购人签订合同。</w:t>
            </w:r>
          </w:p>
          <w:p w14:paraId="73B58A53">
            <w:pPr>
              <w:spacing w:line="312" w:lineRule="auto"/>
              <w:jc w:val="left"/>
              <w:rPr>
                <w:rFonts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（2）中标供应商与采购人签订合同后，2日历天内将合同扫描件电子版发给采购代理机构：邮箱：</w:t>
            </w:r>
            <w:r>
              <w:rPr>
                <w:rFonts w:hint="eastAsia" w:ascii="新宋体" w:hAnsi="新宋体" w:eastAsia="新宋体" w:cs="新宋体"/>
                <w:b/>
                <w:color w:val="auto"/>
                <w:sz w:val="22"/>
                <w:szCs w:val="22"/>
                <w:highlight w:val="none"/>
                <w:u w:val="single"/>
                <w:lang w:val="en-US" w:eastAsia="zh-CN"/>
              </w:rPr>
              <w:t>1033422571</w:t>
            </w:r>
            <w:r>
              <w:rPr>
                <w:rFonts w:hint="eastAsia" w:ascii="新宋体" w:hAnsi="新宋体" w:eastAsia="新宋体" w:cs="新宋体"/>
                <w:b/>
                <w:color w:val="auto"/>
                <w:sz w:val="22"/>
                <w:szCs w:val="22"/>
                <w:highlight w:val="none"/>
                <w:u w:val="single"/>
              </w:rPr>
              <w:t>@qq.com</w:t>
            </w:r>
            <w:r>
              <w:rPr>
                <w:rFonts w:hint="eastAsia" w:ascii="新宋体" w:hAnsi="新宋体" w:eastAsia="新宋体" w:cs="新宋体"/>
                <w:color w:val="auto"/>
                <w:sz w:val="22"/>
                <w:szCs w:val="22"/>
                <w:highlight w:val="none"/>
              </w:rPr>
              <w:t>。</w:t>
            </w:r>
          </w:p>
        </w:tc>
      </w:tr>
      <w:tr w14:paraId="5EAA4290">
        <w:tblPrEx>
          <w:tblCellMar>
            <w:top w:w="0" w:type="dxa"/>
            <w:left w:w="108" w:type="dxa"/>
            <w:bottom w:w="0" w:type="dxa"/>
            <w:right w:w="108" w:type="dxa"/>
          </w:tblCellMar>
        </w:tblPrEx>
        <w:trPr>
          <w:trHeight w:val="855"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149739CC">
            <w:pPr>
              <w:spacing w:line="312" w:lineRule="auto"/>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6</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DC55930">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合同履约管理</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36EF49AE">
            <w:pPr>
              <w:spacing w:line="312" w:lineRule="auto"/>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合同签订后，采购人依法加强对合同履约进行管理，并在中标单位服务、项目验收等重要关节，如实填写《合同验收报告》（或考核资料），并及时向集团公司采购管理部门报告验收过程中遇到的问题。</w:t>
            </w:r>
          </w:p>
        </w:tc>
      </w:tr>
      <w:tr w14:paraId="72AF85B8">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0936C6E1">
            <w:pPr>
              <w:spacing w:line="312" w:lineRule="auto"/>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7</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2478875">
            <w:pPr>
              <w:spacing w:line="312"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解释权</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5175A4AB">
            <w:pPr>
              <w:spacing w:line="312" w:lineRule="auto"/>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C41ACF1">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2B145099">
            <w:pPr>
              <w:spacing w:line="312" w:lineRule="auto"/>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8</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DBE177">
            <w:pPr>
              <w:spacing w:line="312"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质疑与投诉</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6939FDA2">
            <w:pPr>
              <w:spacing w:line="312"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1.投标供应商认为采购文件、采购过程、中标和成交结果使自己的合法权益受到损害的，可以在知道或应知道其权益受到损害之日起七个工作日内以书面形式向采购人或采购代理机构提出质疑。</w:t>
            </w:r>
          </w:p>
          <w:p w14:paraId="6CDBA0FF">
            <w:pPr>
              <w:spacing w:line="312" w:lineRule="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2.采购人或采购代理机构在收到投标供应商的书面质疑后七个工作日内作出答复，但答复的内容不得涉及商业秘密。质疑投标供应商对采购人或采购代理机构的答复不满意，可以在答复期满后十五个工作日内向</w:t>
            </w:r>
            <w:r>
              <w:rPr>
                <w:rFonts w:hint="eastAsia" w:ascii="新宋体" w:hAnsi="新宋体" w:eastAsia="新宋体" w:cs="新宋体"/>
                <w:color w:val="auto"/>
                <w:sz w:val="22"/>
                <w:szCs w:val="22"/>
                <w:highlight w:val="none"/>
                <w:lang w:eastAsia="zh-CN"/>
              </w:rPr>
              <w:t>温州市城市建设发展集团有限公司采购管理委员会</w:t>
            </w:r>
            <w:r>
              <w:rPr>
                <w:rFonts w:hint="eastAsia" w:ascii="新宋体" w:hAnsi="新宋体" w:eastAsia="新宋体" w:cs="新宋体"/>
                <w:color w:val="auto"/>
                <w:sz w:val="22"/>
                <w:szCs w:val="22"/>
                <w:highlight w:val="none"/>
              </w:rPr>
              <w:t>投诉。</w:t>
            </w:r>
          </w:p>
        </w:tc>
      </w:tr>
    </w:tbl>
    <w:p w14:paraId="2FDEA4E8">
      <w:pPr>
        <w:pStyle w:val="2"/>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8" w:name="_Toc71374671"/>
      <w:bookmarkStart w:id="19" w:name="_Toc2518"/>
      <w:bookmarkStart w:id="20" w:name="_Toc71374670"/>
      <w:r>
        <w:rPr>
          <w:rFonts w:hint="eastAsia" w:ascii="新宋体" w:hAnsi="新宋体" w:eastAsia="新宋体" w:cs="新宋体"/>
          <w:color w:val="auto"/>
          <w:sz w:val="36"/>
          <w:szCs w:val="36"/>
          <w:highlight w:val="none"/>
        </w:rPr>
        <w:t>第一部分    投标供应商须知</w:t>
      </w:r>
      <w:bookmarkEnd w:id="9"/>
      <w:bookmarkEnd w:id="10"/>
      <w:bookmarkEnd w:id="11"/>
      <w:bookmarkEnd w:id="12"/>
      <w:bookmarkEnd w:id="13"/>
      <w:bookmarkEnd w:id="14"/>
      <w:bookmarkEnd w:id="15"/>
      <w:bookmarkEnd w:id="16"/>
      <w:bookmarkEnd w:id="17"/>
      <w:bookmarkEnd w:id="18"/>
      <w:bookmarkEnd w:id="19"/>
      <w:bookmarkEnd w:id="20"/>
    </w:p>
    <w:p w14:paraId="00764828">
      <w:pPr>
        <w:spacing w:before="100" w:beforeAutospacing="1" w:after="100" w:afterAutospacing="1" w:line="440" w:lineRule="exact"/>
        <w:jc w:val="center"/>
        <w:outlineLvl w:val="0"/>
        <w:rPr>
          <w:rFonts w:ascii="新宋体" w:hAnsi="新宋体" w:eastAsia="新宋体" w:cs="新宋体"/>
          <w:b/>
          <w:bCs/>
          <w:color w:val="auto"/>
          <w:sz w:val="26"/>
          <w:szCs w:val="26"/>
          <w:highlight w:val="none"/>
        </w:rPr>
      </w:pPr>
      <w:bookmarkStart w:id="21" w:name="_Toc221423616"/>
      <w:bookmarkStart w:id="22" w:name="_Toc221356948"/>
      <w:bookmarkStart w:id="23" w:name="_Toc222114876"/>
      <w:bookmarkStart w:id="24" w:name="_Toc71374672"/>
      <w:bookmarkStart w:id="25" w:name="_Toc265529380"/>
      <w:bookmarkStart w:id="26" w:name="_Toc221374623"/>
      <w:bookmarkStart w:id="27" w:name="_Toc221356883"/>
      <w:bookmarkStart w:id="28" w:name="_Toc223715995"/>
      <w:bookmarkStart w:id="29" w:name="_Toc6088"/>
      <w:bookmarkStart w:id="30" w:name="_Toc241404199"/>
      <w:bookmarkStart w:id="31" w:name="_Toc239145351"/>
      <w:r>
        <w:rPr>
          <w:rFonts w:hint="eastAsia" w:ascii="新宋体" w:hAnsi="新宋体" w:eastAsia="新宋体" w:cs="新宋体"/>
          <w:b/>
          <w:bCs/>
          <w:color w:val="auto"/>
          <w:sz w:val="26"/>
          <w:szCs w:val="26"/>
          <w:highlight w:val="none"/>
        </w:rPr>
        <w:t>一、  说明</w:t>
      </w:r>
      <w:bookmarkEnd w:id="21"/>
      <w:bookmarkEnd w:id="22"/>
      <w:bookmarkEnd w:id="23"/>
      <w:bookmarkEnd w:id="24"/>
      <w:bookmarkEnd w:id="25"/>
      <w:bookmarkEnd w:id="26"/>
      <w:bookmarkEnd w:id="27"/>
      <w:bookmarkEnd w:id="28"/>
      <w:bookmarkEnd w:id="29"/>
      <w:bookmarkEnd w:id="30"/>
      <w:bookmarkEnd w:id="31"/>
    </w:p>
    <w:p w14:paraId="6B9E4D85">
      <w:pPr>
        <w:numPr>
          <w:ilvl w:val="0"/>
          <w:numId w:val="2"/>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本次采购是</w:t>
      </w:r>
      <w:r>
        <w:rPr>
          <w:rFonts w:hint="eastAsia" w:ascii="新宋体" w:hAnsi="新宋体" w:eastAsia="新宋体" w:cs="新宋体"/>
          <w:color w:val="auto"/>
          <w:kern w:val="0"/>
          <w:sz w:val="22"/>
          <w:szCs w:val="22"/>
          <w:highlight w:val="none"/>
        </w:rPr>
        <w:t>根据《温州市市属国有企业采购管理办法》等有关规定</w:t>
      </w:r>
      <w:r>
        <w:rPr>
          <w:rFonts w:hint="eastAsia" w:ascii="新宋体" w:hAnsi="新宋体" w:eastAsia="新宋体" w:cs="新宋体"/>
          <w:color w:val="auto"/>
          <w:sz w:val="22"/>
          <w:szCs w:val="22"/>
          <w:highlight w:val="none"/>
        </w:rPr>
        <w:t>及有关法规组织和实施的。</w:t>
      </w:r>
    </w:p>
    <w:p w14:paraId="42E45C27">
      <w:pPr>
        <w:numPr>
          <w:ilvl w:val="0"/>
          <w:numId w:val="2"/>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合格投标供应商</w:t>
      </w:r>
    </w:p>
    <w:p w14:paraId="376E087F">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投标供应商合格条件见本项目采购公告。</w:t>
      </w:r>
    </w:p>
    <w:p w14:paraId="5B9E7C56">
      <w:pPr>
        <w:numPr>
          <w:ilvl w:val="0"/>
          <w:numId w:val="2"/>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投标供应商代表</w:t>
      </w:r>
    </w:p>
    <w:p w14:paraId="7416492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指全权代表投标供应商参加投标活动并签署投标文件的人。如果投标供应商代表不是法定代表人，须持有《法定代表人授权书》。</w:t>
      </w:r>
    </w:p>
    <w:p w14:paraId="699BF7F2">
      <w:pPr>
        <w:numPr>
          <w:ilvl w:val="0"/>
          <w:numId w:val="2"/>
        </w:numPr>
        <w:tabs>
          <w:tab w:val="left" w:pos="540"/>
          <w:tab w:val="left" w:pos="900"/>
          <w:tab w:val="clear" w:pos="42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投标费用</w:t>
      </w:r>
    </w:p>
    <w:p w14:paraId="0E5DA53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投标供应商应承担所有与准备和参加投标有关费用，不论投标的结果如何，采购人和采购代理机构均无义务和责任承担这些费用。</w:t>
      </w:r>
    </w:p>
    <w:p w14:paraId="57370A34">
      <w:pPr>
        <w:spacing w:before="100" w:beforeAutospacing="1" w:after="100" w:afterAutospacing="1" w:line="440" w:lineRule="exact"/>
        <w:jc w:val="center"/>
        <w:outlineLvl w:val="0"/>
        <w:rPr>
          <w:rFonts w:ascii="新宋体" w:hAnsi="新宋体" w:eastAsia="新宋体" w:cs="新宋体"/>
          <w:b/>
          <w:bCs/>
          <w:color w:val="auto"/>
          <w:sz w:val="26"/>
          <w:szCs w:val="26"/>
          <w:highlight w:val="none"/>
        </w:rPr>
      </w:pPr>
      <w:bookmarkStart w:id="32" w:name="_Toc17088"/>
      <w:bookmarkStart w:id="33" w:name="_Toc221356884"/>
      <w:bookmarkStart w:id="34" w:name="_Toc221374624"/>
      <w:bookmarkStart w:id="35" w:name="_Toc223715996"/>
      <w:bookmarkStart w:id="36" w:name="_Toc265529381"/>
      <w:bookmarkStart w:id="37" w:name="_Toc71374673"/>
      <w:bookmarkStart w:id="38" w:name="_Toc241404200"/>
      <w:bookmarkStart w:id="39" w:name="_Toc221423617"/>
      <w:bookmarkStart w:id="40" w:name="_Toc222114877"/>
      <w:bookmarkStart w:id="41" w:name="_Toc239145352"/>
      <w:bookmarkStart w:id="42" w:name="_Toc221356949"/>
      <w:r>
        <w:rPr>
          <w:rFonts w:hint="eastAsia" w:ascii="新宋体" w:hAnsi="新宋体" w:eastAsia="新宋体" w:cs="新宋体"/>
          <w:b/>
          <w:bCs/>
          <w:color w:val="auto"/>
          <w:sz w:val="26"/>
          <w:szCs w:val="26"/>
          <w:highlight w:val="none"/>
        </w:rPr>
        <w:t>二、 采购文件</w:t>
      </w:r>
      <w:bookmarkEnd w:id="32"/>
      <w:bookmarkEnd w:id="33"/>
      <w:bookmarkEnd w:id="34"/>
      <w:bookmarkEnd w:id="35"/>
      <w:bookmarkEnd w:id="36"/>
      <w:bookmarkEnd w:id="37"/>
      <w:bookmarkEnd w:id="38"/>
      <w:bookmarkEnd w:id="39"/>
      <w:bookmarkEnd w:id="40"/>
      <w:bookmarkEnd w:id="41"/>
      <w:bookmarkEnd w:id="42"/>
    </w:p>
    <w:p w14:paraId="709D0F16">
      <w:pPr>
        <w:numPr>
          <w:ilvl w:val="0"/>
          <w:numId w:val="3"/>
        </w:num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采购文件由采购文件目录所列内容及相关资料组成。</w:t>
      </w:r>
    </w:p>
    <w:p w14:paraId="44DC2B31">
      <w:pPr>
        <w:numPr>
          <w:ilvl w:val="0"/>
          <w:numId w:val="3"/>
        </w:numPr>
        <w:tabs>
          <w:tab w:val="left" w:pos="54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采购文件的澄清</w:t>
      </w:r>
    </w:p>
    <w:p w14:paraId="6D6B41B0">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对采购文件如有疑点或未尽事宜要求澄清，或认为有必要进行说明或交流，可以在知道或应知其权益受到损害之日起七个工作日内，以书面形式（包括信函、传真、下同）向采购人及代理机构提出质疑，</w:t>
      </w:r>
      <w:r>
        <w:rPr>
          <w:rFonts w:hint="eastAsia" w:ascii="宋体" w:hAnsi="宋体" w:cs="宋体"/>
          <w:color w:val="auto"/>
          <w:szCs w:val="21"/>
          <w:highlight w:val="none"/>
        </w:rPr>
        <w:t>但质疑不得迟于采购文件规定的询疑截止时间前使采购人收到，采购人和采购代理机构将用书面形式予以答复。</w:t>
      </w:r>
      <w:r>
        <w:rPr>
          <w:rFonts w:hint="eastAsia" w:ascii="新宋体" w:hAnsi="新宋体" w:eastAsia="新宋体" w:cs="新宋体"/>
          <w:color w:val="auto"/>
          <w:sz w:val="22"/>
          <w:szCs w:val="22"/>
          <w:highlight w:val="none"/>
        </w:rPr>
        <w:t>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14:paraId="5EED6A3D">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采购文件的修改</w:t>
      </w:r>
    </w:p>
    <w:p w14:paraId="6F137BFA">
      <w:pPr>
        <w:keepNext w:val="0"/>
        <w:keepLines w:val="0"/>
        <w:pageBreakBefore w:val="0"/>
        <w:widowControl w:val="0"/>
        <w:tabs>
          <w:tab w:val="left" w:pos="360"/>
          <w:tab w:val="left" w:pos="747"/>
        </w:tabs>
        <w:kinsoku/>
        <w:wordWrap/>
        <w:overflowPunct/>
        <w:topLinePunct w:val="0"/>
        <w:autoSpaceDE/>
        <w:autoSpaceDN/>
        <w:bidi w:val="0"/>
        <w:adjustRightInd/>
        <w:snapToGrid/>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 在投标截止期十五天前，采购人无论是出于何种原因，均可对采购文件用补充文件的方式进行修改，并在乐采云平台、温州国企采购平台以及</w:t>
      </w:r>
      <w:r>
        <w:rPr>
          <w:rFonts w:hint="eastAsia" w:ascii="新宋体" w:hAnsi="新宋体" w:eastAsia="新宋体" w:cs="新宋体"/>
          <w:color w:val="auto"/>
          <w:sz w:val="22"/>
          <w:szCs w:val="22"/>
          <w:highlight w:val="none"/>
          <w:lang w:eastAsia="zh-CN"/>
        </w:rPr>
        <w:t>温州城发集团官网</w:t>
      </w:r>
      <w:r>
        <w:rPr>
          <w:rFonts w:hint="eastAsia" w:ascii="新宋体" w:hAnsi="新宋体" w:eastAsia="新宋体" w:cs="新宋体"/>
          <w:color w:val="auto"/>
          <w:sz w:val="22"/>
          <w:szCs w:val="22"/>
          <w:highlight w:val="none"/>
        </w:rPr>
        <w:t>发布更正公告。该澄清和修改的内容为采购文件的组成部分。采购人可以视采购具体情况在采购文件要求提交截止时间前，作出延长投标文件递交截止时间和开标时间的决定，并将变更时间书面通知所有采购文件收受人，并在乐采云平台、温州国企采购平台以及</w:t>
      </w:r>
      <w:r>
        <w:rPr>
          <w:rFonts w:hint="eastAsia" w:ascii="新宋体" w:hAnsi="新宋体" w:eastAsia="新宋体" w:cs="新宋体"/>
          <w:color w:val="auto"/>
          <w:sz w:val="22"/>
          <w:szCs w:val="22"/>
          <w:highlight w:val="none"/>
          <w:lang w:eastAsia="zh-CN"/>
        </w:rPr>
        <w:t>温州城发集团官网</w:t>
      </w:r>
      <w:r>
        <w:rPr>
          <w:rFonts w:hint="eastAsia" w:ascii="新宋体" w:hAnsi="新宋体" w:eastAsia="新宋体" w:cs="新宋体"/>
          <w:color w:val="auto"/>
          <w:sz w:val="22"/>
          <w:szCs w:val="22"/>
          <w:highlight w:val="none"/>
        </w:rPr>
        <w:t>上发布变更公告。</w:t>
      </w:r>
    </w:p>
    <w:p w14:paraId="4C252113">
      <w:pPr>
        <w:keepNext w:val="0"/>
        <w:keepLines w:val="0"/>
        <w:pageBreakBefore w:val="0"/>
        <w:widowControl w:val="0"/>
        <w:tabs>
          <w:tab w:val="left" w:pos="360"/>
          <w:tab w:val="left" w:pos="747"/>
        </w:tabs>
        <w:kinsoku/>
        <w:wordWrap/>
        <w:overflowPunct/>
        <w:topLinePunct w:val="0"/>
        <w:autoSpaceDE/>
        <w:autoSpaceDN/>
        <w:bidi w:val="0"/>
        <w:adjustRightInd/>
        <w:snapToGrid/>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 采购文件如有补充更正均见乐采云平台、温州国企采购平台以及</w:t>
      </w:r>
      <w:r>
        <w:rPr>
          <w:rFonts w:hint="eastAsia" w:ascii="新宋体" w:hAnsi="新宋体" w:eastAsia="新宋体" w:cs="新宋体"/>
          <w:color w:val="auto"/>
          <w:sz w:val="22"/>
          <w:szCs w:val="22"/>
          <w:highlight w:val="none"/>
          <w:lang w:val="en-US" w:eastAsia="zh-CN"/>
        </w:rPr>
        <w:t>温州城发集团官网</w:t>
      </w:r>
      <w:r>
        <w:rPr>
          <w:rFonts w:hint="eastAsia" w:ascii="新宋体" w:hAnsi="新宋体" w:eastAsia="新宋体" w:cs="新宋体"/>
          <w:color w:val="auto"/>
          <w:sz w:val="22"/>
          <w:szCs w:val="22"/>
          <w:highlight w:val="none"/>
        </w:rPr>
        <w:t>。投标供应商须在开标前一日自行查看是否有补充更正文件，并按补充更正文件要求投标响应，否则责任自负</w:t>
      </w:r>
      <w:r>
        <w:rPr>
          <w:rFonts w:hint="eastAsia" w:ascii="新宋体" w:hAnsi="新宋体" w:eastAsia="新宋体" w:cs="新宋体"/>
          <w:bCs/>
          <w:color w:val="auto"/>
          <w:sz w:val="22"/>
          <w:szCs w:val="22"/>
          <w:highlight w:val="none"/>
        </w:rPr>
        <w:t>。</w:t>
      </w:r>
    </w:p>
    <w:p w14:paraId="1D959DB9">
      <w:pPr>
        <w:spacing w:before="100" w:beforeAutospacing="1" w:after="100" w:afterAutospacing="1" w:line="440" w:lineRule="exact"/>
        <w:jc w:val="center"/>
        <w:outlineLvl w:val="0"/>
        <w:rPr>
          <w:rFonts w:ascii="新宋体" w:hAnsi="新宋体" w:eastAsia="新宋体" w:cs="新宋体"/>
          <w:b/>
          <w:bCs/>
          <w:color w:val="auto"/>
          <w:sz w:val="26"/>
          <w:szCs w:val="26"/>
          <w:highlight w:val="none"/>
        </w:rPr>
      </w:pPr>
      <w:bookmarkStart w:id="43" w:name="_Toc221356885"/>
      <w:bookmarkStart w:id="44" w:name="_Toc16866"/>
      <w:bookmarkStart w:id="45" w:name="_Toc221374625"/>
      <w:bookmarkStart w:id="46" w:name="_Toc221423618"/>
      <w:bookmarkStart w:id="47" w:name="_Toc223715997"/>
      <w:bookmarkStart w:id="48" w:name="_Toc221356950"/>
      <w:bookmarkStart w:id="49" w:name="_Toc222114878"/>
      <w:bookmarkStart w:id="50" w:name="_Toc239145353"/>
      <w:bookmarkStart w:id="51" w:name="_Toc71374674"/>
      <w:bookmarkStart w:id="52" w:name="_Toc265529382"/>
      <w:bookmarkStart w:id="53" w:name="_Toc241404201"/>
      <w:r>
        <w:rPr>
          <w:rFonts w:hint="eastAsia" w:ascii="新宋体" w:hAnsi="新宋体" w:eastAsia="新宋体" w:cs="新宋体"/>
          <w:b/>
          <w:bCs/>
          <w:color w:val="auto"/>
          <w:sz w:val="26"/>
          <w:szCs w:val="26"/>
          <w:highlight w:val="none"/>
        </w:rPr>
        <w:t>三、 投标文件的编制</w:t>
      </w:r>
      <w:bookmarkEnd w:id="43"/>
      <w:bookmarkEnd w:id="44"/>
      <w:bookmarkEnd w:id="45"/>
      <w:bookmarkEnd w:id="46"/>
      <w:bookmarkEnd w:id="47"/>
      <w:bookmarkEnd w:id="48"/>
      <w:bookmarkEnd w:id="49"/>
      <w:bookmarkEnd w:id="50"/>
      <w:bookmarkEnd w:id="51"/>
      <w:bookmarkEnd w:id="52"/>
      <w:bookmarkEnd w:id="53"/>
    </w:p>
    <w:p w14:paraId="64FD09A7">
      <w:pPr>
        <w:numPr>
          <w:ilvl w:val="0"/>
          <w:numId w:val="4"/>
        </w:num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投标供应商应认真阅读采购文件中所有事项格式、条款和技术规范等。</w:t>
      </w:r>
      <w:r>
        <w:rPr>
          <w:rFonts w:hint="eastAsia" w:ascii="新宋体" w:hAnsi="新宋体" w:eastAsia="新宋体" w:cs="新宋体"/>
          <w:b/>
          <w:color w:val="auto"/>
          <w:sz w:val="22"/>
          <w:szCs w:val="22"/>
          <w:highlight w:val="none"/>
        </w:rPr>
        <w:t>投标供应商没有按照采购文件要求提交全部资料，或者没有对采购文件各个方面做出实质性响应，导致投标被拒绝的风险由投标供应商自行承担。</w:t>
      </w:r>
    </w:p>
    <w:p w14:paraId="57DAFCDA">
      <w:pPr>
        <w:numPr>
          <w:ilvl w:val="0"/>
          <w:numId w:val="4"/>
        </w:numPr>
        <w:tabs>
          <w:tab w:val="left" w:pos="540"/>
        </w:tabs>
        <w:spacing w:line="460" w:lineRule="exact"/>
        <w:ind w:left="540" w:hanging="5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投标供应商法律责任</w:t>
      </w:r>
    </w:p>
    <w:p w14:paraId="0BF4F952">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9.1 投标供应商应保证所提供文件资料的真实性，所有文件资料必须是针对本次投标的。如发现投标供应商提供了虚假文件资料，其投标将被拒绝，并自行承担相应的法律责任。</w:t>
      </w:r>
    </w:p>
    <w:p w14:paraId="20499075">
      <w:pPr>
        <w:numPr>
          <w:ilvl w:val="0"/>
          <w:numId w:val="4"/>
        </w:numPr>
        <w:tabs>
          <w:tab w:val="left" w:pos="540"/>
        </w:tabs>
        <w:spacing w:line="460" w:lineRule="exact"/>
        <w:ind w:left="540" w:hanging="54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投标文件的构成：</w:t>
      </w:r>
    </w:p>
    <w:p w14:paraId="38E38D8B">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10.1投标文件由资格审查资料、技术资信标、商务报价标三部分构成：</w:t>
      </w:r>
    </w:p>
    <w:p w14:paraId="2E0AB92B">
      <w:pPr>
        <w:spacing w:line="430" w:lineRule="exact"/>
        <w:ind w:left="187" w:leftChars="85" w:hanging="9" w:hangingChars="4"/>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（1）资格审查资料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6C0D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471CCE2">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vAlign w:val="center"/>
          </w:tcPr>
          <w:p w14:paraId="33130D8B">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679E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1B505E47">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48F996B4">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法定代表人授权书和授权代表人有效身份证明；</w:t>
            </w:r>
          </w:p>
        </w:tc>
      </w:tr>
      <w:tr w14:paraId="44E6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1D96953F">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70E981BA">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营业执照(或事业法人登记证书或其它工商等登记证明材料)；</w:t>
            </w:r>
          </w:p>
        </w:tc>
      </w:tr>
      <w:tr w14:paraId="2158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1BB6D1C8">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vAlign w:val="center"/>
          </w:tcPr>
          <w:p w14:paraId="4D10B5D9">
            <w:pPr>
              <w:rPr>
                <w:rFonts w:ascii="新宋体" w:hAnsi="新宋体" w:eastAsia="新宋体" w:cs="新宋体"/>
                <w:bCs/>
                <w:color w:val="auto"/>
                <w:sz w:val="22"/>
                <w:szCs w:val="22"/>
                <w:highlight w:val="none"/>
              </w:rPr>
            </w:pPr>
            <w:r>
              <w:rPr>
                <w:rFonts w:hint="eastAsia" w:ascii="宋体" w:hAnsi="宋体" w:cs="宋体"/>
                <w:color w:val="auto"/>
                <w:kern w:val="0"/>
                <w:sz w:val="22"/>
                <w:szCs w:val="22"/>
                <w:highlight w:val="none"/>
              </w:rPr>
              <w:t>资格条件承诺函</w:t>
            </w:r>
          </w:p>
        </w:tc>
      </w:tr>
      <w:tr w14:paraId="60A5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4410F834">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vAlign w:val="center"/>
          </w:tcPr>
          <w:p w14:paraId="4CF1C948">
            <w:pPr>
              <w:rPr>
                <w:rFonts w:ascii="新宋体" w:hAnsi="新宋体" w:eastAsia="新宋体" w:cs="新宋体"/>
                <w:bCs/>
                <w:color w:val="auto"/>
                <w:sz w:val="22"/>
                <w:szCs w:val="22"/>
                <w:highlight w:val="none"/>
              </w:rPr>
            </w:pPr>
            <w:r>
              <w:rPr>
                <w:rFonts w:hint="eastAsia" w:ascii="宋体" w:hAnsi="宋体" w:cs="宋体"/>
                <w:bCs/>
                <w:color w:val="auto"/>
                <w:sz w:val="22"/>
                <w:szCs w:val="22"/>
                <w:highlight w:val="none"/>
              </w:rPr>
              <w:t>申请材料真实性声明</w:t>
            </w:r>
          </w:p>
        </w:tc>
      </w:tr>
      <w:tr w14:paraId="04D5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7AD7179B">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vAlign w:val="center"/>
          </w:tcPr>
          <w:p w14:paraId="70457C93">
            <w:pPr>
              <w:rPr>
                <w:rFonts w:ascii="新宋体" w:hAnsi="新宋体" w:eastAsia="新宋体" w:cs="新宋体"/>
                <w:bCs/>
                <w:color w:val="auto"/>
                <w:sz w:val="22"/>
                <w:szCs w:val="22"/>
                <w:highlight w:val="none"/>
              </w:rPr>
            </w:pPr>
            <w:r>
              <w:rPr>
                <w:rFonts w:hint="eastAsia" w:ascii="宋体" w:hAnsi="宋体" w:cs="宋体"/>
                <w:bCs/>
                <w:color w:val="auto"/>
                <w:sz w:val="22"/>
                <w:szCs w:val="22"/>
                <w:highlight w:val="none"/>
              </w:rPr>
              <w:t>投标保证金缴纳凭证（如银行回单等）,最终以实际到账为准（加盖公章）</w:t>
            </w:r>
          </w:p>
        </w:tc>
      </w:tr>
      <w:tr w14:paraId="5C42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77B8D908">
            <w:pPr>
              <w:overflowPunct w:val="0"/>
              <w:spacing w:line="43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vAlign w:val="center"/>
          </w:tcPr>
          <w:p w14:paraId="21707B39">
            <w:pPr>
              <w:rPr>
                <w:rFonts w:hint="eastAsia" w:ascii="宋体" w:hAnsi="宋体" w:cs="宋体"/>
                <w:bCs/>
                <w:color w:val="auto"/>
                <w:sz w:val="22"/>
                <w:szCs w:val="22"/>
                <w:highlight w:val="none"/>
              </w:rPr>
            </w:pPr>
            <w:r>
              <w:rPr>
                <w:rFonts w:hint="eastAsia" w:ascii="宋体" w:hAnsi="宋体" w:cs="宋体"/>
                <w:bCs/>
                <w:color w:val="auto"/>
                <w:sz w:val="22"/>
                <w:szCs w:val="22"/>
                <w:highlight w:val="none"/>
              </w:rPr>
              <w:t>“信用中国”(www.creditchina.gov.cn) 信用记录网页截图</w:t>
            </w:r>
          </w:p>
        </w:tc>
      </w:tr>
    </w:tbl>
    <w:p w14:paraId="71E65F24">
      <w:pPr>
        <w:spacing w:line="430" w:lineRule="exact"/>
        <w:ind w:left="187" w:leftChars="85" w:hanging="9" w:hangingChars="4"/>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60D40262">
      <w:pPr>
        <w:numPr>
          <w:ilvl w:val="0"/>
          <w:numId w:val="5"/>
        </w:numPr>
        <w:spacing w:line="43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19E89BD8">
      <w:pPr>
        <w:numPr>
          <w:ilvl w:val="0"/>
          <w:numId w:val="5"/>
        </w:numPr>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以上所需的各种证书、证件、证明、执照若系复印件，须在复印件上加盖投标供应商有效的公章。</w:t>
      </w:r>
    </w:p>
    <w:p w14:paraId="744CC305">
      <w:pPr>
        <w:numPr>
          <w:ilvl w:val="0"/>
          <w:numId w:val="5"/>
        </w:numPr>
        <w:spacing w:line="430" w:lineRule="exact"/>
        <w:rPr>
          <w:rFonts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14:paraId="66492A28">
      <w:pPr>
        <w:numPr>
          <w:ilvl w:val="0"/>
          <w:numId w:val="6"/>
        </w:numPr>
        <w:spacing w:line="43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若供应商查询页面“行政处罚”栏显示有行政处罚事项，须将所有行政处罚事项在“信用中国”网页上列出的明细一并打印，并附说明，是否属于“经营活动中的重大违法记录”。</w:t>
      </w:r>
    </w:p>
    <w:p w14:paraId="77E5883B">
      <w:pPr>
        <w:numPr>
          <w:ilvl w:val="0"/>
          <w:numId w:val="6"/>
        </w:numPr>
        <w:spacing w:line="43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若供应商在“信用中国”无数据，亦须将搜索结果页面打印，并附说明。</w:t>
      </w:r>
    </w:p>
    <w:p w14:paraId="0B110C68">
      <w:pPr>
        <w:numPr>
          <w:ilvl w:val="0"/>
          <w:numId w:val="6"/>
        </w:numPr>
        <w:spacing w:line="43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供应商未提交的以评标现场查询结果为准。</w:t>
      </w:r>
    </w:p>
    <w:p w14:paraId="1FE87408">
      <w:pPr>
        <w:numPr>
          <w:ilvl w:val="0"/>
          <w:numId w:val="7"/>
        </w:numPr>
        <w:spacing w:line="430" w:lineRule="exact"/>
        <w:ind w:left="187" w:leftChars="85" w:hanging="9" w:hangingChars="4"/>
        <w:rPr>
          <w:rFonts w:ascii="新宋体" w:hAnsi="新宋体" w:eastAsia="新宋体" w:cs="新宋体"/>
          <w:color w:val="auto"/>
          <w:highlight w:val="none"/>
        </w:rPr>
      </w:pPr>
      <w:r>
        <w:rPr>
          <w:rFonts w:hint="eastAsia" w:ascii="新宋体" w:hAnsi="新宋体" w:eastAsia="新宋体" w:cs="新宋体"/>
          <w:b/>
          <w:color w:val="auto"/>
          <w:sz w:val="22"/>
          <w:szCs w:val="22"/>
          <w:highlight w:val="none"/>
        </w:rPr>
        <w:t>技术资信标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14:paraId="045E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632442BB">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621" w:type="pct"/>
            <w:tcBorders>
              <w:top w:val="single" w:color="auto" w:sz="4" w:space="0"/>
              <w:left w:val="single" w:color="auto" w:sz="4" w:space="0"/>
              <w:bottom w:val="single" w:color="auto" w:sz="4" w:space="0"/>
              <w:right w:val="single" w:color="auto" w:sz="4" w:space="0"/>
            </w:tcBorders>
            <w:vAlign w:val="center"/>
          </w:tcPr>
          <w:p w14:paraId="02FBD680">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70CC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119083E3">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4621" w:type="pct"/>
            <w:tcBorders>
              <w:top w:val="single" w:color="auto" w:sz="4" w:space="0"/>
              <w:left w:val="single" w:color="auto" w:sz="4" w:space="0"/>
              <w:bottom w:val="single" w:color="auto" w:sz="4" w:space="0"/>
              <w:right w:val="single" w:color="auto" w:sz="4" w:space="0"/>
            </w:tcBorders>
            <w:vAlign w:val="center"/>
          </w:tcPr>
          <w:p w14:paraId="462B873D">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14:paraId="5A24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6908C11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621" w:type="pct"/>
            <w:tcBorders>
              <w:top w:val="single" w:color="auto" w:sz="4" w:space="0"/>
              <w:left w:val="single" w:color="auto" w:sz="4" w:space="0"/>
              <w:bottom w:val="single" w:color="auto" w:sz="4" w:space="0"/>
              <w:right w:val="single" w:color="auto" w:sz="4" w:space="0"/>
            </w:tcBorders>
            <w:vAlign w:val="center"/>
          </w:tcPr>
          <w:p w14:paraId="02632390">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投标函</w:t>
            </w:r>
          </w:p>
        </w:tc>
      </w:tr>
      <w:tr w14:paraId="6986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5E3E134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621" w:type="pct"/>
            <w:tcBorders>
              <w:top w:val="single" w:color="auto" w:sz="4" w:space="0"/>
              <w:left w:val="single" w:color="auto" w:sz="4" w:space="0"/>
              <w:bottom w:val="single" w:color="auto" w:sz="4" w:space="0"/>
              <w:right w:val="single" w:color="auto" w:sz="4" w:space="0"/>
            </w:tcBorders>
            <w:vAlign w:val="center"/>
          </w:tcPr>
          <w:p w14:paraId="6BB267FF">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技术、商务条款偏离表</w:t>
            </w:r>
          </w:p>
        </w:tc>
      </w:tr>
      <w:tr w14:paraId="3823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6A5A20F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4621" w:type="pct"/>
            <w:tcBorders>
              <w:top w:val="single" w:color="auto" w:sz="4" w:space="0"/>
              <w:left w:val="single" w:color="auto" w:sz="4" w:space="0"/>
              <w:bottom w:val="single" w:color="auto" w:sz="4" w:space="0"/>
              <w:right w:val="single" w:color="auto" w:sz="4" w:space="0"/>
            </w:tcBorders>
            <w:vAlign w:val="center"/>
          </w:tcPr>
          <w:p w14:paraId="4BF37B45">
            <w:pPr>
              <w:rPr>
                <w:rFonts w:ascii="新宋体" w:hAnsi="新宋体" w:eastAsia="新宋体" w:cs="新宋体"/>
                <w:bCs/>
                <w:color w:val="auto"/>
                <w:sz w:val="22"/>
                <w:szCs w:val="22"/>
                <w:highlight w:val="none"/>
              </w:rPr>
            </w:pPr>
            <w:r>
              <w:rPr>
                <w:rFonts w:ascii="宋体" w:hAnsi="宋体" w:cs="宋体"/>
                <w:b/>
                <w:color w:val="auto"/>
                <w:kern w:val="1"/>
                <w:sz w:val="22"/>
                <w:szCs w:val="22"/>
                <w:highlight w:val="none"/>
              </w:rPr>
              <w:t>资信证明文件（本项为评分量化内容，非强制性要求）</w:t>
            </w:r>
          </w:p>
        </w:tc>
      </w:tr>
      <w:tr w14:paraId="360C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3D03BCA1">
            <w:pPr>
              <w:jc w:val="center"/>
              <w:rPr>
                <w:rFonts w:hint="default" w:ascii="新宋体" w:hAnsi="新宋体" w:eastAsia="新宋体" w:cs="新宋体"/>
                <w:color w:val="auto"/>
                <w:sz w:val="22"/>
                <w:szCs w:val="22"/>
                <w:highlight w:val="none"/>
                <w:lang w:val="en-US" w:eastAsia="zh-CN"/>
              </w:rPr>
            </w:pPr>
            <w:r>
              <w:rPr>
                <w:rFonts w:hint="eastAsia" w:ascii="宋体" w:hAnsi="宋体" w:eastAsia="新宋体" w:cs="宋体"/>
                <w:color w:val="auto"/>
                <w:kern w:val="1"/>
                <w:sz w:val="22"/>
                <w:szCs w:val="22"/>
                <w:highlight w:val="none"/>
                <w:lang w:val="en-US" w:eastAsia="zh-CN"/>
              </w:rPr>
              <w:t>4.1</w:t>
            </w:r>
          </w:p>
        </w:tc>
        <w:tc>
          <w:tcPr>
            <w:tcW w:w="4621" w:type="pct"/>
            <w:tcBorders>
              <w:top w:val="single" w:color="auto" w:sz="4" w:space="0"/>
              <w:left w:val="single" w:color="auto" w:sz="4" w:space="0"/>
              <w:bottom w:val="single" w:color="auto" w:sz="4" w:space="0"/>
              <w:right w:val="single" w:color="auto" w:sz="4" w:space="0"/>
            </w:tcBorders>
            <w:shd w:val="clear" w:color="auto" w:fill="auto"/>
            <w:vAlign w:val="center"/>
          </w:tcPr>
          <w:p w14:paraId="2A808841">
            <w:pP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企业业绩</w:t>
            </w:r>
          </w:p>
        </w:tc>
      </w:tr>
      <w:tr w14:paraId="7E0B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49DC3490">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w:t>
            </w:r>
          </w:p>
        </w:tc>
        <w:tc>
          <w:tcPr>
            <w:tcW w:w="4621" w:type="pct"/>
            <w:tcBorders>
              <w:top w:val="single" w:color="auto" w:sz="4" w:space="0"/>
              <w:left w:val="single" w:color="auto" w:sz="4" w:space="0"/>
              <w:bottom w:val="single" w:color="auto" w:sz="4" w:space="0"/>
              <w:right w:val="single" w:color="auto" w:sz="4" w:space="0"/>
            </w:tcBorders>
            <w:shd w:val="clear" w:color="auto" w:fill="auto"/>
            <w:vAlign w:val="center"/>
          </w:tcPr>
          <w:p w14:paraId="7D91292C">
            <w:pP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企业实力</w:t>
            </w:r>
          </w:p>
        </w:tc>
      </w:tr>
      <w:tr w14:paraId="7AA7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28508A79">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4.3</w:t>
            </w:r>
          </w:p>
        </w:tc>
        <w:tc>
          <w:tcPr>
            <w:tcW w:w="4621" w:type="pct"/>
            <w:tcBorders>
              <w:top w:val="single" w:color="auto" w:sz="4" w:space="0"/>
              <w:left w:val="single" w:color="auto" w:sz="4" w:space="0"/>
              <w:bottom w:val="single" w:color="auto" w:sz="4" w:space="0"/>
              <w:right w:val="single" w:color="auto" w:sz="4" w:space="0"/>
            </w:tcBorders>
            <w:shd w:val="clear" w:color="auto" w:fill="auto"/>
            <w:vAlign w:val="center"/>
          </w:tcPr>
          <w:p w14:paraId="66546E88">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项目策划方案</w:t>
            </w:r>
          </w:p>
        </w:tc>
      </w:tr>
      <w:tr w14:paraId="2A53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243E4B46">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4.4</w:t>
            </w:r>
          </w:p>
        </w:tc>
        <w:tc>
          <w:tcPr>
            <w:tcW w:w="4621" w:type="pct"/>
            <w:tcBorders>
              <w:top w:val="single" w:color="auto" w:sz="4" w:space="0"/>
              <w:left w:val="single" w:color="auto" w:sz="4" w:space="0"/>
              <w:bottom w:val="single" w:color="auto" w:sz="4" w:space="0"/>
              <w:right w:val="single" w:color="auto" w:sz="4" w:space="0"/>
            </w:tcBorders>
            <w:shd w:val="clear" w:color="auto" w:fill="auto"/>
            <w:vAlign w:val="center"/>
          </w:tcPr>
          <w:p w14:paraId="1F220BB1">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项目规划布局</w:t>
            </w:r>
          </w:p>
        </w:tc>
      </w:tr>
      <w:tr w14:paraId="468F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4B4EFD26">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4.5</w:t>
            </w:r>
          </w:p>
        </w:tc>
        <w:tc>
          <w:tcPr>
            <w:tcW w:w="4621" w:type="pct"/>
            <w:tcBorders>
              <w:top w:val="single" w:color="auto" w:sz="4" w:space="0"/>
              <w:left w:val="single" w:color="auto" w:sz="4" w:space="0"/>
              <w:bottom w:val="single" w:color="auto" w:sz="4" w:space="0"/>
              <w:right w:val="single" w:color="auto" w:sz="4" w:space="0"/>
            </w:tcBorders>
            <w:shd w:val="clear" w:color="auto" w:fill="auto"/>
            <w:vAlign w:val="center"/>
          </w:tcPr>
          <w:p w14:paraId="7D0FDD0E">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重难点分析</w:t>
            </w:r>
          </w:p>
        </w:tc>
      </w:tr>
      <w:tr w14:paraId="71B8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1CDA8AD4">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4.6</w:t>
            </w:r>
          </w:p>
        </w:tc>
        <w:tc>
          <w:tcPr>
            <w:tcW w:w="4621" w:type="pct"/>
            <w:tcBorders>
              <w:top w:val="single" w:color="auto" w:sz="4" w:space="0"/>
              <w:left w:val="single" w:color="auto" w:sz="4" w:space="0"/>
              <w:bottom w:val="single" w:color="auto" w:sz="4" w:space="0"/>
              <w:right w:val="single" w:color="auto" w:sz="4" w:space="0"/>
            </w:tcBorders>
            <w:shd w:val="clear" w:color="auto" w:fill="auto"/>
            <w:vAlign w:val="center"/>
          </w:tcPr>
          <w:p w14:paraId="47CBEA16">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服务团队设置和岗位职责</w:t>
            </w:r>
          </w:p>
        </w:tc>
      </w:tr>
      <w:tr w14:paraId="3C30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524E7157">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4.7</w:t>
            </w:r>
          </w:p>
        </w:tc>
        <w:tc>
          <w:tcPr>
            <w:tcW w:w="4621" w:type="pct"/>
            <w:tcBorders>
              <w:top w:val="single" w:color="auto" w:sz="4" w:space="0"/>
              <w:left w:val="single" w:color="auto" w:sz="4" w:space="0"/>
              <w:bottom w:val="single" w:color="auto" w:sz="4" w:space="0"/>
              <w:right w:val="single" w:color="auto" w:sz="4" w:space="0"/>
            </w:tcBorders>
            <w:shd w:val="clear" w:color="auto" w:fill="auto"/>
            <w:vAlign w:val="center"/>
          </w:tcPr>
          <w:p w14:paraId="10E6435E">
            <w:pP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其他评分所需材料及技术资信证明资料</w:t>
            </w:r>
          </w:p>
        </w:tc>
      </w:tr>
    </w:tbl>
    <w:p w14:paraId="14D65CB6">
      <w:pPr>
        <w:spacing w:line="430" w:lineRule="exact"/>
        <w:ind w:left="187" w:leftChars="85" w:hanging="9" w:hangingChars="4"/>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275A0179">
      <w:pPr>
        <w:numPr>
          <w:ilvl w:val="0"/>
          <w:numId w:val="8"/>
        </w:num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投标供应商可根据采购文件中的技术规格书以及技术资信评分表，提供投标供应商认为需要提供的文件和资料。</w:t>
      </w:r>
    </w:p>
    <w:p w14:paraId="243E7D00">
      <w:pPr>
        <w:numPr>
          <w:ilvl w:val="0"/>
          <w:numId w:val="8"/>
        </w:num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供应商所提供的货物或服务所有权归采购人所有。如若发生侵权事件，其侵权责任与采购人及采购代理机构无关，由投标供应商承担全部责任。侵权造成的所有相关费用，均由投标供应商支付，保证不伤害采购人的利益。</w:t>
      </w:r>
    </w:p>
    <w:p w14:paraId="2A605EA6">
      <w:pPr>
        <w:numPr>
          <w:ilvl w:val="0"/>
          <w:numId w:val="8"/>
        </w:numPr>
        <w:tabs>
          <w:tab w:val="left" w:pos="5355"/>
        </w:tabs>
        <w:spacing w:line="43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可在投标文件中对采购文件中的技术要求选用替代标准、补充或更改，但这些替代标准及补充更改必须相当于或优于采购文件中提出的相应技术要求，并使采购人满意。同时在技术偏离表中作出详细说明。</w:t>
      </w:r>
    </w:p>
    <w:p w14:paraId="6CD13473">
      <w:pPr>
        <w:numPr>
          <w:ilvl w:val="0"/>
          <w:numId w:val="8"/>
        </w:numPr>
        <w:tabs>
          <w:tab w:val="left" w:pos="5355"/>
        </w:tabs>
        <w:spacing w:line="430" w:lineRule="exact"/>
        <w:rPr>
          <w:rFonts w:ascii="新宋体" w:hAnsi="新宋体" w:eastAsia="新宋体" w:cs="新宋体"/>
          <w:b/>
          <w:color w:val="auto"/>
          <w:sz w:val="22"/>
          <w:szCs w:val="22"/>
          <w:highlight w:val="none"/>
          <w:u w:val="none"/>
        </w:rPr>
      </w:pPr>
      <w:r>
        <w:rPr>
          <w:rFonts w:hint="eastAsia" w:ascii="新宋体" w:hAnsi="新宋体" w:eastAsia="新宋体" w:cs="新宋体"/>
          <w:color w:val="auto"/>
          <w:sz w:val="22"/>
          <w:szCs w:val="22"/>
          <w:highlight w:val="none"/>
          <w:u w:val="none"/>
        </w:rPr>
        <w:t>以上所需的各种证书、证件、证明、执照若系复印件，须在复印件上加盖投标供应商有效的公章。</w:t>
      </w:r>
    </w:p>
    <w:p w14:paraId="3D427DD8">
      <w:pPr>
        <w:numPr>
          <w:ilvl w:val="0"/>
          <w:numId w:val="8"/>
        </w:numPr>
        <w:tabs>
          <w:tab w:val="left" w:pos="5355"/>
        </w:tabs>
        <w:spacing w:line="430" w:lineRule="exact"/>
        <w:rPr>
          <w:rFonts w:ascii="新宋体" w:hAnsi="新宋体" w:eastAsia="新宋体" w:cs="新宋体"/>
          <w:b/>
          <w:color w:val="auto"/>
          <w:sz w:val="22"/>
          <w:szCs w:val="22"/>
          <w:highlight w:val="none"/>
          <w:u w:val="none"/>
        </w:rPr>
      </w:pPr>
      <w:r>
        <w:rPr>
          <w:rFonts w:hint="eastAsia" w:ascii="新宋体" w:hAnsi="新宋体" w:eastAsia="新宋体" w:cs="新宋体"/>
          <w:color w:val="auto"/>
          <w:sz w:val="22"/>
          <w:szCs w:val="22"/>
          <w:highlight w:val="none"/>
          <w:u w:val="none"/>
          <w:lang w:val="en-US" w:eastAsia="zh-CN"/>
        </w:rPr>
        <w:t>投标页面总页数控制在200页以内，超过200页部分评委有权不予评审。</w:t>
      </w:r>
    </w:p>
    <w:p w14:paraId="371C5D29">
      <w:pPr>
        <w:spacing w:line="430" w:lineRule="exact"/>
        <w:rPr>
          <w:rFonts w:ascii="新宋体" w:hAnsi="新宋体" w:eastAsia="新宋体" w:cs="新宋体"/>
          <w:b/>
          <w:color w:val="auto"/>
          <w:sz w:val="22"/>
          <w:szCs w:val="22"/>
          <w:highlight w:val="none"/>
        </w:rPr>
      </w:pPr>
      <w:bookmarkStart w:id="54" w:name="_Toc221356886"/>
      <w:r>
        <w:rPr>
          <w:rFonts w:hint="eastAsia" w:ascii="新宋体" w:hAnsi="新宋体" w:eastAsia="新宋体" w:cs="新宋体"/>
          <w:b/>
          <w:color w:val="auto"/>
          <w:sz w:val="22"/>
          <w:szCs w:val="22"/>
          <w:highlight w:val="none"/>
        </w:rPr>
        <w:t>（3） 商务报价标</w:t>
      </w:r>
      <w:bookmarkEnd w:id="5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369"/>
        <w:gridCol w:w="1577"/>
      </w:tblGrid>
      <w:tr w14:paraId="1FEE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63EFDBF7">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369" w:type="dxa"/>
            <w:vAlign w:val="center"/>
          </w:tcPr>
          <w:p w14:paraId="3C130956">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577" w:type="dxa"/>
            <w:vAlign w:val="center"/>
          </w:tcPr>
          <w:p w14:paraId="76854AD9">
            <w:pPr>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3044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CA399BA">
            <w:pPr>
              <w:spacing w:line="43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369" w:type="dxa"/>
            <w:vAlign w:val="center"/>
          </w:tcPr>
          <w:p w14:paraId="331E1782">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开标一览表</w:t>
            </w:r>
          </w:p>
        </w:tc>
        <w:tc>
          <w:tcPr>
            <w:tcW w:w="1577" w:type="dxa"/>
            <w:vAlign w:val="center"/>
          </w:tcPr>
          <w:p w14:paraId="214F394D">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（附件二）</w:t>
            </w:r>
          </w:p>
        </w:tc>
      </w:tr>
      <w:tr w14:paraId="0361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30808732">
            <w:pPr>
              <w:spacing w:line="43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369" w:type="dxa"/>
            <w:vAlign w:val="center"/>
          </w:tcPr>
          <w:p w14:paraId="73561333">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投标分项报价表</w:t>
            </w:r>
          </w:p>
        </w:tc>
        <w:tc>
          <w:tcPr>
            <w:tcW w:w="1577" w:type="dxa"/>
            <w:vAlign w:val="center"/>
          </w:tcPr>
          <w:p w14:paraId="605240A6">
            <w:pPr>
              <w:spacing w:line="430" w:lineRule="exact"/>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（附件三）</w:t>
            </w:r>
          </w:p>
        </w:tc>
      </w:tr>
    </w:tbl>
    <w:p w14:paraId="0ED3E705">
      <w:pPr>
        <w:numPr>
          <w:ilvl w:val="-1"/>
          <w:numId w:val="0"/>
        </w:numPr>
        <w:tabs>
          <w:tab w:val="left" w:pos="360"/>
        </w:tabs>
        <w:spacing w:line="460" w:lineRule="exact"/>
        <w:ind w:left="0" w:firstLine="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投标文件格式</w:t>
      </w:r>
    </w:p>
    <w:p w14:paraId="58E9DD72">
      <w:pPr>
        <w:numPr>
          <w:ilvl w:val="0"/>
          <w:numId w:val="9"/>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投标供应商应根据</w:t>
      </w:r>
      <w:r>
        <w:rPr>
          <w:rFonts w:hint="eastAsia" w:ascii="新宋体" w:hAnsi="新宋体" w:eastAsia="新宋体" w:cs="新宋体"/>
          <w:color w:val="auto"/>
          <w:sz w:val="22"/>
          <w:szCs w:val="22"/>
          <w:highlight w:val="none"/>
        </w:rPr>
        <w:t>采购</w:t>
      </w:r>
      <w:r>
        <w:rPr>
          <w:rFonts w:hint="eastAsia" w:ascii="新宋体" w:hAnsi="新宋体" w:eastAsia="新宋体" w:cs="新宋体"/>
          <w:bCs/>
          <w:color w:val="auto"/>
          <w:sz w:val="22"/>
          <w:szCs w:val="22"/>
          <w:highlight w:val="none"/>
        </w:rPr>
        <w:t>文件中所提供的格式，内容按顺序填写并装订成册,不允许以活页夹形式装订投标文件；</w:t>
      </w:r>
    </w:p>
    <w:p w14:paraId="6F254E3D">
      <w:pPr>
        <w:numPr>
          <w:ilvl w:val="0"/>
          <w:numId w:val="9"/>
        </w:numPr>
        <w:spacing w:line="44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资格审查资料、技术资信标、商务报价标分别包装于各自标函袋中，标函袋不做统一要求。</w:t>
      </w:r>
    </w:p>
    <w:p w14:paraId="6D2B8A9A">
      <w:pPr>
        <w:numPr>
          <w:ilvl w:val="0"/>
          <w:numId w:val="9"/>
        </w:numPr>
        <w:spacing w:line="44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Cs/>
          <w:color w:val="auto"/>
          <w:sz w:val="22"/>
          <w:szCs w:val="22"/>
          <w:highlight w:val="none"/>
        </w:rPr>
        <w:t>投标文件应有目录以及页码，以便评委检索。</w:t>
      </w:r>
    </w:p>
    <w:p w14:paraId="638243A5">
      <w:pPr>
        <w:numPr>
          <w:ilvl w:val="0"/>
          <w:numId w:val="4"/>
        </w:numPr>
        <w:tabs>
          <w:tab w:val="left" w:pos="54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投标报价</w:t>
      </w:r>
    </w:p>
    <w:p w14:paraId="7FBF9A5D">
      <w:pPr>
        <w:tabs>
          <w:tab w:val="left" w:pos="-180"/>
          <w:tab w:val="left" w:pos="180"/>
          <w:tab w:val="left" w:pos="360"/>
        </w:tabs>
        <w:spacing w:line="360" w:lineRule="auto"/>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11.1▲本项目投标报价为投标人所能承受的整个项目的一次性最终报价，包括第十五届中国（温州）国际园林博览会筹开服务费、利润、税金、招标代理费、乐采云平台服务费、人员（含驻场人员）费用（含加班费以及交通、食宿差旅费用等）等完成本项目的所以费用和政策性文件规定及合同包含的所有风险、责任等各项应有费用，如有漏项，视同已包含在其它项目中。投标供应商应根据上述因素自行考虑含入投标总价。</w:t>
      </w:r>
    </w:p>
    <w:p w14:paraId="7E74E121">
      <w:pPr>
        <w:tabs>
          <w:tab w:val="left" w:pos="525"/>
        </w:tabs>
        <w:spacing w:line="400" w:lineRule="exact"/>
        <w:rPr>
          <w:rFonts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rPr>
        <w:t xml:space="preserve">11.2 </w:t>
      </w:r>
      <w:r>
        <w:rPr>
          <w:rFonts w:hint="eastAsia" w:ascii="新宋体" w:hAnsi="新宋体" w:eastAsia="新宋体" w:cs="新宋体"/>
          <w:bCs/>
          <w:color w:val="auto"/>
          <w:kern w:val="0"/>
          <w:sz w:val="22"/>
          <w:szCs w:val="22"/>
          <w:highlight w:val="none"/>
          <w:lang w:val="zh-CN"/>
        </w:rPr>
        <w:t>投标供应商须认真阅读、充分理解采购文件，如有疑问可在询疑截止时间前送达（或传真）采购代理机构，采购代理机构将会统一解答。任何因对本项目采购文件理解不清、产生歧义等由此产生的费用，视作已含在投标总价中。</w:t>
      </w:r>
    </w:p>
    <w:p w14:paraId="636CD4A9">
      <w:pPr>
        <w:tabs>
          <w:tab w:val="left" w:pos="525"/>
        </w:tabs>
        <w:spacing w:line="40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11.3 </w:t>
      </w:r>
      <w:r>
        <w:rPr>
          <w:rFonts w:hint="eastAsia" w:ascii="新宋体" w:hAnsi="新宋体" w:eastAsia="新宋体" w:cs="新宋体"/>
          <w:bCs/>
          <w:color w:val="auto"/>
          <w:kern w:val="0"/>
          <w:sz w:val="22"/>
          <w:szCs w:val="22"/>
          <w:highlight w:val="none"/>
          <w:lang w:val="zh-CN"/>
        </w:rPr>
        <w:t>投标供应商必须按第三部分附件的开标一览表（统一格式）、投标分项报价表（统一格式）的内容填写单价、合价及其他事项，并由法定代表人或授权代表签署。</w:t>
      </w:r>
    </w:p>
    <w:p w14:paraId="2583FEA9">
      <w:pPr>
        <w:tabs>
          <w:tab w:val="left" w:pos="525"/>
        </w:tabs>
        <w:spacing w:line="40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11.4 报价货币基础为人民币。</w:t>
      </w:r>
    </w:p>
    <w:p w14:paraId="57A97133">
      <w:pPr>
        <w:tabs>
          <w:tab w:val="left" w:pos="525"/>
        </w:tabs>
        <w:spacing w:line="40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11.5 采购人不接受任何选择报价，只允许一个报价。</w:t>
      </w:r>
    </w:p>
    <w:p w14:paraId="48EBA46E">
      <w:pPr>
        <w:tabs>
          <w:tab w:val="left" w:pos="525"/>
        </w:tabs>
        <w:spacing w:line="400" w:lineRule="exact"/>
        <w:rPr>
          <w:rFonts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rPr>
        <w:t xml:space="preserve">11.6 </w:t>
      </w:r>
      <w:r>
        <w:rPr>
          <w:rFonts w:hint="eastAsia" w:ascii="新宋体" w:hAnsi="新宋体" w:eastAsia="新宋体" w:cs="新宋体"/>
          <w:bCs/>
          <w:color w:val="auto"/>
          <w:kern w:val="0"/>
          <w:sz w:val="22"/>
          <w:szCs w:val="22"/>
          <w:highlight w:val="none"/>
          <w:lang w:val="zh-CN"/>
        </w:rPr>
        <w:t>投标供应商所报的投标价在合同执行过程中是固定不变的，不得以任何理由予以变更。任何包含价格调整的要求，将被认为是非实质性响应投标而予以拒绝。</w:t>
      </w:r>
    </w:p>
    <w:p w14:paraId="3319D6E7">
      <w:pPr>
        <w:tabs>
          <w:tab w:val="left" w:pos="525"/>
        </w:tabs>
        <w:spacing w:line="40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11.7</w:t>
      </w:r>
      <w:r>
        <w:rPr>
          <w:rFonts w:hint="eastAsia" w:ascii="新宋体" w:hAnsi="新宋体" w:eastAsia="新宋体" w:cs="新宋体"/>
          <w:bCs/>
          <w:color w:val="auto"/>
          <w:kern w:val="0"/>
          <w:sz w:val="22"/>
          <w:szCs w:val="22"/>
          <w:highlight w:val="none"/>
          <w:u w:val="single"/>
        </w:rPr>
        <w:t>报价是中标的一个重要因素，但最低报价不是中标的唯一依据</w:t>
      </w:r>
      <w:r>
        <w:rPr>
          <w:rFonts w:hint="eastAsia" w:ascii="新宋体" w:hAnsi="新宋体" w:eastAsia="新宋体" w:cs="新宋体"/>
          <w:bCs/>
          <w:color w:val="auto"/>
          <w:kern w:val="0"/>
          <w:sz w:val="22"/>
          <w:szCs w:val="22"/>
          <w:highlight w:val="none"/>
        </w:rPr>
        <w:t>。</w:t>
      </w:r>
    </w:p>
    <w:p w14:paraId="16EC9EB1">
      <w:pPr>
        <w:numPr>
          <w:ilvl w:val="0"/>
          <w:numId w:val="4"/>
        </w:numPr>
        <w:tabs>
          <w:tab w:val="left" w:pos="540"/>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投标保证金</w:t>
      </w:r>
    </w:p>
    <w:p w14:paraId="7436F136">
      <w:pPr>
        <w:tabs>
          <w:tab w:val="left" w:pos="525"/>
        </w:tabs>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lang w:val="en-US" w:eastAsia="zh-CN"/>
        </w:rPr>
        <w:t>12</w:t>
      </w:r>
      <w:r>
        <w:rPr>
          <w:rFonts w:hint="eastAsia" w:ascii="新宋体" w:hAnsi="新宋体" w:eastAsia="新宋体" w:cs="新宋体"/>
          <w:b/>
          <w:bCs/>
          <w:color w:val="auto"/>
          <w:sz w:val="22"/>
          <w:szCs w:val="22"/>
          <w:highlight w:val="none"/>
        </w:rPr>
        <w:t>.1</w:t>
      </w:r>
      <w:r>
        <w:rPr>
          <w:rFonts w:hint="eastAsia" w:ascii="新宋体" w:hAnsi="新宋体" w:eastAsia="新宋体" w:cs="新宋体"/>
          <w:bCs/>
          <w:color w:val="auto"/>
          <w:sz w:val="22"/>
          <w:szCs w:val="22"/>
          <w:highlight w:val="none"/>
        </w:rPr>
        <w:t>投标人须提供由投标人单位汇出的</w:t>
      </w:r>
      <w:r>
        <w:rPr>
          <w:rFonts w:hint="eastAsia" w:ascii="新宋体" w:hAnsi="新宋体" w:eastAsia="新宋体" w:cs="新宋体"/>
          <w:b/>
          <w:color w:val="auto"/>
          <w:sz w:val="22"/>
          <w:szCs w:val="22"/>
          <w:highlight w:val="none"/>
        </w:rPr>
        <w:t>投标保证金</w:t>
      </w:r>
      <w:r>
        <w:rPr>
          <w:rFonts w:hint="eastAsia" w:ascii="新宋体" w:hAnsi="新宋体" w:eastAsia="新宋体" w:cs="新宋体"/>
          <w:b/>
          <w:bCs/>
          <w:color w:val="auto"/>
          <w:sz w:val="22"/>
          <w:szCs w:val="22"/>
          <w:highlight w:val="none"/>
        </w:rPr>
        <w:t>人民币</w:t>
      </w:r>
      <w:r>
        <w:rPr>
          <w:rFonts w:hint="eastAsia" w:ascii="新宋体" w:hAnsi="新宋体" w:eastAsia="新宋体" w:cs="新宋体"/>
          <w:color w:val="auto"/>
          <w:kern w:val="0"/>
          <w:sz w:val="22"/>
          <w:szCs w:val="22"/>
          <w:highlight w:val="none"/>
          <w:lang w:val="en-US" w:eastAsia="zh-CN"/>
        </w:rPr>
        <w:t>柒</w:t>
      </w:r>
      <w:r>
        <w:rPr>
          <w:rFonts w:hint="eastAsia" w:ascii="新宋体" w:hAnsi="新宋体" w:eastAsia="新宋体" w:cs="新宋体"/>
          <w:b/>
          <w:bCs/>
          <w:color w:val="auto"/>
          <w:sz w:val="22"/>
          <w:szCs w:val="22"/>
          <w:highlight w:val="none"/>
          <w:lang w:val="en-US" w:eastAsia="zh-CN"/>
        </w:rPr>
        <w:t>万</w:t>
      </w:r>
      <w:r>
        <w:rPr>
          <w:rFonts w:hint="eastAsia" w:ascii="新宋体" w:hAnsi="新宋体" w:eastAsia="新宋体" w:cs="新宋体"/>
          <w:b/>
          <w:bCs/>
          <w:color w:val="auto"/>
          <w:sz w:val="22"/>
          <w:szCs w:val="22"/>
          <w:highlight w:val="none"/>
        </w:rPr>
        <w:t>元整</w:t>
      </w:r>
      <w:r>
        <w:rPr>
          <w:rFonts w:hint="eastAsia" w:ascii="新宋体" w:hAnsi="新宋体" w:eastAsia="新宋体" w:cs="新宋体"/>
          <w:bCs/>
          <w:color w:val="auto"/>
          <w:sz w:val="22"/>
          <w:szCs w:val="22"/>
          <w:highlight w:val="none"/>
        </w:rPr>
        <w:t>。否则其投标</w:t>
      </w:r>
      <w:r>
        <w:rPr>
          <w:rFonts w:hint="eastAsia" w:ascii="新宋体" w:hAnsi="新宋体" w:eastAsia="新宋体" w:cs="新宋体"/>
          <w:bCs/>
          <w:color w:val="auto"/>
          <w:sz w:val="22"/>
          <w:szCs w:val="22"/>
          <w:highlight w:val="none"/>
          <w:lang w:val="en-US" w:eastAsia="zh-CN"/>
        </w:rPr>
        <w:t>将作无效标处理</w:t>
      </w:r>
      <w:r>
        <w:rPr>
          <w:rFonts w:hint="eastAsia" w:ascii="新宋体" w:hAnsi="新宋体" w:eastAsia="新宋体" w:cs="新宋体"/>
          <w:bCs/>
          <w:color w:val="auto"/>
          <w:sz w:val="22"/>
          <w:szCs w:val="22"/>
          <w:highlight w:val="none"/>
        </w:rPr>
        <w:t>。</w:t>
      </w:r>
    </w:p>
    <w:p w14:paraId="1505327B">
      <w:pPr>
        <w:tabs>
          <w:tab w:val="left" w:pos="525"/>
        </w:tabs>
        <w:spacing w:line="400" w:lineRule="exact"/>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.2 投标保证金应以汇票（包括电汇）、支票形式从投标人开户银行汇出，不得从第三者或者分支机构汇出。投标保证金按以下开户银行及帐号汇入：</w:t>
      </w:r>
    </w:p>
    <w:p w14:paraId="21813A2E">
      <w:pPr>
        <w:tabs>
          <w:tab w:val="left" w:pos="525"/>
        </w:tabs>
        <w:spacing w:line="40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户名：浙江鼎力工程项目管理有限公司</w:t>
      </w:r>
    </w:p>
    <w:p w14:paraId="552823F2">
      <w:pPr>
        <w:tabs>
          <w:tab w:val="left" w:pos="525"/>
        </w:tabs>
        <w:spacing w:line="40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账号：</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6232593499228864484</w:t>
      </w:r>
    </w:p>
    <w:p w14:paraId="75E88F79">
      <w:pPr>
        <w:tabs>
          <w:tab w:val="left" w:pos="525"/>
        </w:tabs>
        <w:spacing w:line="40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开户行：广发银行温州分行营业部 </w:t>
      </w:r>
    </w:p>
    <w:p w14:paraId="50A080B3">
      <w:pPr>
        <w:shd w:val="clear" w:color="auto" w:fill="auto"/>
        <w:spacing w:line="460" w:lineRule="exact"/>
        <w:rPr>
          <w:rFonts w:hint="default" w:ascii="新宋体" w:hAnsi="新宋体" w:eastAsia="新宋体" w:cs="新宋体"/>
          <w:b/>
          <w:color w:val="auto"/>
          <w:sz w:val="22"/>
          <w:szCs w:val="22"/>
          <w:highlight w:val="none"/>
          <w:u w:val="none"/>
          <w:lang w:val="en-US" w:eastAsia="zh-CN"/>
        </w:rPr>
      </w:pP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 xml:space="preserve">.3 </w:t>
      </w:r>
      <w:r>
        <w:rPr>
          <w:rFonts w:hint="eastAsia" w:ascii="新宋体" w:hAnsi="新宋体" w:eastAsia="新宋体" w:cs="新宋体"/>
          <w:b/>
          <w:bCs/>
          <w:color w:val="auto"/>
          <w:sz w:val="22"/>
          <w:szCs w:val="22"/>
          <w:highlight w:val="none"/>
        </w:rPr>
        <w:t>投标保证金缴纳截止时间：投标文件递交截止</w:t>
      </w:r>
      <w:r>
        <w:rPr>
          <w:rFonts w:hint="eastAsia" w:ascii="新宋体" w:hAnsi="新宋体" w:eastAsia="新宋体" w:cs="新宋体"/>
          <w:b/>
          <w:bCs/>
          <w:color w:val="auto"/>
          <w:sz w:val="22"/>
          <w:szCs w:val="22"/>
          <w:highlight w:val="none"/>
          <w:lang w:eastAsia="zh-CN"/>
        </w:rPr>
        <w:t>时间止</w:t>
      </w:r>
      <w:r>
        <w:rPr>
          <w:rFonts w:hint="eastAsia" w:ascii="新宋体" w:hAnsi="新宋体" w:eastAsia="新宋体" w:cs="新宋体"/>
          <w:b/>
          <w:bCs/>
          <w:color w:val="auto"/>
          <w:sz w:val="22"/>
          <w:szCs w:val="22"/>
          <w:highlight w:val="none"/>
        </w:rPr>
        <w:t>。</w:t>
      </w:r>
      <w:r>
        <w:rPr>
          <w:rFonts w:hint="eastAsia" w:ascii="新宋体" w:hAnsi="新宋体" w:eastAsia="新宋体" w:cs="新宋体"/>
          <w:b/>
          <w:color w:val="auto"/>
          <w:sz w:val="22"/>
          <w:szCs w:val="22"/>
          <w:highlight w:val="none"/>
          <w:u w:val="none"/>
        </w:rPr>
        <w:t>投标人必须在保证金缴纳截止时间前缴纳</w:t>
      </w:r>
      <w:r>
        <w:rPr>
          <w:rFonts w:hint="eastAsia" w:ascii="新宋体" w:hAnsi="新宋体" w:eastAsia="新宋体" w:cs="新宋体"/>
          <w:b/>
          <w:bCs/>
          <w:color w:val="auto"/>
          <w:sz w:val="22"/>
          <w:szCs w:val="22"/>
          <w:highlight w:val="none"/>
          <w:u w:val="none"/>
          <w:lang w:eastAsia="zh-CN"/>
        </w:rPr>
        <w:t>。</w:t>
      </w:r>
    </w:p>
    <w:p w14:paraId="710D1FEA">
      <w:p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 xml:space="preserve"> 中标供应商的投标保证金在中标供应商与采购人签订了合同</w:t>
      </w:r>
      <w:r>
        <w:rPr>
          <w:rFonts w:hint="eastAsia" w:ascii="新宋体" w:hAnsi="新宋体" w:eastAsia="新宋体" w:cs="新宋体"/>
          <w:color w:val="auto"/>
          <w:sz w:val="22"/>
          <w:szCs w:val="22"/>
          <w:highlight w:val="none"/>
        </w:rPr>
        <w:t>并合同经备案后5个工作日内无息退还，未中标供应商的投标保证金将在确定中标供应商后7个工作日内无息退还。</w:t>
      </w:r>
    </w:p>
    <w:p w14:paraId="0E1278D7">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12.3 如发生下列情况之一，投标保证金将不予退还：</w:t>
      </w:r>
    </w:p>
    <w:p w14:paraId="5B8019FF">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投标供应商在采购文件规定的投标有效期内</w:t>
      </w:r>
      <w:r>
        <w:rPr>
          <w:rFonts w:hint="eastAsia" w:ascii="新宋体" w:hAnsi="新宋体" w:eastAsia="新宋体" w:cs="新宋体"/>
          <w:color w:val="auto"/>
          <w:sz w:val="22"/>
          <w:szCs w:val="22"/>
          <w:highlight w:val="none"/>
          <w:lang w:eastAsia="zh-CN"/>
        </w:rPr>
        <w:t>撤销</w:t>
      </w:r>
      <w:r>
        <w:rPr>
          <w:rFonts w:hint="eastAsia" w:ascii="新宋体" w:hAnsi="新宋体" w:eastAsia="新宋体" w:cs="新宋体"/>
          <w:color w:val="auto"/>
          <w:sz w:val="22"/>
          <w:szCs w:val="22"/>
          <w:highlight w:val="none"/>
        </w:rPr>
        <w:t>投标；</w:t>
      </w:r>
    </w:p>
    <w:p w14:paraId="31DF60A0">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中标供应商未按中标通知书中规定的时间与采购人签订合同；</w:t>
      </w:r>
    </w:p>
    <w:p w14:paraId="5FD0B6A6">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中标供应商在规定期限内未能根据采购文件要求提供履约保证金；</w:t>
      </w:r>
    </w:p>
    <w:p w14:paraId="53B50A80">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投标供应商在采购文件中提供虚假技术指标及参数，经评标委员会确认属实的。</w:t>
      </w:r>
    </w:p>
    <w:p w14:paraId="7024D802">
      <w:pPr>
        <w:numPr>
          <w:ilvl w:val="0"/>
          <w:numId w:val="10"/>
        </w:numPr>
        <w:tabs>
          <w:tab w:val="left" w:pos="360"/>
          <w:tab w:val="clear" w:pos="420"/>
        </w:tabs>
        <w:spacing w:line="430" w:lineRule="exact"/>
        <w:ind w:left="720" w:hanging="7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经认定投标供应商有违反有关法律法规的行为。</w:t>
      </w:r>
    </w:p>
    <w:p w14:paraId="52A9E3CE">
      <w:pPr>
        <w:numPr>
          <w:ilvl w:val="0"/>
          <w:numId w:val="4"/>
        </w:numPr>
        <w:tabs>
          <w:tab w:val="left" w:pos="540"/>
        </w:tabs>
        <w:spacing w:line="460" w:lineRule="exact"/>
        <w:ind w:left="540" w:hanging="54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投标有效期</w:t>
      </w:r>
    </w:p>
    <w:p w14:paraId="4B5D0323">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13.1 自开标之日起</w:t>
      </w:r>
      <w:r>
        <w:rPr>
          <w:rFonts w:hint="eastAsia" w:ascii="新宋体" w:hAnsi="新宋体" w:eastAsia="新宋体" w:cs="新宋体"/>
          <w:b/>
          <w:color w:val="auto"/>
          <w:sz w:val="22"/>
          <w:szCs w:val="22"/>
          <w:highlight w:val="none"/>
          <w:u w:val="single"/>
        </w:rPr>
        <w:t xml:space="preserve"> 90</w:t>
      </w:r>
      <w:r>
        <w:rPr>
          <w:rFonts w:hint="eastAsia" w:ascii="新宋体" w:hAnsi="新宋体" w:eastAsia="新宋体" w:cs="新宋体"/>
          <w:b/>
          <w:color w:val="auto"/>
          <w:sz w:val="22"/>
          <w:szCs w:val="22"/>
          <w:highlight w:val="none"/>
        </w:rPr>
        <w:t>天内投标应保持有效。投标有效期短于这个规定期限的投标将视为非响应性投标而予以拒绝。</w:t>
      </w:r>
    </w:p>
    <w:p w14:paraId="41CF7B8F">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75251B65">
      <w:pPr>
        <w:numPr>
          <w:ilvl w:val="0"/>
          <w:numId w:val="4"/>
        </w:numPr>
        <w:tabs>
          <w:tab w:val="left" w:pos="540"/>
        </w:tabs>
        <w:spacing w:line="460" w:lineRule="exact"/>
        <w:ind w:left="540" w:hanging="5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投标文件的签署和规定</w:t>
      </w:r>
    </w:p>
    <w:p w14:paraId="754B1893">
      <w:pPr>
        <w:numPr>
          <w:ilvl w:val="1"/>
          <w:numId w:val="11"/>
        </w:numPr>
        <w:tabs>
          <w:tab w:val="left" w:pos="540"/>
          <w:tab w:val="clear" w:pos="992"/>
        </w:tabs>
        <w:spacing w:line="460" w:lineRule="exact"/>
        <w:ind w:left="54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投标供应商应按照前附表的要求提供投标文件，分别装订成册。每套投标文件的封面应清楚标</w:t>
      </w:r>
    </w:p>
    <w:p w14:paraId="4F82B788">
      <w:pPr>
        <w:numPr>
          <w:ilvl w:val="255"/>
          <w:numId w:val="0"/>
        </w:numPr>
        <w:tabs>
          <w:tab w:val="left" w:pos="540"/>
        </w:tabs>
        <w:spacing w:line="460" w:lineRule="exact"/>
        <w:ind w:left="-27"/>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明“正本”或“副本”字样，若“正本”与“副本”不符，以“正本”为准。</w:t>
      </w:r>
    </w:p>
    <w:p w14:paraId="66301250">
      <w:pPr>
        <w:numPr>
          <w:ilvl w:val="1"/>
          <w:numId w:val="11"/>
        </w:numPr>
        <w:tabs>
          <w:tab w:val="left" w:pos="540"/>
          <w:tab w:val="clear" w:pos="992"/>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投标文件的正本必须打印或用不褪色的墨水书写，并由法定代表人或其授权代表签署，副本可</w:t>
      </w:r>
    </w:p>
    <w:p w14:paraId="3F79BAAE">
      <w:pPr>
        <w:numPr>
          <w:ilvl w:val="255"/>
          <w:numId w:val="0"/>
        </w:num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用正本的复印。</w:t>
      </w:r>
    </w:p>
    <w:p w14:paraId="15AE1C17">
      <w:pPr>
        <w:numPr>
          <w:ilvl w:val="1"/>
          <w:numId w:val="11"/>
        </w:numPr>
        <w:tabs>
          <w:tab w:val="left" w:pos="540"/>
          <w:tab w:val="clear" w:pos="992"/>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投标文件如有修改和增删必须由投标文件签字人在修改和增删处旁签署或盖章，方才有效。</w:t>
      </w:r>
    </w:p>
    <w:p w14:paraId="7078FAB4">
      <w:pPr>
        <w:numPr>
          <w:ilvl w:val="1"/>
          <w:numId w:val="11"/>
        </w:numPr>
        <w:tabs>
          <w:tab w:val="left" w:pos="540"/>
          <w:tab w:val="clear" w:pos="992"/>
        </w:tabs>
        <w:spacing w:line="460" w:lineRule="exact"/>
        <w:ind w:left="540" w:hanging="54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投标文件字迹模糊或在关键的技术、商务条款上表述不清楚，将可能导致其投标被拒绝。</w:t>
      </w:r>
    </w:p>
    <w:p w14:paraId="2E6214B9">
      <w:pPr>
        <w:numPr>
          <w:ilvl w:val="0"/>
          <w:numId w:val="4"/>
        </w:numPr>
        <w:tabs>
          <w:tab w:val="left" w:pos="540"/>
        </w:tabs>
        <w:spacing w:line="460" w:lineRule="exact"/>
        <w:ind w:left="540" w:hanging="54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投标文件的密封及标记</w:t>
      </w:r>
    </w:p>
    <w:p w14:paraId="46AEB9FA">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 投标供应商必须将投标文件的“资格审查资料”、“技术资信标”、“商务报价标”分别单独密封，且在各自的密封袋上标明“资格审查资料”、“技术资信标”、“商务报价标”字样。封口处贴上封条，启封处加盖投标单位公章并由法定代表人或其授权代表签字。封皮上写明投标项目名称、项目编号，并注明“开标时启封”字样。</w:t>
      </w:r>
    </w:p>
    <w:p w14:paraId="53DB33B6">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15.2</w:t>
      </w:r>
      <w:r>
        <w:rPr>
          <w:rFonts w:hint="eastAsia" w:ascii="宋体" w:cs="宋体"/>
          <w:b/>
          <w:bCs/>
          <w:color w:val="auto"/>
          <w:sz w:val="22"/>
          <w:szCs w:val="22"/>
          <w:highlight w:val="none"/>
          <w:u w:val="single"/>
        </w:rPr>
        <w:t>▲投标文件“资格审查资料”、“技术资信标”、“商务报价标”</w:t>
      </w:r>
      <w:r>
        <w:rPr>
          <w:rFonts w:hint="eastAsia" w:ascii="新宋体" w:hAnsi="新宋体" w:eastAsia="新宋体" w:cs="新宋体"/>
          <w:b/>
          <w:color w:val="auto"/>
          <w:sz w:val="22"/>
          <w:szCs w:val="22"/>
          <w:highlight w:val="none"/>
          <w:u w:val="single"/>
        </w:rPr>
        <w:t>应分别制作编制、装订、密封</w:t>
      </w:r>
      <w:r>
        <w:rPr>
          <w:rFonts w:hint="eastAsia" w:ascii="新宋体" w:hAnsi="新宋体" w:eastAsia="新宋体" w:cs="新宋体"/>
          <w:b/>
          <w:color w:val="auto"/>
          <w:sz w:val="22"/>
          <w:szCs w:val="22"/>
          <w:highlight w:val="none"/>
        </w:rPr>
        <w:t>。</w:t>
      </w:r>
    </w:p>
    <w:p w14:paraId="69ECC279">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15.3如果投标供应商未按上述要求密封及加写标记，导致投标文件被拒绝接收的责任自负。</w:t>
      </w:r>
    </w:p>
    <w:p w14:paraId="7E117F98">
      <w:pPr>
        <w:spacing w:before="100" w:beforeAutospacing="1" w:after="100" w:afterAutospacing="1" w:line="440" w:lineRule="exact"/>
        <w:ind w:left="783" w:hanging="783" w:hangingChars="300"/>
        <w:jc w:val="center"/>
        <w:outlineLvl w:val="0"/>
        <w:rPr>
          <w:rFonts w:ascii="新宋体" w:hAnsi="新宋体" w:eastAsia="新宋体" w:cs="新宋体"/>
          <w:color w:val="auto"/>
          <w:sz w:val="22"/>
          <w:szCs w:val="22"/>
          <w:highlight w:val="none"/>
        </w:rPr>
      </w:pPr>
      <w:bookmarkStart w:id="55" w:name="_Toc221423619"/>
      <w:bookmarkStart w:id="56" w:name="_Toc2319"/>
      <w:bookmarkStart w:id="57" w:name="_Toc239145354"/>
      <w:bookmarkStart w:id="58" w:name="_Toc71374675"/>
      <w:bookmarkStart w:id="59" w:name="_Toc223715998"/>
      <w:bookmarkStart w:id="60" w:name="_Toc221356951"/>
      <w:bookmarkStart w:id="61" w:name="_Toc241404202"/>
      <w:bookmarkStart w:id="62" w:name="_Toc265529383"/>
      <w:bookmarkStart w:id="63" w:name="_Toc221374626"/>
      <w:bookmarkStart w:id="64" w:name="_Toc221356887"/>
      <w:bookmarkStart w:id="65" w:name="_Toc222114879"/>
      <w:r>
        <w:rPr>
          <w:rFonts w:hint="eastAsia" w:ascii="新宋体" w:hAnsi="新宋体" w:eastAsia="新宋体" w:cs="新宋体"/>
          <w:b/>
          <w:bCs/>
          <w:color w:val="auto"/>
          <w:sz w:val="26"/>
          <w:szCs w:val="26"/>
          <w:highlight w:val="none"/>
        </w:rPr>
        <w:t>四、 投标文件的递交</w:t>
      </w:r>
      <w:bookmarkEnd w:id="55"/>
      <w:bookmarkEnd w:id="56"/>
      <w:bookmarkEnd w:id="57"/>
      <w:bookmarkEnd w:id="58"/>
      <w:bookmarkEnd w:id="59"/>
      <w:bookmarkEnd w:id="60"/>
      <w:bookmarkEnd w:id="61"/>
      <w:bookmarkEnd w:id="62"/>
      <w:bookmarkEnd w:id="63"/>
      <w:bookmarkEnd w:id="64"/>
      <w:bookmarkEnd w:id="65"/>
    </w:p>
    <w:p w14:paraId="6F05DC21">
      <w:pPr>
        <w:numPr>
          <w:ilvl w:val="0"/>
          <w:numId w:val="12"/>
        </w:num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投标文件的递交</w:t>
      </w:r>
    </w:p>
    <w:p w14:paraId="10411B12">
      <w:pPr>
        <w:tabs>
          <w:tab w:val="left" w:pos="540"/>
        </w:tabs>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16.1 投标文件必须在规定的投标截止时间前送达到指定的收标地点；</w:t>
      </w:r>
    </w:p>
    <w:p w14:paraId="492CC8CF">
      <w:pPr>
        <w:tabs>
          <w:tab w:val="left" w:pos="540"/>
        </w:tabs>
        <w:spacing w:line="460" w:lineRule="exact"/>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16.2 在递交投标文件同时递交以下证明文件，由采购人或采购代理机构在开启投标文件技术资信标后确认投标资格：</w:t>
      </w:r>
    </w:p>
    <w:p w14:paraId="28D81EDC">
      <w:pPr>
        <w:numPr>
          <w:ilvl w:val="0"/>
          <w:numId w:val="13"/>
        </w:num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投标保证金缴纳证明文件；</w:t>
      </w:r>
    </w:p>
    <w:p w14:paraId="7C6E6972">
      <w:pPr>
        <w:numPr>
          <w:ilvl w:val="0"/>
          <w:numId w:val="13"/>
        </w:numPr>
        <w:tabs>
          <w:tab w:val="left" w:pos="540"/>
        </w:tabs>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法定代表人有效身份证明原件（若投标供应商代表为法定代表人）；</w:t>
      </w:r>
    </w:p>
    <w:p w14:paraId="403043C4">
      <w:pPr>
        <w:numPr>
          <w:ilvl w:val="0"/>
          <w:numId w:val="13"/>
        </w:numPr>
        <w:tabs>
          <w:tab w:val="left" w:pos="540"/>
        </w:tabs>
        <w:spacing w:line="460" w:lineRule="exact"/>
        <w:rPr>
          <w:rFonts w:ascii="新宋体" w:hAnsi="新宋体" w:eastAsia="新宋体" w:cs="新宋体"/>
          <w:bCs/>
          <w:color w:val="auto"/>
          <w:sz w:val="22"/>
          <w:szCs w:val="22"/>
          <w:highlight w:val="none"/>
          <w:u w:val="single"/>
        </w:rPr>
      </w:pPr>
      <w:r>
        <w:rPr>
          <w:rFonts w:hint="eastAsia" w:ascii="新宋体" w:hAnsi="新宋体" w:eastAsia="新宋体" w:cs="新宋体"/>
          <w:bCs/>
          <w:color w:val="auto"/>
          <w:kern w:val="0"/>
          <w:sz w:val="22"/>
          <w:szCs w:val="22"/>
          <w:highlight w:val="none"/>
        </w:rPr>
        <w:t>法定代表人授权书原件及授权代表有效身份证明原件</w:t>
      </w:r>
    </w:p>
    <w:p w14:paraId="48F45A1D">
      <w:pPr>
        <w:numPr>
          <w:ilvl w:val="0"/>
          <w:numId w:val="0"/>
        </w:numPr>
        <w:tabs>
          <w:tab w:val="left" w:pos="540"/>
        </w:tabs>
        <w:spacing w:line="460" w:lineRule="exact"/>
        <w:ind w:firstLine="440" w:firstLineChars="200"/>
        <w:rPr>
          <w:rFonts w:ascii="新宋体" w:hAnsi="新宋体" w:eastAsia="新宋体" w:cs="新宋体"/>
          <w:bCs/>
          <w:color w:val="auto"/>
          <w:sz w:val="22"/>
          <w:szCs w:val="22"/>
          <w:highlight w:val="none"/>
          <w:u w:val="single"/>
        </w:rPr>
      </w:pPr>
      <w:r>
        <w:rPr>
          <w:rFonts w:hint="eastAsia" w:ascii="新宋体" w:hAnsi="新宋体" w:eastAsia="新宋体" w:cs="新宋体"/>
          <w:bCs/>
          <w:color w:val="auto"/>
          <w:kern w:val="0"/>
          <w:sz w:val="22"/>
          <w:szCs w:val="22"/>
          <w:highlight w:val="none"/>
        </w:rPr>
        <w:t>（若法定代表人在参加投标活动的同时另行委派投标供应商代表，法定代表人授权书原件</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rPr>
        <w:t>投标保证金缴纳证明文件如密封在投标文件技术资信标中，在技术资信标开启后经采购人或采购代理机构查验符合要求亦为有效）；</w:t>
      </w:r>
    </w:p>
    <w:p w14:paraId="7755863A">
      <w:pPr>
        <w:numPr>
          <w:ilvl w:val="0"/>
          <w:numId w:val="12"/>
        </w:num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投标文件的修改和撤回</w:t>
      </w:r>
    </w:p>
    <w:p w14:paraId="5B172D45">
      <w:p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17.1 在投标截止时间前，投标供应商可以用书面形式提出修改或撤回其投标并送达到采购人，但不得影响开标活动的正常进行。</w:t>
      </w:r>
    </w:p>
    <w:p w14:paraId="604AFC84">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17.2 “投标文件修改”或“投标文件撤回通知”都应密封并在密封袋上写明投标项目名称、项目编号、投标单位名称，并注明“投标文件修改”或“投标文件撤回通知”字样。</w:t>
      </w:r>
    </w:p>
    <w:p w14:paraId="53EBDE5A">
      <w:pPr>
        <w:tabs>
          <w:tab w:val="left" w:pos="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17.3 从投标截止日期起至投标有效期满这段时间内，投标供应商不得撤回其投标，否则投标保证金将</w:t>
      </w:r>
      <w:r>
        <w:rPr>
          <w:rFonts w:hint="eastAsia" w:ascii="新宋体" w:hAnsi="新宋体" w:eastAsia="新宋体" w:cs="新宋体"/>
          <w:color w:val="auto"/>
          <w:sz w:val="22"/>
          <w:szCs w:val="22"/>
          <w:highlight w:val="none"/>
        </w:rPr>
        <w:t>被不予退还。</w:t>
      </w:r>
    </w:p>
    <w:p w14:paraId="3BC4B800">
      <w:pPr>
        <w:numPr>
          <w:ilvl w:val="0"/>
          <w:numId w:val="12"/>
        </w:numPr>
        <w:tabs>
          <w:tab w:val="left" w:pos="540"/>
        </w:tabs>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color w:val="auto"/>
          <w:sz w:val="22"/>
          <w:highlight w:val="none"/>
        </w:rPr>
        <w:t>递交投标文件时，需满足以下要求，否则该投标文件予以拒绝：</w:t>
      </w:r>
    </w:p>
    <w:p w14:paraId="0BA7E67B">
      <w:pPr>
        <w:tabs>
          <w:tab w:val="left" w:pos="54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18.1 在投标截止时间之前递交。</w:t>
      </w:r>
    </w:p>
    <w:p w14:paraId="5B03EDDF">
      <w:pPr>
        <w:tabs>
          <w:tab w:val="left" w:pos="54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18.2 包装与密封符合采购文件要求。</w:t>
      </w:r>
    </w:p>
    <w:p w14:paraId="469D9DA6">
      <w:pPr>
        <w:tabs>
          <w:tab w:val="left" w:pos="540"/>
        </w:tabs>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18.3 投标文件递交到指定的投标地点。</w:t>
      </w:r>
    </w:p>
    <w:p w14:paraId="05B1F6AA">
      <w:pPr>
        <w:tabs>
          <w:tab w:val="left" w:pos="360"/>
          <w:tab w:val="left" w:pos="540"/>
          <w:tab w:val="left" w:pos="1260"/>
        </w:tabs>
        <w:spacing w:before="100" w:beforeAutospacing="1" w:after="100" w:afterAutospacing="1" w:line="440" w:lineRule="exact"/>
        <w:ind w:left="919" w:hanging="919" w:hangingChars="352"/>
        <w:jc w:val="center"/>
        <w:outlineLvl w:val="0"/>
        <w:rPr>
          <w:rFonts w:ascii="新宋体" w:hAnsi="新宋体" w:eastAsia="新宋体" w:cs="新宋体"/>
          <w:color w:val="auto"/>
          <w:sz w:val="22"/>
          <w:szCs w:val="22"/>
          <w:highlight w:val="none"/>
        </w:rPr>
      </w:pPr>
      <w:bookmarkStart w:id="66" w:name="_Toc241404203"/>
      <w:bookmarkStart w:id="67" w:name="_Toc265529384"/>
      <w:bookmarkStart w:id="68" w:name="_Toc221356952"/>
      <w:bookmarkStart w:id="69" w:name="_Toc222114880"/>
      <w:bookmarkStart w:id="70" w:name="_Toc22461"/>
      <w:bookmarkStart w:id="71" w:name="_Toc221356888"/>
      <w:bookmarkStart w:id="72" w:name="_Toc223715999"/>
      <w:bookmarkStart w:id="73" w:name="_Toc239145355"/>
      <w:bookmarkStart w:id="74" w:name="_Toc221374627"/>
      <w:bookmarkStart w:id="75" w:name="_Toc71374676"/>
      <w:bookmarkStart w:id="76" w:name="_Toc221423620"/>
      <w:r>
        <w:rPr>
          <w:rFonts w:hint="eastAsia" w:ascii="新宋体" w:hAnsi="新宋体" w:eastAsia="新宋体" w:cs="新宋体"/>
          <w:b/>
          <w:bCs/>
          <w:color w:val="auto"/>
          <w:sz w:val="26"/>
          <w:szCs w:val="26"/>
          <w:highlight w:val="none"/>
        </w:rPr>
        <w:t>五、 开标和评标</w:t>
      </w:r>
      <w:bookmarkEnd w:id="66"/>
      <w:bookmarkEnd w:id="67"/>
      <w:bookmarkEnd w:id="68"/>
      <w:bookmarkEnd w:id="69"/>
      <w:bookmarkEnd w:id="70"/>
      <w:bookmarkEnd w:id="71"/>
      <w:bookmarkEnd w:id="72"/>
      <w:bookmarkEnd w:id="73"/>
      <w:bookmarkEnd w:id="74"/>
      <w:bookmarkEnd w:id="75"/>
      <w:bookmarkEnd w:id="76"/>
    </w:p>
    <w:p w14:paraId="7ED960AE">
      <w:pPr>
        <w:numPr>
          <w:ilvl w:val="0"/>
          <w:numId w:val="14"/>
        </w:numPr>
        <w:tabs>
          <w:tab w:val="left" w:pos="540"/>
        </w:tabs>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评标委员会</w:t>
      </w:r>
    </w:p>
    <w:p w14:paraId="4D81A230">
      <w:pPr>
        <w:spacing w:line="440" w:lineRule="exact"/>
        <w:ind w:left="42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评标委员会成员由采购人代表和有关技术、经济等方面的专家组成，不少于5人，其中技术、经</w:t>
      </w:r>
    </w:p>
    <w:p w14:paraId="6367130E">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济等方面的专家成员人数不得少于成员总数的2/3，所有评标专家应在评标专家库中随机抽取产生。评标委员会的成员在评标过程中必须严格遵守《温州市市属国有企业采购管理办法》及有关法律、法规组织和实施的</w:t>
      </w:r>
      <w:r>
        <w:rPr>
          <w:rFonts w:hint="eastAsia" w:ascii="新宋体" w:hAnsi="新宋体" w:eastAsia="新宋体" w:cs="新宋体"/>
          <w:bCs/>
          <w:color w:val="auto"/>
          <w:sz w:val="22"/>
          <w:szCs w:val="22"/>
          <w:highlight w:val="none"/>
        </w:rPr>
        <w:t>。</w:t>
      </w:r>
    </w:p>
    <w:p w14:paraId="6C0E5515">
      <w:pPr>
        <w:numPr>
          <w:ilvl w:val="0"/>
          <w:numId w:val="14"/>
        </w:numPr>
        <w:tabs>
          <w:tab w:val="left" w:pos="540"/>
        </w:tabs>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评标过程的保密性</w:t>
      </w:r>
    </w:p>
    <w:p w14:paraId="3DB2C22B">
      <w:pPr>
        <w:spacing w:line="44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开标后直至向中标供应商授予合同时止，凡与评审有关的资料均不得向投标供应商及与评标无关人员透露。如果投标供应商在评标过程中试图向采购人和采购代理机构施加影响，其投标将被拒绝。</w:t>
      </w:r>
    </w:p>
    <w:p w14:paraId="522FDD8A">
      <w:pPr>
        <w:numPr>
          <w:ilvl w:val="0"/>
          <w:numId w:val="14"/>
        </w:numPr>
        <w:tabs>
          <w:tab w:val="left" w:pos="540"/>
        </w:tabs>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开标、评标</w:t>
      </w:r>
    </w:p>
    <w:p w14:paraId="7C7C77CA">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21.1采购人按采购文件规定的时间、地点开启投标文件。开标前，首先检查投标文件的密封情况，确认无误后开启投标文件。</w:t>
      </w:r>
    </w:p>
    <w:p w14:paraId="384A1104">
      <w:pPr>
        <w:numPr>
          <w:ilvl w:val="0"/>
          <w:numId w:val="15"/>
        </w:num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开标时邀请所有投标供应商代表参加，参加开标的代表应准时出席并签名报到以证明其出席。投标供应商代表未参加开标会的，事后不得对开标过程和开标结果提出异议。</w:t>
      </w:r>
    </w:p>
    <w:p w14:paraId="5376079F">
      <w:pPr>
        <w:numPr>
          <w:ilvl w:val="0"/>
          <w:numId w:val="15"/>
        </w:numPr>
        <w:spacing w:line="440" w:lineRule="exact"/>
        <w:ind w:firstLine="399" w:firstLineChars="190"/>
        <w:rPr>
          <w:rFonts w:ascii="新宋体" w:hAnsi="新宋体" w:eastAsia="新宋体" w:cs="新宋体"/>
          <w:color w:val="auto"/>
          <w:kern w:val="0"/>
          <w:sz w:val="22"/>
          <w:szCs w:val="22"/>
          <w:highlight w:val="none"/>
        </w:rPr>
      </w:pPr>
      <w:r>
        <w:rPr>
          <w:rFonts w:hint="eastAsia" w:ascii="新宋体" w:hAnsi="新宋体" w:eastAsia="新宋体" w:cs="新宋体"/>
          <w:bCs/>
          <w:color w:val="auto"/>
          <w:szCs w:val="21"/>
          <w:highlight w:val="none"/>
        </w:rPr>
        <w:t>开标时，应当由投标供应商推选的代表检查投标文件的密封情况；经确认无误后，由采购代理机构工作人员当众拆封，宣布投标供应商名称、投标价格和采购文件规定的需要宣布的其他内容。采购代理机构指定专人作好记录，存档备查。</w:t>
      </w:r>
      <w:r>
        <w:rPr>
          <w:rFonts w:hint="eastAsia" w:ascii="新宋体" w:hAnsi="新宋体" w:eastAsia="新宋体" w:cs="新宋体"/>
          <w:color w:val="auto"/>
          <w:kern w:val="0"/>
          <w:sz w:val="22"/>
          <w:szCs w:val="22"/>
          <w:highlight w:val="none"/>
        </w:rPr>
        <w:t>投标供应商代表应对宣读内容及记录结果当场进行校核和签字确认，如有异议应当场提出，否则视为默许同意。</w:t>
      </w:r>
    </w:p>
    <w:p w14:paraId="556432DE">
      <w:pPr>
        <w:numPr>
          <w:ilvl w:val="0"/>
          <w:numId w:val="15"/>
        </w:numPr>
        <w:spacing w:line="440" w:lineRule="exact"/>
        <w:ind w:firstLine="399" w:firstLineChars="190"/>
        <w:rPr>
          <w:rFonts w:ascii="新宋体" w:hAnsi="新宋体" w:eastAsia="新宋体" w:cs="新宋体"/>
          <w:color w:val="auto"/>
          <w:kern w:val="0"/>
          <w:sz w:val="22"/>
          <w:szCs w:val="22"/>
          <w:highlight w:val="none"/>
        </w:rPr>
      </w:pPr>
      <w:r>
        <w:rPr>
          <w:rFonts w:hint="eastAsia" w:ascii="新宋体" w:hAnsi="新宋体" w:eastAsia="新宋体" w:cs="新宋体"/>
          <w:bCs/>
          <w:color w:val="auto"/>
          <w:szCs w:val="21"/>
          <w:highlight w:val="none"/>
        </w:rPr>
        <w:t>开标结束后，采购人或采购代理机构依法对投标供应商的资格进行审查。</w:t>
      </w:r>
      <w:r>
        <w:rPr>
          <w:rFonts w:hint="eastAsia" w:ascii="新宋体" w:hAnsi="新宋体" w:eastAsia="新宋体" w:cs="新宋体"/>
          <w:color w:val="auto"/>
          <w:kern w:val="0"/>
          <w:sz w:val="22"/>
          <w:szCs w:val="22"/>
          <w:highlight w:val="none"/>
        </w:rPr>
        <w:t>通过资格审查视作具备投标资格，审查不合格的投标文件将不进入后续详细评审。</w:t>
      </w:r>
    </w:p>
    <w:p w14:paraId="1758C04C">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21.2投标文件的初审（符合性检查）。</w:t>
      </w:r>
    </w:p>
    <w:p w14:paraId="139D50E7">
      <w:pPr>
        <w:spacing w:line="44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1CCF36F0">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21.3▲</w:t>
      </w:r>
      <w:r>
        <w:rPr>
          <w:rFonts w:hint="eastAsia" w:ascii="新宋体" w:hAnsi="新宋体" w:eastAsia="新宋体" w:cs="新宋体"/>
          <w:b/>
          <w:bCs/>
          <w:color w:val="auto"/>
          <w:kern w:val="0"/>
          <w:sz w:val="22"/>
          <w:szCs w:val="22"/>
          <w:highlight w:val="none"/>
          <w:u w:val="single"/>
        </w:rPr>
        <w:t>投标供应商存在下列情况之一的，投标无效</w:t>
      </w:r>
      <w:r>
        <w:rPr>
          <w:rFonts w:hint="eastAsia" w:ascii="新宋体" w:hAnsi="新宋体" w:eastAsia="新宋体" w:cs="新宋体"/>
          <w:color w:val="auto"/>
          <w:kern w:val="0"/>
          <w:sz w:val="22"/>
          <w:szCs w:val="22"/>
          <w:highlight w:val="none"/>
        </w:rPr>
        <w:t>:</w:t>
      </w:r>
    </w:p>
    <w:p w14:paraId="4FFF3081">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1）未按照采购文件的规定提交投标保证金的；</w:t>
      </w:r>
    </w:p>
    <w:p w14:paraId="6244B36B">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2）投标文件正本未按采购文件要求签署、盖章的；</w:t>
      </w:r>
    </w:p>
    <w:p w14:paraId="6A3E4D08">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3）不具备采购文件中规定的资格要求的；</w:t>
      </w:r>
    </w:p>
    <w:p w14:paraId="7D38767F">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4）报价超过采购文件中规定的</w:t>
      </w:r>
      <w:r>
        <w:rPr>
          <w:rFonts w:hint="eastAsia" w:ascii="新宋体" w:hAnsi="新宋体" w:eastAsia="新宋体" w:cs="新宋体"/>
          <w:color w:val="auto"/>
          <w:kern w:val="0"/>
          <w:sz w:val="22"/>
          <w:szCs w:val="22"/>
          <w:highlight w:val="none"/>
          <w:u w:val="single"/>
          <w:lang w:eastAsia="zh-CN"/>
        </w:rPr>
        <w:t>最高</w:t>
      </w:r>
      <w:r>
        <w:rPr>
          <w:rFonts w:hint="eastAsia" w:ascii="新宋体" w:hAnsi="新宋体" w:eastAsia="新宋体" w:cs="新宋体"/>
          <w:color w:val="auto"/>
          <w:kern w:val="0"/>
          <w:sz w:val="22"/>
          <w:szCs w:val="22"/>
          <w:highlight w:val="none"/>
          <w:u w:val="single"/>
        </w:rPr>
        <w:t>投标限价的；</w:t>
      </w:r>
    </w:p>
    <w:p w14:paraId="16C1A05C">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5）投标文件含有采购人不能接受的附加条件的（包括采购文件中明确要求不得偏离的采购要求，存在负偏离的）；</w:t>
      </w:r>
    </w:p>
    <w:p w14:paraId="1BEB973F">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6）投标供应商递交两份或两份以上内容不同的投标文件，未声明哪一份有效的；</w:t>
      </w:r>
    </w:p>
    <w:p w14:paraId="7BA8A823">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7）未对所有项目内容进行投标的；</w:t>
      </w:r>
    </w:p>
    <w:p w14:paraId="25D37CCC">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8）存在串标、抬标或弄虚作假情况的；</w:t>
      </w:r>
    </w:p>
    <w:p w14:paraId="59C3DFDC">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9）法律、法规和采购文件规定的其他无效情形（或出现重大偏差）。</w:t>
      </w:r>
    </w:p>
    <w:p w14:paraId="0EFF61C5">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21.4▲</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14:paraId="4A2A7DF9">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1）未按采购文件要求编制或字迹模糊、辨认不清的投标文件；</w:t>
      </w:r>
    </w:p>
    <w:p w14:paraId="5C540BDE">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2）除21.3条款以外，出现其它明显不符合技术规格、技术标准的要求或不满足采购文件技术规格书中的主要参数的投标文件；</w:t>
      </w:r>
    </w:p>
    <w:p w14:paraId="562CD5AD">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3）除21.3条款以外，出现投标项目数量与采购文件对比出现较大偏差；商务报价明细表计算错误，出现较大差错；</w:t>
      </w:r>
    </w:p>
    <w:p w14:paraId="5E12022C">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4）除21.3条款以外，出现其它不符合采购文件中规定的实质性要求的投标文件，是否为偏离实质性要求由评标委员会认定。</w:t>
      </w:r>
    </w:p>
    <w:p w14:paraId="02C19C91">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21.5</w:t>
      </w:r>
      <w:r>
        <w:rPr>
          <w:rFonts w:hint="eastAsia" w:ascii="新宋体" w:hAnsi="新宋体" w:eastAsia="新宋体" w:cs="新宋体"/>
          <w:b/>
          <w:bCs/>
          <w:color w:val="auto"/>
          <w:kern w:val="0"/>
          <w:sz w:val="22"/>
          <w:szCs w:val="22"/>
          <w:highlight w:val="none"/>
          <w:u w:val="single"/>
        </w:rPr>
        <w:t>有下列情形之一的，视为投标供应商串通投标，其投标无效</w:t>
      </w:r>
      <w:r>
        <w:rPr>
          <w:rFonts w:hint="eastAsia" w:ascii="新宋体" w:hAnsi="新宋体" w:eastAsia="新宋体" w:cs="新宋体"/>
          <w:color w:val="auto"/>
          <w:kern w:val="0"/>
          <w:sz w:val="22"/>
          <w:szCs w:val="22"/>
          <w:highlight w:val="none"/>
        </w:rPr>
        <w:t>：</w:t>
      </w:r>
    </w:p>
    <w:p w14:paraId="2FB13548">
      <w:pPr>
        <w:numPr>
          <w:ilvl w:val="0"/>
          <w:numId w:val="16"/>
        </w:num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不同投标供应商的投标文件由同一单位或者个人编制；</w:t>
      </w:r>
    </w:p>
    <w:p w14:paraId="5621C5F5">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 不同投标供应商委托同一单位或者个人办理投标事宜；</w:t>
      </w:r>
    </w:p>
    <w:p w14:paraId="479AD097">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 不同投标供应商的投标文件载明的项目管理成员或者联系人员为同一人；</w:t>
      </w:r>
    </w:p>
    <w:p w14:paraId="7E3044DF">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4）不同投标供应商的投标文件异常一致或者投标报价呈规律性差异；</w:t>
      </w:r>
    </w:p>
    <w:p w14:paraId="5AE61C99">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5）不同投标供应商的投标文件相互混装；</w:t>
      </w:r>
    </w:p>
    <w:p w14:paraId="3E841BD5">
      <w:pPr>
        <w:spacing w:line="440" w:lineRule="exact"/>
        <w:ind w:firstLine="418" w:firstLineChars="19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6）不同投标供应商的投标保证金从同一单位或者个人的账户转出。</w:t>
      </w:r>
    </w:p>
    <w:p w14:paraId="7DBFB3D7">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21.6评标委员会对各投标供应商的商务报价进行核查时，若发现投标报价内容不清楚可要求投标供应商书面澄清，计算上的错误，可按下面方法修正：</w:t>
      </w:r>
    </w:p>
    <w:p w14:paraId="76787FA6">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1）投标文件中开标一览表(报价表)内容与投标文件中相应内容不一致的，以开标一览表(报价表)为准；</w:t>
      </w:r>
    </w:p>
    <w:p w14:paraId="78A813EC">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2）大写金额和小写金额不一致的，以大写金额为准；</w:t>
      </w:r>
    </w:p>
    <w:p w14:paraId="1A94B644">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3）单价金额小数点或者百分比有明显错位的，以开标一览表的总价为准，并修改单价；</w:t>
      </w:r>
    </w:p>
    <w:p w14:paraId="3E5B5A25">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4）总价金额与按单价汇总金额不一致的，以单价金额计算结果为准。</w:t>
      </w:r>
    </w:p>
    <w:p w14:paraId="4F3D8C7A">
      <w:pPr>
        <w:spacing w:line="44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同时出现两种以上不一致的，按照前款规定的顺序修正。如果投标人不接受对其价格错误进行修正，其投标将被否决。</w:t>
      </w:r>
    </w:p>
    <w:p w14:paraId="19030FCA">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50170B04">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21.8实质上没有响应采购文件要求的投标将被拒绝，投标供应商不得通过修正或撤消不合要求的偏离或保留从而使其投标成为实质上响应的投标。</w:t>
      </w:r>
    </w:p>
    <w:p w14:paraId="581F7803">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21.9▲</w:t>
      </w:r>
      <w:r>
        <w:rPr>
          <w:rFonts w:hint="eastAsia" w:ascii="新宋体" w:hAnsi="新宋体" w:eastAsia="新宋体" w:cs="新宋体"/>
          <w:b/>
          <w:bCs/>
          <w:color w:val="auto"/>
          <w:kern w:val="0"/>
          <w:sz w:val="22"/>
          <w:szCs w:val="22"/>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6838AA94">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21.10评标委员会对审查合格的投标文件按照采购文件中制订的评标方法进行综合评定打分。</w:t>
      </w:r>
    </w:p>
    <w:p w14:paraId="2004B3E7">
      <w:pPr>
        <w:spacing w:line="44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21.11评标过程中遇到特殊情况，由评标委员会遵循公开、公正原则，采取投票方式按照少数服从多数原则决定。</w:t>
      </w:r>
    </w:p>
    <w:p w14:paraId="74D5DCA6">
      <w:pPr>
        <w:tabs>
          <w:tab w:val="left" w:pos="540"/>
        </w:tabs>
        <w:spacing w:line="44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21.12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sz w:val="22"/>
          <w:szCs w:val="22"/>
          <w:highlight w:val="none"/>
          <w:u w:val="single"/>
        </w:rPr>
        <w:t>投标截止时间止及评审期间，出现有效投标供应商不足3家的，则本项目按流（废）标处理，重新组织采购。</w:t>
      </w:r>
    </w:p>
    <w:p w14:paraId="4AECEA73">
      <w:pPr>
        <w:numPr>
          <w:ilvl w:val="0"/>
          <w:numId w:val="14"/>
        </w:numPr>
        <w:tabs>
          <w:tab w:val="left" w:pos="540"/>
        </w:tabs>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投标文件的澄清</w:t>
      </w:r>
    </w:p>
    <w:p w14:paraId="3BE10D3D">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22.1 在评标期间，评标委员会可以书面方式要求投标供应商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供应商，评标委员会可以否决其投标。</w:t>
      </w:r>
    </w:p>
    <w:p w14:paraId="52F6F132">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22.2 经澄清后，若偏差仍存在，且不可接受，投标供应商则被认为是“没有实质性响应采购文件要求”，其投标不进入下一步评审。</w:t>
      </w:r>
    </w:p>
    <w:p w14:paraId="1A176E02">
      <w:pPr>
        <w:numPr>
          <w:ilvl w:val="0"/>
          <w:numId w:val="14"/>
        </w:numPr>
        <w:spacing w:line="440" w:lineRule="exact"/>
        <w:rPr>
          <w:rFonts w:ascii="新宋体" w:hAnsi="新宋体" w:eastAsia="新宋体" w:cs="新宋体"/>
          <w:color w:val="auto"/>
          <w:sz w:val="22"/>
          <w:szCs w:val="22"/>
          <w:highlight w:val="none"/>
        </w:rPr>
      </w:pPr>
      <w:bookmarkStart w:id="77" w:name="_Toc221356889"/>
      <w:bookmarkStart w:id="78" w:name="_Toc221374628"/>
      <w:bookmarkStart w:id="79" w:name="_Toc222114881"/>
      <w:bookmarkStart w:id="80" w:name="_Toc241404204"/>
      <w:bookmarkStart w:id="81" w:name="_Toc221356953"/>
      <w:bookmarkStart w:id="82" w:name="_Toc223716000"/>
      <w:bookmarkStart w:id="83" w:name="_Toc265529385"/>
      <w:bookmarkStart w:id="84" w:name="_Toc221423621"/>
      <w:bookmarkStart w:id="85" w:name="_Toc239145356"/>
      <w:r>
        <w:rPr>
          <w:rFonts w:hint="eastAsia" w:ascii="新宋体" w:hAnsi="新宋体" w:eastAsia="新宋体" w:cs="新宋体"/>
          <w:bCs/>
          <w:color w:val="auto"/>
          <w:sz w:val="22"/>
          <w:szCs w:val="22"/>
          <w:highlight w:val="none"/>
        </w:rPr>
        <w:t>确定中标候选供应商</w:t>
      </w:r>
    </w:p>
    <w:p w14:paraId="078B96C6">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23.1 本次采购由评标委员会推荐中标候选供应商，采购人根据评标委员会的推荐结果进行最终确认。</w:t>
      </w:r>
    </w:p>
    <w:p w14:paraId="4C571C72">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 评标委员会依据法律、法规及采购文件有关规定在有效标中按投标供应商的最终得分（即技术资信分与商务报价分之和）高低进行排序，得分前二名的投标供应商推荐为第一中标候选供应商与第二中标候选供应商（得分相同投标报价低的排序第一；得分且投标报价相同的，由评标委员会成员抽签决定排序）。</w:t>
      </w:r>
    </w:p>
    <w:p w14:paraId="4AA8031D">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23.4</w:t>
      </w:r>
      <w:r>
        <w:rPr>
          <w:rFonts w:hint="eastAsia" w:ascii="新宋体" w:hAnsi="新宋体" w:eastAsia="新宋体" w:cs="新宋体"/>
          <w:color w:val="auto"/>
          <w:kern w:val="0"/>
          <w:sz w:val="22"/>
          <w:szCs w:val="22"/>
          <w:highlight w:val="none"/>
          <w:lang w:val="zh-CN"/>
        </w:rPr>
        <w:t>若出现以下情形之一，采购人可视具体情况确定是否由第二中标候选供应商为中标人或重新组织采购：</w:t>
      </w:r>
    </w:p>
    <w:p w14:paraId="20ED1A4C">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1）中标候选供应商放弃中标资格；</w:t>
      </w:r>
    </w:p>
    <w:p w14:paraId="6ECA4E97">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2）中标候选供应商因不可抗力提出不能履行合同；</w:t>
      </w:r>
    </w:p>
    <w:p w14:paraId="0FF3BC9E">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3）中标候选供应商未能在规定的期限内提交履约保证金；</w:t>
      </w:r>
    </w:p>
    <w:p w14:paraId="0B0B933A">
      <w:pPr>
        <w:tabs>
          <w:tab w:val="left" w:pos="540"/>
        </w:tabs>
        <w:autoSpaceDE w:val="0"/>
        <w:autoSpaceDN w:val="0"/>
        <w:adjustRightInd w:val="0"/>
        <w:spacing w:line="440" w:lineRule="atLeast"/>
        <w:ind w:left="567"/>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4）中标候选供应商未能在规定时间内与采购单位签订合同；</w:t>
      </w:r>
    </w:p>
    <w:p w14:paraId="7A1A2F78">
      <w:pPr>
        <w:tabs>
          <w:tab w:val="left" w:pos="540"/>
        </w:tabs>
        <w:autoSpaceDE w:val="0"/>
        <w:autoSpaceDN w:val="0"/>
        <w:adjustRightInd w:val="0"/>
        <w:spacing w:line="440" w:lineRule="atLeast"/>
        <w:ind w:left="567"/>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5）经质疑，采购人审查后，中标候选供应商确实在本次采购活动中存在违法违规行为或其他原因使质疑成立的。</w:t>
      </w:r>
    </w:p>
    <w:p w14:paraId="51DDE66C">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23.5 采购人、采购代理机构及评标委员会不向落标的投标供应商解释落标原因，也不公布评标过程中的相关细节。</w:t>
      </w:r>
    </w:p>
    <w:p w14:paraId="5600DE8E">
      <w:pPr>
        <w:numPr>
          <w:ilvl w:val="0"/>
          <w:numId w:val="14"/>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评标细则详见“评标原则及方法”。</w:t>
      </w:r>
    </w:p>
    <w:p w14:paraId="4C707CE9">
      <w:pPr>
        <w:spacing w:before="100" w:beforeAutospacing="1" w:after="100" w:afterAutospacing="1" w:line="440" w:lineRule="exact"/>
        <w:ind w:left="-6"/>
        <w:jc w:val="center"/>
        <w:outlineLvl w:val="0"/>
        <w:rPr>
          <w:rFonts w:ascii="新宋体" w:hAnsi="新宋体" w:eastAsia="新宋体" w:cs="新宋体"/>
          <w:b/>
          <w:bCs/>
          <w:color w:val="auto"/>
          <w:sz w:val="26"/>
          <w:szCs w:val="26"/>
          <w:highlight w:val="none"/>
        </w:rPr>
      </w:pPr>
      <w:bookmarkStart w:id="86" w:name="_Toc26949"/>
      <w:bookmarkStart w:id="87" w:name="_Toc71374677"/>
      <w:r>
        <w:rPr>
          <w:rFonts w:hint="eastAsia" w:ascii="新宋体" w:hAnsi="新宋体" w:eastAsia="新宋体" w:cs="新宋体"/>
          <w:b/>
          <w:bCs/>
          <w:color w:val="auto"/>
          <w:sz w:val="26"/>
          <w:szCs w:val="26"/>
          <w:highlight w:val="none"/>
        </w:rPr>
        <w:t>六、 授予合同</w:t>
      </w:r>
      <w:bookmarkEnd w:id="77"/>
      <w:bookmarkEnd w:id="78"/>
      <w:bookmarkEnd w:id="79"/>
      <w:bookmarkEnd w:id="80"/>
      <w:bookmarkEnd w:id="81"/>
      <w:bookmarkEnd w:id="82"/>
      <w:bookmarkEnd w:id="83"/>
      <w:bookmarkEnd w:id="84"/>
      <w:bookmarkEnd w:id="85"/>
      <w:bookmarkEnd w:id="86"/>
      <w:bookmarkEnd w:id="87"/>
    </w:p>
    <w:p w14:paraId="33906099">
      <w:pPr>
        <w:numPr>
          <w:ilvl w:val="0"/>
          <w:numId w:val="14"/>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确定中标供应商</w:t>
      </w:r>
    </w:p>
    <w:p w14:paraId="51C787EB">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highlight w:val="none"/>
        </w:rPr>
        <w:t>25.1 采购人自收到评标报告之日起5个工作日内，在评标报告确定的中标候选供应商名单中按顺序确定中标供应商。</w:t>
      </w:r>
    </w:p>
    <w:p w14:paraId="57EF4A65">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25.2 中标供应商确定之日起2个工作日内，在乐采云平台、温州国企采购平台以及</w:t>
      </w:r>
      <w:r>
        <w:rPr>
          <w:rFonts w:hint="eastAsia" w:ascii="新宋体" w:hAnsi="新宋体" w:eastAsia="新宋体" w:cs="新宋体"/>
          <w:color w:val="auto"/>
          <w:kern w:val="0"/>
          <w:sz w:val="22"/>
          <w:szCs w:val="22"/>
          <w:highlight w:val="none"/>
          <w:lang w:val="en-US" w:eastAsia="zh-CN"/>
        </w:rPr>
        <w:t>温州城发集团官网</w:t>
      </w:r>
      <w:r>
        <w:rPr>
          <w:rFonts w:hint="eastAsia" w:ascii="新宋体" w:hAnsi="新宋体" w:eastAsia="新宋体" w:cs="新宋体"/>
          <w:color w:val="auto"/>
          <w:kern w:val="0"/>
          <w:sz w:val="22"/>
          <w:szCs w:val="22"/>
          <w:highlight w:val="none"/>
        </w:rPr>
        <w:t>上公告中标结果，中标公告期限为3日。</w:t>
      </w:r>
    </w:p>
    <w:p w14:paraId="06F4DA49">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25.3 中标公告期内无供应商提出质疑（异议）的，采购人向中标供应商发出中标通知书。</w:t>
      </w:r>
    </w:p>
    <w:p w14:paraId="08502E60">
      <w:pPr>
        <w:tabs>
          <w:tab w:val="left" w:pos="640"/>
        </w:tabs>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25.4 各投标供应商对评标结果如有异议，应在中标公告期限内以书面形式向采购人进行署名投诉或提出质疑，但需对投诉或质疑内容的真实性承担法律责任。</w:t>
      </w:r>
    </w:p>
    <w:p w14:paraId="686EAB9C">
      <w:pPr>
        <w:numPr>
          <w:ilvl w:val="0"/>
          <w:numId w:val="14"/>
        </w:numPr>
        <w:spacing w:line="440" w:lineRule="exact"/>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签订合同</w:t>
      </w:r>
    </w:p>
    <w:p w14:paraId="22464378">
      <w:pPr>
        <w:tabs>
          <w:tab w:val="left" w:pos="6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26.1 中标公告期结束后，中标供应商须在5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58583F61">
      <w:pPr>
        <w:tabs>
          <w:tab w:val="left" w:pos="6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26.2 采购文件、中标供应商的投标文件及投标修改文件、评标过程中有关澄清文件及经双方签字的询标纪要（承诺）和中标通知书均作为合同附件。</w:t>
      </w:r>
    </w:p>
    <w:p w14:paraId="2C414252">
      <w:pPr>
        <w:tabs>
          <w:tab w:val="left" w:pos="6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26.3 拒签合同的责任</w:t>
      </w:r>
    </w:p>
    <w:p w14:paraId="55AC1263">
      <w:pPr>
        <w:tabs>
          <w:tab w:val="left" w:pos="640"/>
        </w:tabs>
        <w:spacing w:line="46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rPr>
        <w:t>26.4 中标供应商在规定时间内（30日历天）借故否认已经承诺的条件、拒签合同或拒交履约保证金者，以投标违约处理，其投标保证金不予退回，并赔偿采购人由此造成的直接经济损失；采购人重新组织采购的，所需费用由原中标供应商承担。</w:t>
      </w:r>
    </w:p>
    <w:p w14:paraId="1B8A2476">
      <w:pPr>
        <w:numPr>
          <w:ilvl w:val="0"/>
          <w:numId w:val="14"/>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履约保证金</w:t>
      </w:r>
    </w:p>
    <w:p w14:paraId="430B8803">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27.1 中标供应商在收到中标通知书后，签订合同前须向采购人提交履约保证金。</w:t>
      </w:r>
    </w:p>
    <w:p w14:paraId="008E5B9B">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27.2 履约保证金用于补偿委托方因中标供应商不能完成其合同义务而蒙受的损失。</w:t>
      </w:r>
    </w:p>
    <w:p w14:paraId="3C0C977F">
      <w:pPr>
        <w:tabs>
          <w:tab w:val="left" w:pos="6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color w:val="auto"/>
          <w:spacing w:val="6"/>
          <w:sz w:val="22"/>
          <w:szCs w:val="22"/>
          <w:highlight w:val="none"/>
        </w:rPr>
        <w:t>27.3 履约保证金自合同签定生效之日起至完成整个项目并通过最终验收之日止有效。</w:t>
      </w:r>
    </w:p>
    <w:p w14:paraId="2B8C7B5C">
      <w:pPr>
        <w:numPr>
          <w:ilvl w:val="0"/>
          <w:numId w:val="14"/>
        </w:numPr>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p w14:paraId="426E5372">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28.1本项目采购代理服务费固定金额人民币</w:t>
      </w:r>
      <w:r>
        <w:rPr>
          <w:rFonts w:hint="eastAsia" w:ascii="新宋体" w:hAnsi="新宋体" w:eastAsia="新宋体" w:cs="新宋体"/>
          <w:color w:val="auto"/>
          <w:sz w:val="22"/>
          <w:szCs w:val="22"/>
          <w:highlight w:val="none"/>
          <w:lang w:val="en-US" w:eastAsia="zh-CN"/>
        </w:rPr>
        <w:t>：3万元</w:t>
      </w:r>
      <w:r>
        <w:rPr>
          <w:rFonts w:hint="eastAsia" w:ascii="新宋体" w:hAnsi="新宋体" w:eastAsia="新宋体" w:cs="新宋体"/>
          <w:color w:val="auto"/>
          <w:sz w:val="22"/>
          <w:szCs w:val="22"/>
          <w:highlight w:val="none"/>
        </w:rPr>
        <w:t>收取，由中标供应商在领取中标（成交）通知书之前支付给采购代理机构。</w:t>
      </w:r>
    </w:p>
    <w:p w14:paraId="59DF9385">
      <w:pPr>
        <w:tabs>
          <w:tab w:val="left" w:pos="640"/>
        </w:tabs>
        <w:spacing w:line="440" w:lineRule="exact"/>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28.2 采购代理服务费可以是现金、支票或汇票。</w:t>
      </w:r>
    </w:p>
    <w:p w14:paraId="08E69011">
      <w:pPr>
        <w:tabs>
          <w:tab w:val="left" w:pos="540"/>
        </w:tabs>
        <w:overflowPunct w:val="0"/>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29.乐采云国企采购平台项目采购收费标准(温州市市属国企区）</w:t>
      </w:r>
    </w:p>
    <w:p w14:paraId="18D49CAC">
      <w:p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收费标准一、</w:t>
      </w:r>
    </w:p>
    <w:p w14:paraId="69068C7C">
      <w:pPr>
        <w:numPr>
          <w:ilvl w:val="0"/>
          <w:numId w:val="17"/>
        </w:num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不涉及具体金额的采购项目，技术服务费800元/件:</w:t>
      </w:r>
    </w:p>
    <w:p w14:paraId="3D194100">
      <w:p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(二) 涉及具体金额的采购项目，根据标的额，按照以下比例收取技术服务费</w:t>
      </w:r>
    </w:p>
    <w:p w14:paraId="77AE6F1C">
      <w:p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中标价100万元以下 (含100万元的): 按800元收取:</w:t>
      </w:r>
    </w:p>
    <w:p w14:paraId="23303039">
      <w:p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中标价超过100万元的: 中标价的千分之</w:t>
      </w:r>
      <w:r>
        <w:rPr>
          <w:rFonts w:hint="eastAsia" w:ascii="宋体" w:hAnsi="宋体" w:cs="宋体"/>
          <w:color w:val="auto"/>
          <w:sz w:val="22"/>
          <w:szCs w:val="22"/>
          <w:highlight w:val="none"/>
          <w:lang w:val="en-US" w:eastAsia="zh-CN"/>
        </w:rPr>
        <w:t>一</w:t>
      </w:r>
      <w:r>
        <w:rPr>
          <w:rFonts w:hint="eastAsia" w:ascii="宋体" w:hAnsi="宋体" w:cs="宋体"/>
          <w:color w:val="auto"/>
          <w:sz w:val="22"/>
          <w:szCs w:val="22"/>
          <w:highlight w:val="none"/>
        </w:rPr>
        <w:t>(0.1%) ，以30000元封顶。</w:t>
      </w:r>
    </w:p>
    <w:p w14:paraId="442910BE">
      <w:p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二、收费对象</w:t>
      </w:r>
    </w:p>
    <w:p w14:paraId="47247371">
      <w:p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中标供应商</w:t>
      </w:r>
    </w:p>
    <w:p w14:paraId="52B5D017">
      <w:pPr>
        <w:tabs>
          <w:tab w:val="left" w:pos="540"/>
        </w:tabs>
        <w:overflowPunct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三、缴款内容</w:t>
      </w:r>
    </w:p>
    <w:p w14:paraId="1B220A80">
      <w:pPr>
        <w:tabs>
          <w:tab w:val="left" w:pos="540"/>
        </w:tabs>
        <w:overflowPunct w:val="0"/>
        <w:spacing w:line="400" w:lineRule="exact"/>
        <w:rPr>
          <w:color w:val="auto"/>
          <w:highlight w:val="none"/>
        </w:rPr>
      </w:pPr>
      <w:r>
        <w:rPr>
          <w:rFonts w:hint="eastAsia" w:ascii="宋体" w:hAnsi="宋体" w:cs="宋体"/>
          <w:color w:val="auto"/>
          <w:sz w:val="22"/>
          <w:szCs w:val="22"/>
          <w:highlight w:val="none"/>
        </w:rPr>
        <w:t>各供应商于每次中标结果公示后支付该项目的技术服务费。</w:t>
      </w:r>
    </w:p>
    <w:p w14:paraId="35EFC627">
      <w:pPr>
        <w:tabs>
          <w:tab w:val="left" w:pos="640"/>
        </w:tabs>
        <w:spacing w:line="440" w:lineRule="exact"/>
        <w:ind w:firstLine="550" w:firstLineChars="250"/>
        <w:rPr>
          <w:rFonts w:ascii="新宋体" w:hAnsi="新宋体" w:eastAsia="新宋体" w:cs="新宋体"/>
          <w:color w:val="auto"/>
          <w:sz w:val="22"/>
          <w:szCs w:val="22"/>
          <w:highlight w:val="none"/>
        </w:rPr>
      </w:pPr>
    </w:p>
    <w:p w14:paraId="46BD42CE">
      <w:pPr>
        <w:pStyle w:val="23"/>
        <w:ind w:firstLine="200"/>
        <w:rPr>
          <w:rFonts w:ascii="新宋体" w:hAnsi="新宋体" w:eastAsia="新宋体"/>
          <w:color w:val="auto"/>
          <w:highlight w:val="none"/>
        </w:rPr>
      </w:pPr>
    </w:p>
    <w:p w14:paraId="29931F22">
      <w:pPr>
        <w:tabs>
          <w:tab w:val="left" w:pos="640"/>
        </w:tabs>
        <w:spacing w:line="440" w:lineRule="exact"/>
        <w:rPr>
          <w:rFonts w:ascii="新宋体" w:hAnsi="新宋体" w:eastAsia="新宋体" w:cs="新宋体"/>
          <w:color w:val="auto"/>
          <w:spacing w:val="6"/>
          <w:sz w:val="22"/>
          <w:szCs w:val="22"/>
          <w:highlight w:val="none"/>
        </w:rPr>
      </w:pPr>
    </w:p>
    <w:p w14:paraId="2354667E">
      <w:pPr>
        <w:pStyle w:val="2"/>
        <w:rPr>
          <w:rFonts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88" w:name="_Toc223716001"/>
      <w:bookmarkStart w:id="89" w:name="_Toc239145357"/>
      <w:bookmarkStart w:id="90" w:name="_Toc221423622"/>
      <w:bookmarkStart w:id="91" w:name="_Toc221356954"/>
      <w:bookmarkStart w:id="92" w:name="_Toc222114882"/>
      <w:bookmarkStart w:id="93" w:name="_Toc221356890"/>
      <w:bookmarkStart w:id="94" w:name="_Toc221374629"/>
      <w:bookmarkStart w:id="95" w:name="_Toc265529386"/>
      <w:bookmarkStart w:id="96" w:name="_Toc241404205"/>
      <w:bookmarkStart w:id="97" w:name="_Toc15718"/>
      <w:bookmarkStart w:id="98" w:name="_Toc71374678"/>
      <w:r>
        <w:rPr>
          <w:rFonts w:hint="eastAsia" w:ascii="新宋体" w:hAnsi="新宋体" w:eastAsia="新宋体" w:cs="新宋体"/>
          <w:color w:val="auto"/>
          <w:sz w:val="36"/>
          <w:szCs w:val="36"/>
          <w:highlight w:val="none"/>
        </w:rPr>
        <w:t xml:space="preserve">第二部分   </w:t>
      </w:r>
      <w:bookmarkEnd w:id="88"/>
      <w:bookmarkEnd w:id="89"/>
      <w:bookmarkEnd w:id="90"/>
      <w:bookmarkEnd w:id="91"/>
      <w:bookmarkEnd w:id="92"/>
      <w:bookmarkEnd w:id="93"/>
      <w:bookmarkEnd w:id="94"/>
      <w:bookmarkEnd w:id="95"/>
      <w:bookmarkEnd w:id="96"/>
      <w:r>
        <w:rPr>
          <w:rFonts w:hint="eastAsia" w:ascii="新宋体" w:hAnsi="新宋体" w:eastAsia="新宋体" w:cs="新宋体"/>
          <w:color w:val="auto"/>
          <w:sz w:val="36"/>
          <w:szCs w:val="36"/>
          <w:highlight w:val="none"/>
        </w:rPr>
        <w:t>合同格式</w:t>
      </w:r>
      <w:bookmarkEnd w:id="97"/>
      <w:bookmarkEnd w:id="98"/>
    </w:p>
    <w:p w14:paraId="612CE16F">
      <w:pPr>
        <w:spacing w:line="312" w:lineRule="auto"/>
        <w:ind w:firstLine="440" w:firstLineChars="200"/>
        <w:rPr>
          <w:rFonts w:ascii="微软雅黑" w:hAnsi="宋体"/>
          <w:color w:val="auto"/>
          <w:kern w:val="0"/>
          <w:sz w:val="22"/>
          <w:szCs w:val="22"/>
          <w:highlight w:val="none"/>
        </w:rPr>
      </w:pPr>
      <w:bookmarkStart w:id="99" w:name="_Toc71374679"/>
    </w:p>
    <w:p w14:paraId="689EE09E">
      <w:pPr>
        <w:pStyle w:val="50"/>
        <w:numPr>
          <w:ilvl w:val="0"/>
          <w:numId w:val="0"/>
        </w:numPr>
        <w:rPr>
          <w:rFonts w:hint="eastAsia" w:ascii="宋体" w:hAnsi="宋体" w:eastAsia="宋体" w:cs="宋体"/>
          <w:color w:val="auto"/>
          <w:sz w:val="32"/>
          <w:szCs w:val="32"/>
          <w:highlight w:val="none"/>
        </w:rPr>
      </w:pPr>
      <w:bookmarkStart w:id="100" w:name="_Toc25218"/>
      <w:r>
        <w:rPr>
          <w:rFonts w:hint="eastAsia" w:ascii="宋体" w:hAnsi="宋体" w:eastAsia="宋体" w:cs="宋体"/>
          <w:color w:val="auto"/>
          <w:sz w:val="32"/>
          <w:szCs w:val="32"/>
          <w:highlight w:val="none"/>
        </w:rPr>
        <w:t>筹开服务合同</w:t>
      </w:r>
    </w:p>
    <w:p w14:paraId="2B27A6C6">
      <w:pPr>
        <w:spacing w:line="360" w:lineRule="auto"/>
        <w:rPr>
          <w:rFonts w:ascii="宋体" w:hAnsi="宋体" w:cs="仿宋"/>
          <w:color w:val="auto"/>
          <w:szCs w:val="21"/>
          <w:highlight w:val="none"/>
        </w:rPr>
      </w:pPr>
    </w:p>
    <w:p w14:paraId="2B27A6C7">
      <w:pPr>
        <w:spacing w:line="360" w:lineRule="auto"/>
        <w:rPr>
          <w:rFonts w:ascii="宋体" w:hAnsi="宋体" w:cs="仿宋"/>
          <w:color w:val="auto"/>
          <w:szCs w:val="21"/>
          <w:highlight w:val="none"/>
          <w:u w:val="single"/>
        </w:rPr>
      </w:pPr>
      <w:r>
        <w:rPr>
          <w:rFonts w:hint="eastAsia" w:ascii="宋体" w:hAnsi="宋体" w:cs="仿宋"/>
          <w:color w:val="auto"/>
          <w:szCs w:val="21"/>
          <w:highlight w:val="none"/>
        </w:rPr>
        <w:t>甲方：</w:t>
      </w:r>
    </w:p>
    <w:p w14:paraId="2B27A6C8">
      <w:pPr>
        <w:spacing w:line="360" w:lineRule="auto"/>
        <w:rPr>
          <w:rFonts w:ascii="宋体" w:hAnsi="宋体" w:cs="仿宋"/>
          <w:color w:val="auto"/>
          <w:szCs w:val="21"/>
          <w:highlight w:val="none"/>
        </w:rPr>
      </w:pPr>
      <w:r>
        <w:rPr>
          <w:rFonts w:hint="eastAsia" w:ascii="宋体" w:hAnsi="宋体" w:cs="仿宋"/>
          <w:color w:val="auto"/>
          <w:szCs w:val="21"/>
          <w:highlight w:val="none"/>
        </w:rPr>
        <w:t>统一社会信用代码：</w:t>
      </w:r>
    </w:p>
    <w:p w14:paraId="2B27A6C9">
      <w:pPr>
        <w:spacing w:line="360" w:lineRule="auto"/>
        <w:rPr>
          <w:rFonts w:ascii="宋体" w:hAnsi="宋体" w:cs="仿宋"/>
          <w:color w:val="auto"/>
          <w:szCs w:val="21"/>
          <w:highlight w:val="none"/>
        </w:rPr>
      </w:pPr>
      <w:r>
        <w:rPr>
          <w:rFonts w:hint="eastAsia" w:ascii="宋体" w:hAnsi="宋体" w:cs="仿宋"/>
          <w:color w:val="auto"/>
          <w:szCs w:val="21"/>
          <w:highlight w:val="none"/>
        </w:rPr>
        <w:t>法定代表人：</w:t>
      </w:r>
    </w:p>
    <w:p w14:paraId="2B27A6CA">
      <w:pPr>
        <w:pStyle w:val="10"/>
        <w:spacing w:after="0" w:line="360" w:lineRule="auto"/>
        <w:rPr>
          <w:rFonts w:ascii="宋体" w:hAnsi="宋体" w:cs="仿宋"/>
          <w:color w:val="auto"/>
          <w:szCs w:val="21"/>
          <w:highlight w:val="none"/>
        </w:rPr>
      </w:pPr>
      <w:r>
        <w:rPr>
          <w:rFonts w:hint="eastAsia" w:ascii="宋体" w:hAnsi="宋体" w:cs="仿宋"/>
          <w:color w:val="auto"/>
          <w:szCs w:val="21"/>
          <w:highlight w:val="none"/>
        </w:rPr>
        <w:t>联系人：</w:t>
      </w:r>
    </w:p>
    <w:p w14:paraId="2B27A6CB">
      <w:pPr>
        <w:pStyle w:val="10"/>
        <w:spacing w:after="0" w:line="360" w:lineRule="auto"/>
        <w:rPr>
          <w:rFonts w:ascii="宋体" w:hAnsi="宋体" w:cs="仿宋"/>
          <w:color w:val="auto"/>
          <w:szCs w:val="21"/>
          <w:highlight w:val="none"/>
        </w:rPr>
      </w:pPr>
      <w:r>
        <w:rPr>
          <w:rFonts w:hint="eastAsia" w:ascii="宋体" w:hAnsi="宋体" w:cs="仿宋"/>
          <w:color w:val="auto"/>
          <w:szCs w:val="21"/>
          <w:highlight w:val="none"/>
        </w:rPr>
        <w:t>电子邮箱：</w:t>
      </w:r>
    </w:p>
    <w:p w14:paraId="2B27A6CC">
      <w:pPr>
        <w:spacing w:line="360" w:lineRule="auto"/>
        <w:rPr>
          <w:rFonts w:ascii="宋体" w:hAnsi="宋体" w:cs="仿宋"/>
          <w:color w:val="auto"/>
          <w:szCs w:val="21"/>
          <w:highlight w:val="none"/>
          <w:u w:val="single"/>
        </w:rPr>
      </w:pPr>
      <w:r>
        <w:rPr>
          <w:rFonts w:hint="eastAsia" w:ascii="宋体" w:hAnsi="宋体" w:cs="仿宋"/>
          <w:color w:val="auto"/>
          <w:szCs w:val="21"/>
          <w:highlight w:val="none"/>
        </w:rPr>
        <w:t>地址：</w:t>
      </w:r>
    </w:p>
    <w:p w14:paraId="2B27A6CD">
      <w:pPr>
        <w:spacing w:line="360" w:lineRule="auto"/>
        <w:rPr>
          <w:rFonts w:ascii="宋体" w:hAnsi="宋体" w:cs="仿宋"/>
          <w:color w:val="auto"/>
          <w:szCs w:val="21"/>
          <w:highlight w:val="none"/>
          <w:u w:val="single"/>
        </w:rPr>
      </w:pPr>
    </w:p>
    <w:p w14:paraId="2B27A6CE">
      <w:pPr>
        <w:spacing w:line="360" w:lineRule="auto"/>
        <w:rPr>
          <w:rFonts w:ascii="宋体" w:hAnsi="宋体" w:cs="仿宋"/>
          <w:color w:val="auto"/>
          <w:szCs w:val="21"/>
          <w:highlight w:val="none"/>
        </w:rPr>
      </w:pPr>
      <w:r>
        <w:rPr>
          <w:rFonts w:hint="eastAsia" w:ascii="宋体" w:hAnsi="宋体" w:cs="仿宋"/>
          <w:color w:val="auto"/>
          <w:szCs w:val="21"/>
          <w:highlight w:val="none"/>
        </w:rPr>
        <w:t>乙方：</w:t>
      </w:r>
    </w:p>
    <w:p w14:paraId="2B27A6CF">
      <w:pPr>
        <w:spacing w:line="360" w:lineRule="auto"/>
        <w:rPr>
          <w:rFonts w:ascii="宋体" w:hAnsi="宋体" w:cs="仿宋"/>
          <w:color w:val="auto"/>
          <w:szCs w:val="21"/>
          <w:highlight w:val="none"/>
        </w:rPr>
      </w:pPr>
      <w:r>
        <w:rPr>
          <w:rFonts w:hint="eastAsia" w:ascii="宋体" w:hAnsi="宋体" w:cs="仿宋"/>
          <w:color w:val="auto"/>
          <w:szCs w:val="21"/>
          <w:highlight w:val="none"/>
        </w:rPr>
        <w:t xml:space="preserve">统一社会信用代码： </w:t>
      </w:r>
    </w:p>
    <w:p w14:paraId="2B27A6D0">
      <w:pPr>
        <w:spacing w:line="360" w:lineRule="auto"/>
        <w:rPr>
          <w:rFonts w:ascii="宋体" w:hAnsi="宋体" w:cs="仿宋"/>
          <w:color w:val="auto"/>
          <w:szCs w:val="21"/>
          <w:highlight w:val="none"/>
          <w:u w:val="single"/>
        </w:rPr>
      </w:pPr>
      <w:r>
        <w:rPr>
          <w:rFonts w:hint="eastAsia" w:ascii="宋体" w:hAnsi="宋体" w:cs="仿宋"/>
          <w:color w:val="auto"/>
          <w:szCs w:val="21"/>
          <w:highlight w:val="none"/>
        </w:rPr>
        <w:t>法定代表人：</w:t>
      </w:r>
    </w:p>
    <w:p w14:paraId="2B27A6D1">
      <w:pPr>
        <w:pStyle w:val="10"/>
        <w:spacing w:after="0" w:line="360" w:lineRule="auto"/>
        <w:rPr>
          <w:rFonts w:ascii="宋体" w:hAnsi="宋体" w:cs="仿宋"/>
          <w:color w:val="auto"/>
          <w:szCs w:val="21"/>
          <w:highlight w:val="none"/>
        </w:rPr>
      </w:pPr>
      <w:r>
        <w:rPr>
          <w:rFonts w:hint="eastAsia" w:ascii="宋体" w:hAnsi="宋体" w:cs="仿宋"/>
          <w:color w:val="auto"/>
          <w:szCs w:val="21"/>
          <w:highlight w:val="none"/>
        </w:rPr>
        <w:t>联系人：</w:t>
      </w:r>
    </w:p>
    <w:p w14:paraId="2B27A6D2">
      <w:pPr>
        <w:pStyle w:val="10"/>
        <w:spacing w:after="0" w:line="360" w:lineRule="auto"/>
        <w:rPr>
          <w:rFonts w:ascii="宋体" w:hAnsi="宋体" w:cs="仿宋"/>
          <w:color w:val="auto"/>
          <w:szCs w:val="21"/>
          <w:highlight w:val="none"/>
        </w:rPr>
      </w:pPr>
      <w:r>
        <w:rPr>
          <w:rFonts w:hint="eastAsia" w:ascii="宋体" w:hAnsi="宋体" w:cs="仿宋"/>
          <w:color w:val="auto"/>
          <w:szCs w:val="21"/>
          <w:highlight w:val="none"/>
        </w:rPr>
        <w:t>电子邮箱：</w:t>
      </w:r>
    </w:p>
    <w:p w14:paraId="2B27A6D3">
      <w:pPr>
        <w:spacing w:line="360" w:lineRule="auto"/>
        <w:rPr>
          <w:rFonts w:ascii="宋体" w:hAnsi="宋体" w:cs="仿宋"/>
          <w:color w:val="auto"/>
          <w:szCs w:val="21"/>
          <w:highlight w:val="none"/>
        </w:rPr>
      </w:pPr>
      <w:r>
        <w:rPr>
          <w:rFonts w:hint="eastAsia" w:ascii="宋体" w:hAnsi="宋体" w:cs="仿宋"/>
          <w:color w:val="auto"/>
          <w:szCs w:val="21"/>
          <w:highlight w:val="none"/>
        </w:rPr>
        <w:t>地址：</w:t>
      </w:r>
    </w:p>
    <w:p w14:paraId="2B27A6D4">
      <w:pPr>
        <w:spacing w:line="360" w:lineRule="auto"/>
        <w:rPr>
          <w:rFonts w:ascii="宋体" w:hAnsi="宋体" w:cs="仿宋"/>
          <w:color w:val="auto"/>
          <w:szCs w:val="21"/>
          <w:highlight w:val="none"/>
        </w:rPr>
      </w:pPr>
    </w:p>
    <w:p w14:paraId="2B27A6D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甲乙双方遵循平等、自愿、公平和诚实信用的原则，根据《中华人民共和国民法典》及其他有关法律、法规，经协商一致，签署本合同，以资共同遵守履行。</w:t>
      </w:r>
    </w:p>
    <w:p w14:paraId="2B27A6D6">
      <w:pPr>
        <w:spacing w:line="360" w:lineRule="auto"/>
        <w:rPr>
          <w:rFonts w:ascii="宋体" w:hAnsi="宋体" w:cs="宋体"/>
          <w:color w:val="auto"/>
          <w:szCs w:val="21"/>
          <w:highlight w:val="none"/>
        </w:rPr>
      </w:pPr>
    </w:p>
    <w:p w14:paraId="2B27A6D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第一章  项目标的</w:t>
      </w:r>
    </w:p>
    <w:p w14:paraId="2B27A6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1.1甲方项目名称为：第十五届中国（温州）国际园林博览会筹开服务</w:t>
      </w:r>
    </w:p>
    <w:p w14:paraId="2B27A6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项目概况：项目概况：本项目包括园博园南园和北园，总用地面积3388亩，其中：公园绿化1981亩、水域面积860亩、文化及广场面积547亩。地上建筑面积116729平方米，其中：新建面积70073平方米、保留更新面积46657平方米。</w:t>
      </w:r>
    </w:p>
    <w:p w14:paraId="2B27A6D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1.3招标范围：项目范围内的包括项目文旅商项目策划；景区指示系统规划及设计；景区筹开运营管理等。</w:t>
      </w:r>
    </w:p>
    <w:p w14:paraId="2B27A6D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1.4乙方承诺在服务期间严格遵守国家的有关管理规定。</w:t>
      </w:r>
    </w:p>
    <w:p w14:paraId="2B27A6DC">
      <w:pPr>
        <w:spacing w:line="360" w:lineRule="auto"/>
        <w:jc w:val="center"/>
        <w:rPr>
          <w:rFonts w:ascii="宋体" w:hAnsi="宋体" w:cs="宋体"/>
          <w:b/>
          <w:bCs/>
          <w:color w:val="auto"/>
          <w:szCs w:val="21"/>
          <w:highlight w:val="none"/>
        </w:rPr>
      </w:pPr>
      <w:bookmarkStart w:id="101" w:name="_Hlk126934650"/>
      <w:r>
        <w:rPr>
          <w:rFonts w:hint="eastAsia" w:ascii="宋体" w:hAnsi="宋体" w:cs="宋体"/>
          <w:b/>
          <w:bCs/>
          <w:color w:val="auto"/>
          <w:szCs w:val="21"/>
          <w:highlight w:val="none"/>
        </w:rPr>
        <w:t>第二章  合作期限及开业日期</w:t>
      </w:r>
    </w:p>
    <w:p w14:paraId="2B27A6D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项目开业日：暂定于2026年2 月14日，具体开业时间如有调整甲乙双方事先书面协商并签署补充协议。</w:t>
      </w:r>
    </w:p>
    <w:p w14:paraId="2B27A6D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2.2服务期限：合同签订之日起至第十五届中国（温州）国际园林博览会会期结束之日（服务期限最长不超过1年）。</w:t>
      </w:r>
    </w:p>
    <w:p w14:paraId="2B27A6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乙方应在合作期限届满前15日内，以书面形式向甲方申请终止或续签本合同。乙方未在上述期限内申请续签本合同，则本合同到期自动终止；乙方申请续签本合同的，且甲方仍需继续委托第三方运营，则在符合法律政策及甲方上级主管部门相关规定的前提下，乙方享受优先续约权。</w:t>
      </w:r>
    </w:p>
    <w:bookmarkEnd w:id="101"/>
    <w:p w14:paraId="2B27A6E0">
      <w:pPr>
        <w:tabs>
          <w:tab w:val="left" w:pos="720"/>
        </w:tabs>
        <w:spacing w:line="360" w:lineRule="auto"/>
        <w:jc w:val="center"/>
        <w:rPr>
          <w:rFonts w:ascii="宋体" w:hAnsi="宋体" w:cs="宋体"/>
          <w:b/>
          <w:bCs/>
          <w:color w:val="auto"/>
          <w:szCs w:val="21"/>
          <w:highlight w:val="none"/>
        </w:rPr>
      </w:pPr>
      <w:bookmarkStart w:id="102" w:name="_Hlk126934683"/>
      <w:r>
        <w:rPr>
          <w:rFonts w:hint="eastAsia" w:ascii="宋体" w:hAnsi="宋体" w:cs="宋体"/>
          <w:b/>
          <w:bCs/>
          <w:color w:val="auto"/>
          <w:szCs w:val="21"/>
          <w:highlight w:val="none"/>
        </w:rPr>
        <w:t>第三章  服务内容</w:t>
      </w:r>
    </w:p>
    <w:bookmarkEnd w:id="102"/>
    <w:p w14:paraId="2B27A6E1">
      <w:pPr>
        <w:spacing w:line="400" w:lineRule="exact"/>
        <w:ind w:firstLine="422" w:firstLineChars="200"/>
        <w:rPr>
          <w:rFonts w:ascii="宋体" w:hAnsi="宋体" w:cs="宋体"/>
          <w:b/>
          <w:bCs/>
          <w:color w:val="auto"/>
          <w:szCs w:val="21"/>
          <w:highlight w:val="none"/>
        </w:rPr>
      </w:pPr>
      <w:bookmarkStart w:id="103" w:name="_Hlk126935019"/>
      <w:r>
        <w:rPr>
          <w:rFonts w:hint="eastAsia" w:ascii="宋体" w:hAnsi="宋体" w:cs="宋体"/>
          <w:b/>
          <w:bCs/>
          <w:color w:val="auto"/>
          <w:szCs w:val="21"/>
          <w:highlight w:val="none"/>
        </w:rPr>
        <w:t>3.1乙方提供服务内容</w:t>
      </w:r>
    </w:p>
    <w:p w14:paraId="2B27A6E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3.1.1</w:t>
      </w:r>
      <w:r>
        <w:rPr>
          <w:rFonts w:hint="eastAsia" w:ascii="宋体" w:hAnsi="宋体" w:cs="宋体"/>
          <w:color w:val="auto"/>
          <w:szCs w:val="21"/>
          <w:highlight w:val="none"/>
        </w:rPr>
        <w:t>具体服务内容如下：</w:t>
      </w:r>
    </w:p>
    <w:p w14:paraId="2B27A6E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3.1.1.1、文旅商项目策划：乙方提供项目策划服务。包含项目总体策划方案、产品定位方案、商业招商方案。</w:t>
      </w:r>
    </w:p>
    <w:p w14:paraId="2B27A6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3.1.1.2、景区指示系统规划及设计：根据景区运营专业意见，对指示系统进行设计，并对具体点位进行规划。</w:t>
      </w:r>
    </w:p>
    <w:p w14:paraId="2B27A6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3.1.1.3、景区筹开运营管理：</w:t>
      </w:r>
    </w:p>
    <w:p w14:paraId="2B27A6E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商管理：乙方提供招商管理服务，包含但不限于：市场调研及资料收集整理、商业定位及业态规划、制订商户经营管理规范；制定租赁条件及招商政策；市场及租户摸排及进驻意向、储备商户资源；确定商户工程条件标准；招商洽谈、合同签订、商户入场装修、商户开业；开业前人员架构组建及招聘；建立服务标准化体系；招商组建团队（其中包含：1名商业总监、1名招商经理）等。</w:t>
      </w:r>
    </w:p>
    <w:p w14:paraId="2B27A6E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程及设计咨询管理。乙方提供工程及设计咨询管理服务。包含但不限于：工程条件提需，整体业态呈现、施工管理、装修材料推荐、工期管理、业态施工竣工全周期管理服务，保障业态呈现效果；设计过程管理、装修风格色调管控、功能分区等全周期设计咨询服务，保障业态设计可落地性；与各单位沟通与协调，从文旅运营层面的提出建设意见，跟踪运营相关问题的落实、确保施工结果符合后期运营的需要；工程咨询团队组建（包含：1名工程总监、1名工程经理）等。</w:t>
      </w:r>
    </w:p>
    <w:p w14:paraId="2B27A6E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（3）活动及组织编排。乙方提供活动及组织编排服务，包含但不限于：活动创意策划等相关工作。</w:t>
      </w:r>
    </w:p>
    <w:p w14:paraId="2B27A6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筹开运营。乙方提供筹开运营服务。包含但不限于：筹开运营团队组建（包含1名项目总、1名运营总监）；运营管理团队招聘、组建及管理；协助业主方办理各项审批程序、协助配合政府相关大型活动的开展、相关政府机关间的沟通协调；标准化文件的制订产出与执行；景区相关制度的建立与完善、景区业态统筹管理；结合运营经验从销售、设备设施匹配等层面进行运营前期指导；人员技能培训；景区各类应急预案的制订与执行、各类突发情况演练等。</w:t>
      </w:r>
    </w:p>
    <w:p w14:paraId="2B27A6E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（5）项目团队驻场及组建：组建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人左右的项目团队（含上述商业、工程、运营驻场团队），提前1月全面项目驻场（包含：由项目总带队，商务负责人、采购及成本人员、策划及产品组、行政及后勤保障组、营销活动组等），具体人数及时间以实际情况为准。</w:t>
      </w:r>
    </w:p>
    <w:p w14:paraId="2B27A6E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注：具体内容以最终中标后双方签署的合同为准。</w:t>
      </w:r>
    </w:p>
    <w:p w14:paraId="416D91F6">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3.1.2服务内容成果包括但不限于：《总体策划方案》、《产品定位方案》、《商业招商方案》等</w:t>
      </w:r>
      <w:r>
        <w:rPr>
          <w:rFonts w:hint="eastAsia" w:ascii="宋体" w:hAnsi="宋体" w:cs="宋体"/>
          <w:color w:val="auto"/>
          <w:szCs w:val="21"/>
          <w:highlight w:val="none"/>
          <w:lang w:eastAsia="zh-CN"/>
        </w:rPr>
        <w:t>。</w:t>
      </w:r>
    </w:p>
    <w:p w14:paraId="2B27A6E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3.1.3合同签订后，双方根据服务内容，</w:t>
      </w:r>
      <w:r>
        <w:rPr>
          <w:rFonts w:hint="eastAsia" w:ascii="宋体" w:hAnsi="宋体" w:cs="宋体"/>
          <w:color w:val="auto"/>
          <w:szCs w:val="21"/>
          <w:highlight w:val="none"/>
          <w:lang w:eastAsia="zh-CN"/>
        </w:rPr>
        <w:t>明确具体验收清单</w:t>
      </w:r>
      <w:r>
        <w:rPr>
          <w:rFonts w:hint="eastAsia" w:ascii="宋体" w:hAnsi="宋体" w:cs="宋体"/>
          <w:color w:val="auto"/>
          <w:szCs w:val="21"/>
          <w:highlight w:val="none"/>
        </w:rPr>
        <w:t>；</w:t>
      </w:r>
    </w:p>
    <w:p w14:paraId="2B27A6E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项目服务要求或验收标准：</w:t>
      </w:r>
    </w:p>
    <w:p w14:paraId="2B27A6E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（1）工程及设计咨询管理、活动及组织编排、咨询成果、筹开运营服务应以达到项目开业率</w:t>
      </w:r>
      <w:r>
        <w:rPr>
          <w:rFonts w:hint="eastAsia" w:ascii="宋体" w:hAnsi="宋体" w:cs="宋体"/>
          <w:color w:val="auto"/>
          <w:szCs w:val="21"/>
          <w:highlight w:val="none"/>
          <w:lang w:eastAsia="zh-CN"/>
        </w:rPr>
        <w:t>及“园博园”规格</w:t>
      </w:r>
      <w:r>
        <w:rPr>
          <w:rFonts w:hint="eastAsia" w:ascii="宋体" w:hAnsi="宋体" w:cs="宋体"/>
          <w:color w:val="auto"/>
          <w:szCs w:val="21"/>
          <w:highlight w:val="none"/>
        </w:rPr>
        <w:t>相匹配的服务，服务须经甲方审核合格。</w:t>
      </w:r>
    </w:p>
    <w:p w14:paraId="2B27A6E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（2）三溪市集、园博工坊、园博驿站（暂定名）满足可招商条件面积的开业率目标为70%。</w:t>
      </w:r>
    </w:p>
    <w:p w14:paraId="2B27A6F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（3）项目团队应具备专业的技术能力，团队稳定。</w:t>
      </w:r>
    </w:p>
    <w:p w14:paraId="2B27A6F1">
      <w:pPr>
        <w:spacing w:line="400" w:lineRule="exact"/>
        <w:ind w:firstLine="420" w:firstLineChars="200"/>
        <w:rPr>
          <w:rFonts w:ascii="宋体" w:hAnsi="宋体" w:cs="宋体"/>
          <w:color w:val="auto"/>
          <w:szCs w:val="21"/>
          <w:highlight w:val="none"/>
        </w:rPr>
      </w:pPr>
      <w:bookmarkStart w:id="104" w:name="_Hlk127347447"/>
      <w:r>
        <w:rPr>
          <w:rFonts w:hint="eastAsia" w:ascii="宋体" w:hAnsi="宋体" w:cs="宋体"/>
          <w:color w:val="auto"/>
          <w:szCs w:val="21"/>
          <w:highlight w:val="none"/>
        </w:rPr>
        <w:t>（4）履约验收执行《市城发集团企业采购履约验收办法（试行）》的通知的要求。</w:t>
      </w:r>
    </w:p>
    <w:p w14:paraId="2B27A6F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（5）乙方履约情况和售后服务明显不符合合同标准的，有权将乙方纳入集团“黑名单”，乙方的不良行为或违规失信记录永久留痕并可追溯。</w:t>
      </w:r>
    </w:p>
    <w:p w14:paraId="0680524E">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）验收清单内明确的验收标准。</w:t>
      </w:r>
    </w:p>
    <w:p w14:paraId="21710BE9">
      <w:pPr>
        <w:spacing w:line="400" w:lineRule="exact"/>
        <w:ind w:firstLine="420" w:firstLineChars="200"/>
        <w:rPr>
          <w:rFonts w:ascii="宋体" w:hAnsi="宋体" w:cs="宋体"/>
          <w:color w:val="auto"/>
          <w:szCs w:val="21"/>
          <w:highlight w:val="none"/>
        </w:rPr>
      </w:pPr>
    </w:p>
    <w:bookmarkEnd w:id="103"/>
    <w:bookmarkEnd w:id="104"/>
    <w:p w14:paraId="2B27A6F4">
      <w:pPr>
        <w:tabs>
          <w:tab w:val="left" w:pos="7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第四章   服务费用及支付条款</w:t>
      </w:r>
    </w:p>
    <w:p w14:paraId="2B27A6F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4.1筹开服务费用</w:t>
      </w:r>
    </w:p>
    <w:p w14:paraId="2B27A6F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4.1.1筹开服务费用含税金额共计</w:t>
      </w:r>
      <w:r>
        <w:rPr>
          <w:rFonts w:hint="eastAsia" w:ascii="宋体" w:hAnsi="宋体" w:cs="宋体"/>
          <w:color w:val="auto"/>
          <w:szCs w:val="21"/>
          <w:highlight w:val="none"/>
          <w:u w:val="single"/>
        </w:rPr>
        <w:t>人民币      元（大写：       ）</w:t>
      </w:r>
      <w:r>
        <w:rPr>
          <w:rFonts w:hint="eastAsia" w:ascii="宋体" w:hAnsi="宋体" w:cs="宋体"/>
          <w:color w:val="auto"/>
          <w:szCs w:val="21"/>
          <w:highlight w:val="none"/>
        </w:rPr>
        <w:t>。</w:t>
      </w:r>
    </w:p>
    <w:p w14:paraId="2B27A6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4.1.2.支付方式如下：</w:t>
      </w:r>
    </w:p>
    <w:p w14:paraId="2B27A6F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合同签订后10日内，甲方向乙方支付筹开服务费用的20%作为首笔款。</w:t>
      </w:r>
    </w:p>
    <w:p w14:paraId="2B27A6F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乙方编制完成并提交相应《总体策划方案》、《产品定位方案》、《商业招商方案》，经甲方书面认可并提交纸质文稿后7个工作日内，甲方支付至筹开服务费用的50%。</w:t>
      </w:r>
    </w:p>
    <w:p w14:paraId="2B27A6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三溪市集、园博工坊、园博驿站（暂定名）满足可招商条件面积的开业率达到50%后，7个工作日内甲方支付至筹开服务费用的70%。</w:t>
      </w:r>
    </w:p>
    <w:p w14:paraId="4C2DD4FA">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三溪市集、园博工坊、园博驿站（暂定名）满足可招商条件面积的开业率达到70%后，7个工作日内甲方支付至筹开服务费用的80%</w:t>
      </w:r>
      <w:r>
        <w:rPr>
          <w:rFonts w:hint="eastAsia" w:ascii="宋体" w:hAnsi="宋体" w:cs="宋体"/>
          <w:color w:val="auto"/>
          <w:szCs w:val="21"/>
          <w:highlight w:val="none"/>
          <w:lang w:eastAsia="zh-CN"/>
        </w:rPr>
        <w:t>。</w:t>
      </w:r>
    </w:p>
    <w:p w14:paraId="2B27A6F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在筹开服务期限届满后向甲方提交筹开相关成果验收单，甲方在15个工作日内进行验收，验收完成后7个工作日内支付至筹开服务费用的100%（甲方未在上述期限内进行验收的，提前以书面形式通知乙方，双方协商确认后续处理形式）。</w:t>
      </w:r>
    </w:p>
    <w:p w14:paraId="2B27A6F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4.2.在每个付款节点，乙方必须按国家有关财税规定先向甲方开具正式发票</w:t>
      </w:r>
      <w:r>
        <w:rPr>
          <w:rStyle w:val="32"/>
          <w:rFonts w:hint="eastAsia"/>
          <w:color w:val="auto"/>
          <w:highlight w:val="none"/>
          <w:lang w:eastAsia="zh-CN"/>
        </w:rPr>
        <w:t>（一般纳税人税率</w:t>
      </w:r>
      <w:r>
        <w:rPr>
          <w:rStyle w:val="32"/>
          <w:rFonts w:hint="eastAsia"/>
          <w:color w:val="auto"/>
          <w:highlight w:val="none"/>
          <w:lang w:val="en-US" w:eastAsia="zh-CN"/>
        </w:rPr>
        <w:t>6%</w:t>
      </w:r>
      <w:r>
        <w:rPr>
          <w:rStyle w:val="32"/>
          <w:rFonts w:hint="eastAsia"/>
          <w:color w:val="auto"/>
          <w:highlight w:val="none"/>
          <w:lang w:eastAsia="zh-CN"/>
        </w:rPr>
        <w:t>，小规模纳税人税率3%）</w:t>
      </w:r>
      <w:r>
        <w:rPr>
          <w:rFonts w:hint="eastAsia" w:ascii="宋体" w:hAnsi="宋体" w:cs="宋体"/>
          <w:color w:val="auto"/>
          <w:szCs w:val="21"/>
          <w:highlight w:val="none"/>
        </w:rPr>
        <w:t>。</w:t>
      </w:r>
    </w:p>
    <w:p w14:paraId="2B27A6F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4.3.乙方收款信息</w:t>
      </w:r>
    </w:p>
    <w:p w14:paraId="2B27A6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单位全称： </w:t>
      </w:r>
    </w:p>
    <w:p w14:paraId="2B27A6F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开户行： </w:t>
      </w:r>
    </w:p>
    <w:p w14:paraId="2B27A70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账 号 ：</w:t>
      </w:r>
    </w:p>
    <w:p w14:paraId="2B27A7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纳税人识别号：</w:t>
      </w:r>
    </w:p>
    <w:p w14:paraId="2B27A7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4.4.如在活动过程中变更或增减服务项目，甲乙双方提前协商一致，涉及到的费用最终以实际产生为准。      </w:t>
      </w:r>
    </w:p>
    <w:p w14:paraId="2B27A703">
      <w:pPr>
        <w:tabs>
          <w:tab w:val="left" w:pos="7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第五章  甲方的权利与义务</w:t>
      </w:r>
    </w:p>
    <w:p w14:paraId="2B27A70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5.1  甲方权利</w:t>
      </w:r>
    </w:p>
    <w:p w14:paraId="2B27A7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5.1.1甲方有权对乙方提供的各项服务内容和过程实施监督，有权对乙方提交的各项方案及标准提出合理的修改意见。</w:t>
      </w:r>
    </w:p>
    <w:p w14:paraId="2B27A70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5.1.2甲方有权要求乙方提供派驻人简历信息，并监督派驻人员工作，如甲方认为乙方派驻人不适合本项工作，甲方将发出书面通知及说明，乙方应在收到甲方书面通知后7个工作日按照甲方要求更换派驻人；若因乙方原因更换派驻人，应提前征得甲方书面同意，乙方单方决定更换派驻人的，甲方有权追究乙方违约责任。</w:t>
      </w:r>
    </w:p>
    <w:p w14:paraId="2B27A70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5.1.3 甲方有权对活动进行审批和决策。</w:t>
      </w:r>
    </w:p>
    <w:p w14:paraId="2B27A70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5.1.4甲方有权与乙方协商修订合同内容签署补充条款，以适应市场变化或改善景区管理和运营效果。</w:t>
      </w:r>
    </w:p>
    <w:p w14:paraId="2B27A709">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5.2  甲方义务</w:t>
      </w:r>
    </w:p>
    <w:p w14:paraId="2B27A70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5.2.1 甲方协助乙方正常开展工作；在项目开业前协助乙方完成项目经营所需的许可证照办理，协助确认其物业、设施设备、资产质量合格符合国家相关标准，向乙方提供为乙方执行本合同项下服务所必需的文件、材料和信息，</w:t>
      </w:r>
      <w:r>
        <w:rPr>
          <w:rFonts w:ascii="宋体" w:hAnsi="宋体" w:cs="宋体"/>
          <w:color w:val="auto"/>
          <w:szCs w:val="21"/>
          <w:highlight w:val="none"/>
        </w:rPr>
        <w:t>甲方尽力确保提供前述资料真实、合法、有效。如因甲方未能提供真实、合法、有效的资料导致乙方工作无法正常开展，乙方应及时通知甲方并协商解决。</w:t>
      </w:r>
    </w:p>
    <w:p w14:paraId="2B27A7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5.2.2 甲方在收到乙方提交的方案、设计文件、策划文件、服务成果、通知等文件资料之日起7个工作日内予以确认或出具修改意见，乙方须参考甲方的意见并进行修改完善。</w:t>
      </w:r>
    </w:p>
    <w:p w14:paraId="2B27A70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5.2.3 甲方依据自身职责协助确认景区内的建筑物、装修装饰、设施设备符合国家和地方有关标准供本次活动正常使用，如出现问题，双方协商解决，乙方不追究甲方的责任。</w:t>
      </w:r>
    </w:p>
    <w:p w14:paraId="2B27A70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5.2.4甲方在活动运营开始前，协助完成活动及演艺所需的</w:t>
      </w:r>
      <w:bookmarkStart w:id="105" w:name="_Hlk157014521"/>
      <w:r>
        <w:rPr>
          <w:rFonts w:hint="eastAsia" w:ascii="宋体" w:hAnsi="宋体" w:cs="宋体"/>
          <w:color w:val="auto"/>
          <w:szCs w:val="21"/>
          <w:highlight w:val="none"/>
        </w:rPr>
        <w:t>经营报批许可</w:t>
      </w:r>
      <w:bookmarkEnd w:id="105"/>
      <w:r>
        <w:rPr>
          <w:rFonts w:hint="eastAsia" w:ascii="宋体" w:hAnsi="宋体" w:cs="宋体"/>
          <w:color w:val="auto"/>
          <w:szCs w:val="21"/>
          <w:highlight w:val="none"/>
        </w:rPr>
        <w:t>，并在本合同服务期限内保持批准及许可有效。</w:t>
      </w:r>
    </w:p>
    <w:p w14:paraId="2B27A70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5.2.5甲方授权乙方在服务期间可以以履行本合同为目的使用甲方的商标、字号、景区名称、活动名称等标识和知识产权。乙方不得超出合同范围使用上述知识产权。</w:t>
      </w:r>
    </w:p>
    <w:p w14:paraId="2B27A70F">
      <w:pPr>
        <w:tabs>
          <w:tab w:val="left" w:pos="7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第六章  乙方的权利与义务</w:t>
      </w:r>
    </w:p>
    <w:p w14:paraId="2B27A710">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6.1  乙方权利</w:t>
      </w:r>
    </w:p>
    <w:p w14:paraId="2B27A71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6.1.1 乙方依照合同约定向甲方收取服务费用；若甲方要求乙方提供的服务超过本合同约定的服务范围的，甲乙双方应共同协商确认追加费用；若甲方要求乙方提供的服务少于本合同约定的服务范围的，甲乙双方应共同协商扣减费用。</w:t>
      </w:r>
    </w:p>
    <w:p w14:paraId="2B27A71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6.1.2 根据国家有关法律法规及本合同的约定（在服务期限内），乙方独立享有和行使项目的服务期内运营管理权。甲方享有监督权和知情权，甲方如有需要，乙方必须予以配合。</w:t>
      </w:r>
    </w:p>
    <w:p w14:paraId="2B27A71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6.1.3乙方可按甲方认可的《商业招商方案》将项目标的范围内的资产对外招租。</w:t>
      </w:r>
    </w:p>
    <w:p w14:paraId="2B27A71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6.1.4乙方可独立行使项目的人事招聘、考核、奖罚以及任免等管理权以组建服务期内运营团队。</w:t>
      </w:r>
    </w:p>
    <w:p w14:paraId="2B27A71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6.2  乙方义务</w:t>
      </w:r>
    </w:p>
    <w:p w14:paraId="2B27A71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6.2.1乙方应按照合同约定按时为甲方提供服务并提供相关成果性文件；服务包括但不限于管理体系建设、员工定岗定责、人员招募及培训、根据项目实际情况编制标准化文件及制度、根据本合同服务内容要求完成各项工作指标等。</w:t>
      </w:r>
    </w:p>
    <w:p w14:paraId="2B27A71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6.2.2乙方应确保项目人员勤勉尽责履行本合同项下职责，乙方人员应自觉遵守本合同约定，同时保守甲方商业秘密</w:t>
      </w:r>
      <w:bookmarkStart w:id="106" w:name="_DV_M195"/>
      <w:bookmarkEnd w:id="106"/>
      <w:bookmarkStart w:id="107" w:name="_DV_M194"/>
      <w:bookmarkEnd w:id="107"/>
      <w:bookmarkStart w:id="108" w:name="_DV_M196"/>
      <w:bookmarkEnd w:id="108"/>
      <w:bookmarkStart w:id="109" w:name="_DV_M211"/>
      <w:bookmarkEnd w:id="109"/>
      <w:r>
        <w:rPr>
          <w:rFonts w:hint="eastAsia" w:ascii="宋体" w:hAnsi="宋体" w:cs="宋体"/>
          <w:color w:val="auto"/>
          <w:szCs w:val="21"/>
          <w:highlight w:val="none"/>
        </w:rPr>
        <w:t>。</w:t>
      </w:r>
    </w:p>
    <w:p w14:paraId="2B27A71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6.2.3项目筹开过程中，甲方有权进行必要监督，对甲方提出的整改意见乙方应在7个工作日内予以意见反馈，未能按时反馈的视为乙方同意并接受整改，若未能及时解决按未完成相应服务处理。</w:t>
      </w:r>
    </w:p>
    <w:p w14:paraId="2B27A71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6.2.4 乙方公司更名、法人变动、股权变更等，须将更新信息及时书面提供给甲方。</w:t>
      </w:r>
    </w:p>
    <w:p w14:paraId="0C1760C9">
      <w:pPr>
        <w:tabs>
          <w:tab w:val="left" w:pos="720"/>
        </w:tabs>
        <w:spacing w:line="360" w:lineRule="auto"/>
        <w:jc w:val="center"/>
        <w:rPr>
          <w:rFonts w:hint="eastAsia" w:ascii="宋体" w:hAnsi="宋体" w:cs="宋体"/>
          <w:b/>
          <w:bCs/>
          <w:color w:val="auto"/>
          <w:szCs w:val="21"/>
          <w:highlight w:val="none"/>
        </w:rPr>
      </w:pPr>
    </w:p>
    <w:p w14:paraId="2B27A71B">
      <w:pPr>
        <w:tabs>
          <w:tab w:val="left" w:pos="7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第七章  资产管理</w:t>
      </w:r>
    </w:p>
    <w:p w14:paraId="2B27A71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甲方与乙方对项目开业后的资产管理达成如下约定：</w:t>
      </w:r>
    </w:p>
    <w:p w14:paraId="2B27A7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 资产使用要求：</w:t>
      </w:r>
    </w:p>
    <w:p w14:paraId="2B27A71E">
      <w:pPr>
        <w:widowControl/>
        <w:tabs>
          <w:tab w:val="left" w:pos="157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7.1.1上述筹开服务标的范围内资产应由甲方负责维护、维修、更换、改造等。</w:t>
      </w:r>
    </w:p>
    <w:p w14:paraId="2B27A71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7.1.2项目的线下活动如涉及临时搭建的，乙方应按甲方或项目安全管理要求监督管理搭建方，如涉及大型活动应提前要求搭建方按规定进行报批。</w:t>
      </w:r>
    </w:p>
    <w:p w14:paraId="2B27A720">
      <w:pPr>
        <w:tabs>
          <w:tab w:val="left" w:pos="7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第八章  知识产权</w:t>
      </w:r>
    </w:p>
    <w:p w14:paraId="2B27A721">
      <w:pPr>
        <w:tabs>
          <w:tab w:val="left" w:pos="144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8.1甲方应向乙方提供为乙方执行本合同项下服务所必需的文件、材料和信息，甲方授权乙方为实现本合同的目的而使用。甲方提供文件资料的知识产权归甲方所有。</w:t>
      </w:r>
    </w:p>
    <w:p w14:paraId="2B27A72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8.2乙方在签署本合同前，乙方已产生或持有的知识产权，归乙方所有。</w:t>
      </w:r>
    </w:p>
    <w:p w14:paraId="2B27A723">
      <w:pPr>
        <w:tabs>
          <w:tab w:val="left" w:pos="144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8.3乙方在本合同项下提供服务成果的知识产权（包括但不限于命名权、摄影和模型制作的许可权、著作权、商标权、专利权、名称权等知识产权），在甲方付清合同款项后归甲方所有。</w:t>
      </w:r>
    </w:p>
    <w:p w14:paraId="2B27A72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8.4根据甲方的授权，在合同履行期内，乙方可以印刷、制作、销售、发放含有“园博园”等字样名称的印刷品、纪念品、广告宣传品以及其他物品。</w:t>
      </w:r>
    </w:p>
    <w:p w14:paraId="2B27A7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8.5项目产生的知识产权未经甲方事先书面同意，乙方不得在其他地区直接或间接使用或授权使用这一商标、也不得出售合同下产生的知识产权。</w:t>
      </w:r>
    </w:p>
    <w:p w14:paraId="2B27A726">
      <w:pPr>
        <w:spacing w:line="400" w:lineRule="exact"/>
        <w:ind w:firstLine="420" w:firstLineChars="200"/>
        <w:rPr>
          <w:rFonts w:ascii="宋体" w:hAnsi="宋体" w:cs="宋体"/>
          <w:color w:val="auto"/>
          <w:szCs w:val="21"/>
          <w:highlight w:val="none"/>
        </w:rPr>
      </w:pPr>
      <w:bookmarkStart w:id="110" w:name="_DV_M233"/>
      <w:bookmarkEnd w:id="110"/>
      <w:bookmarkStart w:id="111" w:name="_DV_M234"/>
      <w:bookmarkEnd w:id="111"/>
      <w:r>
        <w:rPr>
          <w:rFonts w:hint="eastAsia" w:ascii="宋体" w:hAnsi="宋体" w:cs="宋体"/>
          <w:color w:val="auto"/>
          <w:szCs w:val="21"/>
          <w:highlight w:val="none"/>
        </w:rPr>
        <w:t>8.6甲、乙双方应确认自身责任、权限内所涉及的知识产权为合法使用，若由此引起的与第三方的任何知识产权纠纷，则涉嫌侵权一方负有全部法律责任，与另一方无关。</w:t>
      </w:r>
    </w:p>
    <w:p w14:paraId="2B27A72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8.7甲、乙双方应对本合同所涉及的不为公众所知悉、具有商业价值并经采取相应保密措施的对方商业秘密及知识产权内容负有保密责任，不得透露给任何未经双方确认的第三方。</w:t>
      </w:r>
    </w:p>
    <w:p w14:paraId="2B27A728">
      <w:pPr>
        <w:tabs>
          <w:tab w:val="left" w:pos="720"/>
        </w:tabs>
        <w:spacing w:line="360" w:lineRule="auto"/>
        <w:jc w:val="center"/>
        <w:rPr>
          <w:rFonts w:ascii="宋体" w:hAnsi="宋体" w:cs="宋体"/>
          <w:b/>
          <w:bCs/>
          <w:color w:val="auto"/>
          <w:szCs w:val="21"/>
          <w:highlight w:val="none"/>
        </w:rPr>
      </w:pPr>
      <w:bookmarkStart w:id="112" w:name="_DV_M348"/>
      <w:bookmarkEnd w:id="112"/>
      <w:bookmarkStart w:id="113" w:name="_DV_M352"/>
      <w:bookmarkEnd w:id="113"/>
      <w:bookmarkStart w:id="114" w:name="_DV_M346"/>
      <w:bookmarkEnd w:id="114"/>
      <w:bookmarkStart w:id="115" w:name="_DV_M351"/>
      <w:bookmarkEnd w:id="115"/>
      <w:bookmarkStart w:id="116" w:name="_DV_M350"/>
      <w:bookmarkEnd w:id="116"/>
      <w:bookmarkStart w:id="117" w:name="_DV_M347"/>
      <w:bookmarkEnd w:id="117"/>
      <w:bookmarkStart w:id="118" w:name="_DV_M353"/>
      <w:bookmarkEnd w:id="118"/>
      <w:bookmarkStart w:id="119" w:name="_DV_M349"/>
      <w:bookmarkEnd w:id="119"/>
      <w:bookmarkStart w:id="120" w:name="_DV_M354"/>
      <w:bookmarkEnd w:id="120"/>
      <w:bookmarkStart w:id="121" w:name="_DV_M345"/>
      <w:bookmarkEnd w:id="121"/>
      <w:bookmarkStart w:id="122" w:name="_DV_M355"/>
      <w:bookmarkEnd w:id="122"/>
      <w:r>
        <w:rPr>
          <w:rFonts w:hint="eastAsia" w:ascii="宋体" w:hAnsi="宋体" w:cs="宋体"/>
          <w:b/>
          <w:bCs/>
          <w:color w:val="auto"/>
          <w:szCs w:val="21"/>
          <w:highlight w:val="none"/>
        </w:rPr>
        <w:t>第九章  合同终止</w:t>
      </w:r>
    </w:p>
    <w:p w14:paraId="2B27A72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w:t>
      </w:r>
      <w:bookmarkStart w:id="123" w:name="_DV_M248"/>
      <w:bookmarkEnd w:id="123"/>
      <w:r>
        <w:rPr>
          <w:rFonts w:hint="eastAsia" w:ascii="宋体" w:hAnsi="宋体" w:cs="宋体"/>
          <w:color w:val="auto"/>
          <w:szCs w:val="21"/>
          <w:highlight w:val="none"/>
        </w:rPr>
        <w:t xml:space="preserve"> 甲、乙双方同意在合同期内，有下列情形之一发生的，甲方应提前至少一个月以书面形式通知乙方，以便乙方准备移交工作、调整团队人员安排，双方协商调整合作内容或终止本合同，双方均无需承担任何违约责任。</w:t>
      </w:r>
    </w:p>
    <w:p w14:paraId="2B27A72A">
      <w:pPr>
        <w:widowControl/>
        <w:spacing w:line="400" w:lineRule="exact"/>
        <w:ind w:firstLine="420" w:firstLineChars="200"/>
        <w:rPr>
          <w:rFonts w:ascii="宋体" w:hAnsi="宋体" w:cs="宋体"/>
          <w:color w:val="auto"/>
          <w:szCs w:val="21"/>
          <w:highlight w:val="none"/>
        </w:rPr>
      </w:pPr>
      <w:bookmarkStart w:id="124" w:name="_DV_M249"/>
      <w:bookmarkEnd w:id="124"/>
      <w:r>
        <w:rPr>
          <w:rFonts w:hint="eastAsia" w:ascii="宋体" w:hAnsi="宋体" w:cs="宋体"/>
          <w:color w:val="auto"/>
          <w:szCs w:val="21"/>
          <w:highlight w:val="none"/>
        </w:rPr>
        <w:t>9.1.1</w:t>
      </w:r>
      <w:bookmarkStart w:id="125" w:name="_DV_M250"/>
      <w:bookmarkEnd w:id="125"/>
      <w:r>
        <w:rPr>
          <w:rFonts w:hint="eastAsia" w:ascii="宋体" w:hAnsi="宋体" w:cs="宋体"/>
          <w:color w:val="auto"/>
          <w:szCs w:val="21"/>
          <w:highlight w:val="none"/>
        </w:rPr>
        <w:t>该筹开服务标的占用范围内的土地使用权被政府依法提前收回的。</w:t>
      </w:r>
    </w:p>
    <w:p w14:paraId="2B27A72B">
      <w:pPr>
        <w:spacing w:line="400" w:lineRule="exact"/>
        <w:ind w:firstLine="420" w:firstLineChars="200"/>
        <w:rPr>
          <w:rFonts w:ascii="宋体" w:hAnsi="宋体" w:cs="宋体"/>
          <w:color w:val="auto"/>
          <w:szCs w:val="21"/>
          <w:highlight w:val="none"/>
        </w:rPr>
      </w:pPr>
      <w:bookmarkStart w:id="126" w:name="_DV_M251"/>
      <w:bookmarkEnd w:id="126"/>
      <w:r>
        <w:rPr>
          <w:rFonts w:hint="eastAsia" w:ascii="宋体" w:hAnsi="宋体" w:cs="宋体"/>
          <w:color w:val="auto"/>
          <w:szCs w:val="21"/>
          <w:highlight w:val="none"/>
        </w:rPr>
        <w:t>9.1.2</w:t>
      </w:r>
      <w:bookmarkStart w:id="127" w:name="_DV_M252"/>
      <w:bookmarkEnd w:id="127"/>
      <w:r>
        <w:rPr>
          <w:rFonts w:hint="eastAsia" w:ascii="宋体" w:hAnsi="宋体" w:cs="宋体"/>
          <w:color w:val="auto"/>
          <w:szCs w:val="21"/>
          <w:highlight w:val="none"/>
        </w:rPr>
        <w:t xml:space="preserve"> 该筹开服务标的因社会公共利益或市政规划变更被依法征用的。</w:t>
      </w:r>
    </w:p>
    <w:p w14:paraId="2B27A72C">
      <w:pPr>
        <w:spacing w:line="400" w:lineRule="exact"/>
        <w:ind w:firstLine="420" w:firstLineChars="200"/>
        <w:rPr>
          <w:rFonts w:ascii="宋体" w:hAnsi="宋体" w:cs="宋体"/>
          <w:color w:val="auto"/>
          <w:szCs w:val="21"/>
          <w:highlight w:val="none"/>
        </w:rPr>
      </w:pPr>
      <w:bookmarkStart w:id="128" w:name="_DV_M253"/>
      <w:bookmarkEnd w:id="128"/>
      <w:r>
        <w:rPr>
          <w:rFonts w:hint="eastAsia" w:ascii="宋体" w:hAnsi="宋体" w:cs="宋体"/>
          <w:color w:val="auto"/>
          <w:szCs w:val="21"/>
          <w:highlight w:val="none"/>
        </w:rPr>
        <w:t>9.1.3</w:t>
      </w:r>
      <w:bookmarkStart w:id="129" w:name="_DV_M254"/>
      <w:bookmarkEnd w:id="129"/>
      <w:r>
        <w:rPr>
          <w:rFonts w:hint="eastAsia" w:ascii="宋体" w:hAnsi="宋体" w:cs="宋体"/>
          <w:color w:val="auto"/>
          <w:szCs w:val="21"/>
          <w:highlight w:val="none"/>
        </w:rPr>
        <w:t>非因甲乙双方原因而导致该服务标的损毁、灭失或者被鉴定为危险建筑的。</w:t>
      </w:r>
      <w:bookmarkStart w:id="130" w:name="_DV_M257"/>
      <w:bookmarkEnd w:id="130"/>
      <w:bookmarkStart w:id="131" w:name="_DV_M260"/>
      <w:bookmarkEnd w:id="131"/>
      <w:bookmarkStart w:id="132" w:name="_DV_M259"/>
      <w:bookmarkEnd w:id="132"/>
      <w:bookmarkStart w:id="133" w:name="_DV_M267"/>
      <w:bookmarkEnd w:id="133"/>
      <w:bookmarkStart w:id="134" w:name="_DV_M264"/>
      <w:bookmarkEnd w:id="134"/>
      <w:bookmarkStart w:id="135" w:name="_DV_M258"/>
      <w:bookmarkEnd w:id="135"/>
      <w:bookmarkStart w:id="136" w:name="_DV_M294"/>
      <w:bookmarkEnd w:id="136"/>
      <w:bookmarkStart w:id="137" w:name="_DV_M261"/>
      <w:bookmarkEnd w:id="137"/>
      <w:bookmarkStart w:id="138" w:name="_DV_M255"/>
      <w:bookmarkEnd w:id="138"/>
      <w:bookmarkStart w:id="139" w:name="_DV_M263"/>
      <w:bookmarkEnd w:id="139"/>
    </w:p>
    <w:p w14:paraId="2B27A72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9.2本合同因任何原因终止后，双方应按下述要求完成交接工作。</w:t>
      </w:r>
    </w:p>
    <w:p w14:paraId="2B27A7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9.2.1双方就乙方已提供的服务（含执行中的服务、乙方策划设计服务费用、筹备中的服务）逐项进行结算确认，确认后，乙方交接项目相关的文件材料给甲方。</w:t>
      </w:r>
    </w:p>
    <w:p w14:paraId="2B27A72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9.2.2合同终止后，乙方应梳理并将甲方提供的项目相关资产、机密文件返还甲方，甲方应向乙方出具书面接收确认文件。如在乙方催告后15日内甲方仍未出具书面接收确认文件的，视为乙方完成了的返还义务，但乙方仍有义务配合继续履行文件的返还。</w:t>
      </w:r>
    </w:p>
    <w:p w14:paraId="2B27A73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9.2.3合同终止后，就本合同终止前已全部或部分履行的内容，甲乙双方应据实结算乙方已提供全部服务费用。</w:t>
      </w:r>
    </w:p>
    <w:p w14:paraId="2B27A73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9.2.4尽管有前述规定，保密条款、违约责任等条款在本合同终止后持续有效。</w:t>
      </w:r>
    </w:p>
    <w:p w14:paraId="2B27A732">
      <w:pPr>
        <w:tabs>
          <w:tab w:val="left" w:pos="720"/>
        </w:tabs>
        <w:spacing w:line="360" w:lineRule="auto"/>
        <w:jc w:val="center"/>
        <w:rPr>
          <w:rFonts w:ascii="宋体" w:hAnsi="宋体" w:cs="宋体"/>
          <w:b/>
          <w:bCs/>
          <w:color w:val="auto"/>
          <w:szCs w:val="21"/>
          <w:highlight w:val="none"/>
        </w:rPr>
      </w:pPr>
      <w:bookmarkStart w:id="140" w:name="_DV_M296"/>
      <w:bookmarkEnd w:id="140"/>
      <w:r>
        <w:rPr>
          <w:rFonts w:hint="eastAsia" w:ascii="宋体" w:hAnsi="宋体" w:cs="宋体"/>
          <w:b/>
          <w:bCs/>
          <w:color w:val="auto"/>
          <w:szCs w:val="21"/>
          <w:highlight w:val="none"/>
        </w:rPr>
        <w:t xml:space="preserve">第十章 </w:t>
      </w:r>
      <w:r>
        <w:rPr>
          <w:rFonts w:hint="eastAsia" w:ascii="宋体" w:hAnsi="宋体" w:cs="宋体"/>
          <w:b/>
          <w:bCs/>
          <w:color w:val="auto"/>
          <w:szCs w:val="21"/>
          <w:highlight w:val="none"/>
        </w:rPr>
        <w:tab/>
      </w:r>
      <w:bookmarkStart w:id="141" w:name="_DV_M297"/>
      <w:bookmarkEnd w:id="141"/>
      <w:r>
        <w:rPr>
          <w:rFonts w:hint="eastAsia" w:ascii="宋体" w:hAnsi="宋体" w:cs="宋体"/>
          <w:b/>
          <w:bCs/>
          <w:color w:val="auto"/>
          <w:szCs w:val="21"/>
          <w:highlight w:val="none"/>
        </w:rPr>
        <w:t>违约责任</w:t>
      </w:r>
    </w:p>
    <w:p w14:paraId="2B27A733">
      <w:pPr>
        <w:tabs>
          <w:tab w:val="left" w:pos="720"/>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10.1双方应善意履行本合同，如一方因过错、不履行、迟延履行本合同的，构成违约的，应承担违约责任，赔偿对方遭受的全部损失（包括但不限于直接损失、诉讼费、律师费、保全费等）。</w:t>
      </w:r>
    </w:p>
    <w:p w14:paraId="2B27A734">
      <w:pPr>
        <w:tabs>
          <w:tab w:val="left" w:pos="720"/>
        </w:tabs>
        <w:spacing w:line="4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10.2一方违约，另一方有权要求在合理期限内更正，如违约方未能在合理期限内更正的，每逾期一天，违约方应向守约方支付该项服务费总额万分之二每日的违约金，违约金不足以弥补守约方损失的，守约方有权追偿；违约行为影响到合同正常履行的，经守约方催告后，违约方在合理期限内不予纠正逾期超过30日，或多次违约拒不纠正累计达90日的，守约方有权单方解除本合同。此情形下，违约方应赔偿另一方因合同解除所遭受的全部损失。（乙方造成的损失优先从履约保证金内扣除违约金）。</w:t>
      </w:r>
    </w:p>
    <w:p w14:paraId="2B27A737">
      <w:pPr>
        <w:tabs>
          <w:tab w:val="left" w:pos="7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第十一章  其他约定</w:t>
      </w:r>
    </w:p>
    <w:p w14:paraId="2B27A73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11.1 不可抗力: </w:t>
      </w:r>
    </w:p>
    <w:p w14:paraId="2B27A73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不可抗力是指本合同履行过程中发生的任何一方不能预见及避免的客观情况，如战争、暴乱、地震、瘟疫或其他灾害气候等,双方一致同意因国家法律、法规的颁布或修改，国务院部委的部门规章的颁布或修改，温州市制定并公布的规范性文件的颁布或修改而导致一方或双方履行本合同义务将会违反强制性规定的情形也属不可抗力事件；</w:t>
      </w:r>
    </w:p>
    <w:p w14:paraId="2B27A73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如发生不可抗力事件，遭受该事件的本合同一方应尽最大努力减少由此可能造成的损失，立即用可能的快捷方式通知对方，并在15个工作日内提供证明文件说明有关事件的细节和不能履行或不能按约定条件履行本合同的原因。本合同双方应在协商一致的基础上决定是否延期履行本合同或终止本合同，并达成书面协议。本合同终止的，甲方应承担乙方已提供服务对应的服务费用（含乙方执行中的服务、策划设计服务费用、筹备服务费用、筹开服务费）；</w:t>
      </w:r>
    </w:p>
    <w:p w14:paraId="2B27A73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11.1.3不可抗力原因消除后,一方或双方的合同义务即行恢复；</w:t>
      </w:r>
    </w:p>
    <w:p w14:paraId="2B27A73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11.1.4如果发生不可抗力，致使一方不能履行、延期履行或不能按约定条件履行本合同，则该方对不能履行、延期履行或不能按约定条件履行其在本合同项下的任何义务不承担违约责任，但该方迟延履行其在本合同项下义务后发生不可抗力的，该方对不能履行或不能按约定条件履行其在本合同项下的义务不能免除违约责任。不可抗力事件消除后，受不可抗力阻止的一方应尽快向其他方发出不可抗力事件消除的通知，而其他方收到该通知后应予以确认；</w:t>
      </w:r>
    </w:p>
    <w:p w14:paraId="2B27A7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11.1.5遭受不可抗力影响的一方应采取积极有效的措施以尽量减少因本合同不能或延迟执行而给对方造成的损失。不可抗力的损失由甲乙双方各自承担。</w:t>
      </w:r>
    </w:p>
    <w:p w14:paraId="2B27A7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书面通知</w:t>
      </w:r>
    </w:p>
    <w:p w14:paraId="2B27A73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 本合同双方之间的任何通知或通讯应当采用书面形式通过专人递送、快递的形式，并按照下述通讯信息送达至被通知人，下述任何一方通讯信息发生变化时，应当在该变更发生后3日之内通知其他各方，否则基于其原通讯信息发出的通知仍视为有效通知：</w:t>
      </w:r>
    </w:p>
    <w:p w14:paraId="2B27A7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 </w:t>
      </w:r>
    </w:p>
    <w:p w14:paraId="2B27A74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w:t>
      </w:r>
    </w:p>
    <w:p w14:paraId="2B27A7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联系地址： </w:t>
      </w:r>
    </w:p>
    <w:p w14:paraId="2B27A74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14:paraId="2B27A7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电子邮箱：</w:t>
      </w:r>
    </w:p>
    <w:p w14:paraId="2B27A74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 </w:t>
      </w:r>
    </w:p>
    <w:p w14:paraId="2B27A74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w:t>
      </w:r>
    </w:p>
    <w:p w14:paraId="2B27A7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联系地址： </w:t>
      </w:r>
    </w:p>
    <w:p w14:paraId="2B27A74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14:paraId="2B27A7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电子邮箱：</w:t>
      </w:r>
    </w:p>
    <w:p w14:paraId="2B27A74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11.2.2按本合同作出或发出的任何通知或通讯，在下列时间视为送达：</w:t>
      </w:r>
    </w:p>
    <w:p w14:paraId="2B27A74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11.2.2.1如为专人递送方式，在专人交付至被通知方本人或收件人之日；</w:t>
      </w:r>
    </w:p>
    <w:p w14:paraId="2B27A7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11.2.2.2如为快递方式，在交付至快递公司之日后第3个工作日；</w:t>
      </w:r>
    </w:p>
    <w:p w14:paraId="2B27A7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甲乙双方因履行本合同而相互发生或者提供的所有通知、文件、资料、书面确认等事项，经过上述联系人签署或通讯地址进行收发即视为有效。本地址同样适用于诉讼有效送达地址。</w:t>
      </w:r>
    </w:p>
    <w:p w14:paraId="2B27A74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特别声明</w:t>
      </w:r>
    </w:p>
    <w:p w14:paraId="2B27A74F">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11.3.1</w:t>
      </w:r>
      <w:r>
        <w:rPr>
          <w:rFonts w:hint="eastAsia" w:ascii="宋体" w:hAnsi="宋体" w:cs="宋体"/>
          <w:b/>
          <w:bCs/>
          <w:color w:val="auto"/>
          <w:szCs w:val="21"/>
          <w:highlight w:val="none"/>
        </w:rPr>
        <w:t>一</w:t>
      </w:r>
      <w:r>
        <w:rPr>
          <w:rFonts w:hint="eastAsia" w:ascii="宋体" w:hAnsi="宋体" w:cs="宋体"/>
          <w:color w:val="auto"/>
          <w:szCs w:val="21"/>
          <w:highlight w:val="none"/>
        </w:rPr>
        <w:t>方就另一方的任何违约行为，未立即按本合同约定追究其违约责任或行使其他权利，不能视为对违约方违约行为的默示许可或纵容，也不能视为对自己合法权利的放弃，更不能影响守约方根据国家法律、法规及本合同规定采取一切合法措施维护自身合法权益的权利；</w:t>
      </w:r>
    </w:p>
    <w:p w14:paraId="2B27A750">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11.3.2</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任何一方放弃本合同项下的任何权利，均仅依据其签署书面文件所作出的放弃声明为准。</w:t>
      </w:r>
    </w:p>
    <w:p w14:paraId="2B27A7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11.4保密条款</w:t>
      </w:r>
    </w:p>
    <w:p w14:paraId="2B27A75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11.4.1除法律另有规定或本合同另有约定外，双方将因订立本合同而收到或取得的保密信息，未经提供保密信息的一方同意，不得披露或使用。“保密信息”系指接受方从披露方获得的与合作有关或因合作产生的商业、营销、技术、运营数据或其他性质的资料（包括客户名称、客户地址及联系方式、需求信息、营销计划、定价政策、招投标中的标底及标书内容、项目组人员构成、费用预算、利润情况及不公开的财务资料等）。上述保密信息可以数据、文字及记载上述内容的资料、光盘、软件、图书等有形媒介体现，也可通过口头等视听形式传递。</w:t>
      </w:r>
    </w:p>
    <w:p w14:paraId="2B27A75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11.4.2如下列情形发生或在下列情形下，则不适用本条第1款的约定：</w:t>
      </w:r>
    </w:p>
    <w:p w14:paraId="2B27A75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11.4.2.1法律、任何监管机关或任何证券交易所要求披露或使用的；</w:t>
      </w:r>
    </w:p>
    <w:p w14:paraId="2B27A75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11.4.2.2为履行本合同而披露或使用的；</w:t>
      </w:r>
    </w:p>
    <w:p w14:paraId="2B27A75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11.4.2.3因本合同或根据本合同而订立的任何其他合同而引起的任何司法程序而要求披露或使用的，或合理向税收机关披露有关披露税收事宜的；</w:t>
      </w:r>
    </w:p>
    <w:p w14:paraId="2B27A7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11.4.2.4向各方的专业顾问进行披露的，但各方应要求该等专业顾问应遵守本合同有关该等信息的保密规定，如同其为本合同的当事方一样；</w:t>
      </w:r>
    </w:p>
    <w:p w14:paraId="2B27A75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11.4.2.5非因违反本合同，信息已进入公众范围的；</w:t>
      </w:r>
    </w:p>
    <w:p w14:paraId="2B27A7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11.4.2.6提供保密信息的一方已事先书面批准披露或使用的；</w:t>
      </w:r>
    </w:p>
    <w:p w14:paraId="2B27A7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11.4.2.7披露或使用的信息系非基于保密信息并独立开发的。</w:t>
      </w:r>
    </w:p>
    <w:p w14:paraId="2B27A75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11.4.4甲乙双方保证对本合同内容及有关事项保守秘密，因信息泄露造成损失的，由泄露方承担由此带来的一切损失。不将因合作而知悉的对方信息用于项目外的用途；双方只披露有关资料与必须接触和知道的员工，并保证本方员工不向第三方泄露；双方不得再与第三方签定与该项目业务有关的类似协议。</w:t>
      </w:r>
    </w:p>
    <w:p w14:paraId="2B27A7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11.4.5本保密条款在本合同解除、终止或无效后仍然有效。</w:t>
      </w:r>
    </w:p>
    <w:p w14:paraId="2B27A75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11.5禁止行为</w:t>
      </w:r>
    </w:p>
    <w:p w14:paraId="2B27A7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11.5.1未经双方同意，禁止任何一方私自以本合作项目名义进行与本项目无关的业务活动；</w:t>
      </w:r>
    </w:p>
    <w:p w14:paraId="2B27A75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11.5.2禁止任何一方与本合作团体做任何不正当利益上的交易；</w:t>
      </w:r>
    </w:p>
    <w:p w14:paraId="2B27A7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11.5.3合作期间创立的品牌按照本合同第八章的约定确认所有权及使用权，甲乙任何一方不得用该品牌及与品牌相近文字开设新的或以分店的名义进行竞争业务。</w:t>
      </w:r>
    </w:p>
    <w:p w14:paraId="2B27A7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11.6其他</w:t>
      </w:r>
    </w:p>
    <w:p w14:paraId="2B27A76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11.6.1 本合同所涉及的货币单位全部指人民币；</w:t>
      </w:r>
    </w:p>
    <w:p w14:paraId="2B27A76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11.6.2 在本合同履行过程中，如市政府有新的要求，或相关情况发生变化，或任何一方提出变更本合同约定条件的，甲乙双方经协商一致，可对本合同有关内容进行变更、解除和补充，并签订补充合同。本合同未尽事宜，经甲乙双方协商另行签订补充合同，补充合同与本合同具备同样法律效力；</w:t>
      </w:r>
    </w:p>
    <w:p w14:paraId="2B27A7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11.6.3 因本合同的履行双方发生争议，由双方协商解决；协商不成的，双方同意提交项目所在地人民法院诉讼解决；</w:t>
      </w:r>
    </w:p>
    <w:p w14:paraId="2B27A76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11.6.4 本合同自双方加盖公章和法定代表人或委托代理人签章（字）之日起生效；</w:t>
      </w:r>
    </w:p>
    <w:p w14:paraId="2B27A76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11.6.5 本合同  份，甲乙双方各执  份，具有同等法律效力。</w:t>
      </w:r>
    </w:p>
    <w:p w14:paraId="2B27A767">
      <w:pPr>
        <w:spacing w:line="400" w:lineRule="exact"/>
        <w:ind w:firstLine="420" w:firstLineChars="200"/>
        <w:rPr>
          <w:rFonts w:ascii="宋体" w:hAnsi="宋体" w:cs="宋体"/>
          <w:color w:val="auto"/>
          <w:szCs w:val="21"/>
          <w:highlight w:val="none"/>
        </w:rPr>
      </w:pPr>
    </w:p>
    <w:p w14:paraId="2B27A7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甲方：（盖公章）</w:t>
      </w:r>
    </w:p>
    <w:p w14:paraId="2B27A76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法定代表人或委托代理人（签字/盖章）：</w:t>
      </w:r>
    </w:p>
    <w:p w14:paraId="2B27A76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2B27A76B">
      <w:pPr>
        <w:spacing w:line="400" w:lineRule="exact"/>
        <w:ind w:right="1200" w:firstLine="420" w:firstLineChars="200"/>
        <w:rPr>
          <w:rFonts w:ascii="宋体" w:hAnsi="宋体" w:cs="宋体"/>
          <w:color w:val="auto"/>
          <w:szCs w:val="21"/>
          <w:highlight w:val="none"/>
        </w:rPr>
      </w:pPr>
      <w:r>
        <w:rPr>
          <w:rFonts w:hint="eastAsia" w:ascii="宋体" w:hAnsi="宋体" w:cs="宋体"/>
          <w:color w:val="auto"/>
          <w:szCs w:val="21"/>
          <w:highlight w:val="none"/>
        </w:rPr>
        <w:t>乙方：（盖公章）</w:t>
      </w:r>
    </w:p>
    <w:p w14:paraId="2B27A76C">
      <w:pPr>
        <w:widowControl/>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法定代表人或委托代理人（签字/盖章）</w:t>
      </w:r>
    </w:p>
    <w:p w14:paraId="042D1BCE">
      <w:pPr>
        <w:widowControl/>
        <w:spacing w:line="400" w:lineRule="exact"/>
        <w:ind w:firstLine="420" w:firstLineChars="200"/>
        <w:jc w:val="left"/>
        <w:rPr>
          <w:rFonts w:hint="eastAsia" w:ascii="宋体" w:hAnsi="宋体" w:eastAsia="宋体" w:cs="宋体"/>
          <w:color w:val="auto"/>
          <w:szCs w:val="21"/>
          <w:highlight w:val="none"/>
          <w:lang w:eastAsia="zh-CN"/>
        </w:rPr>
      </w:pPr>
    </w:p>
    <w:p w14:paraId="54AC03BA">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A5CEEBB">
      <w:pPr>
        <w:widowControl/>
        <w:spacing w:line="400" w:lineRule="exact"/>
        <w:ind w:firstLine="420" w:firstLineChars="200"/>
        <w:jc w:val="left"/>
        <w:rPr>
          <w:rFonts w:hint="eastAsia" w:ascii="宋体" w:hAnsi="宋体" w:cs="宋体"/>
          <w:color w:val="auto"/>
          <w:szCs w:val="21"/>
          <w:highlight w:val="none"/>
        </w:rPr>
      </w:pPr>
    </w:p>
    <w:p w14:paraId="0AECE4ED">
      <w:pPr>
        <w:widowControl/>
        <w:spacing w:line="400" w:lineRule="exact"/>
        <w:jc w:val="left"/>
        <w:rPr>
          <w:color w:val="auto"/>
          <w:highlight w:val="none"/>
        </w:rPr>
      </w:pPr>
    </w:p>
    <w:p w14:paraId="068AF638">
      <w:pPr>
        <w:pStyle w:val="2"/>
        <w:rPr>
          <w:rFonts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t>第三部分   投标文件格式</w:t>
      </w:r>
      <w:bookmarkEnd w:id="99"/>
      <w:bookmarkEnd w:id="100"/>
    </w:p>
    <w:p w14:paraId="11806E00">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（资格审查资料封面，供参考）</w:t>
      </w:r>
    </w:p>
    <w:p w14:paraId="4BFE31BA">
      <w:pPr>
        <w:rPr>
          <w:rFonts w:ascii="新宋体" w:hAnsi="新宋体" w:eastAsia="新宋体" w:cs="新宋体"/>
          <w:color w:val="auto"/>
          <w:highlight w:val="none"/>
        </w:rPr>
      </w:pPr>
    </w:p>
    <w:p w14:paraId="2FBFF342">
      <w:pPr>
        <w:rPr>
          <w:rFonts w:ascii="新宋体" w:hAnsi="新宋体" w:eastAsia="新宋体" w:cs="新宋体"/>
          <w:color w:val="auto"/>
          <w:highlight w:val="none"/>
        </w:rPr>
      </w:pPr>
    </w:p>
    <w:p w14:paraId="0384AC44">
      <w:pPr>
        <w:rPr>
          <w:rFonts w:ascii="新宋体" w:hAnsi="新宋体" w:eastAsia="新宋体" w:cs="新宋体"/>
          <w:color w:val="auto"/>
          <w:highlight w:val="none"/>
        </w:rPr>
      </w:pPr>
    </w:p>
    <w:p w14:paraId="3E1BBCA9">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45657772">
      <w:pPr>
        <w:rPr>
          <w:rFonts w:ascii="新宋体" w:hAnsi="新宋体" w:eastAsia="新宋体" w:cs="新宋体"/>
          <w:color w:val="auto"/>
          <w:sz w:val="28"/>
          <w:szCs w:val="28"/>
          <w:highlight w:val="none"/>
        </w:rPr>
      </w:pPr>
    </w:p>
    <w:p w14:paraId="08891C2F">
      <w:pPr>
        <w:rPr>
          <w:rFonts w:ascii="新宋体" w:hAnsi="新宋体" w:eastAsia="新宋体" w:cs="新宋体"/>
          <w:color w:val="auto"/>
          <w:sz w:val="28"/>
          <w:szCs w:val="28"/>
          <w:highlight w:val="none"/>
        </w:rPr>
      </w:pPr>
    </w:p>
    <w:p w14:paraId="6B5E0682">
      <w:pPr>
        <w:pStyle w:val="23"/>
        <w:ind w:firstLine="280"/>
        <w:rPr>
          <w:rFonts w:ascii="新宋体" w:hAnsi="新宋体" w:eastAsia="新宋体" w:cs="新宋体"/>
          <w:color w:val="auto"/>
          <w:sz w:val="28"/>
          <w:szCs w:val="28"/>
          <w:highlight w:val="none"/>
        </w:rPr>
      </w:pPr>
    </w:p>
    <w:p w14:paraId="6290A6BD">
      <w:pPr>
        <w:pStyle w:val="23"/>
        <w:ind w:firstLine="280"/>
        <w:rPr>
          <w:rFonts w:ascii="新宋体" w:hAnsi="新宋体" w:eastAsia="新宋体" w:cs="新宋体"/>
          <w:color w:val="auto"/>
          <w:sz w:val="28"/>
          <w:szCs w:val="28"/>
          <w:highlight w:val="none"/>
        </w:rPr>
      </w:pPr>
    </w:p>
    <w:p w14:paraId="7924055A">
      <w:pPr>
        <w:rPr>
          <w:rFonts w:ascii="新宋体" w:hAnsi="新宋体" w:eastAsia="新宋体" w:cs="新宋体"/>
          <w:color w:val="auto"/>
          <w:sz w:val="28"/>
          <w:szCs w:val="28"/>
          <w:highlight w:val="none"/>
        </w:rPr>
      </w:pPr>
    </w:p>
    <w:p w14:paraId="28123066">
      <w:pPr>
        <w:rPr>
          <w:rFonts w:ascii="新宋体" w:hAnsi="新宋体" w:eastAsia="新宋体" w:cs="新宋体"/>
          <w:color w:val="auto"/>
          <w:sz w:val="28"/>
          <w:szCs w:val="28"/>
          <w:highlight w:val="none"/>
        </w:rPr>
      </w:pPr>
    </w:p>
    <w:p w14:paraId="22D1EB7A">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14:paraId="32634BAD">
      <w:pPr>
        <w:spacing w:line="360" w:lineRule="auto"/>
        <w:rPr>
          <w:rFonts w:ascii="新宋体" w:hAnsi="新宋体" w:eastAsia="新宋体" w:cs="新宋体"/>
          <w:color w:val="auto"/>
          <w:szCs w:val="21"/>
          <w:highlight w:val="none"/>
        </w:rPr>
      </w:pPr>
    </w:p>
    <w:p w14:paraId="666ACF49">
      <w:pPr>
        <w:spacing w:line="360" w:lineRule="auto"/>
        <w:rPr>
          <w:rFonts w:ascii="新宋体" w:hAnsi="新宋体" w:eastAsia="新宋体" w:cs="新宋体"/>
          <w:color w:val="auto"/>
          <w:szCs w:val="21"/>
          <w:highlight w:val="none"/>
        </w:rPr>
      </w:pPr>
    </w:p>
    <w:p w14:paraId="0B212EEC">
      <w:pPr>
        <w:spacing w:line="360" w:lineRule="auto"/>
        <w:rPr>
          <w:rFonts w:ascii="新宋体" w:hAnsi="新宋体" w:eastAsia="新宋体" w:cs="新宋体"/>
          <w:color w:val="auto"/>
          <w:szCs w:val="21"/>
          <w:highlight w:val="none"/>
        </w:rPr>
      </w:pPr>
    </w:p>
    <w:p w14:paraId="6F79CC43">
      <w:pPr>
        <w:spacing w:line="360" w:lineRule="auto"/>
        <w:rPr>
          <w:rFonts w:ascii="新宋体" w:hAnsi="新宋体" w:eastAsia="新宋体" w:cs="新宋体"/>
          <w:color w:val="auto"/>
          <w:szCs w:val="21"/>
          <w:highlight w:val="none"/>
        </w:rPr>
      </w:pPr>
    </w:p>
    <w:p w14:paraId="01333E14">
      <w:pPr>
        <w:spacing w:line="360" w:lineRule="auto"/>
        <w:rPr>
          <w:rFonts w:ascii="新宋体" w:hAnsi="新宋体" w:eastAsia="新宋体" w:cs="新宋体"/>
          <w:color w:val="auto"/>
          <w:szCs w:val="21"/>
          <w:highlight w:val="none"/>
        </w:rPr>
      </w:pPr>
    </w:p>
    <w:p w14:paraId="2D4CAAF6">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3ACC5830">
      <w:pPr>
        <w:rPr>
          <w:rFonts w:ascii="新宋体" w:hAnsi="新宋体" w:eastAsia="新宋体" w:cs="新宋体"/>
          <w:color w:val="auto"/>
          <w:sz w:val="28"/>
          <w:szCs w:val="28"/>
          <w:highlight w:val="none"/>
          <w:u w:val="single"/>
        </w:rPr>
      </w:pPr>
    </w:p>
    <w:p w14:paraId="13AB3AD5">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1491C1D0">
      <w:pPr>
        <w:rPr>
          <w:rFonts w:ascii="新宋体" w:hAnsi="新宋体" w:eastAsia="新宋体" w:cs="新宋体"/>
          <w:color w:val="auto"/>
          <w:sz w:val="28"/>
          <w:szCs w:val="28"/>
          <w:highlight w:val="none"/>
        </w:rPr>
      </w:pPr>
    </w:p>
    <w:p w14:paraId="366D41BA">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635DC74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3A37255A">
      <w:pPr>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58D4F800">
      <w:pPr>
        <w:numPr>
          <w:ilvl w:val="0"/>
          <w:numId w:val="18"/>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法定代表人授权书和授权代表人有效身份证明；</w:t>
      </w:r>
    </w:p>
    <w:p w14:paraId="24E0C2AE">
      <w:pPr>
        <w:numPr>
          <w:ilvl w:val="0"/>
          <w:numId w:val="18"/>
        </w:numPr>
        <w:spacing w:line="588"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营业执照(或事业法人登记证书或其它工商等登记证明材料)；</w:t>
      </w:r>
    </w:p>
    <w:p w14:paraId="5FD94886">
      <w:pPr>
        <w:numPr>
          <w:ilvl w:val="0"/>
          <w:numId w:val="18"/>
        </w:numPr>
        <w:spacing w:line="588" w:lineRule="exact"/>
        <w:rPr>
          <w:rFonts w:ascii="宋体" w:hAnsi="宋体" w:cs="宋体"/>
          <w:color w:val="auto"/>
          <w:sz w:val="22"/>
          <w:szCs w:val="22"/>
          <w:highlight w:val="none"/>
        </w:rPr>
      </w:pPr>
      <w:r>
        <w:rPr>
          <w:rFonts w:hint="eastAsia" w:ascii="宋体" w:hAnsi="宋体" w:cs="宋体"/>
          <w:color w:val="auto"/>
          <w:sz w:val="22"/>
          <w:szCs w:val="22"/>
          <w:highlight w:val="none"/>
        </w:rPr>
        <w:t>资格条件承诺函</w:t>
      </w:r>
    </w:p>
    <w:p w14:paraId="1D7618AB">
      <w:pPr>
        <w:numPr>
          <w:ilvl w:val="0"/>
          <w:numId w:val="18"/>
        </w:numPr>
        <w:spacing w:line="588" w:lineRule="exact"/>
        <w:rPr>
          <w:rFonts w:ascii="宋体" w:hAnsi="宋体" w:cs="宋体"/>
          <w:color w:val="auto"/>
          <w:sz w:val="22"/>
          <w:highlight w:val="none"/>
        </w:rPr>
      </w:pPr>
      <w:r>
        <w:rPr>
          <w:rFonts w:hint="eastAsia" w:ascii="宋体" w:hAnsi="宋体" w:cs="宋体"/>
          <w:color w:val="auto"/>
          <w:sz w:val="22"/>
          <w:szCs w:val="22"/>
          <w:highlight w:val="none"/>
        </w:rPr>
        <w:t>申请材料真实性声明</w:t>
      </w:r>
    </w:p>
    <w:p w14:paraId="561CC4BF">
      <w:pPr>
        <w:numPr>
          <w:ilvl w:val="0"/>
          <w:numId w:val="18"/>
        </w:numPr>
        <w:spacing w:line="588" w:lineRule="exact"/>
        <w:rPr>
          <w:rFonts w:ascii="宋体" w:hAnsi="宋体" w:cs="宋体"/>
          <w:color w:val="auto"/>
          <w:sz w:val="22"/>
          <w:highlight w:val="none"/>
        </w:rPr>
      </w:pPr>
      <w:r>
        <w:rPr>
          <w:rFonts w:hint="eastAsia" w:ascii="宋体" w:hAnsi="宋体" w:cs="宋体"/>
          <w:color w:val="auto"/>
          <w:sz w:val="22"/>
          <w:szCs w:val="22"/>
          <w:highlight w:val="none"/>
        </w:rPr>
        <w:t>投标保证金缴纳凭证,最终以实际到账为准（加盖公章）</w:t>
      </w:r>
    </w:p>
    <w:p w14:paraId="736DAF54">
      <w:pPr>
        <w:spacing w:line="588" w:lineRule="exact"/>
        <w:ind w:left="420"/>
        <w:rPr>
          <w:rFonts w:ascii="新宋体" w:hAnsi="新宋体" w:eastAsia="新宋体" w:cs="新宋体"/>
          <w:color w:val="auto"/>
          <w:sz w:val="22"/>
          <w:szCs w:val="22"/>
          <w:highlight w:val="none"/>
        </w:rPr>
      </w:pPr>
    </w:p>
    <w:p w14:paraId="6AF2F0A9">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bCs/>
          <w:color w:val="auto"/>
          <w:sz w:val="32"/>
          <w:szCs w:val="32"/>
          <w:highlight w:val="none"/>
        </w:rPr>
        <w:br w:type="page"/>
      </w:r>
      <w:r>
        <w:rPr>
          <w:rFonts w:hint="eastAsia" w:ascii="新宋体" w:hAnsi="新宋体" w:eastAsia="新宋体" w:cs="新宋体"/>
          <w:b/>
          <w:color w:val="auto"/>
          <w:kern w:val="0"/>
          <w:sz w:val="28"/>
          <w:szCs w:val="28"/>
          <w:highlight w:val="none"/>
        </w:rPr>
        <w:t>法定代表人授权书</w:t>
      </w:r>
    </w:p>
    <w:p w14:paraId="53511053">
      <w:pPr>
        <w:spacing w:line="420" w:lineRule="exact"/>
        <w:rPr>
          <w:rFonts w:ascii="新宋体" w:hAnsi="新宋体" w:eastAsia="新宋体" w:cs="新宋体"/>
          <w:b/>
          <w:color w:val="auto"/>
          <w:sz w:val="22"/>
          <w:szCs w:val="22"/>
          <w:highlight w:val="none"/>
        </w:rPr>
      </w:pPr>
    </w:p>
    <w:p w14:paraId="0B530EDD">
      <w:pPr>
        <w:spacing w:line="42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温州园博园建设发展有限公司</w:t>
      </w:r>
    </w:p>
    <w:p w14:paraId="4400912A">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浙江鼎力工程项目管理有限公司：</w:t>
      </w:r>
    </w:p>
    <w:p w14:paraId="54A51B2D">
      <w:pPr>
        <w:spacing w:line="460" w:lineRule="exact"/>
        <w:rPr>
          <w:rFonts w:ascii="新宋体" w:hAnsi="新宋体" w:eastAsia="新宋体" w:cs="新宋体"/>
          <w:color w:val="auto"/>
          <w:sz w:val="22"/>
          <w:szCs w:val="22"/>
          <w:highlight w:val="none"/>
          <w:u w:val="single"/>
        </w:rPr>
      </w:pPr>
    </w:p>
    <w:p w14:paraId="7181B6A2">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（投标供应商全称）法定代表人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（全权代表姓名）为全权代表，参加贵方组织的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（采购项目名称、编号）的采购活动，全权代表我方处理采购活动中的一切事宜。</w:t>
      </w:r>
    </w:p>
    <w:p w14:paraId="5F60ECBB">
      <w:pPr>
        <w:spacing w:line="460" w:lineRule="exact"/>
        <w:ind w:firstLine="2955"/>
        <w:rPr>
          <w:rFonts w:ascii="新宋体" w:hAnsi="新宋体" w:eastAsia="新宋体" w:cs="新宋体"/>
          <w:color w:val="auto"/>
          <w:sz w:val="22"/>
          <w:szCs w:val="22"/>
          <w:highlight w:val="none"/>
        </w:rPr>
      </w:pPr>
    </w:p>
    <w:p w14:paraId="128A1C10">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69B5697">
      <w:pPr>
        <w:spacing w:line="460" w:lineRule="exact"/>
        <w:ind w:firstLine="3971" w:firstLineChars="180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14:paraId="2D7232C6">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投标供应商全称（公章）：</w:t>
      </w:r>
    </w:p>
    <w:p w14:paraId="62CCFFE2">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5647BDD8">
      <w:pPr>
        <w:spacing w:line="460" w:lineRule="exact"/>
        <w:rPr>
          <w:rFonts w:ascii="新宋体" w:hAnsi="新宋体" w:eastAsia="新宋体" w:cs="新宋体"/>
          <w:color w:val="auto"/>
          <w:sz w:val="22"/>
          <w:szCs w:val="22"/>
          <w:highlight w:val="none"/>
        </w:rPr>
      </w:pPr>
    </w:p>
    <w:p w14:paraId="12F68FA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1CE0B289">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51F5DCA8">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14:paraId="73ECAAD2">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47F3673B">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04B88BBA">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01F3F846">
      <w:pPr>
        <w:spacing w:line="46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2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4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19BCFF48">
            <w:pPr>
              <w:spacing w:line="380" w:lineRule="exact"/>
              <w:jc w:val="cente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投标供应商代表身份证复印件</w:t>
            </w:r>
          </w:p>
          <w:p w14:paraId="57A74963">
            <w:pPr>
              <w:spacing w:line="380" w:lineRule="exact"/>
              <w:jc w:val="center"/>
              <w:rPr>
                <w:rFonts w:ascii="新宋体" w:hAnsi="新宋体" w:eastAsia="新宋体" w:cs="新宋体"/>
                <w:b/>
                <w:bCs/>
                <w:color w:val="auto"/>
                <w:sz w:val="28"/>
                <w:highlight w:val="none"/>
              </w:rPr>
            </w:pPr>
          </w:p>
        </w:tc>
      </w:tr>
    </w:tbl>
    <w:p w14:paraId="717FD546">
      <w:pPr>
        <w:pStyle w:val="2"/>
        <w:jc w:val="left"/>
        <w:rPr>
          <w:rFonts w:ascii="新宋体" w:hAnsi="新宋体" w:eastAsia="新宋体" w:cs="新宋体"/>
          <w:b w:val="0"/>
          <w:color w:val="auto"/>
          <w:szCs w:val="21"/>
          <w:highlight w:val="none"/>
        </w:rPr>
      </w:pPr>
      <w:r>
        <w:rPr>
          <w:rFonts w:hint="eastAsia" w:ascii="新宋体" w:hAnsi="新宋体" w:eastAsia="新宋体" w:cs="新宋体"/>
          <w:color w:val="auto"/>
          <w:sz w:val="22"/>
          <w:szCs w:val="22"/>
          <w:highlight w:val="none"/>
        </w:rPr>
        <w:br w:type="page"/>
      </w:r>
    </w:p>
    <w:p w14:paraId="6CA8511C">
      <w:pPr>
        <w:widowControl/>
        <w:jc w:val="left"/>
        <w:rPr>
          <w:rFonts w:ascii="宋体" w:hAnsi="宋体" w:cs="宋体"/>
          <w:color w:val="auto"/>
          <w:kern w:val="0"/>
          <w:sz w:val="28"/>
          <w:szCs w:val="28"/>
          <w:highlight w:val="none"/>
        </w:rPr>
      </w:pPr>
      <w:bookmarkStart w:id="142" w:name="_Toc25466"/>
      <w:bookmarkStart w:id="143" w:name="_Toc5222"/>
      <w:bookmarkStart w:id="144" w:name="_Toc9801"/>
    </w:p>
    <w:p w14:paraId="00DCA570">
      <w:pPr>
        <w:widowControl/>
        <w:jc w:val="left"/>
        <w:rPr>
          <w:rFonts w:ascii="宋体" w:hAnsi="宋体" w:cs="宋体"/>
          <w:color w:val="auto"/>
          <w:kern w:val="0"/>
          <w:sz w:val="28"/>
          <w:szCs w:val="28"/>
          <w:highlight w:val="none"/>
        </w:rPr>
      </w:pPr>
    </w:p>
    <w:p w14:paraId="7ED55912">
      <w:pPr>
        <w:widowControl/>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营业执照(或事业法人登记证书或其它工商等登记证明材料)</w:t>
      </w:r>
    </w:p>
    <w:p w14:paraId="5CE1FFA9">
      <w:pPr>
        <w:widowControl/>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br w:type="page"/>
      </w:r>
    </w:p>
    <w:p w14:paraId="618F7646">
      <w:pPr>
        <w:widowControl/>
        <w:jc w:val="left"/>
        <w:rPr>
          <w:rFonts w:ascii="宋体" w:hAnsi="宋体" w:cs="宋体"/>
          <w:color w:val="auto"/>
          <w:kern w:val="0"/>
          <w:sz w:val="28"/>
          <w:szCs w:val="28"/>
          <w:highlight w:val="none"/>
        </w:rPr>
      </w:pPr>
    </w:p>
    <w:p w14:paraId="4A47E6D3">
      <w:pPr>
        <w:pStyle w:val="2"/>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资格条件承诺函</w:t>
      </w:r>
      <w:bookmarkEnd w:id="142"/>
      <w:bookmarkEnd w:id="143"/>
      <w:bookmarkEnd w:id="144"/>
    </w:p>
    <w:p w14:paraId="1EAF1A20">
      <w:pPr>
        <w:spacing w:line="440" w:lineRule="exact"/>
        <w:ind w:right="-153" w:rightChars="-73"/>
        <w:rPr>
          <w:rFonts w:ascii="宋体" w:hAnsi="宋体" w:cs="宋体"/>
          <w:color w:val="auto"/>
          <w:sz w:val="22"/>
          <w:szCs w:val="22"/>
          <w:highlight w:val="none"/>
        </w:rPr>
      </w:pPr>
    </w:p>
    <w:p w14:paraId="77B47AA2">
      <w:pPr>
        <w:spacing w:line="42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温州园博园建设发展有限公司</w:t>
      </w:r>
    </w:p>
    <w:p w14:paraId="4AA3ECA2">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浙江鼎力工程项目管理有限公司：</w:t>
      </w:r>
    </w:p>
    <w:p w14:paraId="00F62D0C">
      <w:pPr>
        <w:shd w:val="clear" w:color="auto" w:fill="FFFFFF"/>
        <w:snapToGrid w:val="0"/>
        <w:spacing w:line="440" w:lineRule="exact"/>
        <w:rPr>
          <w:rFonts w:ascii="宋体" w:hAnsi="宋体" w:cs="宋体"/>
          <w:color w:val="auto"/>
          <w:sz w:val="22"/>
          <w:szCs w:val="22"/>
          <w:highlight w:val="none"/>
        </w:rPr>
      </w:pPr>
    </w:p>
    <w:p w14:paraId="77EB5C44">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（采购项目名称、编号）投标响应，现郑重承诺：</w:t>
      </w:r>
    </w:p>
    <w:p w14:paraId="678AEFB8">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w:t>
      </w:r>
      <w:r>
        <w:rPr>
          <w:rFonts w:hint="eastAsia" w:ascii="宋体" w:hAnsi="宋体" w:cs="宋体"/>
          <w:color w:val="auto"/>
          <w:kern w:val="0"/>
          <w:sz w:val="22"/>
          <w:szCs w:val="22"/>
          <w:highlight w:val="none"/>
        </w:rPr>
        <w:t>《温州市市属国有企业采购管理办法》第十八条</w:t>
      </w:r>
      <w:r>
        <w:rPr>
          <w:rFonts w:hint="eastAsia" w:ascii="宋体" w:hAnsi="宋体" w:cs="宋体"/>
          <w:color w:val="auto"/>
          <w:sz w:val="22"/>
          <w:szCs w:val="22"/>
          <w:highlight w:val="none"/>
        </w:rPr>
        <w:t>规定的资格条件，即</w:t>
      </w:r>
    </w:p>
    <w:p w14:paraId="1A21D24A">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4ABABC1">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6A8DE6D9">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（3）我方具有履行合同所必需的设备和专业技术、售后保障等能力；</w:t>
      </w:r>
    </w:p>
    <w:p w14:paraId="78319238">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29C1D5C2">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（5）我方参加本次采购活动前3年内，在经营活动中没有重大违法记录、严重失信行为和行贿记录。</w:t>
      </w:r>
    </w:p>
    <w:p w14:paraId="67A26DD4">
      <w:pPr>
        <w:widowControl/>
        <w:snapToGrid w:val="0"/>
        <w:spacing w:line="440" w:lineRule="exact"/>
        <w:ind w:left="970" w:leftChars="200" w:hanging="550" w:hangingChars="25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lang w:eastAsia="zh-CN"/>
        </w:rPr>
        <w:t>）法律、行政法规规定的其他条件。</w:t>
      </w:r>
    </w:p>
    <w:p w14:paraId="6F9D7C18">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1"/>
          <w:rFonts w:hint="eastAsia" w:ascii="宋体" w:hAnsi="宋体" w:cs="宋体"/>
          <w:color w:val="auto"/>
          <w:kern w:val="0"/>
          <w:sz w:val="22"/>
          <w:szCs w:val="22"/>
          <w:highlight w:val="none"/>
        </w:rPr>
        <w:t>www.creditchina.gov.cn）、</w:t>
      </w:r>
      <w:r>
        <w:rPr>
          <w:rStyle w:val="31"/>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54B03865">
      <w:pPr>
        <w:widowControl/>
        <w:snapToGrid w:val="0"/>
        <w:spacing w:line="440" w:lineRule="exact"/>
        <w:ind w:firstLine="440" w:firstLineChars="200"/>
        <w:jc w:val="left"/>
        <w:rPr>
          <w:rFonts w:eastAsia="新宋体"/>
          <w:color w:val="auto"/>
          <w:highlight w:val="none"/>
        </w:rPr>
      </w:pPr>
      <w:r>
        <w:rPr>
          <w:rFonts w:hint="eastAsia" w:ascii="宋体" w:hAnsi="宋体" w:eastAsia="新宋体" w:cs="宋体"/>
          <w:color w:val="auto"/>
          <w:kern w:val="0"/>
          <w:sz w:val="22"/>
          <w:szCs w:val="22"/>
          <w:highlight w:val="none"/>
        </w:rPr>
        <w:t>3.</w:t>
      </w:r>
      <w:r>
        <w:rPr>
          <w:rFonts w:hint="eastAsia" w:ascii="新宋体" w:hAnsi="新宋体" w:eastAsia="新宋体" w:cs="新宋体"/>
          <w:snapToGrid w:val="0"/>
          <w:color w:val="auto"/>
          <w:sz w:val="22"/>
          <w:szCs w:val="22"/>
          <w:highlight w:val="none"/>
        </w:rPr>
        <w:t>我方不存在单位负责人为同一人或者存在直接控股、管理关系的不同供应商，参加同一合同项下的国企采购活动。</w:t>
      </w:r>
    </w:p>
    <w:p w14:paraId="0EC9EC8B">
      <w:pPr>
        <w:widowControl/>
        <w:snapToGrid w:val="0"/>
        <w:spacing w:line="440" w:lineRule="exact"/>
        <w:ind w:firstLine="440" w:firstLineChars="200"/>
        <w:jc w:val="left"/>
        <w:rPr>
          <w:rFonts w:ascii="宋体" w:hAnsi="宋体" w:cs="宋体"/>
          <w:color w:val="auto"/>
          <w:kern w:val="0"/>
          <w:sz w:val="22"/>
          <w:szCs w:val="22"/>
          <w:highlight w:val="none"/>
        </w:rPr>
      </w:pPr>
    </w:p>
    <w:p w14:paraId="59301141">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355E6056">
      <w:pPr>
        <w:pStyle w:val="14"/>
        <w:spacing w:line="600" w:lineRule="exact"/>
        <w:ind w:firstLine="4840" w:firstLineChars="2200"/>
        <w:rPr>
          <w:rFonts w:ascii="宋体" w:hAnsi="宋体" w:eastAsia="宋体" w:cs="宋体"/>
          <w:color w:val="auto"/>
          <w:sz w:val="22"/>
          <w:szCs w:val="22"/>
          <w:highlight w:val="none"/>
        </w:rPr>
      </w:pPr>
    </w:p>
    <w:p w14:paraId="3E4BFD97">
      <w:pPr>
        <w:spacing w:line="400" w:lineRule="exact"/>
        <w:rPr>
          <w:rFonts w:ascii="新宋体" w:hAnsi="新宋体" w:eastAsia="新宋体" w:cs="新宋体"/>
          <w:color w:val="auto"/>
          <w:sz w:val="22"/>
          <w:szCs w:val="22"/>
          <w:highlight w:val="none"/>
        </w:rPr>
      </w:pPr>
    </w:p>
    <w:p w14:paraId="2CA2B0C0">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7A61E4E6">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30D84092">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161DD070">
      <w:pPr>
        <w:spacing w:line="380" w:lineRule="exact"/>
        <w:rPr>
          <w:rFonts w:ascii="宋体" w:hAnsi="宋体" w:cs="宋体"/>
          <w:bCs/>
          <w:color w:val="auto"/>
          <w:sz w:val="22"/>
          <w:szCs w:val="22"/>
          <w:highlight w:val="none"/>
        </w:rPr>
      </w:pPr>
    </w:p>
    <w:p w14:paraId="7B322B2B">
      <w:pPr>
        <w:spacing w:line="380" w:lineRule="exact"/>
        <w:ind w:left="-358" w:leftChars="-171" w:hanging="1"/>
        <w:jc w:val="center"/>
        <w:rPr>
          <w:rFonts w:ascii="宋体" w:hAnsi="宋体" w:cs="宋体"/>
          <w:bCs/>
          <w:color w:val="auto"/>
          <w:sz w:val="22"/>
          <w:szCs w:val="22"/>
          <w:highlight w:val="none"/>
        </w:rPr>
      </w:pPr>
    </w:p>
    <w:p w14:paraId="052110D5">
      <w:pPr>
        <w:spacing w:line="380" w:lineRule="exact"/>
        <w:ind w:left="-359" w:leftChars="-171"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49E4362B">
      <w:pPr>
        <w:widowControl/>
        <w:adjustRightInd w:val="0"/>
        <w:snapToGrid w:val="0"/>
        <w:spacing w:line="360" w:lineRule="auto"/>
        <w:rPr>
          <w:rFonts w:ascii="宋体" w:hAnsi="宋体" w:cs="宋体"/>
          <w:b/>
          <w:bCs/>
          <w:color w:val="auto"/>
          <w:sz w:val="22"/>
          <w:szCs w:val="22"/>
          <w:highlight w:val="none"/>
        </w:rPr>
      </w:pPr>
    </w:p>
    <w:p w14:paraId="0BA37C19">
      <w:pPr>
        <w:widowControl/>
        <w:adjustRightInd w:val="0"/>
        <w:snapToGrid w:val="0"/>
        <w:spacing w:line="360" w:lineRule="auto"/>
        <w:rPr>
          <w:rFonts w:ascii="宋体" w:hAnsi="宋体" w:cs="宋体"/>
          <w:b/>
          <w:bCs/>
          <w:color w:val="auto"/>
          <w:sz w:val="22"/>
          <w:szCs w:val="22"/>
          <w:highlight w:val="none"/>
        </w:rPr>
      </w:pPr>
    </w:p>
    <w:p w14:paraId="1D0CFDEF">
      <w:pPr>
        <w:widowControl/>
        <w:adjustRightInd w:val="0"/>
        <w:snapToGrid w:val="0"/>
        <w:spacing w:line="360" w:lineRule="auto"/>
        <w:rPr>
          <w:rFonts w:ascii="宋体" w:hAnsi="宋体" w:cs="宋体"/>
          <w:b/>
          <w:bCs/>
          <w:color w:val="auto"/>
          <w:sz w:val="22"/>
          <w:szCs w:val="22"/>
          <w:highlight w:val="none"/>
        </w:rPr>
      </w:pPr>
    </w:p>
    <w:p w14:paraId="4B3E4AD0">
      <w:pPr>
        <w:widowControl/>
        <w:adjustRightInd w:val="0"/>
        <w:snapToGrid w:val="0"/>
        <w:spacing w:line="360" w:lineRule="auto"/>
        <w:rPr>
          <w:rFonts w:ascii="宋体" w:hAnsi="宋体" w:cs="宋体"/>
          <w:b/>
          <w:bCs/>
          <w:color w:val="auto"/>
          <w:sz w:val="22"/>
          <w:szCs w:val="22"/>
          <w:highlight w:val="none"/>
        </w:rPr>
      </w:pPr>
    </w:p>
    <w:p w14:paraId="6E22A796">
      <w:pPr>
        <w:widowControl/>
        <w:adjustRightInd w:val="0"/>
        <w:snapToGrid w:val="0"/>
        <w:spacing w:line="360" w:lineRule="auto"/>
        <w:rPr>
          <w:rFonts w:ascii="宋体" w:hAnsi="宋体" w:cs="宋体"/>
          <w:b/>
          <w:bCs/>
          <w:color w:val="auto"/>
          <w:sz w:val="22"/>
          <w:szCs w:val="22"/>
          <w:highlight w:val="none"/>
        </w:rPr>
      </w:pPr>
    </w:p>
    <w:p w14:paraId="49CAF412">
      <w:pPr>
        <w:widowControl/>
        <w:adjustRightInd w:val="0"/>
        <w:snapToGrid w:val="0"/>
        <w:spacing w:line="360" w:lineRule="auto"/>
        <w:rPr>
          <w:rFonts w:ascii="宋体" w:hAnsi="宋体" w:cs="宋体"/>
          <w:b/>
          <w:bCs/>
          <w:color w:val="auto"/>
          <w:sz w:val="22"/>
          <w:szCs w:val="22"/>
          <w:highlight w:val="none"/>
        </w:rPr>
      </w:pPr>
    </w:p>
    <w:p w14:paraId="1C2DC7A6">
      <w:pPr>
        <w:pStyle w:val="10"/>
        <w:rPr>
          <w:color w:val="auto"/>
          <w:highlight w:val="none"/>
        </w:rPr>
      </w:pPr>
    </w:p>
    <w:p w14:paraId="753326C5">
      <w:pPr>
        <w:widowControl/>
        <w:adjustRightInd w:val="0"/>
        <w:snapToGrid w:val="0"/>
        <w:spacing w:line="360" w:lineRule="auto"/>
        <w:rPr>
          <w:rFonts w:ascii="宋体" w:hAnsi="宋体" w:cs="宋体"/>
          <w:b/>
          <w:bCs/>
          <w:color w:val="auto"/>
          <w:sz w:val="22"/>
          <w:szCs w:val="22"/>
          <w:highlight w:val="none"/>
        </w:rPr>
      </w:pPr>
    </w:p>
    <w:p w14:paraId="6E1E5E5C">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申请材料真实性声明</w:t>
      </w:r>
    </w:p>
    <w:p w14:paraId="078DCEB5">
      <w:pPr>
        <w:widowControl/>
        <w:adjustRightInd w:val="0"/>
        <w:snapToGrid w:val="0"/>
        <w:spacing w:line="360" w:lineRule="auto"/>
        <w:jc w:val="center"/>
        <w:rPr>
          <w:rFonts w:ascii="宋体" w:hAnsi="宋体" w:cs="宋体"/>
          <w:b/>
          <w:color w:val="auto"/>
          <w:kern w:val="0"/>
          <w:sz w:val="28"/>
          <w:szCs w:val="28"/>
          <w:highlight w:val="none"/>
        </w:rPr>
      </w:pPr>
    </w:p>
    <w:p w14:paraId="54790C29">
      <w:pPr>
        <w:spacing w:line="420" w:lineRule="exact"/>
        <w:rPr>
          <w:rFonts w:hint="eastAsia" w:ascii="宋体" w:hAnsi="宋体" w:eastAsia="宋体" w:cs="宋体"/>
          <w:color w:val="auto"/>
          <w:sz w:val="22"/>
          <w:szCs w:val="22"/>
          <w:highlight w:val="none"/>
          <w:lang w:eastAsia="zh-CN"/>
        </w:rPr>
      </w:pPr>
      <w:r>
        <w:rPr>
          <w:rFonts w:hint="eastAsia" w:ascii="新宋体" w:hAnsi="新宋体" w:eastAsia="新宋体" w:cs="新宋体"/>
          <w:color w:val="auto"/>
          <w:sz w:val="22"/>
          <w:szCs w:val="22"/>
          <w:highlight w:val="none"/>
          <w:lang w:eastAsia="zh-CN"/>
        </w:rPr>
        <w:t>温州园博园建设发展有限公司</w:t>
      </w:r>
    </w:p>
    <w:p w14:paraId="35544BB8">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浙江鼎力工程项目管理有限公司：</w:t>
      </w:r>
    </w:p>
    <w:p w14:paraId="497A0472">
      <w:pPr>
        <w:shd w:val="clear" w:color="auto" w:fill="FFFFFF"/>
        <w:snapToGrid w:val="0"/>
        <w:spacing w:line="440" w:lineRule="exact"/>
        <w:rPr>
          <w:rFonts w:ascii="宋体" w:hAnsi="宋体" w:cs="宋体"/>
          <w:color w:val="auto"/>
          <w:sz w:val="22"/>
          <w:szCs w:val="22"/>
          <w:highlight w:val="none"/>
        </w:rPr>
      </w:pPr>
    </w:p>
    <w:p w14:paraId="141E1C04">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（采购项目名称、编号）公开招标活动</w:t>
      </w:r>
      <w:r>
        <w:rPr>
          <w:rFonts w:hint="eastAsia" w:ascii="宋体" w:hAnsi="宋体" w:cs="宋体"/>
          <w:color w:val="auto"/>
          <w:kern w:val="0"/>
          <w:sz w:val="22"/>
          <w:szCs w:val="22"/>
          <w:highlight w:val="none"/>
        </w:rPr>
        <w:t>所提交的全部材料均真实、合法。如有不实之处，愿负相应的法律责任，并承担由此产生的一切后果。</w:t>
      </w:r>
    </w:p>
    <w:p w14:paraId="758F5674">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2ED36B41">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特此声明。</w:t>
      </w:r>
    </w:p>
    <w:p w14:paraId="4F5964B2">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3D51A939">
      <w:pPr>
        <w:spacing w:line="400" w:lineRule="exact"/>
        <w:rPr>
          <w:rFonts w:ascii="新宋体" w:hAnsi="新宋体" w:eastAsia="新宋体" w:cs="新宋体"/>
          <w:color w:val="auto"/>
          <w:sz w:val="22"/>
          <w:szCs w:val="22"/>
          <w:highlight w:val="none"/>
        </w:rPr>
      </w:pPr>
    </w:p>
    <w:p w14:paraId="4277DF84">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22DCE882">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4228C282">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8AD741C">
      <w:pPr>
        <w:pStyle w:val="23"/>
        <w:ind w:firstLine="220"/>
        <w:rPr>
          <w:rFonts w:ascii="宋体" w:hAnsi="宋体" w:eastAsia="宋体" w:cs="宋体"/>
          <w:color w:val="auto"/>
          <w:sz w:val="22"/>
          <w:szCs w:val="22"/>
          <w:highlight w:val="none"/>
          <w:u w:val="single"/>
        </w:rPr>
      </w:pPr>
    </w:p>
    <w:p w14:paraId="57B4420E">
      <w:pPr>
        <w:spacing w:line="360" w:lineRule="auto"/>
        <w:rPr>
          <w:rFonts w:ascii="宋体" w:hAnsi="宋体" w:cs="宋体"/>
          <w:color w:val="auto"/>
          <w:sz w:val="22"/>
          <w:szCs w:val="22"/>
          <w:highlight w:val="none"/>
        </w:rPr>
      </w:pPr>
    </w:p>
    <w:p w14:paraId="718AEAEB">
      <w:pPr>
        <w:pStyle w:val="23"/>
        <w:ind w:firstLine="200"/>
        <w:rPr>
          <w:rFonts w:ascii="宋体" w:hAnsi="宋体" w:eastAsia="宋体" w:cs="宋体"/>
          <w:color w:val="auto"/>
          <w:highlight w:val="none"/>
        </w:rPr>
      </w:pPr>
    </w:p>
    <w:p w14:paraId="49535653">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73738C36">
      <w:pPr>
        <w:spacing w:line="380" w:lineRule="exact"/>
        <w:rPr>
          <w:rFonts w:ascii="宋体" w:hAnsi="宋体" w:cs="宋体"/>
          <w:color w:val="auto"/>
          <w:sz w:val="22"/>
          <w:szCs w:val="22"/>
          <w:highlight w:val="none"/>
        </w:rPr>
      </w:pPr>
    </w:p>
    <w:p w14:paraId="223D6366">
      <w:pPr>
        <w:spacing w:line="380" w:lineRule="exact"/>
        <w:rPr>
          <w:rFonts w:ascii="宋体" w:hAnsi="宋体" w:cs="宋体"/>
          <w:color w:val="auto"/>
          <w:sz w:val="22"/>
          <w:szCs w:val="22"/>
          <w:highlight w:val="none"/>
        </w:rPr>
      </w:pPr>
    </w:p>
    <w:p w14:paraId="412DE12B">
      <w:pPr>
        <w:spacing w:line="380" w:lineRule="exact"/>
        <w:rPr>
          <w:rFonts w:ascii="宋体" w:hAnsi="宋体" w:cs="宋体"/>
          <w:color w:val="auto"/>
          <w:sz w:val="22"/>
          <w:szCs w:val="22"/>
          <w:highlight w:val="none"/>
        </w:rPr>
      </w:pPr>
    </w:p>
    <w:p w14:paraId="701C3839">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7AE62A72">
      <w:pPr>
        <w:widowControl/>
        <w:jc w:val="left"/>
        <w:rPr>
          <w:rFonts w:ascii="宋体" w:hAnsi="宋体" w:cs="宋体"/>
          <w:color w:val="auto"/>
          <w:sz w:val="22"/>
          <w:szCs w:val="22"/>
          <w:highlight w:val="none"/>
          <w:u w:val="single"/>
        </w:rPr>
      </w:pPr>
      <w:r>
        <w:rPr>
          <w:rFonts w:ascii="宋体" w:hAnsi="宋体" w:cs="宋体"/>
          <w:color w:val="auto"/>
          <w:sz w:val="22"/>
          <w:szCs w:val="22"/>
          <w:highlight w:val="none"/>
          <w:u w:val="single"/>
        </w:rPr>
        <w:br w:type="page"/>
      </w:r>
    </w:p>
    <w:p w14:paraId="7E36B8F8">
      <w:pPr>
        <w:spacing w:line="440" w:lineRule="exact"/>
        <w:rPr>
          <w:rFonts w:ascii="宋体" w:hAnsi="宋体" w:cs="宋体"/>
          <w:color w:val="auto"/>
          <w:sz w:val="22"/>
          <w:szCs w:val="22"/>
          <w:highlight w:val="none"/>
          <w:u w:val="single"/>
        </w:rPr>
      </w:pPr>
    </w:p>
    <w:p w14:paraId="1903884F">
      <w:pPr>
        <w:spacing w:line="588" w:lineRule="exact"/>
        <w:ind w:left="426"/>
        <w:rPr>
          <w:rFonts w:ascii="宋体" w:hAnsi="宋体" w:cs="宋体"/>
          <w:color w:val="auto"/>
          <w:sz w:val="22"/>
          <w:highlight w:val="none"/>
        </w:rPr>
      </w:pPr>
      <w:r>
        <w:rPr>
          <w:rFonts w:hint="eastAsia" w:ascii="宋体" w:hAnsi="宋体" w:cs="宋体"/>
          <w:color w:val="auto"/>
          <w:sz w:val="22"/>
          <w:szCs w:val="22"/>
          <w:highlight w:val="none"/>
        </w:rPr>
        <w:t>投标保证金缴纳凭证,最终以实际到账为准</w:t>
      </w:r>
    </w:p>
    <w:p w14:paraId="70E7B24A">
      <w:pPr>
        <w:spacing w:line="440" w:lineRule="exact"/>
        <w:rPr>
          <w:rFonts w:ascii="宋体" w:hAnsi="宋体" w:cs="宋体"/>
          <w:color w:val="auto"/>
          <w:sz w:val="22"/>
          <w:szCs w:val="22"/>
          <w:highlight w:val="none"/>
          <w:u w:val="single"/>
        </w:rPr>
      </w:pPr>
    </w:p>
    <w:p w14:paraId="2BAC84B6">
      <w:pPr>
        <w:spacing w:line="360" w:lineRule="auto"/>
        <w:rPr>
          <w:rFonts w:ascii="新宋体" w:hAnsi="新宋体" w:eastAsia="新宋体" w:cs="新宋体"/>
          <w:color w:val="auto"/>
          <w:sz w:val="22"/>
          <w:szCs w:val="22"/>
          <w:highlight w:val="none"/>
        </w:rPr>
      </w:pPr>
    </w:p>
    <w:p w14:paraId="02F1319E">
      <w:pPr>
        <w:spacing w:before="120" w:beforeLines="50" w:after="120" w:afterLines="50"/>
        <w:rPr>
          <w:rFonts w:ascii="新宋体" w:hAnsi="新宋体" w:eastAsia="新宋体" w:cs="新宋体"/>
          <w:color w:val="auto"/>
          <w:sz w:val="22"/>
          <w:szCs w:val="22"/>
          <w:highlight w:val="none"/>
        </w:rPr>
      </w:pPr>
    </w:p>
    <w:p w14:paraId="264D5F68">
      <w:pPr>
        <w:spacing w:before="120" w:beforeLines="50" w:after="120" w:afterLines="50"/>
        <w:rPr>
          <w:rFonts w:ascii="新宋体" w:hAnsi="新宋体" w:eastAsia="新宋体" w:cs="新宋体"/>
          <w:color w:val="auto"/>
          <w:sz w:val="22"/>
          <w:szCs w:val="22"/>
          <w:highlight w:val="none"/>
        </w:rPr>
      </w:pPr>
    </w:p>
    <w:p w14:paraId="51993475">
      <w:pPr>
        <w:spacing w:before="120" w:beforeLines="50" w:after="120" w:afterLines="50"/>
        <w:rPr>
          <w:rFonts w:ascii="新宋体" w:hAnsi="新宋体" w:eastAsia="新宋体" w:cs="新宋体"/>
          <w:color w:val="auto"/>
          <w:sz w:val="22"/>
          <w:szCs w:val="22"/>
          <w:highlight w:val="none"/>
        </w:rPr>
      </w:pPr>
    </w:p>
    <w:p w14:paraId="429708AB">
      <w:pPr>
        <w:spacing w:before="120" w:beforeLines="50" w:after="120" w:afterLines="50"/>
        <w:rPr>
          <w:rFonts w:ascii="新宋体" w:hAnsi="新宋体" w:eastAsia="新宋体" w:cs="新宋体"/>
          <w:color w:val="auto"/>
          <w:sz w:val="22"/>
          <w:szCs w:val="22"/>
          <w:highlight w:val="none"/>
        </w:rPr>
      </w:pPr>
    </w:p>
    <w:p w14:paraId="4EA53812">
      <w:pPr>
        <w:spacing w:before="120" w:beforeLines="50" w:after="120" w:afterLines="50"/>
        <w:rPr>
          <w:rFonts w:ascii="新宋体" w:hAnsi="新宋体" w:eastAsia="新宋体" w:cs="新宋体"/>
          <w:color w:val="auto"/>
          <w:sz w:val="22"/>
          <w:szCs w:val="22"/>
          <w:highlight w:val="none"/>
        </w:rPr>
      </w:pPr>
    </w:p>
    <w:p w14:paraId="0E9899DE">
      <w:pPr>
        <w:spacing w:before="120" w:beforeLines="50" w:after="120" w:afterLines="50"/>
        <w:rPr>
          <w:rFonts w:ascii="新宋体" w:hAnsi="新宋体" w:eastAsia="新宋体" w:cs="新宋体"/>
          <w:color w:val="auto"/>
          <w:sz w:val="22"/>
          <w:szCs w:val="22"/>
          <w:highlight w:val="none"/>
        </w:rPr>
      </w:pPr>
    </w:p>
    <w:p w14:paraId="2C28E0AA">
      <w:pPr>
        <w:spacing w:before="120" w:beforeLines="50" w:after="120" w:afterLines="50"/>
        <w:rPr>
          <w:rFonts w:ascii="新宋体" w:hAnsi="新宋体" w:eastAsia="新宋体" w:cs="新宋体"/>
          <w:color w:val="auto"/>
          <w:sz w:val="22"/>
          <w:szCs w:val="22"/>
          <w:highlight w:val="none"/>
        </w:rPr>
      </w:pPr>
    </w:p>
    <w:p w14:paraId="06619C91">
      <w:pPr>
        <w:spacing w:before="120" w:beforeLines="50" w:after="120" w:afterLines="50"/>
        <w:rPr>
          <w:rFonts w:ascii="新宋体" w:hAnsi="新宋体" w:eastAsia="新宋体" w:cs="新宋体"/>
          <w:color w:val="auto"/>
          <w:sz w:val="22"/>
          <w:szCs w:val="22"/>
          <w:highlight w:val="none"/>
        </w:rPr>
      </w:pPr>
    </w:p>
    <w:p w14:paraId="0AF12702">
      <w:pPr>
        <w:spacing w:before="120" w:beforeLines="50" w:after="120" w:afterLines="50"/>
        <w:rPr>
          <w:rFonts w:ascii="新宋体" w:hAnsi="新宋体" w:eastAsia="新宋体" w:cs="新宋体"/>
          <w:color w:val="auto"/>
          <w:sz w:val="22"/>
          <w:szCs w:val="22"/>
          <w:highlight w:val="none"/>
        </w:rPr>
      </w:pPr>
    </w:p>
    <w:p w14:paraId="5B41DF0F">
      <w:pPr>
        <w:spacing w:before="120" w:beforeLines="50" w:after="120" w:afterLines="50"/>
        <w:rPr>
          <w:rFonts w:ascii="新宋体" w:hAnsi="新宋体" w:eastAsia="新宋体" w:cs="新宋体"/>
          <w:color w:val="auto"/>
          <w:sz w:val="22"/>
          <w:szCs w:val="22"/>
          <w:highlight w:val="none"/>
        </w:rPr>
      </w:pPr>
    </w:p>
    <w:p w14:paraId="30FCDC8D">
      <w:pPr>
        <w:spacing w:before="120" w:beforeLines="50" w:after="120" w:afterLines="50"/>
        <w:rPr>
          <w:rFonts w:ascii="新宋体" w:hAnsi="新宋体" w:eastAsia="新宋体" w:cs="新宋体"/>
          <w:color w:val="auto"/>
          <w:sz w:val="22"/>
          <w:szCs w:val="22"/>
          <w:highlight w:val="none"/>
        </w:rPr>
      </w:pPr>
    </w:p>
    <w:p w14:paraId="75CAD946">
      <w:pPr>
        <w:widowControl/>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br w:type="page"/>
      </w:r>
    </w:p>
    <w:p w14:paraId="6B861324">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（技术资信标封面，供参考）</w:t>
      </w:r>
    </w:p>
    <w:p w14:paraId="29943165">
      <w:pPr>
        <w:rPr>
          <w:rFonts w:ascii="新宋体" w:hAnsi="新宋体" w:eastAsia="新宋体" w:cs="新宋体"/>
          <w:color w:val="auto"/>
          <w:highlight w:val="none"/>
        </w:rPr>
      </w:pPr>
    </w:p>
    <w:p w14:paraId="5B65FE02">
      <w:pPr>
        <w:rPr>
          <w:rFonts w:ascii="新宋体" w:hAnsi="新宋体" w:eastAsia="新宋体" w:cs="新宋体"/>
          <w:color w:val="auto"/>
          <w:highlight w:val="none"/>
        </w:rPr>
      </w:pPr>
    </w:p>
    <w:p w14:paraId="03C2DBF6">
      <w:pPr>
        <w:rPr>
          <w:rFonts w:ascii="新宋体" w:hAnsi="新宋体" w:eastAsia="新宋体" w:cs="新宋体"/>
          <w:color w:val="auto"/>
          <w:highlight w:val="none"/>
        </w:rPr>
      </w:pPr>
    </w:p>
    <w:p w14:paraId="2B9EB7E1">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66B939F6">
      <w:pPr>
        <w:rPr>
          <w:rFonts w:ascii="新宋体" w:hAnsi="新宋体" w:eastAsia="新宋体" w:cs="新宋体"/>
          <w:color w:val="auto"/>
          <w:sz w:val="28"/>
          <w:szCs w:val="28"/>
          <w:highlight w:val="none"/>
        </w:rPr>
      </w:pPr>
    </w:p>
    <w:p w14:paraId="4250118A">
      <w:pPr>
        <w:rPr>
          <w:rFonts w:ascii="新宋体" w:hAnsi="新宋体" w:eastAsia="新宋体" w:cs="新宋体"/>
          <w:color w:val="auto"/>
          <w:sz w:val="28"/>
          <w:szCs w:val="28"/>
          <w:highlight w:val="none"/>
        </w:rPr>
      </w:pPr>
    </w:p>
    <w:p w14:paraId="6BD4CE00">
      <w:pPr>
        <w:pStyle w:val="23"/>
        <w:ind w:firstLine="280"/>
        <w:rPr>
          <w:rFonts w:ascii="新宋体" w:hAnsi="新宋体" w:eastAsia="新宋体" w:cs="新宋体"/>
          <w:color w:val="auto"/>
          <w:sz w:val="28"/>
          <w:szCs w:val="28"/>
          <w:highlight w:val="none"/>
        </w:rPr>
      </w:pPr>
    </w:p>
    <w:p w14:paraId="3D8D9771">
      <w:pPr>
        <w:pStyle w:val="23"/>
        <w:ind w:firstLine="280"/>
        <w:rPr>
          <w:rFonts w:ascii="新宋体" w:hAnsi="新宋体" w:eastAsia="新宋体" w:cs="新宋体"/>
          <w:color w:val="auto"/>
          <w:sz w:val="28"/>
          <w:szCs w:val="28"/>
          <w:highlight w:val="none"/>
        </w:rPr>
      </w:pPr>
    </w:p>
    <w:p w14:paraId="488D87AD">
      <w:pPr>
        <w:rPr>
          <w:rFonts w:ascii="新宋体" w:hAnsi="新宋体" w:eastAsia="新宋体" w:cs="新宋体"/>
          <w:color w:val="auto"/>
          <w:sz w:val="28"/>
          <w:szCs w:val="28"/>
          <w:highlight w:val="none"/>
        </w:rPr>
      </w:pPr>
    </w:p>
    <w:p w14:paraId="793D4E81">
      <w:pPr>
        <w:rPr>
          <w:rFonts w:ascii="新宋体" w:hAnsi="新宋体" w:eastAsia="新宋体" w:cs="新宋体"/>
          <w:color w:val="auto"/>
          <w:sz w:val="28"/>
          <w:szCs w:val="28"/>
          <w:highlight w:val="none"/>
        </w:rPr>
      </w:pPr>
    </w:p>
    <w:p w14:paraId="45E8EFC3">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技 术 资 信 标</w:t>
      </w:r>
    </w:p>
    <w:p w14:paraId="4945F093">
      <w:pPr>
        <w:spacing w:line="360" w:lineRule="auto"/>
        <w:rPr>
          <w:rFonts w:ascii="新宋体" w:hAnsi="新宋体" w:eastAsia="新宋体" w:cs="新宋体"/>
          <w:color w:val="auto"/>
          <w:szCs w:val="21"/>
          <w:highlight w:val="none"/>
        </w:rPr>
      </w:pPr>
    </w:p>
    <w:p w14:paraId="38E99C6E">
      <w:pPr>
        <w:spacing w:line="360" w:lineRule="auto"/>
        <w:rPr>
          <w:rFonts w:ascii="新宋体" w:hAnsi="新宋体" w:eastAsia="新宋体" w:cs="新宋体"/>
          <w:color w:val="auto"/>
          <w:szCs w:val="21"/>
          <w:highlight w:val="none"/>
        </w:rPr>
      </w:pPr>
    </w:p>
    <w:p w14:paraId="5A595FD0">
      <w:pPr>
        <w:spacing w:line="360" w:lineRule="auto"/>
        <w:rPr>
          <w:rFonts w:ascii="新宋体" w:hAnsi="新宋体" w:eastAsia="新宋体" w:cs="新宋体"/>
          <w:color w:val="auto"/>
          <w:szCs w:val="21"/>
          <w:highlight w:val="none"/>
        </w:rPr>
      </w:pPr>
    </w:p>
    <w:p w14:paraId="77962536">
      <w:pPr>
        <w:spacing w:line="360" w:lineRule="auto"/>
        <w:rPr>
          <w:rFonts w:ascii="新宋体" w:hAnsi="新宋体" w:eastAsia="新宋体" w:cs="新宋体"/>
          <w:color w:val="auto"/>
          <w:szCs w:val="21"/>
          <w:highlight w:val="none"/>
        </w:rPr>
      </w:pPr>
    </w:p>
    <w:p w14:paraId="5FD25B62">
      <w:pPr>
        <w:pStyle w:val="23"/>
        <w:ind w:firstLine="200"/>
        <w:rPr>
          <w:rFonts w:ascii="新宋体" w:hAnsi="新宋体" w:eastAsia="新宋体" w:cs="新宋体"/>
          <w:color w:val="auto"/>
          <w:highlight w:val="none"/>
        </w:rPr>
      </w:pPr>
    </w:p>
    <w:p w14:paraId="2A4F3D1E">
      <w:pPr>
        <w:spacing w:line="360" w:lineRule="auto"/>
        <w:rPr>
          <w:rFonts w:ascii="新宋体" w:hAnsi="新宋体" w:eastAsia="新宋体" w:cs="新宋体"/>
          <w:color w:val="auto"/>
          <w:szCs w:val="21"/>
          <w:highlight w:val="none"/>
        </w:rPr>
      </w:pPr>
    </w:p>
    <w:p w14:paraId="17D54AE7">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3761078F">
      <w:pPr>
        <w:rPr>
          <w:rFonts w:ascii="新宋体" w:hAnsi="新宋体" w:eastAsia="新宋体" w:cs="新宋体"/>
          <w:color w:val="auto"/>
          <w:sz w:val="28"/>
          <w:szCs w:val="28"/>
          <w:highlight w:val="none"/>
          <w:u w:val="single"/>
        </w:rPr>
      </w:pPr>
    </w:p>
    <w:p w14:paraId="420B946A">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1485CE54">
      <w:pPr>
        <w:rPr>
          <w:rFonts w:ascii="新宋体" w:hAnsi="新宋体" w:eastAsia="新宋体" w:cs="新宋体"/>
          <w:color w:val="auto"/>
          <w:sz w:val="28"/>
          <w:szCs w:val="28"/>
          <w:highlight w:val="none"/>
        </w:rPr>
      </w:pPr>
    </w:p>
    <w:p w14:paraId="2D98E5D8">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5828CB3B">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highlight w:val="none"/>
        </w:rPr>
        <w:br w:type="page"/>
      </w:r>
      <w:r>
        <w:rPr>
          <w:rFonts w:hint="eastAsia" w:ascii="新宋体" w:hAnsi="新宋体" w:eastAsia="新宋体" w:cs="新宋体"/>
          <w:b/>
          <w:bCs/>
          <w:color w:val="auto"/>
          <w:sz w:val="28"/>
          <w:szCs w:val="28"/>
          <w:highlight w:val="none"/>
        </w:rPr>
        <w:t>目  录</w:t>
      </w:r>
    </w:p>
    <w:p w14:paraId="2917FC7B">
      <w:pPr>
        <w:spacing w:line="360" w:lineRule="auto"/>
        <w:jc w:val="center"/>
        <w:rPr>
          <w:rFonts w:ascii="新宋体" w:hAnsi="新宋体" w:eastAsia="新宋体" w:cs="新宋体"/>
          <w:color w:val="auto"/>
          <w:sz w:val="24"/>
          <w:highlight w:val="none"/>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14:paraId="7677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06F9B93F">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621" w:type="pct"/>
            <w:tcBorders>
              <w:top w:val="single" w:color="auto" w:sz="4" w:space="0"/>
              <w:left w:val="single" w:color="auto" w:sz="4" w:space="0"/>
              <w:bottom w:val="single" w:color="auto" w:sz="4" w:space="0"/>
              <w:right w:val="single" w:color="auto" w:sz="4" w:space="0"/>
            </w:tcBorders>
            <w:vAlign w:val="center"/>
          </w:tcPr>
          <w:p w14:paraId="42988E64">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4479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22316AFC">
            <w:pPr>
              <w:jc w:val="center"/>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4621" w:type="pct"/>
            <w:tcBorders>
              <w:top w:val="single" w:color="auto" w:sz="4" w:space="0"/>
              <w:left w:val="single" w:color="auto" w:sz="4" w:space="0"/>
              <w:bottom w:val="single" w:color="auto" w:sz="4" w:space="0"/>
              <w:right w:val="single" w:color="auto" w:sz="4" w:space="0"/>
            </w:tcBorders>
            <w:vAlign w:val="center"/>
          </w:tcPr>
          <w:p w14:paraId="0160704D">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14:paraId="2C6A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7185FB2E">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621" w:type="pct"/>
            <w:tcBorders>
              <w:top w:val="single" w:color="auto" w:sz="4" w:space="0"/>
              <w:left w:val="single" w:color="auto" w:sz="4" w:space="0"/>
              <w:bottom w:val="single" w:color="auto" w:sz="4" w:space="0"/>
              <w:right w:val="single" w:color="auto" w:sz="4" w:space="0"/>
            </w:tcBorders>
            <w:vAlign w:val="center"/>
          </w:tcPr>
          <w:p w14:paraId="328E264B">
            <w:pP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投标函</w:t>
            </w:r>
          </w:p>
        </w:tc>
      </w:tr>
      <w:tr w14:paraId="38E4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59F16B0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621" w:type="pct"/>
            <w:tcBorders>
              <w:top w:val="single" w:color="auto" w:sz="4" w:space="0"/>
              <w:left w:val="single" w:color="auto" w:sz="4" w:space="0"/>
              <w:bottom w:val="single" w:color="auto" w:sz="4" w:space="0"/>
              <w:right w:val="single" w:color="auto" w:sz="4" w:space="0"/>
            </w:tcBorders>
            <w:vAlign w:val="center"/>
          </w:tcPr>
          <w:p w14:paraId="5E918A0E">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技术、商务条款偏离表</w:t>
            </w:r>
          </w:p>
        </w:tc>
      </w:tr>
      <w:tr w14:paraId="6DA9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515E7A41">
            <w:pPr>
              <w:jc w:val="center"/>
              <w:rPr>
                <w:rFonts w:hint="eastAsia" w:ascii="新宋体" w:hAnsi="新宋体" w:eastAsia="新宋体" w:cs="新宋体"/>
                <w:color w:val="auto"/>
                <w:sz w:val="22"/>
                <w:szCs w:val="22"/>
                <w:highlight w:val="none"/>
                <w:lang w:eastAsia="zh-CN"/>
              </w:rPr>
            </w:pPr>
            <w:r>
              <w:rPr>
                <w:rFonts w:hint="eastAsia" w:ascii="宋体" w:hAnsi="宋体" w:eastAsia="新宋体" w:cs="宋体"/>
                <w:color w:val="auto"/>
                <w:kern w:val="1"/>
                <w:sz w:val="22"/>
                <w:szCs w:val="22"/>
                <w:highlight w:val="none"/>
                <w:lang w:val="en-US" w:eastAsia="zh-CN"/>
              </w:rPr>
              <w:t>4</w:t>
            </w:r>
          </w:p>
        </w:tc>
        <w:tc>
          <w:tcPr>
            <w:tcW w:w="4621" w:type="pct"/>
            <w:tcBorders>
              <w:top w:val="single" w:color="auto" w:sz="4" w:space="0"/>
              <w:left w:val="single" w:color="auto" w:sz="4" w:space="0"/>
              <w:bottom w:val="single" w:color="auto" w:sz="4" w:space="0"/>
              <w:right w:val="single" w:color="auto" w:sz="4" w:space="0"/>
            </w:tcBorders>
            <w:vAlign w:val="center"/>
          </w:tcPr>
          <w:p w14:paraId="5D682B6C">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资信证明文件（本项为评分量化内容，非强制性要求）</w:t>
            </w:r>
          </w:p>
        </w:tc>
      </w:tr>
      <w:tr w14:paraId="66E4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343A9F2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.1</w:t>
            </w:r>
          </w:p>
        </w:tc>
        <w:tc>
          <w:tcPr>
            <w:tcW w:w="4621" w:type="pct"/>
            <w:tcBorders>
              <w:top w:val="single" w:color="auto" w:sz="4" w:space="0"/>
              <w:left w:val="single" w:color="auto" w:sz="4" w:space="0"/>
              <w:bottom w:val="single" w:color="auto" w:sz="4" w:space="0"/>
              <w:right w:val="single" w:color="auto" w:sz="4" w:space="0"/>
            </w:tcBorders>
            <w:vAlign w:val="center"/>
          </w:tcPr>
          <w:p w14:paraId="3CEC5438">
            <w:pP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企业业绩</w:t>
            </w:r>
          </w:p>
        </w:tc>
      </w:tr>
      <w:tr w14:paraId="60E2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1134D16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.2</w:t>
            </w:r>
          </w:p>
        </w:tc>
        <w:tc>
          <w:tcPr>
            <w:tcW w:w="4621" w:type="pct"/>
            <w:tcBorders>
              <w:top w:val="single" w:color="auto" w:sz="4" w:space="0"/>
              <w:left w:val="single" w:color="auto" w:sz="4" w:space="0"/>
              <w:bottom w:val="single" w:color="auto" w:sz="4" w:space="0"/>
              <w:right w:val="single" w:color="auto" w:sz="4" w:space="0"/>
            </w:tcBorders>
            <w:vAlign w:val="center"/>
          </w:tcPr>
          <w:p w14:paraId="33C31805">
            <w:pP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企业实力</w:t>
            </w:r>
          </w:p>
        </w:tc>
      </w:tr>
      <w:tr w14:paraId="0732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1AE5385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.3</w:t>
            </w:r>
          </w:p>
        </w:tc>
        <w:tc>
          <w:tcPr>
            <w:tcW w:w="9109" w:type="dxa"/>
            <w:tcBorders>
              <w:top w:val="single" w:color="auto" w:sz="4" w:space="0"/>
              <w:left w:val="single" w:color="auto" w:sz="4" w:space="0"/>
              <w:bottom w:val="single" w:color="auto" w:sz="4" w:space="0"/>
              <w:right w:val="single" w:color="auto" w:sz="4" w:space="0"/>
            </w:tcBorders>
            <w:vAlign w:val="center"/>
          </w:tcPr>
          <w:p w14:paraId="468F514C">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项目策划方案</w:t>
            </w:r>
          </w:p>
        </w:tc>
      </w:tr>
      <w:tr w14:paraId="1FE4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0712C4DA">
            <w:pPr>
              <w:jc w:val="center"/>
              <w:rPr>
                <w:rFonts w:ascii="新宋体" w:hAnsi="新宋体" w:cs="新宋体"/>
                <w:color w:val="auto"/>
                <w:sz w:val="22"/>
                <w:szCs w:val="22"/>
                <w:highlight w:val="none"/>
              </w:rPr>
            </w:pPr>
            <w:r>
              <w:rPr>
                <w:rFonts w:hint="eastAsia" w:ascii="新宋体" w:hAnsi="新宋体" w:cs="新宋体"/>
                <w:color w:val="auto"/>
                <w:sz w:val="22"/>
                <w:szCs w:val="22"/>
                <w:highlight w:val="none"/>
                <w:lang w:val="en-US" w:eastAsia="zh-CN"/>
              </w:rPr>
              <w:t>4</w:t>
            </w:r>
            <w:r>
              <w:rPr>
                <w:rFonts w:hint="eastAsia" w:ascii="新宋体" w:hAnsi="新宋体" w:cs="新宋体"/>
                <w:color w:val="auto"/>
                <w:sz w:val="22"/>
                <w:szCs w:val="22"/>
                <w:highlight w:val="none"/>
              </w:rPr>
              <w:t>.4</w:t>
            </w:r>
          </w:p>
        </w:tc>
        <w:tc>
          <w:tcPr>
            <w:tcW w:w="9109" w:type="dxa"/>
            <w:tcBorders>
              <w:top w:val="single" w:color="auto" w:sz="4" w:space="0"/>
              <w:left w:val="single" w:color="auto" w:sz="4" w:space="0"/>
              <w:bottom w:val="single" w:color="auto" w:sz="4" w:space="0"/>
              <w:right w:val="single" w:color="auto" w:sz="4" w:space="0"/>
            </w:tcBorders>
            <w:vAlign w:val="center"/>
          </w:tcPr>
          <w:p w14:paraId="27C6BFCC">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项目规划布局</w:t>
            </w:r>
          </w:p>
        </w:tc>
      </w:tr>
      <w:tr w14:paraId="657D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4FDA9E6B">
            <w:pPr>
              <w:jc w:val="center"/>
              <w:rPr>
                <w:rFonts w:ascii="新宋体" w:hAnsi="新宋体" w:cs="新宋体"/>
                <w:color w:val="auto"/>
                <w:sz w:val="22"/>
                <w:szCs w:val="22"/>
                <w:highlight w:val="none"/>
              </w:rPr>
            </w:pPr>
            <w:r>
              <w:rPr>
                <w:rFonts w:hint="eastAsia" w:ascii="新宋体" w:hAnsi="新宋体" w:cs="新宋体"/>
                <w:color w:val="auto"/>
                <w:sz w:val="22"/>
                <w:szCs w:val="22"/>
                <w:highlight w:val="none"/>
                <w:lang w:val="en-US" w:eastAsia="zh-CN"/>
              </w:rPr>
              <w:t>4</w:t>
            </w:r>
            <w:r>
              <w:rPr>
                <w:rFonts w:hint="eastAsia" w:ascii="新宋体" w:hAnsi="新宋体" w:cs="新宋体"/>
                <w:color w:val="auto"/>
                <w:sz w:val="22"/>
                <w:szCs w:val="22"/>
                <w:highlight w:val="none"/>
              </w:rPr>
              <w:t>.5</w:t>
            </w:r>
          </w:p>
        </w:tc>
        <w:tc>
          <w:tcPr>
            <w:tcW w:w="9109" w:type="dxa"/>
            <w:tcBorders>
              <w:top w:val="single" w:color="auto" w:sz="4" w:space="0"/>
              <w:left w:val="single" w:color="auto" w:sz="4" w:space="0"/>
              <w:bottom w:val="single" w:color="auto" w:sz="4" w:space="0"/>
              <w:right w:val="single" w:color="auto" w:sz="4" w:space="0"/>
            </w:tcBorders>
            <w:vAlign w:val="center"/>
          </w:tcPr>
          <w:p w14:paraId="00A888D5">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重难点分析</w:t>
            </w:r>
          </w:p>
        </w:tc>
      </w:tr>
      <w:tr w14:paraId="14D9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1B27EC62">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4.6</w:t>
            </w:r>
          </w:p>
        </w:tc>
        <w:tc>
          <w:tcPr>
            <w:tcW w:w="9109" w:type="dxa"/>
            <w:tcBorders>
              <w:top w:val="single" w:color="auto" w:sz="4" w:space="0"/>
              <w:left w:val="single" w:color="auto" w:sz="4" w:space="0"/>
              <w:bottom w:val="single" w:color="auto" w:sz="4" w:space="0"/>
              <w:right w:val="single" w:color="auto" w:sz="4" w:space="0"/>
            </w:tcBorders>
            <w:vAlign w:val="center"/>
          </w:tcPr>
          <w:p w14:paraId="6CAAA9FD">
            <w:pP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服务团队设置和岗位职责</w:t>
            </w:r>
          </w:p>
        </w:tc>
      </w:tr>
      <w:tr w14:paraId="5BE1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vAlign w:val="center"/>
          </w:tcPr>
          <w:p w14:paraId="4A68BC33">
            <w:pPr>
              <w:jc w:val="center"/>
              <w:rPr>
                <w:rFonts w:hint="default" w:ascii="新宋体" w:hAnsi="新宋体" w:eastAsia="宋体" w:cs="新宋体"/>
                <w:color w:val="auto"/>
                <w:sz w:val="22"/>
                <w:szCs w:val="22"/>
                <w:highlight w:val="none"/>
                <w:lang w:val="en-US" w:eastAsia="zh-CN"/>
              </w:rPr>
            </w:pPr>
            <w:r>
              <w:rPr>
                <w:rFonts w:hint="eastAsia" w:ascii="新宋体" w:hAnsi="新宋体" w:cs="新宋体"/>
                <w:color w:val="auto"/>
                <w:sz w:val="22"/>
                <w:szCs w:val="22"/>
                <w:highlight w:val="none"/>
                <w:lang w:val="en-US" w:eastAsia="zh-CN"/>
              </w:rPr>
              <w:t>4.7</w:t>
            </w:r>
          </w:p>
        </w:tc>
        <w:tc>
          <w:tcPr>
            <w:tcW w:w="9109" w:type="dxa"/>
            <w:tcBorders>
              <w:top w:val="single" w:color="auto" w:sz="4" w:space="0"/>
              <w:left w:val="single" w:color="auto" w:sz="4" w:space="0"/>
              <w:bottom w:val="single" w:color="auto" w:sz="4" w:space="0"/>
              <w:right w:val="single" w:color="auto" w:sz="4" w:space="0"/>
            </w:tcBorders>
            <w:vAlign w:val="center"/>
          </w:tcPr>
          <w:p w14:paraId="1930BED4">
            <w:pP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其他评分所需材料及技术资信证明资料</w:t>
            </w:r>
          </w:p>
        </w:tc>
      </w:tr>
    </w:tbl>
    <w:p w14:paraId="3925757B">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附件一</w:t>
      </w:r>
    </w:p>
    <w:p w14:paraId="07115B3D">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546AADBD">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温州园博园建设发展有限公司</w:t>
      </w:r>
      <w:r>
        <w:rPr>
          <w:rFonts w:hint="eastAsia" w:ascii="新宋体" w:hAnsi="新宋体" w:eastAsia="新宋体" w:cs="新宋体"/>
          <w:color w:val="auto"/>
          <w:sz w:val="22"/>
          <w:szCs w:val="22"/>
          <w:highlight w:val="none"/>
        </w:rPr>
        <w:t>：</w:t>
      </w:r>
    </w:p>
    <w:p w14:paraId="2CE3CCB0">
      <w:pPr>
        <w:spacing w:line="42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浙江鼎力工程项目管理有限公司：</w:t>
      </w:r>
    </w:p>
    <w:p w14:paraId="56C9A36C">
      <w:pPr>
        <w:spacing w:line="42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项目（采购编号：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（投标供应商名称）作为投标供应商正式授权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w:t>
      </w:r>
    </w:p>
    <w:p w14:paraId="7C1AF679">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w:t>
      </w:r>
      <w:r>
        <w:rPr>
          <w:rFonts w:hint="eastAsia" w:ascii="新宋体" w:hAnsi="新宋体" w:eastAsia="新宋体" w:cs="新宋体"/>
          <w:color w:val="auto"/>
          <w:kern w:val="0"/>
          <w:sz w:val="22"/>
          <w:szCs w:val="22"/>
          <w:highlight w:val="none"/>
        </w:rPr>
        <w:t>分别</w:t>
      </w:r>
      <w:r>
        <w:rPr>
          <w:rFonts w:hint="eastAsia" w:ascii="新宋体" w:hAnsi="新宋体" w:eastAsia="新宋体" w:cs="新宋体"/>
          <w:color w:val="auto"/>
          <w:kern w:val="0"/>
          <w:sz w:val="22"/>
          <w:szCs w:val="22"/>
          <w:highlight w:val="none"/>
          <w:lang w:val="zh-CN"/>
        </w:rPr>
        <w:t>提交的投标文件中，包括如下内容，并已分别单独密封装袋：</w:t>
      </w:r>
    </w:p>
    <w:p w14:paraId="722EEA44">
      <w:pPr>
        <w:numPr>
          <w:ilvl w:val="0"/>
          <w:numId w:val="19"/>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按“投标供应商须知”要求编制的投标文件资格审查资料【正本一份，副本</w:t>
      </w:r>
      <w:r>
        <w:rPr>
          <w:rFonts w:hint="eastAsia" w:ascii="新宋体" w:hAnsi="新宋体" w:eastAsia="新宋体" w:cs="新宋体"/>
          <w:color w:val="auto"/>
          <w:sz w:val="22"/>
          <w:highlight w:val="none"/>
          <w:lang w:eastAsia="zh-CN"/>
        </w:rPr>
        <w:t>六</w:t>
      </w:r>
      <w:r>
        <w:rPr>
          <w:rFonts w:hint="eastAsia" w:ascii="新宋体" w:hAnsi="新宋体" w:eastAsia="新宋体" w:cs="新宋体"/>
          <w:color w:val="auto"/>
          <w:sz w:val="22"/>
          <w:highlight w:val="none"/>
        </w:rPr>
        <w:t>份】；</w:t>
      </w:r>
    </w:p>
    <w:p w14:paraId="5C83A8AA">
      <w:pPr>
        <w:numPr>
          <w:ilvl w:val="0"/>
          <w:numId w:val="19"/>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按“投标供应商须知”要求编制的投标文件技术资信标【正本一份，副本</w:t>
      </w:r>
      <w:r>
        <w:rPr>
          <w:rFonts w:hint="eastAsia" w:ascii="新宋体" w:hAnsi="新宋体" w:eastAsia="新宋体" w:cs="新宋体"/>
          <w:color w:val="auto"/>
          <w:sz w:val="22"/>
          <w:highlight w:val="none"/>
          <w:lang w:eastAsia="zh-CN"/>
        </w:rPr>
        <w:t>六</w:t>
      </w:r>
      <w:r>
        <w:rPr>
          <w:rFonts w:hint="eastAsia" w:ascii="新宋体" w:hAnsi="新宋体" w:eastAsia="新宋体" w:cs="新宋体"/>
          <w:color w:val="auto"/>
          <w:sz w:val="22"/>
          <w:highlight w:val="none"/>
        </w:rPr>
        <w:t>份】；</w:t>
      </w:r>
    </w:p>
    <w:p w14:paraId="68E87378">
      <w:pPr>
        <w:numPr>
          <w:ilvl w:val="0"/>
          <w:numId w:val="19"/>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按“投标供应商须知”要求编制的投标文件商务报价标【正本一份，副本</w:t>
      </w:r>
      <w:r>
        <w:rPr>
          <w:rFonts w:hint="eastAsia" w:ascii="新宋体" w:hAnsi="新宋体" w:eastAsia="新宋体" w:cs="新宋体"/>
          <w:color w:val="auto"/>
          <w:sz w:val="22"/>
          <w:highlight w:val="none"/>
          <w:lang w:eastAsia="zh-CN"/>
        </w:rPr>
        <w:t>六</w:t>
      </w:r>
      <w:r>
        <w:rPr>
          <w:rFonts w:hint="eastAsia" w:ascii="新宋体" w:hAnsi="新宋体" w:eastAsia="新宋体" w:cs="新宋体"/>
          <w:color w:val="auto"/>
          <w:sz w:val="22"/>
          <w:highlight w:val="none"/>
        </w:rPr>
        <w:t>份】。</w:t>
      </w:r>
    </w:p>
    <w:p w14:paraId="24DFC5B9">
      <w:pPr>
        <w:tabs>
          <w:tab w:val="left" w:pos="8124"/>
        </w:tabs>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我方已完全明白采购文件的所有条款要求，并重申以下几点：</w:t>
      </w:r>
      <w:r>
        <w:rPr>
          <w:rFonts w:ascii="新宋体" w:hAnsi="新宋体" w:eastAsia="新宋体" w:cs="新宋体"/>
          <w:color w:val="auto"/>
          <w:kern w:val="0"/>
          <w:sz w:val="22"/>
          <w:szCs w:val="22"/>
          <w:highlight w:val="none"/>
          <w:lang w:val="zh-CN"/>
        </w:rPr>
        <w:tab/>
      </w:r>
    </w:p>
    <w:p w14:paraId="0C33DCE2">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17D713EF">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14:paraId="415B2A52">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3F16B4A0">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同意在采购文件中投标供应商须知规定的开标日期起遵守本投标书中的承诺且在投标有效期满之前均具有约束力。</w:t>
      </w:r>
    </w:p>
    <w:p w14:paraId="57A63C93">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w:t>
      </w:r>
      <w:r>
        <w:rPr>
          <w:rFonts w:hint="eastAsia" w:ascii="新宋体" w:hAnsi="新宋体" w:eastAsia="新宋体" w:cs="新宋体"/>
          <w:color w:val="auto"/>
          <w:sz w:val="22"/>
          <w:highlight w:val="none"/>
          <w:lang w:eastAsia="zh-CN"/>
        </w:rPr>
        <w:t>撤销</w:t>
      </w:r>
      <w:r>
        <w:rPr>
          <w:rFonts w:hint="eastAsia" w:ascii="新宋体" w:hAnsi="新宋体" w:eastAsia="新宋体" w:cs="新宋体"/>
          <w:color w:val="auto"/>
          <w:sz w:val="22"/>
          <w:highlight w:val="none"/>
        </w:rPr>
        <w:t>投标，我方的投标保证金可被贵方没收。</w:t>
      </w:r>
    </w:p>
    <w:p w14:paraId="7F3D0747">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040C762E">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期间禁止参加采购活动但是期限届满，须附相关证明文件）</w:t>
      </w:r>
    </w:p>
    <w:p w14:paraId="3AAEE197">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单位、法定代表人、本项目授权代表及本项目负责人在参加本项目前三年内（以法院判决书生效日期为准）均无行贿犯罪记录。</w:t>
      </w:r>
    </w:p>
    <w:p w14:paraId="09B69D5B">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如有列情形之一的，我方愿意被取消中标资格（如中标），并可没收我方的投标保证金，同时继续承担其他一切法律后果，并不再寻求任何旨在减轻或免除法律责任的解释：</w:t>
      </w:r>
    </w:p>
    <w:p w14:paraId="5228397A">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14:paraId="6B441361">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(2)采取不正当手段诋毁、排挤其他投标供应商的；</w:t>
      </w:r>
    </w:p>
    <w:p w14:paraId="24BF0ACD">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(3)与采购人、其它投标供应商或者采购代理机构恶意串通的；</w:t>
      </w:r>
    </w:p>
    <w:p w14:paraId="16E62D85">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14:paraId="26593002">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(5)在采购过程中与采购人进行协商谈判的；</w:t>
      </w:r>
    </w:p>
    <w:p w14:paraId="24C28790">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14:paraId="79FC4E7D">
      <w:pPr>
        <w:numPr>
          <w:ilvl w:val="0"/>
          <w:numId w:val="20"/>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039AA452">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0620B557">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5E476596">
      <w:pPr>
        <w:spacing w:line="420" w:lineRule="exact"/>
        <w:ind w:firstLine="435"/>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7E36FB81">
      <w:pPr>
        <w:spacing w:line="42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p>
    <w:p w14:paraId="0705597E">
      <w:pPr>
        <w:spacing w:line="420" w:lineRule="exact"/>
        <w:ind w:firstLine="435"/>
        <w:rPr>
          <w:rFonts w:ascii="新宋体" w:hAnsi="新宋体" w:eastAsia="新宋体" w:cs="新宋体"/>
          <w:color w:val="auto"/>
          <w:sz w:val="22"/>
          <w:szCs w:val="22"/>
          <w:highlight w:val="none"/>
        </w:rPr>
      </w:pPr>
    </w:p>
    <w:p w14:paraId="6039A8AB">
      <w:pPr>
        <w:spacing w:line="420" w:lineRule="exact"/>
        <w:ind w:firstLine="46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投标供应商名称（盖章）</w:t>
      </w:r>
      <w:r>
        <w:rPr>
          <w:rFonts w:hint="eastAsia" w:ascii="新宋体" w:hAnsi="新宋体" w:eastAsia="新宋体" w:cs="新宋体"/>
          <w:color w:val="auto"/>
          <w:sz w:val="22"/>
          <w:szCs w:val="22"/>
          <w:highlight w:val="none"/>
          <w:u w:val="single"/>
        </w:rPr>
        <w:t xml:space="preserve">                  </w:t>
      </w:r>
    </w:p>
    <w:p w14:paraId="7EB0FC13">
      <w:pPr>
        <w:spacing w:line="420" w:lineRule="exact"/>
        <w:ind w:firstLine="462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r>
        <w:rPr>
          <w:rFonts w:hint="eastAsia" w:ascii="新宋体" w:hAnsi="新宋体" w:eastAsia="新宋体" w:cs="新宋体"/>
          <w:color w:val="auto"/>
          <w:sz w:val="22"/>
          <w:szCs w:val="22"/>
          <w:highlight w:val="none"/>
          <w:u w:val="single"/>
        </w:rPr>
        <w:t xml:space="preserve">                   </w:t>
      </w:r>
    </w:p>
    <w:p w14:paraId="07E1AC81">
      <w:pPr>
        <w:spacing w:line="460" w:lineRule="exact"/>
        <w:ind w:firstLine="462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日    期</w:t>
      </w:r>
      <w:r>
        <w:rPr>
          <w:rFonts w:hint="eastAsia" w:ascii="新宋体" w:hAnsi="新宋体" w:eastAsia="新宋体" w:cs="新宋体"/>
          <w:color w:val="auto"/>
          <w:sz w:val="22"/>
          <w:szCs w:val="22"/>
          <w:highlight w:val="none"/>
          <w:u w:val="single"/>
        </w:rPr>
        <w:t xml:space="preserve">           </w:t>
      </w:r>
    </w:p>
    <w:p w14:paraId="03F3C3BD">
      <w:pPr>
        <w:spacing w:line="460" w:lineRule="exact"/>
        <w:ind w:firstLine="4620"/>
        <w:rPr>
          <w:rFonts w:ascii="新宋体" w:hAnsi="新宋体" w:eastAsia="新宋体" w:cs="新宋体"/>
          <w:color w:val="auto"/>
          <w:sz w:val="22"/>
          <w:szCs w:val="22"/>
          <w:highlight w:val="none"/>
          <w:u w:val="single"/>
        </w:rPr>
      </w:pPr>
    </w:p>
    <w:p w14:paraId="741B7A13">
      <w:pPr>
        <w:spacing w:line="420" w:lineRule="exact"/>
        <w:ind w:firstLine="442" w:firstLineChars="200"/>
        <w:rPr>
          <w:rFonts w:ascii="新宋体" w:hAnsi="新宋体" w:eastAsia="新宋体" w:cs="新宋体"/>
          <w:color w:val="auto"/>
          <w:sz w:val="22"/>
          <w:highlight w:val="none"/>
        </w:rPr>
      </w:pPr>
      <w:r>
        <w:rPr>
          <w:rFonts w:hint="eastAsia" w:ascii="新宋体" w:hAnsi="新宋体" w:eastAsia="新宋体" w:cs="新宋体"/>
          <w:b/>
          <w:color w:val="auto"/>
          <w:sz w:val="22"/>
          <w:szCs w:val="22"/>
          <w:highlight w:val="none"/>
          <w:u w:val="single"/>
        </w:rPr>
        <w:t>▲不提供投标函的投标文件将被视为未实质性响应采购文件。</w:t>
      </w:r>
    </w:p>
    <w:p w14:paraId="1EED5393">
      <w:pPr>
        <w:spacing w:line="380" w:lineRule="exact"/>
        <w:rPr>
          <w:rFonts w:ascii="新宋体" w:hAnsi="新宋体" w:eastAsia="新宋体" w:cs="新宋体"/>
          <w:b/>
          <w:bCs/>
          <w:color w:val="auto"/>
          <w:sz w:val="22"/>
          <w:szCs w:val="22"/>
          <w:highlight w:val="none"/>
        </w:rPr>
      </w:pPr>
    </w:p>
    <w:p w14:paraId="7D30C084">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12A1B7EB">
      <w:pPr>
        <w:autoSpaceDE w:val="0"/>
        <w:autoSpaceDN w:val="0"/>
        <w:adjustRightInd w:val="0"/>
        <w:spacing w:line="360" w:lineRule="exact"/>
        <w:jc w:val="center"/>
        <w:rPr>
          <w:rFonts w:hint="eastAsia" w:ascii="宋体" w:hAnsi="宋体"/>
          <w:color w:val="auto"/>
          <w:sz w:val="32"/>
          <w:highlight w:val="none"/>
          <w:lang w:val="zh-CN"/>
        </w:rPr>
      </w:pPr>
      <w:r>
        <w:rPr>
          <w:rFonts w:hint="eastAsia" w:ascii="宋体" w:hAnsi="宋体"/>
          <w:color w:val="auto"/>
          <w:sz w:val="32"/>
          <w:highlight w:val="none"/>
          <w:lang w:val="zh-CN"/>
        </w:rPr>
        <w:t>（一）商务偏离表</w:t>
      </w:r>
    </w:p>
    <w:p w14:paraId="38C3B394">
      <w:pPr>
        <w:autoSpaceDE w:val="0"/>
        <w:autoSpaceDN w:val="0"/>
        <w:adjustRightInd w:val="0"/>
        <w:spacing w:line="360" w:lineRule="exact"/>
        <w:ind w:firstLine="3413"/>
        <w:rPr>
          <w:rFonts w:hint="eastAsia" w:ascii="宋体" w:hAnsi="宋体"/>
          <w:color w:val="auto"/>
          <w:sz w:val="32"/>
          <w:highlight w:val="none"/>
          <w:lang w:val="zh-CN"/>
        </w:rPr>
      </w:pPr>
      <w:r>
        <w:rPr>
          <w:rFonts w:hint="eastAsia" w:ascii="宋体" w:hAnsi="宋体"/>
          <w:color w:val="auto"/>
          <w:sz w:val="32"/>
          <w:highlight w:val="none"/>
          <w:lang w:val="zh-CN"/>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7FBF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noWrap w:val="0"/>
            <w:vAlign w:val="center"/>
          </w:tcPr>
          <w:p w14:paraId="6CD1E479">
            <w:pPr>
              <w:autoSpaceDE w:val="0"/>
              <w:autoSpaceDN w:val="0"/>
              <w:adjustRightInd w:val="0"/>
              <w:spacing w:line="360" w:lineRule="exact"/>
              <w:jc w:val="center"/>
              <w:rPr>
                <w:rFonts w:hint="eastAsia" w:ascii="宋体" w:hAnsi="宋体"/>
                <w:color w:val="auto"/>
                <w:sz w:val="24"/>
                <w:highlight w:val="none"/>
                <w:lang w:val="zh-CN"/>
              </w:rPr>
            </w:pPr>
            <w:r>
              <w:rPr>
                <w:rFonts w:hint="eastAsia" w:ascii="宋体" w:hAnsi="宋体"/>
                <w:color w:val="auto"/>
                <w:sz w:val="24"/>
                <w:highlight w:val="none"/>
                <w:lang w:val="zh-CN"/>
              </w:rPr>
              <w:t>序 号</w:t>
            </w:r>
          </w:p>
        </w:tc>
        <w:tc>
          <w:tcPr>
            <w:tcW w:w="1620" w:type="dxa"/>
            <w:noWrap w:val="0"/>
            <w:vAlign w:val="center"/>
          </w:tcPr>
          <w:p w14:paraId="24E992AA">
            <w:pPr>
              <w:autoSpaceDE w:val="0"/>
              <w:autoSpaceDN w:val="0"/>
              <w:adjustRightInd w:val="0"/>
              <w:spacing w:line="360" w:lineRule="exact"/>
              <w:jc w:val="center"/>
              <w:rPr>
                <w:rFonts w:hint="eastAsia" w:ascii="宋体" w:hAnsi="宋体"/>
                <w:color w:val="auto"/>
                <w:sz w:val="24"/>
                <w:highlight w:val="none"/>
                <w:lang w:val="zh-CN"/>
              </w:rPr>
            </w:pPr>
            <w:r>
              <w:rPr>
                <w:rFonts w:hint="eastAsia" w:ascii="宋体" w:hAnsi="宋体"/>
                <w:color w:val="auto"/>
                <w:sz w:val="24"/>
                <w:highlight w:val="none"/>
                <w:lang w:val="zh-CN"/>
              </w:rPr>
              <w:t>内容</w:t>
            </w:r>
          </w:p>
        </w:tc>
        <w:tc>
          <w:tcPr>
            <w:tcW w:w="2220" w:type="dxa"/>
            <w:noWrap w:val="0"/>
            <w:vAlign w:val="center"/>
          </w:tcPr>
          <w:p w14:paraId="4DDE8DB3">
            <w:pPr>
              <w:autoSpaceDE w:val="0"/>
              <w:autoSpaceDN w:val="0"/>
              <w:adjustRightInd w:val="0"/>
              <w:spacing w:line="360" w:lineRule="exact"/>
              <w:jc w:val="center"/>
              <w:rPr>
                <w:rFonts w:hint="eastAsia" w:ascii="宋体" w:hAnsi="宋体"/>
                <w:color w:val="auto"/>
                <w:sz w:val="24"/>
                <w:highlight w:val="none"/>
                <w:lang w:val="zh-CN"/>
              </w:rPr>
            </w:pPr>
            <w:r>
              <w:rPr>
                <w:rFonts w:hint="eastAsia" w:ascii="宋体" w:hAnsi="宋体"/>
                <w:color w:val="auto"/>
                <w:sz w:val="24"/>
                <w:highlight w:val="none"/>
                <w:lang w:val="zh-CN"/>
              </w:rPr>
              <w:t>招标文件规范要求</w:t>
            </w:r>
          </w:p>
        </w:tc>
        <w:tc>
          <w:tcPr>
            <w:tcW w:w="2220" w:type="dxa"/>
            <w:noWrap w:val="0"/>
            <w:vAlign w:val="center"/>
          </w:tcPr>
          <w:p w14:paraId="254D494E">
            <w:pPr>
              <w:autoSpaceDE w:val="0"/>
              <w:autoSpaceDN w:val="0"/>
              <w:adjustRightInd w:val="0"/>
              <w:spacing w:line="360" w:lineRule="exact"/>
              <w:jc w:val="center"/>
              <w:rPr>
                <w:rFonts w:hint="eastAsia" w:ascii="宋体" w:hAnsi="宋体"/>
                <w:color w:val="auto"/>
                <w:sz w:val="24"/>
                <w:highlight w:val="none"/>
                <w:lang w:val="zh-CN"/>
              </w:rPr>
            </w:pPr>
            <w:r>
              <w:rPr>
                <w:rFonts w:hint="eastAsia" w:ascii="宋体" w:hAnsi="宋体"/>
                <w:color w:val="auto"/>
                <w:sz w:val="24"/>
                <w:highlight w:val="none"/>
                <w:lang w:val="zh-CN"/>
              </w:rPr>
              <w:t>投标文件</w:t>
            </w:r>
          </w:p>
          <w:p w14:paraId="554DCA2C">
            <w:pPr>
              <w:autoSpaceDE w:val="0"/>
              <w:autoSpaceDN w:val="0"/>
              <w:adjustRightInd w:val="0"/>
              <w:spacing w:line="360" w:lineRule="exact"/>
              <w:jc w:val="center"/>
              <w:rPr>
                <w:rFonts w:hint="eastAsia" w:ascii="宋体" w:hAnsi="宋体"/>
                <w:color w:val="auto"/>
                <w:sz w:val="24"/>
                <w:highlight w:val="none"/>
                <w:lang w:val="zh-CN"/>
              </w:rPr>
            </w:pPr>
            <w:r>
              <w:rPr>
                <w:rFonts w:hint="eastAsia" w:ascii="宋体" w:hAnsi="宋体"/>
                <w:color w:val="auto"/>
                <w:sz w:val="24"/>
                <w:highlight w:val="none"/>
                <w:lang w:val="zh-CN"/>
              </w:rPr>
              <w:t>对应规范</w:t>
            </w:r>
          </w:p>
        </w:tc>
        <w:tc>
          <w:tcPr>
            <w:tcW w:w="2295" w:type="dxa"/>
            <w:noWrap w:val="0"/>
            <w:vAlign w:val="center"/>
          </w:tcPr>
          <w:p w14:paraId="208879BD">
            <w:pPr>
              <w:autoSpaceDE w:val="0"/>
              <w:autoSpaceDN w:val="0"/>
              <w:adjustRightInd w:val="0"/>
              <w:spacing w:line="360" w:lineRule="exact"/>
              <w:jc w:val="center"/>
              <w:rPr>
                <w:rFonts w:hint="eastAsia" w:ascii="宋体" w:hAnsi="宋体"/>
                <w:color w:val="auto"/>
                <w:sz w:val="24"/>
                <w:highlight w:val="none"/>
                <w:lang w:val="zh-CN"/>
              </w:rPr>
            </w:pPr>
            <w:r>
              <w:rPr>
                <w:rFonts w:hint="eastAsia" w:ascii="宋体" w:hAnsi="宋体"/>
                <w:color w:val="auto"/>
                <w:sz w:val="24"/>
                <w:highlight w:val="none"/>
                <w:lang w:val="zh-CN"/>
              </w:rPr>
              <w:t>备 注</w:t>
            </w:r>
          </w:p>
        </w:tc>
      </w:tr>
      <w:tr w14:paraId="13B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32D7FC95">
            <w:pPr>
              <w:autoSpaceDE w:val="0"/>
              <w:autoSpaceDN w:val="0"/>
              <w:adjustRightInd w:val="0"/>
              <w:spacing w:line="360" w:lineRule="exact"/>
              <w:jc w:val="center"/>
              <w:rPr>
                <w:rFonts w:hint="eastAsia" w:ascii="宋体" w:hAnsi="宋体"/>
                <w:color w:val="auto"/>
                <w:sz w:val="24"/>
                <w:highlight w:val="none"/>
                <w:lang w:val="zh-CN"/>
              </w:rPr>
            </w:pPr>
          </w:p>
        </w:tc>
        <w:tc>
          <w:tcPr>
            <w:tcW w:w="1620" w:type="dxa"/>
            <w:noWrap w:val="0"/>
            <w:vAlign w:val="top"/>
          </w:tcPr>
          <w:p w14:paraId="6063F89A">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07C8FC90">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71546A08">
            <w:pPr>
              <w:autoSpaceDE w:val="0"/>
              <w:autoSpaceDN w:val="0"/>
              <w:adjustRightInd w:val="0"/>
              <w:spacing w:line="360" w:lineRule="exact"/>
              <w:jc w:val="center"/>
              <w:rPr>
                <w:rFonts w:hint="eastAsia" w:ascii="宋体" w:hAnsi="宋体"/>
                <w:color w:val="auto"/>
                <w:sz w:val="24"/>
                <w:highlight w:val="none"/>
                <w:lang w:val="zh-CN"/>
              </w:rPr>
            </w:pPr>
          </w:p>
        </w:tc>
        <w:tc>
          <w:tcPr>
            <w:tcW w:w="2295" w:type="dxa"/>
            <w:noWrap w:val="0"/>
            <w:vAlign w:val="top"/>
          </w:tcPr>
          <w:p w14:paraId="540E023B">
            <w:pPr>
              <w:autoSpaceDE w:val="0"/>
              <w:autoSpaceDN w:val="0"/>
              <w:adjustRightInd w:val="0"/>
              <w:spacing w:line="360" w:lineRule="exact"/>
              <w:jc w:val="center"/>
              <w:rPr>
                <w:rFonts w:hint="eastAsia" w:ascii="宋体" w:hAnsi="宋体"/>
                <w:color w:val="auto"/>
                <w:sz w:val="24"/>
                <w:highlight w:val="none"/>
                <w:lang w:val="zh-CN"/>
              </w:rPr>
            </w:pPr>
          </w:p>
        </w:tc>
      </w:tr>
      <w:tr w14:paraId="1A77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480DD93E">
            <w:pPr>
              <w:autoSpaceDE w:val="0"/>
              <w:autoSpaceDN w:val="0"/>
              <w:adjustRightInd w:val="0"/>
              <w:spacing w:line="360" w:lineRule="exact"/>
              <w:jc w:val="center"/>
              <w:rPr>
                <w:rFonts w:hint="eastAsia" w:ascii="宋体" w:hAnsi="宋体"/>
                <w:color w:val="auto"/>
                <w:sz w:val="24"/>
                <w:highlight w:val="none"/>
                <w:lang w:val="zh-CN"/>
              </w:rPr>
            </w:pPr>
          </w:p>
        </w:tc>
        <w:tc>
          <w:tcPr>
            <w:tcW w:w="1620" w:type="dxa"/>
            <w:noWrap w:val="0"/>
            <w:vAlign w:val="top"/>
          </w:tcPr>
          <w:p w14:paraId="1B6E0F58">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1188FBC5">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493594BF">
            <w:pPr>
              <w:autoSpaceDE w:val="0"/>
              <w:autoSpaceDN w:val="0"/>
              <w:adjustRightInd w:val="0"/>
              <w:spacing w:line="360" w:lineRule="exact"/>
              <w:jc w:val="center"/>
              <w:rPr>
                <w:rFonts w:hint="eastAsia" w:ascii="宋体" w:hAnsi="宋体"/>
                <w:color w:val="auto"/>
                <w:sz w:val="24"/>
                <w:highlight w:val="none"/>
                <w:lang w:val="zh-CN"/>
              </w:rPr>
            </w:pPr>
          </w:p>
        </w:tc>
        <w:tc>
          <w:tcPr>
            <w:tcW w:w="2295" w:type="dxa"/>
            <w:noWrap w:val="0"/>
            <w:vAlign w:val="top"/>
          </w:tcPr>
          <w:p w14:paraId="39E7C97B">
            <w:pPr>
              <w:autoSpaceDE w:val="0"/>
              <w:autoSpaceDN w:val="0"/>
              <w:adjustRightInd w:val="0"/>
              <w:spacing w:line="360" w:lineRule="exact"/>
              <w:jc w:val="center"/>
              <w:rPr>
                <w:rFonts w:hint="eastAsia" w:ascii="宋体" w:hAnsi="宋体"/>
                <w:color w:val="auto"/>
                <w:sz w:val="24"/>
                <w:highlight w:val="none"/>
                <w:lang w:val="zh-CN"/>
              </w:rPr>
            </w:pPr>
          </w:p>
        </w:tc>
      </w:tr>
      <w:tr w14:paraId="160E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3A213489">
            <w:pPr>
              <w:autoSpaceDE w:val="0"/>
              <w:autoSpaceDN w:val="0"/>
              <w:adjustRightInd w:val="0"/>
              <w:spacing w:line="360" w:lineRule="exact"/>
              <w:jc w:val="center"/>
              <w:rPr>
                <w:rFonts w:hint="eastAsia" w:ascii="宋体" w:hAnsi="宋体"/>
                <w:color w:val="auto"/>
                <w:sz w:val="24"/>
                <w:highlight w:val="none"/>
                <w:lang w:val="zh-CN"/>
              </w:rPr>
            </w:pPr>
          </w:p>
        </w:tc>
        <w:tc>
          <w:tcPr>
            <w:tcW w:w="1620" w:type="dxa"/>
            <w:noWrap w:val="0"/>
            <w:vAlign w:val="top"/>
          </w:tcPr>
          <w:p w14:paraId="465E9FE8">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32AFA8BF">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79E328F5">
            <w:pPr>
              <w:autoSpaceDE w:val="0"/>
              <w:autoSpaceDN w:val="0"/>
              <w:adjustRightInd w:val="0"/>
              <w:spacing w:line="360" w:lineRule="exact"/>
              <w:jc w:val="center"/>
              <w:rPr>
                <w:rFonts w:hint="eastAsia" w:ascii="宋体" w:hAnsi="宋体"/>
                <w:color w:val="auto"/>
                <w:sz w:val="24"/>
                <w:highlight w:val="none"/>
                <w:lang w:val="zh-CN"/>
              </w:rPr>
            </w:pPr>
          </w:p>
        </w:tc>
        <w:tc>
          <w:tcPr>
            <w:tcW w:w="2295" w:type="dxa"/>
            <w:noWrap w:val="0"/>
            <w:vAlign w:val="top"/>
          </w:tcPr>
          <w:p w14:paraId="501D72C0">
            <w:pPr>
              <w:autoSpaceDE w:val="0"/>
              <w:autoSpaceDN w:val="0"/>
              <w:adjustRightInd w:val="0"/>
              <w:spacing w:line="360" w:lineRule="exact"/>
              <w:jc w:val="center"/>
              <w:rPr>
                <w:rFonts w:hint="eastAsia" w:ascii="宋体" w:hAnsi="宋体"/>
                <w:color w:val="auto"/>
                <w:sz w:val="24"/>
                <w:highlight w:val="none"/>
                <w:lang w:val="zh-CN"/>
              </w:rPr>
            </w:pPr>
          </w:p>
        </w:tc>
      </w:tr>
      <w:tr w14:paraId="52FB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63290355">
            <w:pPr>
              <w:autoSpaceDE w:val="0"/>
              <w:autoSpaceDN w:val="0"/>
              <w:adjustRightInd w:val="0"/>
              <w:spacing w:line="360" w:lineRule="exact"/>
              <w:jc w:val="center"/>
              <w:rPr>
                <w:rFonts w:hint="eastAsia" w:ascii="宋体" w:hAnsi="宋体"/>
                <w:color w:val="auto"/>
                <w:sz w:val="24"/>
                <w:highlight w:val="none"/>
                <w:lang w:val="zh-CN"/>
              </w:rPr>
            </w:pPr>
          </w:p>
        </w:tc>
        <w:tc>
          <w:tcPr>
            <w:tcW w:w="1620" w:type="dxa"/>
            <w:noWrap w:val="0"/>
            <w:vAlign w:val="top"/>
          </w:tcPr>
          <w:p w14:paraId="1F5D6124">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64CBE868">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1D527FF4">
            <w:pPr>
              <w:autoSpaceDE w:val="0"/>
              <w:autoSpaceDN w:val="0"/>
              <w:adjustRightInd w:val="0"/>
              <w:spacing w:line="360" w:lineRule="exact"/>
              <w:jc w:val="center"/>
              <w:rPr>
                <w:rFonts w:hint="eastAsia" w:ascii="宋体" w:hAnsi="宋体"/>
                <w:color w:val="auto"/>
                <w:sz w:val="24"/>
                <w:highlight w:val="none"/>
                <w:lang w:val="zh-CN"/>
              </w:rPr>
            </w:pPr>
          </w:p>
        </w:tc>
        <w:tc>
          <w:tcPr>
            <w:tcW w:w="2295" w:type="dxa"/>
            <w:noWrap w:val="0"/>
            <w:vAlign w:val="top"/>
          </w:tcPr>
          <w:p w14:paraId="7202E233">
            <w:pPr>
              <w:autoSpaceDE w:val="0"/>
              <w:autoSpaceDN w:val="0"/>
              <w:adjustRightInd w:val="0"/>
              <w:spacing w:line="360" w:lineRule="exact"/>
              <w:jc w:val="center"/>
              <w:rPr>
                <w:rFonts w:hint="eastAsia" w:ascii="宋体" w:hAnsi="宋体"/>
                <w:color w:val="auto"/>
                <w:sz w:val="24"/>
                <w:highlight w:val="none"/>
                <w:lang w:val="zh-CN"/>
              </w:rPr>
            </w:pPr>
          </w:p>
        </w:tc>
      </w:tr>
      <w:tr w14:paraId="25C8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1AD6D021">
            <w:pPr>
              <w:autoSpaceDE w:val="0"/>
              <w:autoSpaceDN w:val="0"/>
              <w:adjustRightInd w:val="0"/>
              <w:spacing w:line="360" w:lineRule="exact"/>
              <w:jc w:val="center"/>
              <w:rPr>
                <w:rFonts w:hint="eastAsia" w:ascii="宋体" w:hAnsi="宋体"/>
                <w:color w:val="auto"/>
                <w:sz w:val="24"/>
                <w:highlight w:val="none"/>
                <w:lang w:val="zh-CN"/>
              </w:rPr>
            </w:pPr>
          </w:p>
        </w:tc>
        <w:tc>
          <w:tcPr>
            <w:tcW w:w="1620" w:type="dxa"/>
            <w:noWrap w:val="0"/>
            <w:vAlign w:val="top"/>
          </w:tcPr>
          <w:p w14:paraId="00598B94">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6495A59A">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36F54F50">
            <w:pPr>
              <w:autoSpaceDE w:val="0"/>
              <w:autoSpaceDN w:val="0"/>
              <w:adjustRightInd w:val="0"/>
              <w:spacing w:line="360" w:lineRule="exact"/>
              <w:jc w:val="center"/>
              <w:rPr>
                <w:rFonts w:hint="eastAsia" w:ascii="宋体" w:hAnsi="宋体"/>
                <w:color w:val="auto"/>
                <w:sz w:val="24"/>
                <w:highlight w:val="none"/>
                <w:lang w:val="zh-CN"/>
              </w:rPr>
            </w:pPr>
          </w:p>
        </w:tc>
        <w:tc>
          <w:tcPr>
            <w:tcW w:w="2295" w:type="dxa"/>
            <w:noWrap w:val="0"/>
            <w:vAlign w:val="top"/>
          </w:tcPr>
          <w:p w14:paraId="01D62DB1">
            <w:pPr>
              <w:autoSpaceDE w:val="0"/>
              <w:autoSpaceDN w:val="0"/>
              <w:adjustRightInd w:val="0"/>
              <w:spacing w:line="360" w:lineRule="exact"/>
              <w:jc w:val="center"/>
              <w:rPr>
                <w:rFonts w:hint="eastAsia" w:ascii="宋体" w:hAnsi="宋体"/>
                <w:color w:val="auto"/>
                <w:sz w:val="24"/>
                <w:highlight w:val="none"/>
                <w:lang w:val="zh-CN"/>
              </w:rPr>
            </w:pPr>
          </w:p>
        </w:tc>
      </w:tr>
      <w:tr w14:paraId="5570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noWrap w:val="0"/>
            <w:vAlign w:val="top"/>
          </w:tcPr>
          <w:p w14:paraId="55DF17E6">
            <w:pPr>
              <w:autoSpaceDE w:val="0"/>
              <w:autoSpaceDN w:val="0"/>
              <w:adjustRightInd w:val="0"/>
              <w:spacing w:line="360" w:lineRule="exact"/>
              <w:jc w:val="center"/>
              <w:rPr>
                <w:rFonts w:hint="eastAsia" w:ascii="宋体" w:hAnsi="宋体"/>
                <w:color w:val="auto"/>
                <w:sz w:val="24"/>
                <w:highlight w:val="none"/>
                <w:lang w:val="zh-CN"/>
              </w:rPr>
            </w:pPr>
          </w:p>
        </w:tc>
        <w:tc>
          <w:tcPr>
            <w:tcW w:w="1620" w:type="dxa"/>
            <w:noWrap w:val="0"/>
            <w:vAlign w:val="top"/>
          </w:tcPr>
          <w:p w14:paraId="2E15FC27">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088ACBAA">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21C36011">
            <w:pPr>
              <w:autoSpaceDE w:val="0"/>
              <w:autoSpaceDN w:val="0"/>
              <w:adjustRightInd w:val="0"/>
              <w:spacing w:line="360" w:lineRule="exact"/>
              <w:jc w:val="center"/>
              <w:rPr>
                <w:rFonts w:hint="eastAsia" w:ascii="宋体" w:hAnsi="宋体"/>
                <w:color w:val="auto"/>
                <w:sz w:val="24"/>
                <w:highlight w:val="none"/>
                <w:lang w:val="zh-CN"/>
              </w:rPr>
            </w:pPr>
          </w:p>
        </w:tc>
        <w:tc>
          <w:tcPr>
            <w:tcW w:w="2295" w:type="dxa"/>
            <w:noWrap w:val="0"/>
            <w:vAlign w:val="top"/>
          </w:tcPr>
          <w:p w14:paraId="13F9C184">
            <w:pPr>
              <w:autoSpaceDE w:val="0"/>
              <w:autoSpaceDN w:val="0"/>
              <w:adjustRightInd w:val="0"/>
              <w:spacing w:line="360" w:lineRule="exact"/>
              <w:jc w:val="center"/>
              <w:rPr>
                <w:rFonts w:hint="eastAsia" w:ascii="宋体" w:hAnsi="宋体"/>
                <w:color w:val="auto"/>
                <w:sz w:val="24"/>
                <w:highlight w:val="none"/>
                <w:lang w:val="zh-CN"/>
              </w:rPr>
            </w:pPr>
          </w:p>
        </w:tc>
      </w:tr>
      <w:tr w14:paraId="5569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7AFC15F5">
            <w:pPr>
              <w:autoSpaceDE w:val="0"/>
              <w:autoSpaceDN w:val="0"/>
              <w:adjustRightInd w:val="0"/>
              <w:spacing w:line="360" w:lineRule="exact"/>
              <w:jc w:val="center"/>
              <w:rPr>
                <w:rFonts w:hint="eastAsia" w:ascii="宋体" w:hAnsi="宋体"/>
                <w:color w:val="auto"/>
                <w:sz w:val="24"/>
                <w:highlight w:val="none"/>
                <w:lang w:val="zh-CN"/>
              </w:rPr>
            </w:pPr>
          </w:p>
        </w:tc>
        <w:tc>
          <w:tcPr>
            <w:tcW w:w="1620" w:type="dxa"/>
            <w:noWrap w:val="0"/>
            <w:vAlign w:val="top"/>
          </w:tcPr>
          <w:p w14:paraId="77280A71">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71BC9AFE">
            <w:pPr>
              <w:autoSpaceDE w:val="0"/>
              <w:autoSpaceDN w:val="0"/>
              <w:adjustRightInd w:val="0"/>
              <w:spacing w:line="360" w:lineRule="exact"/>
              <w:jc w:val="center"/>
              <w:rPr>
                <w:rFonts w:hint="eastAsia" w:ascii="宋体" w:hAnsi="宋体"/>
                <w:color w:val="auto"/>
                <w:sz w:val="24"/>
                <w:highlight w:val="none"/>
                <w:lang w:val="zh-CN"/>
              </w:rPr>
            </w:pPr>
          </w:p>
        </w:tc>
        <w:tc>
          <w:tcPr>
            <w:tcW w:w="2220" w:type="dxa"/>
            <w:noWrap w:val="0"/>
            <w:vAlign w:val="top"/>
          </w:tcPr>
          <w:p w14:paraId="74C9B15A">
            <w:pPr>
              <w:autoSpaceDE w:val="0"/>
              <w:autoSpaceDN w:val="0"/>
              <w:adjustRightInd w:val="0"/>
              <w:spacing w:line="360" w:lineRule="exact"/>
              <w:jc w:val="center"/>
              <w:rPr>
                <w:rFonts w:hint="eastAsia" w:ascii="宋体" w:hAnsi="宋体"/>
                <w:color w:val="auto"/>
                <w:sz w:val="24"/>
                <w:highlight w:val="none"/>
                <w:lang w:val="zh-CN"/>
              </w:rPr>
            </w:pPr>
          </w:p>
        </w:tc>
        <w:tc>
          <w:tcPr>
            <w:tcW w:w="2295" w:type="dxa"/>
            <w:noWrap w:val="0"/>
            <w:vAlign w:val="top"/>
          </w:tcPr>
          <w:p w14:paraId="7063D4B7">
            <w:pPr>
              <w:autoSpaceDE w:val="0"/>
              <w:autoSpaceDN w:val="0"/>
              <w:adjustRightInd w:val="0"/>
              <w:spacing w:line="360" w:lineRule="exact"/>
              <w:jc w:val="center"/>
              <w:rPr>
                <w:rFonts w:hint="eastAsia" w:ascii="宋体" w:hAnsi="宋体"/>
                <w:color w:val="auto"/>
                <w:sz w:val="24"/>
                <w:highlight w:val="none"/>
                <w:lang w:val="zh-CN"/>
              </w:rPr>
            </w:pPr>
          </w:p>
        </w:tc>
      </w:tr>
    </w:tbl>
    <w:p w14:paraId="2DEA6CD0">
      <w:pPr>
        <w:autoSpaceDE w:val="0"/>
        <w:autoSpaceDN w:val="0"/>
        <w:adjustRightInd w:val="0"/>
        <w:spacing w:line="360" w:lineRule="exact"/>
        <w:rPr>
          <w:rFonts w:hint="eastAsia" w:ascii="宋体" w:hAnsi="宋体"/>
          <w:color w:val="auto"/>
          <w:sz w:val="32"/>
          <w:highlight w:val="none"/>
          <w:lang w:val="zh-CN"/>
        </w:rPr>
      </w:pPr>
    </w:p>
    <w:p w14:paraId="519A756A">
      <w:pPr>
        <w:autoSpaceDE w:val="0"/>
        <w:autoSpaceDN w:val="0"/>
        <w:adjustRightInd w:val="0"/>
        <w:spacing w:line="360" w:lineRule="exact"/>
        <w:jc w:val="center"/>
        <w:rPr>
          <w:rFonts w:hint="eastAsia" w:ascii="宋体" w:hAnsi="宋体"/>
          <w:color w:val="auto"/>
          <w:sz w:val="32"/>
          <w:highlight w:val="none"/>
          <w:lang w:val="zh-CN"/>
        </w:rPr>
      </w:pPr>
      <w:r>
        <w:rPr>
          <w:rFonts w:hint="eastAsia" w:ascii="宋体" w:hAnsi="宋体"/>
          <w:color w:val="auto"/>
          <w:sz w:val="32"/>
          <w:highlight w:val="none"/>
          <w:lang w:val="zh-CN"/>
        </w:rPr>
        <w:t>（二）技术偏离表</w:t>
      </w:r>
    </w:p>
    <w:p w14:paraId="7091CD97">
      <w:pPr>
        <w:autoSpaceDE w:val="0"/>
        <w:autoSpaceDN w:val="0"/>
        <w:adjustRightInd w:val="0"/>
        <w:spacing w:line="360" w:lineRule="exact"/>
        <w:jc w:val="center"/>
        <w:rPr>
          <w:rFonts w:hint="eastAsia" w:ascii="宋体" w:hAnsi="宋体"/>
          <w:color w:val="auto"/>
          <w:sz w:val="32"/>
          <w:highlight w:val="none"/>
          <w:lang w:val="zh-CN"/>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7847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80" w:type="dxa"/>
            <w:noWrap w:val="0"/>
            <w:vAlign w:val="center"/>
          </w:tcPr>
          <w:p w14:paraId="209D3915">
            <w:pPr>
              <w:autoSpaceDE w:val="0"/>
              <w:autoSpaceDN w:val="0"/>
              <w:adjustRightInd w:val="0"/>
              <w:spacing w:line="360" w:lineRule="exact"/>
              <w:jc w:val="center"/>
              <w:rPr>
                <w:rFonts w:hint="eastAsia" w:ascii="宋体" w:hAnsi="宋体"/>
                <w:color w:val="auto"/>
                <w:sz w:val="22"/>
                <w:highlight w:val="none"/>
                <w:lang w:val="zh-CN"/>
              </w:rPr>
            </w:pPr>
            <w:r>
              <w:rPr>
                <w:rFonts w:hint="eastAsia" w:ascii="宋体" w:hAnsi="宋体"/>
                <w:color w:val="auto"/>
                <w:sz w:val="22"/>
                <w:highlight w:val="none"/>
                <w:lang w:val="zh-CN"/>
              </w:rPr>
              <w:t>序 号</w:t>
            </w:r>
          </w:p>
        </w:tc>
        <w:tc>
          <w:tcPr>
            <w:tcW w:w="1620" w:type="dxa"/>
            <w:noWrap w:val="0"/>
            <w:vAlign w:val="center"/>
          </w:tcPr>
          <w:p w14:paraId="21044ABC">
            <w:pPr>
              <w:autoSpaceDE w:val="0"/>
              <w:autoSpaceDN w:val="0"/>
              <w:adjustRightInd w:val="0"/>
              <w:spacing w:line="360" w:lineRule="exact"/>
              <w:jc w:val="center"/>
              <w:rPr>
                <w:rFonts w:hint="eastAsia" w:ascii="宋体" w:hAnsi="宋体"/>
                <w:color w:val="auto"/>
                <w:sz w:val="22"/>
                <w:highlight w:val="none"/>
                <w:lang w:val="zh-CN"/>
              </w:rPr>
            </w:pPr>
            <w:r>
              <w:rPr>
                <w:rFonts w:hint="eastAsia" w:ascii="宋体" w:hAnsi="宋体"/>
                <w:color w:val="auto"/>
                <w:sz w:val="22"/>
                <w:highlight w:val="none"/>
                <w:lang w:val="zh-CN"/>
              </w:rPr>
              <w:t>内容</w:t>
            </w:r>
          </w:p>
        </w:tc>
        <w:tc>
          <w:tcPr>
            <w:tcW w:w="2220" w:type="dxa"/>
            <w:noWrap w:val="0"/>
            <w:vAlign w:val="center"/>
          </w:tcPr>
          <w:p w14:paraId="0B91ECB2">
            <w:pPr>
              <w:autoSpaceDE w:val="0"/>
              <w:autoSpaceDN w:val="0"/>
              <w:adjustRightInd w:val="0"/>
              <w:spacing w:line="360" w:lineRule="exact"/>
              <w:jc w:val="center"/>
              <w:rPr>
                <w:rFonts w:hint="eastAsia" w:ascii="宋体" w:hAnsi="宋体"/>
                <w:color w:val="auto"/>
                <w:sz w:val="22"/>
                <w:highlight w:val="none"/>
                <w:lang w:val="zh-CN"/>
              </w:rPr>
            </w:pPr>
            <w:r>
              <w:rPr>
                <w:rFonts w:hint="eastAsia" w:ascii="宋体" w:hAnsi="宋体"/>
                <w:color w:val="auto"/>
                <w:sz w:val="22"/>
                <w:highlight w:val="none"/>
                <w:lang w:val="zh-CN"/>
              </w:rPr>
              <w:t>招标文件规范要求</w:t>
            </w:r>
          </w:p>
        </w:tc>
        <w:tc>
          <w:tcPr>
            <w:tcW w:w="2220" w:type="dxa"/>
            <w:noWrap w:val="0"/>
            <w:vAlign w:val="center"/>
          </w:tcPr>
          <w:p w14:paraId="12334DA5">
            <w:pPr>
              <w:autoSpaceDE w:val="0"/>
              <w:autoSpaceDN w:val="0"/>
              <w:adjustRightInd w:val="0"/>
              <w:spacing w:line="360" w:lineRule="exact"/>
              <w:jc w:val="center"/>
              <w:rPr>
                <w:rFonts w:hint="eastAsia" w:ascii="宋体" w:hAnsi="宋体"/>
                <w:color w:val="auto"/>
                <w:sz w:val="22"/>
                <w:highlight w:val="none"/>
                <w:lang w:val="zh-CN"/>
              </w:rPr>
            </w:pPr>
            <w:r>
              <w:rPr>
                <w:rFonts w:hint="eastAsia" w:ascii="宋体" w:hAnsi="宋体"/>
                <w:color w:val="auto"/>
                <w:sz w:val="22"/>
                <w:highlight w:val="none"/>
                <w:lang w:val="zh-CN"/>
              </w:rPr>
              <w:t>投标文件</w:t>
            </w:r>
          </w:p>
          <w:p w14:paraId="18D916DC">
            <w:pPr>
              <w:autoSpaceDE w:val="0"/>
              <w:autoSpaceDN w:val="0"/>
              <w:adjustRightInd w:val="0"/>
              <w:spacing w:line="360" w:lineRule="exact"/>
              <w:jc w:val="center"/>
              <w:rPr>
                <w:rFonts w:hint="eastAsia" w:ascii="宋体" w:hAnsi="宋体"/>
                <w:color w:val="auto"/>
                <w:sz w:val="22"/>
                <w:highlight w:val="none"/>
                <w:lang w:val="zh-CN"/>
              </w:rPr>
            </w:pPr>
            <w:r>
              <w:rPr>
                <w:rFonts w:hint="eastAsia" w:ascii="宋体" w:hAnsi="宋体"/>
                <w:color w:val="auto"/>
                <w:sz w:val="22"/>
                <w:highlight w:val="none"/>
                <w:lang w:val="zh-CN"/>
              </w:rPr>
              <w:t>对应规范</w:t>
            </w:r>
          </w:p>
        </w:tc>
        <w:tc>
          <w:tcPr>
            <w:tcW w:w="2295" w:type="dxa"/>
            <w:noWrap w:val="0"/>
            <w:vAlign w:val="center"/>
          </w:tcPr>
          <w:p w14:paraId="6FE6F6CF">
            <w:pPr>
              <w:autoSpaceDE w:val="0"/>
              <w:autoSpaceDN w:val="0"/>
              <w:adjustRightInd w:val="0"/>
              <w:spacing w:line="360" w:lineRule="exact"/>
              <w:jc w:val="center"/>
              <w:rPr>
                <w:rFonts w:hint="eastAsia" w:ascii="宋体" w:hAnsi="宋体"/>
                <w:color w:val="auto"/>
                <w:sz w:val="22"/>
                <w:highlight w:val="none"/>
                <w:lang w:val="zh-CN"/>
              </w:rPr>
            </w:pPr>
            <w:r>
              <w:rPr>
                <w:rFonts w:hint="eastAsia" w:ascii="宋体" w:hAnsi="宋体"/>
                <w:color w:val="auto"/>
                <w:sz w:val="22"/>
                <w:highlight w:val="none"/>
                <w:lang w:val="zh-CN"/>
              </w:rPr>
              <w:t>备 注</w:t>
            </w:r>
          </w:p>
        </w:tc>
      </w:tr>
      <w:tr w14:paraId="66AD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70862366">
            <w:pPr>
              <w:autoSpaceDE w:val="0"/>
              <w:autoSpaceDN w:val="0"/>
              <w:adjustRightInd w:val="0"/>
              <w:spacing w:line="360" w:lineRule="exact"/>
              <w:jc w:val="center"/>
              <w:rPr>
                <w:rFonts w:hint="eastAsia" w:ascii="宋体" w:hAnsi="宋体"/>
                <w:color w:val="auto"/>
                <w:sz w:val="22"/>
                <w:highlight w:val="none"/>
                <w:lang w:val="zh-CN"/>
              </w:rPr>
            </w:pPr>
          </w:p>
        </w:tc>
        <w:tc>
          <w:tcPr>
            <w:tcW w:w="1620" w:type="dxa"/>
            <w:noWrap w:val="0"/>
            <w:vAlign w:val="top"/>
          </w:tcPr>
          <w:p w14:paraId="7495F544">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6E3E64CF">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6E9AE89D">
            <w:pPr>
              <w:autoSpaceDE w:val="0"/>
              <w:autoSpaceDN w:val="0"/>
              <w:adjustRightInd w:val="0"/>
              <w:spacing w:line="360" w:lineRule="exact"/>
              <w:jc w:val="center"/>
              <w:rPr>
                <w:rFonts w:hint="eastAsia" w:ascii="宋体" w:hAnsi="宋体"/>
                <w:color w:val="auto"/>
                <w:sz w:val="22"/>
                <w:highlight w:val="none"/>
                <w:lang w:val="zh-CN"/>
              </w:rPr>
            </w:pPr>
          </w:p>
        </w:tc>
        <w:tc>
          <w:tcPr>
            <w:tcW w:w="2295" w:type="dxa"/>
            <w:noWrap w:val="0"/>
            <w:vAlign w:val="top"/>
          </w:tcPr>
          <w:p w14:paraId="3B302F58">
            <w:pPr>
              <w:autoSpaceDE w:val="0"/>
              <w:autoSpaceDN w:val="0"/>
              <w:adjustRightInd w:val="0"/>
              <w:spacing w:line="360" w:lineRule="exact"/>
              <w:jc w:val="center"/>
              <w:rPr>
                <w:rFonts w:hint="eastAsia" w:ascii="宋体" w:hAnsi="宋体"/>
                <w:color w:val="auto"/>
                <w:sz w:val="22"/>
                <w:highlight w:val="none"/>
                <w:lang w:val="zh-CN"/>
              </w:rPr>
            </w:pPr>
          </w:p>
        </w:tc>
      </w:tr>
      <w:tr w14:paraId="6015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1EB9BC58">
            <w:pPr>
              <w:autoSpaceDE w:val="0"/>
              <w:autoSpaceDN w:val="0"/>
              <w:adjustRightInd w:val="0"/>
              <w:spacing w:line="360" w:lineRule="exact"/>
              <w:jc w:val="center"/>
              <w:rPr>
                <w:rFonts w:hint="eastAsia" w:ascii="宋体" w:hAnsi="宋体"/>
                <w:color w:val="auto"/>
                <w:sz w:val="22"/>
                <w:highlight w:val="none"/>
                <w:lang w:val="zh-CN"/>
              </w:rPr>
            </w:pPr>
          </w:p>
        </w:tc>
        <w:tc>
          <w:tcPr>
            <w:tcW w:w="1620" w:type="dxa"/>
            <w:noWrap w:val="0"/>
            <w:vAlign w:val="top"/>
          </w:tcPr>
          <w:p w14:paraId="3C9F24BB">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2C5B93F6">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1C43ABA4">
            <w:pPr>
              <w:autoSpaceDE w:val="0"/>
              <w:autoSpaceDN w:val="0"/>
              <w:adjustRightInd w:val="0"/>
              <w:spacing w:line="360" w:lineRule="exact"/>
              <w:jc w:val="center"/>
              <w:rPr>
                <w:rFonts w:hint="eastAsia" w:ascii="宋体" w:hAnsi="宋体"/>
                <w:color w:val="auto"/>
                <w:sz w:val="22"/>
                <w:highlight w:val="none"/>
                <w:lang w:val="zh-CN"/>
              </w:rPr>
            </w:pPr>
          </w:p>
        </w:tc>
        <w:tc>
          <w:tcPr>
            <w:tcW w:w="2295" w:type="dxa"/>
            <w:noWrap w:val="0"/>
            <w:vAlign w:val="top"/>
          </w:tcPr>
          <w:p w14:paraId="1E70A8AB">
            <w:pPr>
              <w:autoSpaceDE w:val="0"/>
              <w:autoSpaceDN w:val="0"/>
              <w:adjustRightInd w:val="0"/>
              <w:spacing w:line="360" w:lineRule="exact"/>
              <w:jc w:val="center"/>
              <w:rPr>
                <w:rFonts w:hint="eastAsia" w:ascii="宋体" w:hAnsi="宋体"/>
                <w:color w:val="auto"/>
                <w:sz w:val="22"/>
                <w:highlight w:val="none"/>
                <w:lang w:val="zh-CN"/>
              </w:rPr>
            </w:pPr>
          </w:p>
        </w:tc>
      </w:tr>
      <w:tr w14:paraId="2637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50E44622">
            <w:pPr>
              <w:autoSpaceDE w:val="0"/>
              <w:autoSpaceDN w:val="0"/>
              <w:adjustRightInd w:val="0"/>
              <w:spacing w:line="360" w:lineRule="exact"/>
              <w:jc w:val="center"/>
              <w:rPr>
                <w:rFonts w:hint="eastAsia" w:ascii="宋体" w:hAnsi="宋体"/>
                <w:color w:val="auto"/>
                <w:sz w:val="22"/>
                <w:highlight w:val="none"/>
                <w:lang w:val="zh-CN"/>
              </w:rPr>
            </w:pPr>
          </w:p>
        </w:tc>
        <w:tc>
          <w:tcPr>
            <w:tcW w:w="1620" w:type="dxa"/>
            <w:noWrap w:val="0"/>
            <w:vAlign w:val="top"/>
          </w:tcPr>
          <w:p w14:paraId="770B0FF5">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5977E2A6">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139263CB">
            <w:pPr>
              <w:autoSpaceDE w:val="0"/>
              <w:autoSpaceDN w:val="0"/>
              <w:adjustRightInd w:val="0"/>
              <w:spacing w:line="360" w:lineRule="exact"/>
              <w:jc w:val="center"/>
              <w:rPr>
                <w:rFonts w:hint="eastAsia" w:ascii="宋体" w:hAnsi="宋体"/>
                <w:color w:val="auto"/>
                <w:sz w:val="22"/>
                <w:highlight w:val="none"/>
                <w:lang w:val="zh-CN"/>
              </w:rPr>
            </w:pPr>
          </w:p>
        </w:tc>
        <w:tc>
          <w:tcPr>
            <w:tcW w:w="2295" w:type="dxa"/>
            <w:noWrap w:val="0"/>
            <w:vAlign w:val="top"/>
          </w:tcPr>
          <w:p w14:paraId="2AFB5A0F">
            <w:pPr>
              <w:autoSpaceDE w:val="0"/>
              <w:autoSpaceDN w:val="0"/>
              <w:adjustRightInd w:val="0"/>
              <w:spacing w:line="360" w:lineRule="exact"/>
              <w:jc w:val="center"/>
              <w:rPr>
                <w:rFonts w:hint="eastAsia" w:ascii="宋体" w:hAnsi="宋体"/>
                <w:color w:val="auto"/>
                <w:sz w:val="22"/>
                <w:highlight w:val="none"/>
                <w:lang w:val="zh-CN"/>
              </w:rPr>
            </w:pPr>
          </w:p>
        </w:tc>
      </w:tr>
      <w:tr w14:paraId="1B2B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14B14009">
            <w:pPr>
              <w:autoSpaceDE w:val="0"/>
              <w:autoSpaceDN w:val="0"/>
              <w:adjustRightInd w:val="0"/>
              <w:spacing w:line="360" w:lineRule="exact"/>
              <w:jc w:val="center"/>
              <w:rPr>
                <w:rFonts w:hint="eastAsia" w:ascii="宋体" w:hAnsi="宋体"/>
                <w:color w:val="auto"/>
                <w:sz w:val="22"/>
                <w:highlight w:val="none"/>
                <w:lang w:val="zh-CN"/>
              </w:rPr>
            </w:pPr>
          </w:p>
        </w:tc>
        <w:tc>
          <w:tcPr>
            <w:tcW w:w="1620" w:type="dxa"/>
            <w:noWrap w:val="0"/>
            <w:vAlign w:val="top"/>
          </w:tcPr>
          <w:p w14:paraId="307DC186">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5D2C7D64">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1E9C6C1D">
            <w:pPr>
              <w:autoSpaceDE w:val="0"/>
              <w:autoSpaceDN w:val="0"/>
              <w:adjustRightInd w:val="0"/>
              <w:spacing w:line="360" w:lineRule="exact"/>
              <w:jc w:val="center"/>
              <w:rPr>
                <w:rFonts w:hint="eastAsia" w:ascii="宋体" w:hAnsi="宋体"/>
                <w:color w:val="auto"/>
                <w:sz w:val="22"/>
                <w:highlight w:val="none"/>
                <w:lang w:val="zh-CN"/>
              </w:rPr>
            </w:pPr>
          </w:p>
        </w:tc>
        <w:tc>
          <w:tcPr>
            <w:tcW w:w="2295" w:type="dxa"/>
            <w:noWrap w:val="0"/>
            <w:vAlign w:val="top"/>
          </w:tcPr>
          <w:p w14:paraId="7F892353">
            <w:pPr>
              <w:autoSpaceDE w:val="0"/>
              <w:autoSpaceDN w:val="0"/>
              <w:adjustRightInd w:val="0"/>
              <w:spacing w:line="360" w:lineRule="exact"/>
              <w:jc w:val="center"/>
              <w:rPr>
                <w:rFonts w:hint="eastAsia" w:ascii="宋体" w:hAnsi="宋体"/>
                <w:color w:val="auto"/>
                <w:sz w:val="22"/>
                <w:highlight w:val="none"/>
                <w:lang w:val="zh-CN"/>
              </w:rPr>
            </w:pPr>
          </w:p>
        </w:tc>
      </w:tr>
      <w:tr w14:paraId="3908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41AD6E68">
            <w:pPr>
              <w:autoSpaceDE w:val="0"/>
              <w:autoSpaceDN w:val="0"/>
              <w:adjustRightInd w:val="0"/>
              <w:spacing w:line="360" w:lineRule="exact"/>
              <w:jc w:val="center"/>
              <w:rPr>
                <w:rFonts w:hint="eastAsia" w:ascii="宋体" w:hAnsi="宋体"/>
                <w:color w:val="auto"/>
                <w:sz w:val="22"/>
                <w:highlight w:val="none"/>
                <w:lang w:val="zh-CN"/>
              </w:rPr>
            </w:pPr>
          </w:p>
        </w:tc>
        <w:tc>
          <w:tcPr>
            <w:tcW w:w="1620" w:type="dxa"/>
            <w:noWrap w:val="0"/>
            <w:vAlign w:val="top"/>
          </w:tcPr>
          <w:p w14:paraId="65F71E05">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48F0C781">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1584EEF4">
            <w:pPr>
              <w:autoSpaceDE w:val="0"/>
              <w:autoSpaceDN w:val="0"/>
              <w:adjustRightInd w:val="0"/>
              <w:spacing w:line="360" w:lineRule="exact"/>
              <w:jc w:val="center"/>
              <w:rPr>
                <w:rFonts w:hint="eastAsia" w:ascii="宋体" w:hAnsi="宋体"/>
                <w:color w:val="auto"/>
                <w:sz w:val="22"/>
                <w:highlight w:val="none"/>
                <w:lang w:val="zh-CN"/>
              </w:rPr>
            </w:pPr>
          </w:p>
        </w:tc>
        <w:tc>
          <w:tcPr>
            <w:tcW w:w="2295" w:type="dxa"/>
            <w:noWrap w:val="0"/>
            <w:vAlign w:val="top"/>
          </w:tcPr>
          <w:p w14:paraId="5AB9BB01">
            <w:pPr>
              <w:autoSpaceDE w:val="0"/>
              <w:autoSpaceDN w:val="0"/>
              <w:adjustRightInd w:val="0"/>
              <w:spacing w:line="360" w:lineRule="exact"/>
              <w:jc w:val="center"/>
              <w:rPr>
                <w:rFonts w:hint="eastAsia" w:ascii="宋体" w:hAnsi="宋体"/>
                <w:color w:val="auto"/>
                <w:sz w:val="22"/>
                <w:highlight w:val="none"/>
                <w:lang w:val="zh-CN"/>
              </w:rPr>
            </w:pPr>
          </w:p>
        </w:tc>
      </w:tr>
      <w:tr w14:paraId="1159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74FAA460">
            <w:pPr>
              <w:autoSpaceDE w:val="0"/>
              <w:autoSpaceDN w:val="0"/>
              <w:adjustRightInd w:val="0"/>
              <w:spacing w:line="360" w:lineRule="exact"/>
              <w:jc w:val="center"/>
              <w:rPr>
                <w:rFonts w:hint="eastAsia" w:ascii="宋体" w:hAnsi="宋体"/>
                <w:color w:val="auto"/>
                <w:sz w:val="22"/>
                <w:highlight w:val="none"/>
                <w:lang w:val="zh-CN"/>
              </w:rPr>
            </w:pPr>
          </w:p>
        </w:tc>
        <w:tc>
          <w:tcPr>
            <w:tcW w:w="1620" w:type="dxa"/>
            <w:noWrap w:val="0"/>
            <w:vAlign w:val="top"/>
          </w:tcPr>
          <w:p w14:paraId="59C4312C">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1EB45ECE">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36CF8B2F">
            <w:pPr>
              <w:autoSpaceDE w:val="0"/>
              <w:autoSpaceDN w:val="0"/>
              <w:adjustRightInd w:val="0"/>
              <w:spacing w:line="360" w:lineRule="exact"/>
              <w:jc w:val="center"/>
              <w:rPr>
                <w:rFonts w:hint="eastAsia" w:ascii="宋体" w:hAnsi="宋体"/>
                <w:color w:val="auto"/>
                <w:sz w:val="22"/>
                <w:highlight w:val="none"/>
                <w:lang w:val="zh-CN"/>
              </w:rPr>
            </w:pPr>
          </w:p>
        </w:tc>
        <w:tc>
          <w:tcPr>
            <w:tcW w:w="2295" w:type="dxa"/>
            <w:noWrap w:val="0"/>
            <w:vAlign w:val="top"/>
          </w:tcPr>
          <w:p w14:paraId="25105D6F">
            <w:pPr>
              <w:autoSpaceDE w:val="0"/>
              <w:autoSpaceDN w:val="0"/>
              <w:adjustRightInd w:val="0"/>
              <w:spacing w:line="360" w:lineRule="exact"/>
              <w:jc w:val="center"/>
              <w:rPr>
                <w:rFonts w:hint="eastAsia" w:ascii="宋体" w:hAnsi="宋体"/>
                <w:color w:val="auto"/>
                <w:sz w:val="22"/>
                <w:highlight w:val="none"/>
                <w:lang w:val="zh-CN"/>
              </w:rPr>
            </w:pPr>
          </w:p>
        </w:tc>
      </w:tr>
      <w:tr w14:paraId="7DA9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0AB6CBD7">
            <w:pPr>
              <w:autoSpaceDE w:val="0"/>
              <w:autoSpaceDN w:val="0"/>
              <w:adjustRightInd w:val="0"/>
              <w:spacing w:line="360" w:lineRule="exact"/>
              <w:jc w:val="center"/>
              <w:rPr>
                <w:rFonts w:hint="eastAsia" w:ascii="宋体" w:hAnsi="宋体"/>
                <w:color w:val="auto"/>
                <w:sz w:val="22"/>
                <w:highlight w:val="none"/>
                <w:lang w:val="zh-CN"/>
              </w:rPr>
            </w:pPr>
          </w:p>
        </w:tc>
        <w:tc>
          <w:tcPr>
            <w:tcW w:w="1620" w:type="dxa"/>
            <w:noWrap w:val="0"/>
            <w:vAlign w:val="top"/>
          </w:tcPr>
          <w:p w14:paraId="005115AA">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4658C09F">
            <w:pPr>
              <w:autoSpaceDE w:val="0"/>
              <w:autoSpaceDN w:val="0"/>
              <w:adjustRightInd w:val="0"/>
              <w:spacing w:line="360" w:lineRule="exact"/>
              <w:jc w:val="center"/>
              <w:rPr>
                <w:rFonts w:hint="eastAsia" w:ascii="宋体" w:hAnsi="宋体"/>
                <w:color w:val="auto"/>
                <w:sz w:val="22"/>
                <w:highlight w:val="none"/>
                <w:lang w:val="zh-CN"/>
              </w:rPr>
            </w:pPr>
          </w:p>
        </w:tc>
        <w:tc>
          <w:tcPr>
            <w:tcW w:w="2220" w:type="dxa"/>
            <w:noWrap w:val="0"/>
            <w:vAlign w:val="top"/>
          </w:tcPr>
          <w:p w14:paraId="55D1026C">
            <w:pPr>
              <w:autoSpaceDE w:val="0"/>
              <w:autoSpaceDN w:val="0"/>
              <w:adjustRightInd w:val="0"/>
              <w:spacing w:line="360" w:lineRule="exact"/>
              <w:jc w:val="center"/>
              <w:rPr>
                <w:rFonts w:hint="eastAsia" w:ascii="宋体" w:hAnsi="宋体"/>
                <w:color w:val="auto"/>
                <w:sz w:val="22"/>
                <w:highlight w:val="none"/>
                <w:lang w:val="zh-CN"/>
              </w:rPr>
            </w:pPr>
          </w:p>
        </w:tc>
        <w:tc>
          <w:tcPr>
            <w:tcW w:w="2295" w:type="dxa"/>
            <w:noWrap w:val="0"/>
            <w:vAlign w:val="top"/>
          </w:tcPr>
          <w:p w14:paraId="6EEDA6EF">
            <w:pPr>
              <w:autoSpaceDE w:val="0"/>
              <w:autoSpaceDN w:val="0"/>
              <w:adjustRightInd w:val="0"/>
              <w:spacing w:line="360" w:lineRule="exact"/>
              <w:jc w:val="center"/>
              <w:rPr>
                <w:rFonts w:hint="eastAsia" w:ascii="宋体" w:hAnsi="宋体"/>
                <w:color w:val="auto"/>
                <w:sz w:val="22"/>
                <w:highlight w:val="none"/>
                <w:lang w:val="zh-CN"/>
              </w:rPr>
            </w:pPr>
          </w:p>
        </w:tc>
      </w:tr>
    </w:tbl>
    <w:p w14:paraId="61118164">
      <w:pPr>
        <w:spacing w:line="400" w:lineRule="exact"/>
        <w:ind w:left="220" w:hanging="220" w:hangingChars="100"/>
        <w:rPr>
          <w:rFonts w:hint="eastAsia" w:ascii="宋体" w:hAnsi="宋体"/>
          <w:color w:val="auto"/>
          <w:sz w:val="22"/>
          <w:szCs w:val="22"/>
          <w:highlight w:val="none"/>
        </w:rPr>
      </w:pPr>
      <w:r>
        <w:rPr>
          <w:rFonts w:hint="eastAsia" w:ascii="宋体" w:hAnsi="宋体"/>
          <w:color w:val="auto"/>
          <w:sz w:val="22"/>
          <w:szCs w:val="22"/>
          <w:highlight w:val="none"/>
          <w:lang w:val="zh-CN"/>
        </w:rPr>
        <w:t>商务偏离表及技术偏离表</w:t>
      </w:r>
      <w:r>
        <w:rPr>
          <w:rFonts w:hint="eastAsia" w:ascii="宋体" w:hAnsi="宋体"/>
          <w:color w:val="auto"/>
          <w:sz w:val="22"/>
          <w:szCs w:val="22"/>
          <w:highlight w:val="none"/>
        </w:rPr>
        <w:t>说明：</w:t>
      </w:r>
    </w:p>
    <w:p w14:paraId="6711662A">
      <w:pPr>
        <w:spacing w:line="400" w:lineRule="exact"/>
        <w:ind w:left="220" w:hanging="220" w:hangingChars="100"/>
        <w:rPr>
          <w:rFonts w:hint="eastAsia" w:ascii="宋体" w:hAnsi="宋体"/>
          <w:color w:val="auto"/>
          <w:sz w:val="22"/>
          <w:szCs w:val="22"/>
          <w:highlight w:val="none"/>
        </w:rPr>
      </w:pPr>
      <w:r>
        <w:rPr>
          <w:rFonts w:hint="eastAsia" w:ascii="宋体" w:hAnsi="宋体"/>
          <w:color w:val="auto"/>
          <w:sz w:val="22"/>
          <w:szCs w:val="22"/>
          <w:highlight w:val="none"/>
        </w:rPr>
        <w:t>1.如不填写，则视为完全响应招标文件。</w:t>
      </w:r>
    </w:p>
    <w:p w14:paraId="30E788B8">
      <w:pPr>
        <w:spacing w:line="400" w:lineRule="exact"/>
        <w:ind w:left="220" w:hanging="220" w:hangingChars="100"/>
        <w:rPr>
          <w:rFonts w:hint="eastAsia" w:ascii="宋体" w:hAnsi="宋体"/>
          <w:color w:val="auto"/>
          <w:sz w:val="22"/>
          <w:szCs w:val="22"/>
          <w:highlight w:val="none"/>
        </w:rPr>
      </w:pPr>
      <w:r>
        <w:rPr>
          <w:rFonts w:hint="eastAsia" w:ascii="宋体" w:hAnsi="宋体"/>
          <w:color w:val="auto"/>
          <w:sz w:val="22"/>
          <w:szCs w:val="22"/>
          <w:highlight w:val="none"/>
        </w:rPr>
        <w:t>2.如出现偏离，投标单位务必如实填写此表，否则存在的风险由投标单位自行承担。</w:t>
      </w:r>
    </w:p>
    <w:p w14:paraId="04BD713A">
      <w:pPr>
        <w:spacing w:line="400" w:lineRule="exact"/>
        <w:rPr>
          <w:rFonts w:hint="eastAsia" w:ascii="宋体" w:hAnsi="宋体"/>
          <w:color w:val="auto"/>
          <w:sz w:val="22"/>
          <w:szCs w:val="22"/>
          <w:highlight w:val="none"/>
          <w:u w:val="single"/>
        </w:rPr>
      </w:pPr>
      <w:r>
        <w:rPr>
          <w:rFonts w:hint="eastAsia" w:ascii="宋体" w:hAnsi="宋体"/>
          <w:bCs/>
          <w:color w:val="auto"/>
          <w:sz w:val="22"/>
          <w:szCs w:val="22"/>
          <w:highlight w:val="none"/>
          <w:u w:val="single"/>
        </w:rPr>
        <w:t>3.▲</w:t>
      </w:r>
      <w:r>
        <w:rPr>
          <w:rFonts w:hint="eastAsia" w:ascii="宋体" w:hAnsi="宋体"/>
          <w:color w:val="auto"/>
          <w:sz w:val="22"/>
          <w:szCs w:val="22"/>
          <w:highlight w:val="none"/>
          <w:u w:val="single"/>
        </w:rPr>
        <w:t>不提供此表的投标文件将被视为未实质性响应招标文件，其按无效投标处理。</w:t>
      </w:r>
    </w:p>
    <w:p w14:paraId="1DBF21C1">
      <w:pPr>
        <w:spacing w:line="400" w:lineRule="exact"/>
        <w:ind w:left="220" w:hanging="220" w:hangingChars="100"/>
        <w:rPr>
          <w:rFonts w:hint="eastAsia" w:ascii="宋体" w:hAnsi="宋体"/>
          <w:color w:val="auto"/>
          <w:sz w:val="22"/>
          <w:szCs w:val="22"/>
          <w:highlight w:val="none"/>
        </w:rPr>
      </w:pPr>
      <w:r>
        <w:rPr>
          <w:rFonts w:hint="eastAsia" w:ascii="宋体" w:hAnsi="宋体"/>
          <w:color w:val="auto"/>
          <w:sz w:val="22"/>
          <w:szCs w:val="22"/>
          <w:highlight w:val="none"/>
        </w:rPr>
        <w:t>4.表格可以延续</w:t>
      </w:r>
    </w:p>
    <w:p w14:paraId="72BB83EB">
      <w:pPr>
        <w:spacing w:line="500" w:lineRule="exact"/>
        <w:ind w:firstLine="4400" w:firstLineChars="2000"/>
        <w:rPr>
          <w:rFonts w:ascii="新宋体" w:hAnsi="新宋体" w:eastAsia="新宋体" w:cs="新宋体"/>
          <w:color w:val="auto"/>
          <w:sz w:val="22"/>
          <w:szCs w:val="22"/>
          <w:highlight w:val="none"/>
        </w:rPr>
      </w:pPr>
    </w:p>
    <w:p w14:paraId="651BBCFF">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765F7B10">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16954545">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9578973">
      <w:pPr>
        <w:widowControl/>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br w:type="page"/>
      </w:r>
    </w:p>
    <w:p w14:paraId="3F6E3CD0">
      <w:pPr>
        <w:spacing w:line="360" w:lineRule="auto"/>
        <w:jc w:val="center"/>
        <w:rPr>
          <w:rFonts w:ascii="新宋体" w:hAnsi="新宋体" w:eastAsia="新宋体" w:cs="新宋体"/>
          <w:b/>
          <w:bCs/>
          <w:color w:val="auto"/>
          <w:sz w:val="28"/>
          <w:szCs w:val="28"/>
          <w:highlight w:val="none"/>
        </w:rPr>
      </w:pPr>
    </w:p>
    <w:p w14:paraId="09C3316A">
      <w:pPr>
        <w:tabs>
          <w:tab w:val="left" w:pos="840"/>
        </w:tabs>
        <w:adjustRightInd w:val="0"/>
        <w:snapToGrid w:val="0"/>
        <w:spacing w:line="360" w:lineRule="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附件</w:t>
      </w:r>
      <w:r>
        <w:rPr>
          <w:rFonts w:hint="eastAsia" w:ascii="新宋体" w:hAnsi="新宋体" w:eastAsia="新宋体" w:cs="新宋体"/>
          <w:b/>
          <w:bCs/>
          <w:color w:val="auto"/>
          <w:sz w:val="22"/>
          <w:szCs w:val="22"/>
          <w:highlight w:val="none"/>
          <w:lang w:val="en-US" w:eastAsia="zh-CN"/>
        </w:rPr>
        <w:t>三</w:t>
      </w:r>
    </w:p>
    <w:p w14:paraId="5FDC40FF">
      <w:pPr>
        <w:spacing w:line="460" w:lineRule="exact"/>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投标供应商同类项目业绩情况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14:paraId="3C6D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80" w:type="dxa"/>
            <w:shd w:val="clear" w:color="auto" w:fill="D9D9D9"/>
            <w:vAlign w:val="center"/>
          </w:tcPr>
          <w:p w14:paraId="1B3EEA91">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2192" w:type="dxa"/>
            <w:shd w:val="clear" w:color="auto" w:fill="D9D9D9"/>
            <w:vAlign w:val="center"/>
          </w:tcPr>
          <w:p w14:paraId="3B8BB3AE">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用户名称</w:t>
            </w:r>
          </w:p>
        </w:tc>
        <w:tc>
          <w:tcPr>
            <w:tcW w:w="1636" w:type="dxa"/>
            <w:shd w:val="clear" w:color="auto" w:fill="D9D9D9"/>
            <w:vAlign w:val="center"/>
          </w:tcPr>
          <w:p w14:paraId="5597E2F8">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260" w:type="dxa"/>
            <w:shd w:val="clear" w:color="auto" w:fill="D9D9D9"/>
            <w:vAlign w:val="center"/>
          </w:tcPr>
          <w:p w14:paraId="1479D429">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345" w:type="dxa"/>
            <w:shd w:val="clear" w:color="auto" w:fill="D9D9D9"/>
            <w:vAlign w:val="center"/>
          </w:tcPr>
          <w:p w14:paraId="69879421">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合同时间</w:t>
            </w:r>
          </w:p>
        </w:tc>
        <w:tc>
          <w:tcPr>
            <w:tcW w:w="2435" w:type="dxa"/>
            <w:shd w:val="clear" w:color="auto" w:fill="D9D9D9"/>
            <w:vAlign w:val="center"/>
          </w:tcPr>
          <w:p w14:paraId="1DD871E9">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用户联系人/联系方式</w:t>
            </w:r>
          </w:p>
        </w:tc>
      </w:tr>
      <w:tr w14:paraId="3D2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CDEC0AD">
            <w:pPr>
              <w:spacing w:line="460" w:lineRule="exact"/>
              <w:jc w:val="center"/>
              <w:rPr>
                <w:rFonts w:ascii="宋体" w:hAnsi="宋体" w:cs="宋体"/>
                <w:b/>
                <w:bCs/>
                <w:color w:val="auto"/>
                <w:sz w:val="22"/>
                <w:highlight w:val="none"/>
              </w:rPr>
            </w:pPr>
          </w:p>
        </w:tc>
        <w:tc>
          <w:tcPr>
            <w:tcW w:w="2192" w:type="dxa"/>
            <w:vAlign w:val="center"/>
          </w:tcPr>
          <w:p w14:paraId="0E0DE6AE">
            <w:pPr>
              <w:spacing w:line="460" w:lineRule="exact"/>
              <w:jc w:val="center"/>
              <w:rPr>
                <w:rFonts w:ascii="宋体" w:hAnsi="宋体" w:cs="宋体"/>
                <w:b/>
                <w:bCs/>
                <w:color w:val="auto"/>
                <w:sz w:val="22"/>
                <w:highlight w:val="none"/>
              </w:rPr>
            </w:pPr>
          </w:p>
        </w:tc>
        <w:tc>
          <w:tcPr>
            <w:tcW w:w="1636" w:type="dxa"/>
            <w:vAlign w:val="center"/>
          </w:tcPr>
          <w:p w14:paraId="210E9ED5">
            <w:pPr>
              <w:spacing w:line="460" w:lineRule="exact"/>
              <w:jc w:val="center"/>
              <w:rPr>
                <w:rFonts w:ascii="宋体" w:hAnsi="宋体" w:cs="宋体"/>
                <w:b/>
                <w:bCs/>
                <w:color w:val="auto"/>
                <w:sz w:val="22"/>
                <w:highlight w:val="none"/>
              </w:rPr>
            </w:pPr>
          </w:p>
        </w:tc>
        <w:tc>
          <w:tcPr>
            <w:tcW w:w="1260" w:type="dxa"/>
            <w:vAlign w:val="center"/>
          </w:tcPr>
          <w:p w14:paraId="167E512A">
            <w:pPr>
              <w:spacing w:line="460" w:lineRule="exact"/>
              <w:jc w:val="center"/>
              <w:rPr>
                <w:rFonts w:ascii="宋体" w:hAnsi="宋体" w:cs="宋体"/>
                <w:b/>
                <w:bCs/>
                <w:color w:val="auto"/>
                <w:sz w:val="22"/>
                <w:highlight w:val="none"/>
              </w:rPr>
            </w:pPr>
          </w:p>
        </w:tc>
        <w:tc>
          <w:tcPr>
            <w:tcW w:w="1345" w:type="dxa"/>
            <w:vAlign w:val="center"/>
          </w:tcPr>
          <w:p w14:paraId="2AA01172">
            <w:pPr>
              <w:spacing w:line="460" w:lineRule="exact"/>
              <w:jc w:val="center"/>
              <w:rPr>
                <w:rFonts w:ascii="宋体" w:hAnsi="宋体" w:cs="宋体"/>
                <w:b/>
                <w:bCs/>
                <w:color w:val="auto"/>
                <w:sz w:val="22"/>
                <w:highlight w:val="none"/>
              </w:rPr>
            </w:pPr>
          </w:p>
        </w:tc>
        <w:tc>
          <w:tcPr>
            <w:tcW w:w="2435" w:type="dxa"/>
            <w:vAlign w:val="center"/>
          </w:tcPr>
          <w:p w14:paraId="634A08DD">
            <w:pPr>
              <w:spacing w:line="460" w:lineRule="exact"/>
              <w:jc w:val="center"/>
              <w:rPr>
                <w:rFonts w:ascii="宋体" w:hAnsi="宋体" w:cs="宋体"/>
                <w:b/>
                <w:bCs/>
                <w:color w:val="auto"/>
                <w:sz w:val="22"/>
                <w:highlight w:val="none"/>
              </w:rPr>
            </w:pPr>
          </w:p>
        </w:tc>
      </w:tr>
      <w:tr w14:paraId="6D7C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7E38EAF">
            <w:pPr>
              <w:spacing w:line="460" w:lineRule="exact"/>
              <w:jc w:val="center"/>
              <w:rPr>
                <w:rFonts w:ascii="宋体" w:hAnsi="宋体" w:cs="宋体"/>
                <w:b/>
                <w:bCs/>
                <w:color w:val="auto"/>
                <w:sz w:val="22"/>
                <w:highlight w:val="none"/>
              </w:rPr>
            </w:pPr>
          </w:p>
        </w:tc>
        <w:tc>
          <w:tcPr>
            <w:tcW w:w="2192" w:type="dxa"/>
            <w:vAlign w:val="center"/>
          </w:tcPr>
          <w:p w14:paraId="04EB17AA">
            <w:pPr>
              <w:spacing w:line="460" w:lineRule="exact"/>
              <w:jc w:val="center"/>
              <w:rPr>
                <w:rFonts w:ascii="宋体" w:hAnsi="宋体" w:cs="宋体"/>
                <w:b/>
                <w:bCs/>
                <w:color w:val="auto"/>
                <w:sz w:val="22"/>
                <w:highlight w:val="none"/>
              </w:rPr>
            </w:pPr>
          </w:p>
        </w:tc>
        <w:tc>
          <w:tcPr>
            <w:tcW w:w="1636" w:type="dxa"/>
            <w:vAlign w:val="center"/>
          </w:tcPr>
          <w:p w14:paraId="0D98D0D5">
            <w:pPr>
              <w:spacing w:line="460" w:lineRule="exact"/>
              <w:jc w:val="center"/>
              <w:rPr>
                <w:rFonts w:ascii="宋体" w:hAnsi="宋体" w:cs="宋体"/>
                <w:b/>
                <w:bCs/>
                <w:color w:val="auto"/>
                <w:sz w:val="22"/>
                <w:highlight w:val="none"/>
              </w:rPr>
            </w:pPr>
          </w:p>
        </w:tc>
        <w:tc>
          <w:tcPr>
            <w:tcW w:w="1260" w:type="dxa"/>
            <w:vAlign w:val="center"/>
          </w:tcPr>
          <w:p w14:paraId="11DCA449">
            <w:pPr>
              <w:spacing w:line="460" w:lineRule="exact"/>
              <w:jc w:val="center"/>
              <w:rPr>
                <w:rFonts w:ascii="宋体" w:hAnsi="宋体" w:cs="宋体"/>
                <w:b/>
                <w:bCs/>
                <w:color w:val="auto"/>
                <w:sz w:val="22"/>
                <w:highlight w:val="none"/>
              </w:rPr>
            </w:pPr>
          </w:p>
        </w:tc>
        <w:tc>
          <w:tcPr>
            <w:tcW w:w="1345" w:type="dxa"/>
            <w:vAlign w:val="center"/>
          </w:tcPr>
          <w:p w14:paraId="6D8E8521">
            <w:pPr>
              <w:spacing w:line="460" w:lineRule="exact"/>
              <w:jc w:val="center"/>
              <w:rPr>
                <w:rFonts w:ascii="宋体" w:hAnsi="宋体" w:cs="宋体"/>
                <w:b/>
                <w:bCs/>
                <w:color w:val="auto"/>
                <w:sz w:val="22"/>
                <w:highlight w:val="none"/>
              </w:rPr>
            </w:pPr>
          </w:p>
        </w:tc>
        <w:tc>
          <w:tcPr>
            <w:tcW w:w="2435" w:type="dxa"/>
            <w:vAlign w:val="center"/>
          </w:tcPr>
          <w:p w14:paraId="189C1002">
            <w:pPr>
              <w:spacing w:line="460" w:lineRule="exact"/>
              <w:jc w:val="center"/>
              <w:rPr>
                <w:rFonts w:ascii="宋体" w:hAnsi="宋体" w:cs="宋体"/>
                <w:b/>
                <w:bCs/>
                <w:color w:val="auto"/>
                <w:sz w:val="22"/>
                <w:highlight w:val="none"/>
              </w:rPr>
            </w:pPr>
          </w:p>
        </w:tc>
      </w:tr>
      <w:tr w14:paraId="0E6D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D575E4B">
            <w:pPr>
              <w:spacing w:line="460" w:lineRule="exact"/>
              <w:jc w:val="center"/>
              <w:rPr>
                <w:rFonts w:ascii="宋体" w:hAnsi="宋体" w:cs="宋体"/>
                <w:b/>
                <w:bCs/>
                <w:color w:val="auto"/>
                <w:sz w:val="22"/>
                <w:highlight w:val="none"/>
              </w:rPr>
            </w:pPr>
          </w:p>
        </w:tc>
        <w:tc>
          <w:tcPr>
            <w:tcW w:w="2192" w:type="dxa"/>
            <w:vAlign w:val="center"/>
          </w:tcPr>
          <w:p w14:paraId="0BD93A3D">
            <w:pPr>
              <w:spacing w:line="460" w:lineRule="exact"/>
              <w:jc w:val="center"/>
              <w:rPr>
                <w:rFonts w:ascii="宋体" w:hAnsi="宋体" w:cs="宋体"/>
                <w:b/>
                <w:bCs/>
                <w:color w:val="auto"/>
                <w:sz w:val="22"/>
                <w:highlight w:val="none"/>
              </w:rPr>
            </w:pPr>
          </w:p>
        </w:tc>
        <w:tc>
          <w:tcPr>
            <w:tcW w:w="1636" w:type="dxa"/>
            <w:vAlign w:val="center"/>
          </w:tcPr>
          <w:p w14:paraId="0AF3F311">
            <w:pPr>
              <w:spacing w:line="460" w:lineRule="exact"/>
              <w:jc w:val="center"/>
              <w:rPr>
                <w:rFonts w:ascii="宋体" w:hAnsi="宋体" w:cs="宋体"/>
                <w:b/>
                <w:bCs/>
                <w:color w:val="auto"/>
                <w:sz w:val="22"/>
                <w:highlight w:val="none"/>
              </w:rPr>
            </w:pPr>
          </w:p>
        </w:tc>
        <w:tc>
          <w:tcPr>
            <w:tcW w:w="1260" w:type="dxa"/>
            <w:vAlign w:val="center"/>
          </w:tcPr>
          <w:p w14:paraId="2C0C6FBC">
            <w:pPr>
              <w:spacing w:line="460" w:lineRule="exact"/>
              <w:jc w:val="center"/>
              <w:rPr>
                <w:rFonts w:ascii="宋体" w:hAnsi="宋体" w:cs="宋体"/>
                <w:b/>
                <w:bCs/>
                <w:color w:val="auto"/>
                <w:sz w:val="22"/>
                <w:highlight w:val="none"/>
              </w:rPr>
            </w:pPr>
          </w:p>
        </w:tc>
        <w:tc>
          <w:tcPr>
            <w:tcW w:w="1345" w:type="dxa"/>
            <w:vAlign w:val="center"/>
          </w:tcPr>
          <w:p w14:paraId="4B6F0905">
            <w:pPr>
              <w:spacing w:line="460" w:lineRule="exact"/>
              <w:jc w:val="center"/>
              <w:rPr>
                <w:rFonts w:ascii="宋体" w:hAnsi="宋体" w:cs="宋体"/>
                <w:b/>
                <w:bCs/>
                <w:color w:val="auto"/>
                <w:sz w:val="22"/>
                <w:highlight w:val="none"/>
              </w:rPr>
            </w:pPr>
          </w:p>
        </w:tc>
        <w:tc>
          <w:tcPr>
            <w:tcW w:w="2435" w:type="dxa"/>
            <w:vAlign w:val="center"/>
          </w:tcPr>
          <w:p w14:paraId="523A1C7A">
            <w:pPr>
              <w:spacing w:line="460" w:lineRule="exact"/>
              <w:jc w:val="center"/>
              <w:rPr>
                <w:rFonts w:ascii="宋体" w:hAnsi="宋体" w:cs="宋体"/>
                <w:b/>
                <w:bCs/>
                <w:color w:val="auto"/>
                <w:sz w:val="22"/>
                <w:highlight w:val="none"/>
              </w:rPr>
            </w:pPr>
          </w:p>
        </w:tc>
      </w:tr>
      <w:tr w14:paraId="3941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80" w:type="dxa"/>
            <w:vAlign w:val="center"/>
          </w:tcPr>
          <w:p w14:paraId="23633A7B">
            <w:pPr>
              <w:spacing w:line="460" w:lineRule="exact"/>
              <w:jc w:val="center"/>
              <w:rPr>
                <w:rFonts w:ascii="宋体" w:hAnsi="宋体" w:cs="宋体"/>
                <w:b/>
                <w:bCs/>
                <w:color w:val="auto"/>
                <w:sz w:val="22"/>
                <w:highlight w:val="none"/>
              </w:rPr>
            </w:pPr>
          </w:p>
        </w:tc>
        <w:tc>
          <w:tcPr>
            <w:tcW w:w="2192" w:type="dxa"/>
            <w:vAlign w:val="center"/>
          </w:tcPr>
          <w:p w14:paraId="21856C32">
            <w:pPr>
              <w:spacing w:line="460" w:lineRule="exact"/>
              <w:jc w:val="center"/>
              <w:rPr>
                <w:rFonts w:ascii="宋体" w:hAnsi="宋体" w:cs="宋体"/>
                <w:b/>
                <w:bCs/>
                <w:color w:val="auto"/>
                <w:sz w:val="22"/>
                <w:highlight w:val="none"/>
              </w:rPr>
            </w:pPr>
          </w:p>
        </w:tc>
        <w:tc>
          <w:tcPr>
            <w:tcW w:w="1636" w:type="dxa"/>
            <w:vAlign w:val="center"/>
          </w:tcPr>
          <w:p w14:paraId="36490774">
            <w:pPr>
              <w:spacing w:line="460" w:lineRule="exact"/>
              <w:jc w:val="center"/>
              <w:rPr>
                <w:rFonts w:ascii="宋体" w:hAnsi="宋体" w:cs="宋体"/>
                <w:b/>
                <w:bCs/>
                <w:color w:val="auto"/>
                <w:sz w:val="22"/>
                <w:highlight w:val="none"/>
              </w:rPr>
            </w:pPr>
          </w:p>
        </w:tc>
        <w:tc>
          <w:tcPr>
            <w:tcW w:w="1260" w:type="dxa"/>
            <w:vAlign w:val="center"/>
          </w:tcPr>
          <w:p w14:paraId="14E2E2DA">
            <w:pPr>
              <w:spacing w:line="460" w:lineRule="exact"/>
              <w:jc w:val="center"/>
              <w:rPr>
                <w:rFonts w:ascii="宋体" w:hAnsi="宋体" w:cs="宋体"/>
                <w:b/>
                <w:bCs/>
                <w:color w:val="auto"/>
                <w:sz w:val="22"/>
                <w:highlight w:val="none"/>
              </w:rPr>
            </w:pPr>
          </w:p>
        </w:tc>
        <w:tc>
          <w:tcPr>
            <w:tcW w:w="1345" w:type="dxa"/>
            <w:vAlign w:val="center"/>
          </w:tcPr>
          <w:p w14:paraId="631758CE">
            <w:pPr>
              <w:spacing w:line="460" w:lineRule="exact"/>
              <w:jc w:val="center"/>
              <w:rPr>
                <w:rFonts w:ascii="宋体" w:hAnsi="宋体" w:cs="宋体"/>
                <w:b/>
                <w:bCs/>
                <w:color w:val="auto"/>
                <w:sz w:val="22"/>
                <w:highlight w:val="none"/>
              </w:rPr>
            </w:pPr>
          </w:p>
        </w:tc>
        <w:tc>
          <w:tcPr>
            <w:tcW w:w="2435" w:type="dxa"/>
            <w:vAlign w:val="center"/>
          </w:tcPr>
          <w:p w14:paraId="5D46FA0A">
            <w:pPr>
              <w:spacing w:line="460" w:lineRule="exact"/>
              <w:jc w:val="center"/>
              <w:rPr>
                <w:rFonts w:ascii="宋体" w:hAnsi="宋体" w:cs="宋体"/>
                <w:b/>
                <w:bCs/>
                <w:color w:val="auto"/>
                <w:sz w:val="22"/>
                <w:highlight w:val="none"/>
              </w:rPr>
            </w:pPr>
          </w:p>
        </w:tc>
      </w:tr>
      <w:tr w14:paraId="3E8E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265CC9C">
            <w:pPr>
              <w:spacing w:line="460" w:lineRule="exact"/>
              <w:jc w:val="center"/>
              <w:rPr>
                <w:rFonts w:ascii="宋体" w:hAnsi="宋体" w:cs="宋体"/>
                <w:b/>
                <w:bCs/>
                <w:color w:val="auto"/>
                <w:sz w:val="22"/>
                <w:highlight w:val="none"/>
              </w:rPr>
            </w:pPr>
          </w:p>
        </w:tc>
        <w:tc>
          <w:tcPr>
            <w:tcW w:w="2192" w:type="dxa"/>
            <w:vAlign w:val="center"/>
          </w:tcPr>
          <w:p w14:paraId="54C6FB0E">
            <w:pPr>
              <w:spacing w:line="460" w:lineRule="exact"/>
              <w:jc w:val="center"/>
              <w:rPr>
                <w:rFonts w:ascii="宋体" w:hAnsi="宋体" w:cs="宋体"/>
                <w:b/>
                <w:bCs/>
                <w:color w:val="auto"/>
                <w:sz w:val="22"/>
                <w:highlight w:val="none"/>
              </w:rPr>
            </w:pPr>
          </w:p>
        </w:tc>
        <w:tc>
          <w:tcPr>
            <w:tcW w:w="1636" w:type="dxa"/>
            <w:vAlign w:val="center"/>
          </w:tcPr>
          <w:p w14:paraId="742A71D4">
            <w:pPr>
              <w:spacing w:line="460" w:lineRule="exact"/>
              <w:jc w:val="center"/>
              <w:rPr>
                <w:rFonts w:ascii="宋体" w:hAnsi="宋体" w:cs="宋体"/>
                <w:b/>
                <w:bCs/>
                <w:color w:val="auto"/>
                <w:sz w:val="22"/>
                <w:highlight w:val="none"/>
              </w:rPr>
            </w:pPr>
          </w:p>
        </w:tc>
        <w:tc>
          <w:tcPr>
            <w:tcW w:w="1260" w:type="dxa"/>
            <w:vAlign w:val="center"/>
          </w:tcPr>
          <w:p w14:paraId="50DC8917">
            <w:pPr>
              <w:spacing w:line="460" w:lineRule="exact"/>
              <w:jc w:val="center"/>
              <w:rPr>
                <w:rFonts w:ascii="宋体" w:hAnsi="宋体" w:cs="宋体"/>
                <w:b/>
                <w:bCs/>
                <w:color w:val="auto"/>
                <w:sz w:val="22"/>
                <w:highlight w:val="none"/>
              </w:rPr>
            </w:pPr>
          </w:p>
        </w:tc>
        <w:tc>
          <w:tcPr>
            <w:tcW w:w="1345" w:type="dxa"/>
            <w:vAlign w:val="center"/>
          </w:tcPr>
          <w:p w14:paraId="651B5C08">
            <w:pPr>
              <w:spacing w:line="460" w:lineRule="exact"/>
              <w:jc w:val="center"/>
              <w:rPr>
                <w:rFonts w:ascii="宋体" w:hAnsi="宋体" w:cs="宋体"/>
                <w:b/>
                <w:bCs/>
                <w:color w:val="auto"/>
                <w:sz w:val="22"/>
                <w:highlight w:val="none"/>
              </w:rPr>
            </w:pPr>
          </w:p>
        </w:tc>
        <w:tc>
          <w:tcPr>
            <w:tcW w:w="2435" w:type="dxa"/>
            <w:vAlign w:val="center"/>
          </w:tcPr>
          <w:p w14:paraId="570724FB">
            <w:pPr>
              <w:spacing w:line="460" w:lineRule="exact"/>
              <w:jc w:val="center"/>
              <w:rPr>
                <w:rFonts w:ascii="宋体" w:hAnsi="宋体" w:cs="宋体"/>
                <w:b/>
                <w:bCs/>
                <w:color w:val="auto"/>
                <w:sz w:val="22"/>
                <w:highlight w:val="none"/>
              </w:rPr>
            </w:pPr>
          </w:p>
        </w:tc>
      </w:tr>
      <w:tr w14:paraId="40BF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6059236">
            <w:pPr>
              <w:spacing w:line="460" w:lineRule="exact"/>
              <w:jc w:val="center"/>
              <w:rPr>
                <w:rFonts w:ascii="宋体" w:hAnsi="宋体" w:cs="宋体"/>
                <w:b/>
                <w:bCs/>
                <w:color w:val="auto"/>
                <w:sz w:val="22"/>
                <w:highlight w:val="none"/>
              </w:rPr>
            </w:pPr>
          </w:p>
        </w:tc>
        <w:tc>
          <w:tcPr>
            <w:tcW w:w="2192" w:type="dxa"/>
            <w:vAlign w:val="center"/>
          </w:tcPr>
          <w:p w14:paraId="701B6A6E">
            <w:pPr>
              <w:spacing w:line="460" w:lineRule="exact"/>
              <w:jc w:val="center"/>
              <w:rPr>
                <w:rFonts w:ascii="宋体" w:hAnsi="宋体" w:cs="宋体"/>
                <w:b/>
                <w:bCs/>
                <w:color w:val="auto"/>
                <w:sz w:val="22"/>
                <w:highlight w:val="none"/>
              </w:rPr>
            </w:pPr>
          </w:p>
        </w:tc>
        <w:tc>
          <w:tcPr>
            <w:tcW w:w="1636" w:type="dxa"/>
            <w:vAlign w:val="center"/>
          </w:tcPr>
          <w:p w14:paraId="15E08871">
            <w:pPr>
              <w:spacing w:line="460" w:lineRule="exact"/>
              <w:jc w:val="center"/>
              <w:rPr>
                <w:rFonts w:ascii="宋体" w:hAnsi="宋体" w:cs="宋体"/>
                <w:b/>
                <w:bCs/>
                <w:color w:val="auto"/>
                <w:sz w:val="22"/>
                <w:highlight w:val="none"/>
              </w:rPr>
            </w:pPr>
          </w:p>
        </w:tc>
        <w:tc>
          <w:tcPr>
            <w:tcW w:w="1260" w:type="dxa"/>
            <w:vAlign w:val="center"/>
          </w:tcPr>
          <w:p w14:paraId="0DEA02CD">
            <w:pPr>
              <w:spacing w:line="460" w:lineRule="exact"/>
              <w:jc w:val="center"/>
              <w:rPr>
                <w:rFonts w:ascii="宋体" w:hAnsi="宋体" w:cs="宋体"/>
                <w:b/>
                <w:bCs/>
                <w:color w:val="auto"/>
                <w:sz w:val="22"/>
                <w:highlight w:val="none"/>
              </w:rPr>
            </w:pPr>
          </w:p>
        </w:tc>
        <w:tc>
          <w:tcPr>
            <w:tcW w:w="1345" w:type="dxa"/>
            <w:vAlign w:val="center"/>
          </w:tcPr>
          <w:p w14:paraId="788FEEBD">
            <w:pPr>
              <w:spacing w:line="460" w:lineRule="exact"/>
              <w:jc w:val="center"/>
              <w:rPr>
                <w:rFonts w:ascii="宋体" w:hAnsi="宋体" w:cs="宋体"/>
                <w:b/>
                <w:bCs/>
                <w:color w:val="auto"/>
                <w:sz w:val="22"/>
                <w:highlight w:val="none"/>
              </w:rPr>
            </w:pPr>
          </w:p>
        </w:tc>
        <w:tc>
          <w:tcPr>
            <w:tcW w:w="2435" w:type="dxa"/>
            <w:vAlign w:val="center"/>
          </w:tcPr>
          <w:p w14:paraId="35AB2221">
            <w:pPr>
              <w:spacing w:line="460" w:lineRule="exact"/>
              <w:jc w:val="center"/>
              <w:rPr>
                <w:rFonts w:ascii="宋体" w:hAnsi="宋体" w:cs="宋体"/>
                <w:b/>
                <w:bCs/>
                <w:color w:val="auto"/>
                <w:sz w:val="22"/>
                <w:highlight w:val="none"/>
              </w:rPr>
            </w:pPr>
          </w:p>
        </w:tc>
      </w:tr>
      <w:tr w14:paraId="72DC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3BDB946">
            <w:pPr>
              <w:spacing w:line="460" w:lineRule="exact"/>
              <w:jc w:val="center"/>
              <w:rPr>
                <w:rFonts w:ascii="宋体" w:hAnsi="宋体" w:cs="宋体"/>
                <w:b/>
                <w:bCs/>
                <w:color w:val="auto"/>
                <w:sz w:val="22"/>
                <w:highlight w:val="none"/>
              </w:rPr>
            </w:pPr>
          </w:p>
        </w:tc>
        <w:tc>
          <w:tcPr>
            <w:tcW w:w="2192" w:type="dxa"/>
            <w:vAlign w:val="center"/>
          </w:tcPr>
          <w:p w14:paraId="10184799">
            <w:pPr>
              <w:spacing w:line="460" w:lineRule="exact"/>
              <w:jc w:val="center"/>
              <w:rPr>
                <w:rFonts w:ascii="宋体" w:hAnsi="宋体" w:cs="宋体"/>
                <w:b/>
                <w:bCs/>
                <w:color w:val="auto"/>
                <w:sz w:val="22"/>
                <w:highlight w:val="none"/>
              </w:rPr>
            </w:pPr>
          </w:p>
        </w:tc>
        <w:tc>
          <w:tcPr>
            <w:tcW w:w="1636" w:type="dxa"/>
            <w:vAlign w:val="center"/>
          </w:tcPr>
          <w:p w14:paraId="4ED7A996">
            <w:pPr>
              <w:spacing w:line="460" w:lineRule="exact"/>
              <w:jc w:val="center"/>
              <w:rPr>
                <w:rFonts w:ascii="宋体" w:hAnsi="宋体" w:cs="宋体"/>
                <w:b/>
                <w:bCs/>
                <w:color w:val="auto"/>
                <w:sz w:val="22"/>
                <w:highlight w:val="none"/>
              </w:rPr>
            </w:pPr>
          </w:p>
        </w:tc>
        <w:tc>
          <w:tcPr>
            <w:tcW w:w="1260" w:type="dxa"/>
            <w:vAlign w:val="center"/>
          </w:tcPr>
          <w:p w14:paraId="21794630">
            <w:pPr>
              <w:spacing w:line="460" w:lineRule="exact"/>
              <w:jc w:val="center"/>
              <w:rPr>
                <w:rFonts w:ascii="宋体" w:hAnsi="宋体" w:cs="宋体"/>
                <w:b/>
                <w:bCs/>
                <w:color w:val="auto"/>
                <w:sz w:val="22"/>
                <w:highlight w:val="none"/>
              </w:rPr>
            </w:pPr>
          </w:p>
        </w:tc>
        <w:tc>
          <w:tcPr>
            <w:tcW w:w="1345" w:type="dxa"/>
            <w:vAlign w:val="center"/>
          </w:tcPr>
          <w:p w14:paraId="452D0E7F">
            <w:pPr>
              <w:spacing w:line="460" w:lineRule="exact"/>
              <w:jc w:val="center"/>
              <w:rPr>
                <w:rFonts w:ascii="宋体" w:hAnsi="宋体" w:cs="宋体"/>
                <w:b/>
                <w:bCs/>
                <w:color w:val="auto"/>
                <w:sz w:val="22"/>
                <w:highlight w:val="none"/>
              </w:rPr>
            </w:pPr>
          </w:p>
        </w:tc>
        <w:tc>
          <w:tcPr>
            <w:tcW w:w="2435" w:type="dxa"/>
            <w:vAlign w:val="center"/>
          </w:tcPr>
          <w:p w14:paraId="0713462B">
            <w:pPr>
              <w:spacing w:line="460" w:lineRule="exact"/>
              <w:jc w:val="center"/>
              <w:rPr>
                <w:rFonts w:ascii="宋体" w:hAnsi="宋体" w:cs="宋体"/>
                <w:b/>
                <w:bCs/>
                <w:color w:val="auto"/>
                <w:sz w:val="22"/>
                <w:highlight w:val="none"/>
              </w:rPr>
            </w:pPr>
          </w:p>
        </w:tc>
      </w:tr>
      <w:tr w14:paraId="0AC4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74AB9CC">
            <w:pPr>
              <w:spacing w:line="460" w:lineRule="exact"/>
              <w:jc w:val="center"/>
              <w:rPr>
                <w:rFonts w:ascii="宋体" w:hAnsi="宋体" w:cs="宋体"/>
                <w:b/>
                <w:bCs/>
                <w:color w:val="auto"/>
                <w:sz w:val="22"/>
                <w:highlight w:val="none"/>
              </w:rPr>
            </w:pPr>
          </w:p>
        </w:tc>
        <w:tc>
          <w:tcPr>
            <w:tcW w:w="2192" w:type="dxa"/>
            <w:vAlign w:val="center"/>
          </w:tcPr>
          <w:p w14:paraId="16500365">
            <w:pPr>
              <w:spacing w:line="460" w:lineRule="exact"/>
              <w:jc w:val="center"/>
              <w:rPr>
                <w:rFonts w:ascii="宋体" w:hAnsi="宋体" w:cs="宋体"/>
                <w:b/>
                <w:bCs/>
                <w:color w:val="auto"/>
                <w:sz w:val="22"/>
                <w:highlight w:val="none"/>
              </w:rPr>
            </w:pPr>
          </w:p>
        </w:tc>
        <w:tc>
          <w:tcPr>
            <w:tcW w:w="1636" w:type="dxa"/>
            <w:vAlign w:val="center"/>
          </w:tcPr>
          <w:p w14:paraId="6A8F03E4">
            <w:pPr>
              <w:spacing w:line="460" w:lineRule="exact"/>
              <w:jc w:val="center"/>
              <w:rPr>
                <w:rFonts w:ascii="宋体" w:hAnsi="宋体" w:cs="宋体"/>
                <w:b/>
                <w:bCs/>
                <w:color w:val="auto"/>
                <w:sz w:val="22"/>
                <w:highlight w:val="none"/>
              </w:rPr>
            </w:pPr>
          </w:p>
        </w:tc>
        <w:tc>
          <w:tcPr>
            <w:tcW w:w="1260" w:type="dxa"/>
            <w:vAlign w:val="center"/>
          </w:tcPr>
          <w:p w14:paraId="6C1D555C">
            <w:pPr>
              <w:spacing w:line="460" w:lineRule="exact"/>
              <w:jc w:val="center"/>
              <w:rPr>
                <w:rFonts w:ascii="宋体" w:hAnsi="宋体" w:cs="宋体"/>
                <w:b/>
                <w:bCs/>
                <w:color w:val="auto"/>
                <w:sz w:val="22"/>
                <w:highlight w:val="none"/>
              </w:rPr>
            </w:pPr>
          </w:p>
        </w:tc>
        <w:tc>
          <w:tcPr>
            <w:tcW w:w="1345" w:type="dxa"/>
            <w:vAlign w:val="center"/>
          </w:tcPr>
          <w:p w14:paraId="2C4DEDE9">
            <w:pPr>
              <w:spacing w:line="460" w:lineRule="exact"/>
              <w:jc w:val="center"/>
              <w:rPr>
                <w:rFonts w:ascii="宋体" w:hAnsi="宋体" w:cs="宋体"/>
                <w:b/>
                <w:bCs/>
                <w:color w:val="auto"/>
                <w:sz w:val="22"/>
                <w:highlight w:val="none"/>
              </w:rPr>
            </w:pPr>
          </w:p>
        </w:tc>
        <w:tc>
          <w:tcPr>
            <w:tcW w:w="2435" w:type="dxa"/>
            <w:vAlign w:val="center"/>
          </w:tcPr>
          <w:p w14:paraId="2B0AA28A">
            <w:pPr>
              <w:spacing w:line="460" w:lineRule="exact"/>
              <w:jc w:val="center"/>
              <w:rPr>
                <w:rFonts w:ascii="宋体" w:hAnsi="宋体" w:cs="宋体"/>
                <w:b/>
                <w:bCs/>
                <w:color w:val="auto"/>
                <w:sz w:val="22"/>
                <w:highlight w:val="none"/>
              </w:rPr>
            </w:pPr>
          </w:p>
        </w:tc>
      </w:tr>
      <w:tr w14:paraId="450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D223F50">
            <w:pPr>
              <w:spacing w:line="460" w:lineRule="exact"/>
              <w:jc w:val="center"/>
              <w:rPr>
                <w:rFonts w:ascii="宋体" w:hAnsi="宋体" w:cs="宋体"/>
                <w:b/>
                <w:bCs/>
                <w:color w:val="auto"/>
                <w:sz w:val="22"/>
                <w:highlight w:val="none"/>
              </w:rPr>
            </w:pPr>
          </w:p>
        </w:tc>
        <w:tc>
          <w:tcPr>
            <w:tcW w:w="2192" w:type="dxa"/>
            <w:vAlign w:val="center"/>
          </w:tcPr>
          <w:p w14:paraId="6FEAE7EA">
            <w:pPr>
              <w:spacing w:line="460" w:lineRule="exact"/>
              <w:jc w:val="center"/>
              <w:rPr>
                <w:rFonts w:ascii="宋体" w:hAnsi="宋体" w:cs="宋体"/>
                <w:b/>
                <w:bCs/>
                <w:color w:val="auto"/>
                <w:sz w:val="22"/>
                <w:highlight w:val="none"/>
              </w:rPr>
            </w:pPr>
          </w:p>
        </w:tc>
        <w:tc>
          <w:tcPr>
            <w:tcW w:w="1636" w:type="dxa"/>
            <w:vAlign w:val="center"/>
          </w:tcPr>
          <w:p w14:paraId="618F4337">
            <w:pPr>
              <w:spacing w:line="460" w:lineRule="exact"/>
              <w:jc w:val="center"/>
              <w:rPr>
                <w:rFonts w:ascii="宋体" w:hAnsi="宋体" w:cs="宋体"/>
                <w:b/>
                <w:bCs/>
                <w:color w:val="auto"/>
                <w:sz w:val="22"/>
                <w:highlight w:val="none"/>
              </w:rPr>
            </w:pPr>
          </w:p>
        </w:tc>
        <w:tc>
          <w:tcPr>
            <w:tcW w:w="1260" w:type="dxa"/>
            <w:vAlign w:val="center"/>
          </w:tcPr>
          <w:p w14:paraId="0BF45321">
            <w:pPr>
              <w:spacing w:line="460" w:lineRule="exact"/>
              <w:jc w:val="center"/>
              <w:rPr>
                <w:rFonts w:ascii="宋体" w:hAnsi="宋体" w:cs="宋体"/>
                <w:b/>
                <w:bCs/>
                <w:color w:val="auto"/>
                <w:sz w:val="22"/>
                <w:highlight w:val="none"/>
              </w:rPr>
            </w:pPr>
          </w:p>
        </w:tc>
        <w:tc>
          <w:tcPr>
            <w:tcW w:w="1345" w:type="dxa"/>
            <w:vAlign w:val="center"/>
          </w:tcPr>
          <w:p w14:paraId="300645B7">
            <w:pPr>
              <w:spacing w:line="460" w:lineRule="exact"/>
              <w:jc w:val="center"/>
              <w:rPr>
                <w:rFonts w:ascii="宋体" w:hAnsi="宋体" w:cs="宋体"/>
                <w:b/>
                <w:bCs/>
                <w:color w:val="auto"/>
                <w:sz w:val="22"/>
                <w:highlight w:val="none"/>
              </w:rPr>
            </w:pPr>
          </w:p>
        </w:tc>
        <w:tc>
          <w:tcPr>
            <w:tcW w:w="2435" w:type="dxa"/>
            <w:vAlign w:val="center"/>
          </w:tcPr>
          <w:p w14:paraId="180238B1">
            <w:pPr>
              <w:spacing w:line="460" w:lineRule="exact"/>
              <w:jc w:val="center"/>
              <w:rPr>
                <w:rFonts w:ascii="宋体" w:hAnsi="宋体" w:cs="宋体"/>
                <w:b/>
                <w:bCs/>
                <w:color w:val="auto"/>
                <w:sz w:val="22"/>
                <w:highlight w:val="none"/>
              </w:rPr>
            </w:pPr>
          </w:p>
        </w:tc>
      </w:tr>
    </w:tbl>
    <w:p w14:paraId="4A74E178">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14:paraId="3DF25127">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1.此表仅提供了表格形式，投标供应商应根据需要准备足够数量的表格来填写。</w:t>
      </w:r>
    </w:p>
    <w:p w14:paraId="609553B2">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 xml:space="preserve">2.每项业绩须根据商务技术文件评分细则的要求提供证明材料； </w:t>
      </w:r>
    </w:p>
    <w:p w14:paraId="1EEEF575">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3.投标供应商不按此要求填写此项内容或未按要求提供业绩证明材料将视为无业绩，不纳入评分范围。</w:t>
      </w:r>
    </w:p>
    <w:p w14:paraId="4772A5BE">
      <w:pPr>
        <w:spacing w:line="400" w:lineRule="exact"/>
        <w:ind w:left="180"/>
        <w:rPr>
          <w:rFonts w:ascii="新宋体" w:hAnsi="新宋体" w:eastAsia="新宋体"/>
          <w:b/>
          <w:color w:val="auto"/>
          <w:sz w:val="22"/>
          <w:szCs w:val="22"/>
          <w:highlight w:val="none"/>
        </w:rPr>
      </w:pPr>
    </w:p>
    <w:p w14:paraId="79129BA4">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投标供应商全称（盖章）：</w:t>
      </w:r>
    </w:p>
    <w:p w14:paraId="59448305">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法定代表人或授权代表（签字或盖章）：</w:t>
      </w:r>
    </w:p>
    <w:p w14:paraId="7394F9B8">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14:paraId="5C15C2C6">
      <w:pPr>
        <w:widowControl/>
        <w:jc w:val="left"/>
        <w:rPr>
          <w:rFonts w:ascii="新宋体" w:hAnsi="新宋体" w:eastAsia="新宋体" w:cs="新宋体"/>
          <w:b/>
          <w:bCs/>
          <w:color w:val="auto"/>
          <w:sz w:val="22"/>
          <w:szCs w:val="22"/>
          <w:highlight w:val="none"/>
        </w:rPr>
      </w:pPr>
      <w:r>
        <w:rPr>
          <w:rFonts w:ascii="新宋体" w:hAnsi="新宋体" w:eastAsia="新宋体"/>
          <w:color w:val="auto"/>
          <w:sz w:val="22"/>
          <w:szCs w:val="22"/>
          <w:highlight w:val="none"/>
        </w:rPr>
        <w:br w:type="page"/>
      </w:r>
    </w:p>
    <w:p w14:paraId="22E0B5A9">
      <w:pPr>
        <w:spacing w:before="120" w:beforeLines="50" w:after="120" w:afterLine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（商务报价标封面，供参考）</w:t>
      </w:r>
    </w:p>
    <w:p w14:paraId="6B765AF2">
      <w:pPr>
        <w:rPr>
          <w:rFonts w:ascii="新宋体" w:hAnsi="新宋体" w:eastAsia="新宋体" w:cs="新宋体"/>
          <w:color w:val="auto"/>
          <w:highlight w:val="none"/>
        </w:rPr>
      </w:pPr>
    </w:p>
    <w:p w14:paraId="2631AE12">
      <w:pPr>
        <w:rPr>
          <w:rFonts w:ascii="新宋体" w:hAnsi="新宋体" w:eastAsia="新宋体" w:cs="新宋体"/>
          <w:color w:val="auto"/>
          <w:highlight w:val="none"/>
        </w:rPr>
      </w:pPr>
    </w:p>
    <w:p w14:paraId="59AA0D2A">
      <w:pPr>
        <w:rPr>
          <w:rFonts w:ascii="新宋体" w:hAnsi="新宋体" w:eastAsia="新宋体" w:cs="新宋体"/>
          <w:color w:val="auto"/>
          <w:highlight w:val="none"/>
        </w:rPr>
      </w:pPr>
    </w:p>
    <w:p w14:paraId="3968FB1F">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5729922E">
      <w:pPr>
        <w:rPr>
          <w:rFonts w:ascii="新宋体" w:hAnsi="新宋体" w:eastAsia="新宋体" w:cs="新宋体"/>
          <w:color w:val="auto"/>
          <w:sz w:val="28"/>
          <w:szCs w:val="28"/>
          <w:highlight w:val="none"/>
        </w:rPr>
      </w:pPr>
    </w:p>
    <w:p w14:paraId="48EDCD22">
      <w:pPr>
        <w:rPr>
          <w:rFonts w:ascii="新宋体" w:hAnsi="新宋体" w:eastAsia="新宋体" w:cs="新宋体"/>
          <w:color w:val="auto"/>
          <w:sz w:val="28"/>
          <w:szCs w:val="28"/>
          <w:highlight w:val="none"/>
        </w:rPr>
      </w:pPr>
    </w:p>
    <w:p w14:paraId="1649457E">
      <w:pPr>
        <w:pStyle w:val="23"/>
        <w:ind w:firstLine="280"/>
        <w:rPr>
          <w:rFonts w:ascii="新宋体" w:hAnsi="新宋体" w:eastAsia="新宋体" w:cs="新宋体"/>
          <w:color w:val="auto"/>
          <w:sz w:val="28"/>
          <w:szCs w:val="28"/>
          <w:highlight w:val="none"/>
        </w:rPr>
      </w:pPr>
    </w:p>
    <w:p w14:paraId="44B02BBE">
      <w:pPr>
        <w:pStyle w:val="23"/>
        <w:ind w:firstLine="280"/>
        <w:rPr>
          <w:rFonts w:ascii="新宋体" w:hAnsi="新宋体" w:eastAsia="新宋体" w:cs="新宋体"/>
          <w:color w:val="auto"/>
          <w:sz w:val="28"/>
          <w:szCs w:val="28"/>
          <w:highlight w:val="none"/>
        </w:rPr>
      </w:pPr>
    </w:p>
    <w:p w14:paraId="43B8F433">
      <w:pPr>
        <w:rPr>
          <w:rFonts w:ascii="新宋体" w:hAnsi="新宋体" w:eastAsia="新宋体" w:cs="新宋体"/>
          <w:color w:val="auto"/>
          <w:sz w:val="28"/>
          <w:szCs w:val="28"/>
          <w:highlight w:val="none"/>
        </w:rPr>
      </w:pPr>
    </w:p>
    <w:p w14:paraId="63E8B6CF">
      <w:pPr>
        <w:rPr>
          <w:rFonts w:ascii="新宋体" w:hAnsi="新宋体" w:eastAsia="新宋体" w:cs="新宋体"/>
          <w:color w:val="auto"/>
          <w:sz w:val="28"/>
          <w:szCs w:val="28"/>
          <w:highlight w:val="none"/>
        </w:rPr>
      </w:pPr>
    </w:p>
    <w:p w14:paraId="47F8240D">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标</w:t>
      </w:r>
    </w:p>
    <w:p w14:paraId="3AF7B8B3">
      <w:pPr>
        <w:spacing w:line="360" w:lineRule="auto"/>
        <w:rPr>
          <w:rFonts w:ascii="新宋体" w:hAnsi="新宋体" w:eastAsia="新宋体" w:cs="新宋体"/>
          <w:color w:val="auto"/>
          <w:szCs w:val="21"/>
          <w:highlight w:val="none"/>
        </w:rPr>
      </w:pPr>
    </w:p>
    <w:p w14:paraId="531C2FAA">
      <w:pPr>
        <w:spacing w:line="360" w:lineRule="auto"/>
        <w:rPr>
          <w:rFonts w:ascii="新宋体" w:hAnsi="新宋体" w:eastAsia="新宋体" w:cs="新宋体"/>
          <w:color w:val="auto"/>
          <w:szCs w:val="21"/>
          <w:highlight w:val="none"/>
        </w:rPr>
      </w:pPr>
    </w:p>
    <w:p w14:paraId="088FADA7">
      <w:pPr>
        <w:spacing w:line="360" w:lineRule="auto"/>
        <w:rPr>
          <w:rFonts w:ascii="新宋体" w:hAnsi="新宋体" w:eastAsia="新宋体" w:cs="新宋体"/>
          <w:color w:val="auto"/>
          <w:szCs w:val="21"/>
          <w:highlight w:val="none"/>
        </w:rPr>
      </w:pPr>
    </w:p>
    <w:p w14:paraId="3CB3EA1E">
      <w:pPr>
        <w:spacing w:line="360" w:lineRule="auto"/>
        <w:rPr>
          <w:rFonts w:ascii="新宋体" w:hAnsi="新宋体" w:eastAsia="新宋体" w:cs="新宋体"/>
          <w:color w:val="auto"/>
          <w:szCs w:val="21"/>
          <w:highlight w:val="none"/>
        </w:rPr>
      </w:pPr>
    </w:p>
    <w:p w14:paraId="21A7A240">
      <w:pPr>
        <w:spacing w:line="360" w:lineRule="auto"/>
        <w:rPr>
          <w:rFonts w:ascii="新宋体" w:hAnsi="新宋体" w:eastAsia="新宋体" w:cs="新宋体"/>
          <w:color w:val="auto"/>
          <w:szCs w:val="21"/>
          <w:highlight w:val="none"/>
        </w:rPr>
      </w:pPr>
    </w:p>
    <w:p w14:paraId="67088072">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34D8370A">
      <w:pPr>
        <w:rPr>
          <w:rFonts w:ascii="新宋体" w:hAnsi="新宋体" w:eastAsia="新宋体" w:cs="新宋体"/>
          <w:color w:val="auto"/>
          <w:sz w:val="28"/>
          <w:szCs w:val="28"/>
          <w:highlight w:val="none"/>
          <w:u w:val="single"/>
        </w:rPr>
      </w:pPr>
    </w:p>
    <w:p w14:paraId="594CBA8B">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477BF52A">
      <w:pPr>
        <w:rPr>
          <w:rFonts w:ascii="新宋体" w:hAnsi="新宋体" w:eastAsia="新宋体" w:cs="新宋体"/>
          <w:color w:val="auto"/>
          <w:sz w:val="28"/>
          <w:szCs w:val="28"/>
          <w:highlight w:val="none"/>
        </w:rPr>
      </w:pPr>
    </w:p>
    <w:p w14:paraId="3497C24B">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6D447FA7">
      <w:pPr>
        <w:rPr>
          <w:rFonts w:ascii="新宋体" w:hAnsi="新宋体" w:eastAsia="新宋体" w:cs="新宋体"/>
          <w:color w:val="auto"/>
          <w:sz w:val="22"/>
          <w:szCs w:val="22"/>
          <w:highlight w:val="none"/>
        </w:rPr>
      </w:pPr>
    </w:p>
    <w:p w14:paraId="4276CB76">
      <w:pPr>
        <w:rPr>
          <w:rFonts w:ascii="新宋体" w:hAnsi="新宋体" w:eastAsia="新宋体" w:cs="新宋体"/>
          <w:color w:val="auto"/>
          <w:sz w:val="22"/>
          <w:szCs w:val="22"/>
          <w:highlight w:val="none"/>
        </w:rPr>
      </w:pPr>
    </w:p>
    <w:p w14:paraId="6E09C1E1">
      <w:pPr>
        <w:overflowPunct w:val="0"/>
        <w:spacing w:line="38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5853337F">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p>
    <w:p w14:paraId="2D5D2A34">
      <w:pPr>
        <w:autoSpaceDE w:val="0"/>
        <w:autoSpaceDN w:val="0"/>
        <w:adjustRightInd w:val="0"/>
        <w:spacing w:line="460" w:lineRule="atLeast"/>
        <w:jc w:val="center"/>
        <w:rPr>
          <w:rFonts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开标一览表</w:t>
      </w:r>
    </w:p>
    <w:p w14:paraId="51F68F28">
      <w:pPr>
        <w:overflowPunct w:val="0"/>
        <w:spacing w:line="380" w:lineRule="exact"/>
        <w:jc w:val="center"/>
        <w:rPr>
          <w:rFonts w:ascii="新宋体" w:hAnsi="新宋体" w:eastAsia="新宋体" w:cs="新宋体"/>
          <w:b/>
          <w:bCs/>
          <w:color w:val="auto"/>
          <w:sz w:val="28"/>
          <w:highlight w:val="none"/>
        </w:rPr>
      </w:pPr>
    </w:p>
    <w:p w14:paraId="1BF6B845">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8"/>
        <w:gridCol w:w="3467"/>
        <w:gridCol w:w="2659"/>
      </w:tblGrid>
      <w:tr w14:paraId="56CC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892" w:type="pct"/>
            <w:vAlign w:val="center"/>
          </w:tcPr>
          <w:p w14:paraId="75CF1A58">
            <w:pPr>
              <w:pStyle w:val="14"/>
              <w:spacing w:line="400" w:lineRule="atLeast"/>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报价项目</w:t>
            </w:r>
          </w:p>
        </w:tc>
        <w:tc>
          <w:tcPr>
            <w:tcW w:w="1759" w:type="pct"/>
            <w:vAlign w:val="center"/>
          </w:tcPr>
          <w:p w14:paraId="16C9F10B">
            <w:pPr>
              <w:pStyle w:val="14"/>
              <w:spacing w:line="400" w:lineRule="atLeast"/>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投标报价</w:t>
            </w:r>
          </w:p>
        </w:tc>
        <w:tc>
          <w:tcPr>
            <w:tcW w:w="1349" w:type="pct"/>
            <w:vAlign w:val="center"/>
          </w:tcPr>
          <w:p w14:paraId="179E99A5">
            <w:pPr>
              <w:pStyle w:val="14"/>
              <w:spacing w:line="400" w:lineRule="atLeast"/>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备注</w:t>
            </w:r>
          </w:p>
        </w:tc>
      </w:tr>
      <w:tr w14:paraId="6C5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1892" w:type="pct"/>
            <w:vAlign w:val="center"/>
          </w:tcPr>
          <w:p w14:paraId="1D2DB129">
            <w:pPr>
              <w:autoSpaceDE w:val="0"/>
              <w:autoSpaceDN w:val="0"/>
              <w:adjustRightInd w:val="0"/>
              <w:spacing w:line="300" w:lineRule="auto"/>
              <w:jc w:val="center"/>
              <w:rPr>
                <w:rFonts w:hint="eastAsia" w:ascii="新宋体" w:hAnsi="新宋体" w:eastAsia="新宋体" w:cs="宋体"/>
                <w:color w:val="auto"/>
                <w:sz w:val="22"/>
                <w:szCs w:val="22"/>
                <w:highlight w:val="none"/>
                <w:lang w:eastAsia="zh-CN"/>
              </w:rPr>
            </w:pPr>
            <w:r>
              <w:rPr>
                <w:rFonts w:hint="eastAsia" w:ascii="新宋体" w:hAnsi="新宋体" w:eastAsia="新宋体" w:cs="宋体"/>
                <w:color w:val="auto"/>
                <w:sz w:val="22"/>
                <w:szCs w:val="22"/>
                <w:highlight w:val="none"/>
                <w:lang w:eastAsia="zh-CN"/>
              </w:rPr>
              <w:t>第十五届中国（温州）国际园林博览会筹开服务</w:t>
            </w:r>
          </w:p>
        </w:tc>
        <w:tc>
          <w:tcPr>
            <w:tcW w:w="1759" w:type="pct"/>
            <w:vAlign w:val="center"/>
          </w:tcPr>
          <w:p w14:paraId="2A0B7289">
            <w:pPr>
              <w:pStyle w:val="21"/>
              <w:spacing w:line="400" w:lineRule="atLeas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大写：</w:t>
            </w:r>
          </w:p>
          <w:p w14:paraId="04E2A8FF">
            <w:pPr>
              <w:pStyle w:val="21"/>
              <w:spacing w:line="400" w:lineRule="atLeas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小写：</w:t>
            </w:r>
          </w:p>
        </w:tc>
        <w:tc>
          <w:tcPr>
            <w:tcW w:w="1349" w:type="pct"/>
            <w:vAlign w:val="center"/>
          </w:tcPr>
          <w:p w14:paraId="72CBCC49">
            <w:pPr>
              <w:pStyle w:val="21"/>
              <w:spacing w:line="400" w:lineRule="atLeast"/>
              <w:jc w:val="center"/>
              <w:rPr>
                <w:rFonts w:ascii="新宋体" w:hAnsi="新宋体" w:eastAsia="新宋体" w:cs="宋体"/>
                <w:color w:val="auto"/>
                <w:sz w:val="22"/>
                <w:szCs w:val="22"/>
                <w:highlight w:val="none"/>
              </w:rPr>
            </w:pPr>
          </w:p>
        </w:tc>
      </w:tr>
    </w:tbl>
    <w:p w14:paraId="0E227CC4">
      <w:pPr>
        <w:overflowPunct w:val="0"/>
        <w:spacing w:line="380" w:lineRule="exact"/>
        <w:rPr>
          <w:rFonts w:ascii="新宋体" w:hAnsi="新宋体" w:eastAsia="新宋体" w:cs="新宋体"/>
          <w:bCs/>
          <w:color w:val="auto"/>
          <w:sz w:val="22"/>
          <w:szCs w:val="22"/>
          <w:highlight w:val="none"/>
        </w:rPr>
      </w:pPr>
    </w:p>
    <w:p w14:paraId="127F1321">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7E74B07F">
      <w:pPr>
        <w:numPr>
          <w:ilvl w:val="0"/>
          <w:numId w:val="21"/>
        </w:numPr>
        <w:autoSpaceDE w:val="0"/>
        <w:autoSpaceDN w:val="0"/>
        <w:adjustRightInd w:val="0"/>
        <w:spacing w:line="380" w:lineRule="atLeast"/>
        <w:rPr>
          <w:rFonts w:ascii="宋体" w:cs="宋体"/>
          <w:b/>
          <w:bCs/>
          <w:color w:val="auto"/>
          <w:sz w:val="22"/>
          <w:szCs w:val="22"/>
          <w:highlight w:val="none"/>
        </w:rPr>
      </w:pPr>
      <w:r>
        <w:rPr>
          <w:rFonts w:hint="eastAsia" w:ascii="新宋体" w:hAnsi="新宋体" w:eastAsia="新宋体" w:cs="新宋体"/>
          <w:color w:val="auto"/>
          <w:kern w:val="0"/>
          <w:sz w:val="22"/>
          <w:szCs w:val="22"/>
          <w:highlight w:val="none"/>
          <w:lang w:val="zh-CN"/>
        </w:rPr>
        <w:t>此栏内“投标报价”应与附件三</w:t>
      </w:r>
      <w:r>
        <w:rPr>
          <w:rFonts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lang w:val="zh-CN"/>
        </w:rPr>
        <w:t>投标分项报价表</w:t>
      </w:r>
      <w:r>
        <w:rPr>
          <w:rFonts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lang w:val="zh-CN"/>
        </w:rPr>
        <w:t>中“</w:t>
      </w:r>
      <w:r>
        <w:rPr>
          <w:rFonts w:hint="eastAsia" w:ascii="新宋体" w:hAnsi="新宋体" w:eastAsia="新宋体" w:cs="新宋体"/>
          <w:color w:val="auto"/>
          <w:kern w:val="0"/>
          <w:sz w:val="22"/>
          <w:szCs w:val="22"/>
          <w:highlight w:val="none"/>
        </w:rPr>
        <w:t>总计</w:t>
      </w:r>
      <w:r>
        <w:rPr>
          <w:rFonts w:hint="eastAsia" w:ascii="新宋体" w:hAnsi="新宋体" w:eastAsia="新宋体" w:cs="新宋体"/>
          <w:color w:val="auto"/>
          <w:kern w:val="0"/>
          <w:sz w:val="22"/>
          <w:szCs w:val="22"/>
          <w:highlight w:val="none"/>
          <w:lang w:val="zh-CN"/>
        </w:rPr>
        <w:t>价”相一致。</w:t>
      </w:r>
    </w:p>
    <w:p w14:paraId="7820372A">
      <w:pPr>
        <w:numPr>
          <w:ilvl w:val="0"/>
          <w:numId w:val="21"/>
        </w:numPr>
        <w:overflowPunct w:val="0"/>
        <w:spacing w:line="460" w:lineRule="exact"/>
        <w:rPr>
          <w:rFonts w:ascii="新宋体" w:hAnsi="新宋体" w:eastAsia="新宋体" w:cs="新宋体"/>
          <w:b/>
          <w:color w:val="auto"/>
          <w:sz w:val="22"/>
          <w:szCs w:val="22"/>
          <w:highlight w:val="none"/>
        </w:rPr>
      </w:pPr>
      <w:r>
        <w:rPr>
          <w:rFonts w:hint="eastAsia" w:ascii="新宋体" w:hAnsi="新宋体" w:eastAsia="新宋体" w:cs="新宋体"/>
          <w:b/>
          <w:bCs/>
          <w:color w:val="auto"/>
          <w:kern w:val="0"/>
          <w:sz w:val="22"/>
          <w:szCs w:val="22"/>
          <w:highlight w:val="none"/>
          <w:u w:val="single"/>
          <w:lang w:val="zh-CN"/>
        </w:rPr>
        <w:t>不提供此表格将被视为没有实质性响应采购文件</w:t>
      </w:r>
      <w:r>
        <w:rPr>
          <w:rFonts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zh-CN"/>
        </w:rPr>
        <w:t>其投标文件将被拒绝。</w:t>
      </w:r>
    </w:p>
    <w:p w14:paraId="7085930F">
      <w:pPr>
        <w:overflowPunct w:val="0"/>
        <w:spacing w:line="460" w:lineRule="exact"/>
        <w:rPr>
          <w:rFonts w:ascii="新宋体" w:hAnsi="新宋体" w:eastAsia="新宋体" w:cs="新宋体"/>
          <w:b/>
          <w:color w:val="auto"/>
          <w:sz w:val="22"/>
          <w:szCs w:val="22"/>
          <w:highlight w:val="none"/>
        </w:rPr>
      </w:pPr>
    </w:p>
    <w:p w14:paraId="3DC37318">
      <w:pPr>
        <w:overflowPunct w:val="0"/>
        <w:spacing w:line="460" w:lineRule="exact"/>
        <w:rPr>
          <w:rFonts w:ascii="新宋体" w:hAnsi="新宋体" w:eastAsia="新宋体" w:cs="新宋体"/>
          <w:color w:val="auto"/>
          <w:sz w:val="22"/>
          <w:szCs w:val="22"/>
          <w:highlight w:val="none"/>
        </w:rPr>
      </w:pPr>
    </w:p>
    <w:p w14:paraId="6414A9EC">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3E4BE441">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法定代表人或授权代表（签名或盖章）：</w:t>
      </w:r>
    </w:p>
    <w:p w14:paraId="2D4D5CC7">
      <w:pPr>
        <w:overflowPunct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1E73543">
      <w:pPr>
        <w:overflowPunct w:val="0"/>
        <w:spacing w:line="460" w:lineRule="exact"/>
        <w:rPr>
          <w:rFonts w:ascii="新宋体" w:hAnsi="新宋体" w:eastAsia="新宋体" w:cs="新宋体"/>
          <w:color w:val="auto"/>
          <w:sz w:val="22"/>
          <w:szCs w:val="22"/>
          <w:highlight w:val="none"/>
        </w:rPr>
      </w:pPr>
    </w:p>
    <w:p w14:paraId="7C837C0A">
      <w:pPr>
        <w:overflowPunct w:val="0"/>
        <w:spacing w:line="380" w:lineRule="exact"/>
        <w:ind w:firstLine="9460" w:firstLineChars="4300"/>
        <w:rPr>
          <w:rFonts w:ascii="新宋体" w:hAnsi="新宋体" w:eastAsia="新宋体" w:cs="新宋体"/>
          <w:color w:val="auto"/>
          <w:sz w:val="22"/>
          <w:szCs w:val="22"/>
          <w:highlight w:val="none"/>
        </w:rPr>
      </w:pPr>
    </w:p>
    <w:p w14:paraId="6F78EB12">
      <w:pPr>
        <w:spacing w:line="38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51BFFE3D">
      <w:pPr>
        <w:spacing w:line="38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附件三</w:t>
      </w:r>
    </w:p>
    <w:p w14:paraId="31F5E639">
      <w:pPr>
        <w:pStyle w:val="12"/>
        <w:ind w:left="426" w:hanging="426"/>
        <w:rPr>
          <w:color w:val="auto"/>
          <w:highlight w:val="none"/>
        </w:rPr>
      </w:pPr>
    </w:p>
    <w:p w14:paraId="78FD04E2">
      <w:pPr>
        <w:spacing w:line="38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投标分项报价表</w:t>
      </w:r>
    </w:p>
    <w:p w14:paraId="50AF132C">
      <w:pPr>
        <w:spacing w:line="38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项目名称： </w:t>
      </w:r>
      <w:r>
        <w:rPr>
          <w:rFonts w:hint="eastAsia" w:ascii="新宋体" w:hAnsi="新宋体" w:eastAsia="新宋体" w:cs="新宋体"/>
          <w:color w:val="auto"/>
          <w:sz w:val="22"/>
          <w:highlight w:val="none"/>
        </w:rPr>
        <w:t xml:space="preserve">       </w:t>
      </w:r>
      <w:r>
        <w:rPr>
          <w:rFonts w:hint="eastAsia" w:ascii="新宋体" w:hAnsi="新宋体" w:eastAsia="新宋体" w:cs="新宋体"/>
          <w:b/>
          <w:color w:val="auto"/>
          <w:sz w:val="22"/>
          <w:highlight w:val="none"/>
        </w:rPr>
        <w:t xml:space="preserve">                             项目编号：</w:t>
      </w:r>
    </w:p>
    <w:p w14:paraId="39C1F8E6">
      <w:pPr>
        <w:spacing w:line="38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价格单位：元</w:t>
      </w:r>
    </w:p>
    <w:tbl>
      <w:tblPr>
        <w:tblStyle w:val="2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69"/>
        <w:gridCol w:w="2715"/>
        <w:gridCol w:w="1931"/>
      </w:tblGrid>
      <w:tr w14:paraId="5BF2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963" w:type="dxa"/>
            <w:tcBorders>
              <w:top w:val="single" w:color="auto" w:sz="12" w:space="0"/>
              <w:left w:val="single" w:color="auto" w:sz="12" w:space="0"/>
              <w:bottom w:val="single" w:color="auto" w:sz="6" w:space="0"/>
              <w:right w:val="single" w:color="auto" w:sz="6" w:space="0"/>
            </w:tcBorders>
            <w:vAlign w:val="center"/>
          </w:tcPr>
          <w:p w14:paraId="2CA16BB8">
            <w:pPr>
              <w:ind w:right="-11"/>
              <w:jc w:val="center"/>
              <w:rPr>
                <w:rFonts w:ascii="宋体" w:hAnsi="宋体" w:cs="宋体"/>
                <w:b/>
                <w:bCs/>
                <w:color w:val="auto"/>
                <w:highlight w:val="none"/>
              </w:rPr>
            </w:pPr>
            <w:r>
              <w:rPr>
                <w:rFonts w:hint="eastAsia" w:ascii="宋体" w:hAnsi="宋体" w:cs="宋体"/>
                <w:b/>
                <w:bCs/>
                <w:color w:val="auto"/>
                <w:highlight w:val="none"/>
              </w:rPr>
              <w:t>序号</w:t>
            </w:r>
          </w:p>
        </w:tc>
        <w:tc>
          <w:tcPr>
            <w:tcW w:w="3869" w:type="dxa"/>
            <w:tcBorders>
              <w:top w:val="single" w:color="auto" w:sz="12" w:space="0"/>
              <w:left w:val="single" w:color="auto" w:sz="6" w:space="0"/>
              <w:bottom w:val="single" w:color="auto" w:sz="6" w:space="0"/>
              <w:right w:val="single" w:color="auto" w:sz="6" w:space="0"/>
            </w:tcBorders>
            <w:vAlign w:val="center"/>
          </w:tcPr>
          <w:p w14:paraId="71FB2C08">
            <w:pPr>
              <w:ind w:right="-11"/>
              <w:jc w:val="center"/>
              <w:rPr>
                <w:rFonts w:ascii="宋体" w:hAnsi="宋体" w:cs="宋体"/>
                <w:b/>
                <w:bCs/>
                <w:color w:val="auto"/>
                <w:highlight w:val="none"/>
              </w:rPr>
            </w:pPr>
            <w:r>
              <w:rPr>
                <w:rFonts w:hint="eastAsia" w:ascii="宋体" w:hAnsi="宋体" w:cs="宋体"/>
                <w:b/>
                <w:bCs/>
                <w:color w:val="auto"/>
                <w:highlight w:val="none"/>
              </w:rPr>
              <w:t>费用名称</w:t>
            </w:r>
          </w:p>
        </w:tc>
        <w:tc>
          <w:tcPr>
            <w:tcW w:w="2715" w:type="dxa"/>
            <w:tcBorders>
              <w:top w:val="single" w:color="auto" w:sz="12" w:space="0"/>
              <w:left w:val="single" w:color="auto" w:sz="6" w:space="0"/>
              <w:bottom w:val="single" w:color="auto" w:sz="6" w:space="0"/>
              <w:right w:val="single" w:color="auto" w:sz="6" w:space="0"/>
            </w:tcBorders>
            <w:vAlign w:val="center"/>
          </w:tcPr>
          <w:p w14:paraId="6F83F2D1">
            <w:pPr>
              <w:ind w:right="-11"/>
              <w:jc w:val="center"/>
              <w:rPr>
                <w:rFonts w:ascii="宋体" w:hAnsi="宋体" w:cs="宋体"/>
                <w:color w:val="auto"/>
                <w:highlight w:val="none"/>
              </w:rPr>
            </w:pPr>
            <w:r>
              <w:rPr>
                <w:rFonts w:hint="eastAsia" w:ascii="宋体" w:hAnsi="宋体" w:cs="宋体"/>
                <w:b/>
                <w:bCs/>
                <w:color w:val="auto"/>
                <w:highlight w:val="none"/>
              </w:rPr>
              <w:t>分项报价</w:t>
            </w:r>
          </w:p>
        </w:tc>
        <w:tc>
          <w:tcPr>
            <w:tcW w:w="1931" w:type="dxa"/>
            <w:tcBorders>
              <w:top w:val="single" w:color="auto" w:sz="12" w:space="0"/>
              <w:left w:val="single" w:color="auto" w:sz="6" w:space="0"/>
              <w:bottom w:val="single" w:color="auto" w:sz="6" w:space="0"/>
              <w:right w:val="single" w:color="auto" w:sz="12" w:space="0"/>
            </w:tcBorders>
            <w:vAlign w:val="center"/>
          </w:tcPr>
          <w:p w14:paraId="76935753">
            <w:pPr>
              <w:ind w:right="-11"/>
              <w:jc w:val="center"/>
              <w:rPr>
                <w:rFonts w:ascii="宋体" w:hAnsi="宋体" w:cs="宋体"/>
                <w:b/>
                <w:bCs/>
                <w:color w:val="auto"/>
                <w:highlight w:val="none"/>
              </w:rPr>
            </w:pPr>
            <w:r>
              <w:rPr>
                <w:rFonts w:hint="eastAsia" w:ascii="宋体" w:hAnsi="宋体" w:cs="宋体"/>
                <w:b/>
                <w:bCs/>
                <w:color w:val="auto"/>
                <w:highlight w:val="none"/>
              </w:rPr>
              <w:t>备注</w:t>
            </w:r>
          </w:p>
        </w:tc>
      </w:tr>
      <w:tr w14:paraId="0D0B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6D6FE601">
            <w:pPr>
              <w:ind w:right="-1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3869" w:type="dxa"/>
            <w:tcBorders>
              <w:top w:val="single" w:color="auto" w:sz="6" w:space="0"/>
              <w:left w:val="single" w:color="auto" w:sz="6" w:space="0"/>
              <w:bottom w:val="single" w:color="auto" w:sz="6" w:space="0"/>
              <w:right w:val="single" w:color="auto" w:sz="6" w:space="0"/>
            </w:tcBorders>
            <w:vAlign w:val="center"/>
          </w:tcPr>
          <w:p w14:paraId="5308A886">
            <w:pPr>
              <w:ind w:right="-11"/>
              <w:jc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rPr>
              <w:t>文旅</w:t>
            </w:r>
            <w:r>
              <w:rPr>
                <w:rFonts w:hint="eastAsia" w:ascii="宋体" w:hAnsi="宋体" w:eastAsia="宋体" w:cs="宋体"/>
                <w:bCs/>
                <w:color w:val="auto"/>
                <w:kern w:val="0"/>
                <w:sz w:val="24"/>
                <w:szCs w:val="24"/>
                <w:highlight w:val="none"/>
                <w:lang w:val="en-US" w:eastAsia="zh-CN"/>
              </w:rPr>
              <w:t>商</w:t>
            </w:r>
            <w:r>
              <w:rPr>
                <w:rFonts w:hint="eastAsia" w:ascii="宋体" w:hAnsi="宋体" w:eastAsia="宋体" w:cs="宋体"/>
                <w:bCs/>
                <w:color w:val="auto"/>
                <w:kern w:val="0"/>
                <w:sz w:val="24"/>
                <w:szCs w:val="24"/>
                <w:highlight w:val="none"/>
              </w:rPr>
              <w:t>项目策划</w:t>
            </w:r>
          </w:p>
        </w:tc>
        <w:tc>
          <w:tcPr>
            <w:tcW w:w="2715" w:type="dxa"/>
            <w:tcBorders>
              <w:top w:val="single" w:color="auto" w:sz="6" w:space="0"/>
              <w:left w:val="single" w:color="auto" w:sz="6" w:space="0"/>
              <w:bottom w:val="single" w:color="auto" w:sz="6" w:space="0"/>
              <w:right w:val="single" w:color="auto" w:sz="6" w:space="0"/>
            </w:tcBorders>
            <w:vAlign w:val="center"/>
          </w:tcPr>
          <w:p w14:paraId="6657AE42">
            <w:pPr>
              <w:ind w:right="-11"/>
              <w:jc w:val="center"/>
              <w:rPr>
                <w:rFonts w:ascii="宋体" w:hAnsi="宋体" w:cs="宋体"/>
                <w:b/>
                <w:bCs/>
                <w:color w:val="auto"/>
                <w:highlight w:val="none"/>
              </w:rPr>
            </w:pPr>
          </w:p>
        </w:tc>
        <w:tc>
          <w:tcPr>
            <w:tcW w:w="1931" w:type="dxa"/>
            <w:tcBorders>
              <w:top w:val="single" w:color="auto" w:sz="6" w:space="0"/>
              <w:left w:val="single" w:color="auto" w:sz="6" w:space="0"/>
              <w:bottom w:val="single" w:color="auto" w:sz="6" w:space="0"/>
              <w:right w:val="single" w:color="auto" w:sz="12" w:space="0"/>
            </w:tcBorders>
            <w:vAlign w:val="center"/>
          </w:tcPr>
          <w:p w14:paraId="3DCB58CD">
            <w:pPr>
              <w:ind w:right="-11"/>
              <w:jc w:val="center"/>
              <w:rPr>
                <w:rFonts w:ascii="宋体" w:hAnsi="宋体" w:cs="宋体"/>
                <w:b/>
                <w:bCs/>
                <w:color w:val="auto"/>
                <w:highlight w:val="none"/>
              </w:rPr>
            </w:pPr>
          </w:p>
        </w:tc>
      </w:tr>
      <w:tr w14:paraId="3F88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3BEFD22D">
            <w:pPr>
              <w:ind w:right="-1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3869" w:type="dxa"/>
            <w:tcBorders>
              <w:top w:val="single" w:color="auto" w:sz="6" w:space="0"/>
              <w:left w:val="single" w:color="auto" w:sz="6" w:space="0"/>
              <w:bottom w:val="single" w:color="auto" w:sz="6" w:space="0"/>
              <w:right w:val="single" w:color="auto" w:sz="6" w:space="0"/>
            </w:tcBorders>
            <w:vAlign w:val="center"/>
          </w:tcPr>
          <w:p w14:paraId="5BA597F4">
            <w:pPr>
              <w:ind w:right="-11"/>
              <w:jc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rPr>
              <w:t>景区</w:t>
            </w:r>
            <w:r>
              <w:rPr>
                <w:rFonts w:hint="eastAsia" w:ascii="宋体" w:hAnsi="宋体" w:eastAsia="宋体" w:cs="宋体"/>
                <w:bCs/>
                <w:color w:val="auto"/>
                <w:kern w:val="0"/>
                <w:sz w:val="24"/>
                <w:szCs w:val="24"/>
                <w:highlight w:val="none"/>
                <w:lang w:val="en-US" w:eastAsia="zh-CN"/>
              </w:rPr>
              <w:t>指示系统</w:t>
            </w:r>
            <w:r>
              <w:rPr>
                <w:rFonts w:hint="eastAsia" w:ascii="宋体" w:hAnsi="宋体" w:eastAsia="宋体" w:cs="宋体"/>
                <w:bCs/>
                <w:color w:val="auto"/>
                <w:kern w:val="0"/>
                <w:sz w:val="24"/>
                <w:szCs w:val="24"/>
                <w:highlight w:val="none"/>
              </w:rPr>
              <w:t>规划</w:t>
            </w:r>
            <w:r>
              <w:rPr>
                <w:rFonts w:hint="eastAsia" w:ascii="宋体" w:hAnsi="宋体" w:eastAsia="宋体" w:cs="宋体"/>
                <w:bCs/>
                <w:color w:val="auto"/>
                <w:kern w:val="0"/>
                <w:sz w:val="24"/>
                <w:szCs w:val="24"/>
                <w:highlight w:val="none"/>
                <w:lang w:val="en-US" w:eastAsia="zh-CN"/>
              </w:rPr>
              <w:t>及设计</w:t>
            </w:r>
          </w:p>
        </w:tc>
        <w:tc>
          <w:tcPr>
            <w:tcW w:w="2715" w:type="dxa"/>
            <w:tcBorders>
              <w:top w:val="single" w:color="auto" w:sz="6" w:space="0"/>
              <w:left w:val="single" w:color="auto" w:sz="6" w:space="0"/>
              <w:bottom w:val="single" w:color="auto" w:sz="6" w:space="0"/>
              <w:right w:val="single" w:color="auto" w:sz="6" w:space="0"/>
            </w:tcBorders>
            <w:vAlign w:val="center"/>
          </w:tcPr>
          <w:p w14:paraId="291D466C">
            <w:pPr>
              <w:ind w:right="-11"/>
              <w:jc w:val="center"/>
              <w:rPr>
                <w:rFonts w:ascii="宋体" w:hAnsi="宋体" w:cs="宋体"/>
                <w:b/>
                <w:bCs/>
                <w:color w:val="auto"/>
                <w:highlight w:val="none"/>
              </w:rPr>
            </w:pPr>
          </w:p>
        </w:tc>
        <w:tc>
          <w:tcPr>
            <w:tcW w:w="1931" w:type="dxa"/>
            <w:tcBorders>
              <w:top w:val="single" w:color="auto" w:sz="6" w:space="0"/>
              <w:left w:val="single" w:color="auto" w:sz="6" w:space="0"/>
              <w:bottom w:val="single" w:color="auto" w:sz="6" w:space="0"/>
              <w:right w:val="single" w:color="auto" w:sz="12" w:space="0"/>
            </w:tcBorders>
            <w:vAlign w:val="center"/>
          </w:tcPr>
          <w:p w14:paraId="6C38E964">
            <w:pPr>
              <w:ind w:right="-11"/>
              <w:jc w:val="center"/>
              <w:rPr>
                <w:rFonts w:ascii="宋体" w:hAnsi="宋体" w:cs="宋体"/>
                <w:b/>
                <w:bCs/>
                <w:color w:val="auto"/>
                <w:highlight w:val="none"/>
              </w:rPr>
            </w:pPr>
          </w:p>
        </w:tc>
      </w:tr>
      <w:tr w14:paraId="3D32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07DEA24C">
            <w:pPr>
              <w:ind w:right="-1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3869" w:type="dxa"/>
            <w:tcBorders>
              <w:top w:val="single" w:color="auto" w:sz="6" w:space="0"/>
              <w:left w:val="single" w:color="auto" w:sz="6" w:space="0"/>
              <w:bottom w:val="single" w:color="auto" w:sz="6" w:space="0"/>
              <w:right w:val="single" w:color="auto" w:sz="6" w:space="0"/>
            </w:tcBorders>
            <w:vAlign w:val="center"/>
          </w:tcPr>
          <w:p w14:paraId="5343E37F">
            <w:pPr>
              <w:ind w:right="-11"/>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景区筹开运营管理</w:t>
            </w:r>
          </w:p>
          <w:p w14:paraId="45825F0C">
            <w:pPr>
              <w:ind w:right="-11"/>
              <w:jc w:val="center"/>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3.1+</w:t>
            </w: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3.2+</w:t>
            </w: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3.3+</w:t>
            </w: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3.4+</w:t>
            </w: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lang w:eastAsia="zh-CN"/>
              </w:rPr>
              <w:t>）</w:t>
            </w:r>
          </w:p>
        </w:tc>
        <w:tc>
          <w:tcPr>
            <w:tcW w:w="2715" w:type="dxa"/>
            <w:tcBorders>
              <w:top w:val="single" w:color="auto" w:sz="6" w:space="0"/>
              <w:left w:val="single" w:color="auto" w:sz="6" w:space="0"/>
              <w:bottom w:val="single" w:color="auto" w:sz="6" w:space="0"/>
              <w:right w:val="single" w:color="auto" w:sz="6" w:space="0"/>
            </w:tcBorders>
            <w:vAlign w:val="center"/>
          </w:tcPr>
          <w:p w14:paraId="5B4C0178">
            <w:pPr>
              <w:ind w:right="-11"/>
              <w:jc w:val="center"/>
              <w:rPr>
                <w:rFonts w:ascii="宋体" w:hAnsi="宋体" w:cs="宋体"/>
                <w:b/>
                <w:bCs/>
                <w:color w:val="auto"/>
                <w:highlight w:val="none"/>
              </w:rPr>
            </w:pPr>
          </w:p>
        </w:tc>
        <w:tc>
          <w:tcPr>
            <w:tcW w:w="1931" w:type="dxa"/>
            <w:tcBorders>
              <w:top w:val="single" w:color="auto" w:sz="6" w:space="0"/>
              <w:left w:val="single" w:color="auto" w:sz="6" w:space="0"/>
              <w:bottom w:val="single" w:color="auto" w:sz="6" w:space="0"/>
              <w:right w:val="single" w:color="auto" w:sz="12" w:space="0"/>
            </w:tcBorders>
            <w:vAlign w:val="center"/>
          </w:tcPr>
          <w:p w14:paraId="6C109350">
            <w:pPr>
              <w:ind w:right="-11"/>
              <w:jc w:val="center"/>
              <w:rPr>
                <w:rFonts w:ascii="宋体" w:hAnsi="宋体" w:cs="宋体"/>
                <w:b/>
                <w:bCs/>
                <w:color w:val="auto"/>
                <w:highlight w:val="none"/>
              </w:rPr>
            </w:pPr>
          </w:p>
        </w:tc>
      </w:tr>
      <w:tr w14:paraId="6AF3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0FA0B77F">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3869" w:type="dxa"/>
            <w:tcBorders>
              <w:top w:val="single" w:color="auto" w:sz="6" w:space="0"/>
              <w:left w:val="single" w:color="auto" w:sz="6" w:space="0"/>
              <w:bottom w:val="single" w:color="auto" w:sz="6" w:space="0"/>
              <w:right w:val="single" w:color="auto" w:sz="6" w:space="0"/>
            </w:tcBorders>
            <w:vAlign w:val="center"/>
          </w:tcPr>
          <w:p w14:paraId="4437F95C">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rPr>
              <w:t>招商管理</w:t>
            </w:r>
          </w:p>
        </w:tc>
        <w:tc>
          <w:tcPr>
            <w:tcW w:w="2715" w:type="dxa"/>
            <w:tcBorders>
              <w:top w:val="single" w:color="auto" w:sz="6" w:space="0"/>
              <w:left w:val="single" w:color="auto" w:sz="6" w:space="0"/>
              <w:bottom w:val="single" w:color="auto" w:sz="6" w:space="0"/>
              <w:right w:val="single" w:color="auto" w:sz="6" w:space="0"/>
            </w:tcBorders>
            <w:vAlign w:val="center"/>
          </w:tcPr>
          <w:p w14:paraId="7A29DEF7">
            <w:pPr>
              <w:ind w:right="-11"/>
              <w:jc w:val="center"/>
              <w:rPr>
                <w:rFonts w:ascii="宋体" w:hAnsi="宋体" w:cs="宋体"/>
                <w:b/>
                <w:bCs/>
                <w:color w:val="auto"/>
                <w:highlight w:val="none"/>
              </w:rPr>
            </w:pPr>
          </w:p>
        </w:tc>
        <w:tc>
          <w:tcPr>
            <w:tcW w:w="1931" w:type="dxa"/>
            <w:tcBorders>
              <w:top w:val="single" w:color="auto" w:sz="6" w:space="0"/>
              <w:left w:val="single" w:color="auto" w:sz="6" w:space="0"/>
              <w:bottom w:val="single" w:color="auto" w:sz="6" w:space="0"/>
              <w:right w:val="single" w:color="auto" w:sz="12" w:space="0"/>
            </w:tcBorders>
            <w:vAlign w:val="center"/>
          </w:tcPr>
          <w:p w14:paraId="69A9EAD0">
            <w:pPr>
              <w:ind w:right="-11"/>
              <w:jc w:val="center"/>
              <w:rPr>
                <w:rFonts w:ascii="宋体" w:hAnsi="宋体" w:cs="宋体"/>
                <w:b/>
                <w:bCs/>
                <w:color w:val="auto"/>
                <w:highlight w:val="none"/>
              </w:rPr>
            </w:pPr>
          </w:p>
        </w:tc>
      </w:tr>
      <w:tr w14:paraId="0E27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6D52B9EB">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3869" w:type="dxa"/>
            <w:tcBorders>
              <w:top w:val="single" w:color="auto" w:sz="6" w:space="0"/>
              <w:left w:val="single" w:color="auto" w:sz="6" w:space="0"/>
              <w:bottom w:val="single" w:color="auto" w:sz="6" w:space="0"/>
              <w:right w:val="single" w:color="auto" w:sz="6" w:space="0"/>
            </w:tcBorders>
            <w:vAlign w:val="center"/>
          </w:tcPr>
          <w:p w14:paraId="313F8143">
            <w:pPr>
              <w:jc w:val="center"/>
              <w:rPr>
                <w:rFonts w:hint="eastAsia" w:ascii="宋体" w:hAnsi="宋体" w:eastAsia="宋体" w:cs="宋体"/>
                <w:b/>
                <w:bCs/>
                <w:color w:val="auto"/>
                <w:sz w:val="24"/>
                <w:szCs w:val="24"/>
                <w:highlight w:val="none"/>
              </w:rPr>
            </w:pPr>
            <w:r>
              <w:rPr>
                <w:rFonts w:hint="eastAsia" w:ascii="宋体" w:hAnsi="宋体" w:eastAsia="宋体" w:cs="宋体"/>
                <w:bCs/>
                <w:color w:val="auto"/>
                <w:kern w:val="0"/>
                <w:sz w:val="24"/>
                <w:szCs w:val="24"/>
                <w:highlight w:val="none"/>
                <w:lang w:val="en-US" w:eastAsia="zh-CN"/>
              </w:rPr>
              <w:t>工程及设计咨询管理</w:t>
            </w:r>
          </w:p>
        </w:tc>
        <w:tc>
          <w:tcPr>
            <w:tcW w:w="2715" w:type="dxa"/>
            <w:tcBorders>
              <w:top w:val="single" w:color="auto" w:sz="6" w:space="0"/>
              <w:left w:val="single" w:color="auto" w:sz="6" w:space="0"/>
              <w:bottom w:val="single" w:color="auto" w:sz="6" w:space="0"/>
              <w:right w:val="single" w:color="auto" w:sz="6" w:space="0"/>
            </w:tcBorders>
            <w:vAlign w:val="center"/>
          </w:tcPr>
          <w:p w14:paraId="463161BD">
            <w:pPr>
              <w:ind w:right="-11"/>
              <w:jc w:val="center"/>
              <w:rPr>
                <w:rFonts w:ascii="宋体" w:hAnsi="宋体" w:cs="宋体"/>
                <w:b/>
                <w:bCs/>
                <w:color w:val="auto"/>
                <w:highlight w:val="none"/>
              </w:rPr>
            </w:pPr>
          </w:p>
        </w:tc>
        <w:tc>
          <w:tcPr>
            <w:tcW w:w="1931" w:type="dxa"/>
            <w:tcBorders>
              <w:top w:val="single" w:color="auto" w:sz="6" w:space="0"/>
              <w:left w:val="single" w:color="auto" w:sz="6" w:space="0"/>
              <w:bottom w:val="single" w:color="auto" w:sz="6" w:space="0"/>
              <w:right w:val="single" w:color="auto" w:sz="12" w:space="0"/>
            </w:tcBorders>
            <w:vAlign w:val="center"/>
          </w:tcPr>
          <w:p w14:paraId="375F8977">
            <w:pPr>
              <w:ind w:right="-11"/>
              <w:jc w:val="center"/>
              <w:rPr>
                <w:rFonts w:ascii="宋体" w:hAnsi="宋体" w:cs="宋体"/>
                <w:b/>
                <w:bCs/>
                <w:color w:val="auto"/>
                <w:highlight w:val="none"/>
              </w:rPr>
            </w:pPr>
          </w:p>
        </w:tc>
      </w:tr>
      <w:tr w14:paraId="2107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0BE195D1">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3869" w:type="dxa"/>
            <w:tcBorders>
              <w:top w:val="single" w:color="auto" w:sz="6" w:space="0"/>
              <w:left w:val="single" w:color="auto" w:sz="6" w:space="0"/>
              <w:bottom w:val="single" w:color="auto" w:sz="6" w:space="0"/>
              <w:right w:val="single" w:color="auto" w:sz="6" w:space="0"/>
            </w:tcBorders>
            <w:vAlign w:val="center"/>
          </w:tcPr>
          <w:p w14:paraId="316298E6">
            <w:pPr>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活动及组织编排</w:t>
            </w:r>
          </w:p>
        </w:tc>
        <w:tc>
          <w:tcPr>
            <w:tcW w:w="2715" w:type="dxa"/>
            <w:tcBorders>
              <w:top w:val="single" w:color="auto" w:sz="6" w:space="0"/>
              <w:left w:val="single" w:color="auto" w:sz="6" w:space="0"/>
              <w:bottom w:val="single" w:color="auto" w:sz="6" w:space="0"/>
              <w:right w:val="single" w:color="auto" w:sz="6" w:space="0"/>
            </w:tcBorders>
            <w:vAlign w:val="center"/>
          </w:tcPr>
          <w:p w14:paraId="56E87952">
            <w:pPr>
              <w:ind w:right="-11"/>
              <w:jc w:val="center"/>
              <w:rPr>
                <w:rFonts w:ascii="宋体" w:hAnsi="宋体" w:cs="宋体"/>
                <w:b/>
                <w:bCs/>
                <w:color w:val="auto"/>
                <w:highlight w:val="none"/>
              </w:rPr>
            </w:pPr>
          </w:p>
        </w:tc>
        <w:tc>
          <w:tcPr>
            <w:tcW w:w="1931" w:type="dxa"/>
            <w:tcBorders>
              <w:top w:val="single" w:color="auto" w:sz="6" w:space="0"/>
              <w:left w:val="single" w:color="auto" w:sz="6" w:space="0"/>
              <w:bottom w:val="single" w:color="auto" w:sz="6" w:space="0"/>
              <w:right w:val="single" w:color="auto" w:sz="12" w:space="0"/>
            </w:tcBorders>
            <w:vAlign w:val="center"/>
          </w:tcPr>
          <w:p w14:paraId="3F55D67A">
            <w:pPr>
              <w:ind w:right="-11"/>
              <w:jc w:val="center"/>
              <w:rPr>
                <w:rFonts w:ascii="宋体" w:hAnsi="宋体" w:cs="宋体"/>
                <w:b/>
                <w:bCs/>
                <w:color w:val="auto"/>
                <w:highlight w:val="none"/>
              </w:rPr>
            </w:pPr>
          </w:p>
        </w:tc>
      </w:tr>
      <w:tr w14:paraId="51E5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55BF0A1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3869" w:type="dxa"/>
            <w:tcBorders>
              <w:top w:val="single" w:color="auto" w:sz="6" w:space="0"/>
              <w:left w:val="single" w:color="auto" w:sz="6" w:space="0"/>
              <w:bottom w:val="single" w:color="auto" w:sz="6" w:space="0"/>
              <w:right w:val="single" w:color="auto" w:sz="6" w:space="0"/>
            </w:tcBorders>
            <w:vAlign w:val="center"/>
          </w:tcPr>
          <w:p w14:paraId="17A43AA9">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筹开运营</w:t>
            </w:r>
          </w:p>
        </w:tc>
        <w:tc>
          <w:tcPr>
            <w:tcW w:w="2715" w:type="dxa"/>
            <w:tcBorders>
              <w:top w:val="single" w:color="auto" w:sz="6" w:space="0"/>
              <w:left w:val="single" w:color="auto" w:sz="6" w:space="0"/>
              <w:bottom w:val="single" w:color="auto" w:sz="6" w:space="0"/>
              <w:right w:val="single" w:color="auto" w:sz="6" w:space="0"/>
            </w:tcBorders>
            <w:vAlign w:val="center"/>
          </w:tcPr>
          <w:p w14:paraId="14C0B8BC">
            <w:pPr>
              <w:ind w:right="-11"/>
              <w:jc w:val="center"/>
              <w:rPr>
                <w:rFonts w:ascii="宋体" w:hAnsi="宋体" w:cs="宋体"/>
                <w:b/>
                <w:bCs/>
                <w:color w:val="auto"/>
                <w:highlight w:val="none"/>
              </w:rPr>
            </w:pPr>
          </w:p>
        </w:tc>
        <w:tc>
          <w:tcPr>
            <w:tcW w:w="1931" w:type="dxa"/>
            <w:tcBorders>
              <w:top w:val="single" w:color="auto" w:sz="6" w:space="0"/>
              <w:left w:val="single" w:color="auto" w:sz="6" w:space="0"/>
              <w:bottom w:val="single" w:color="auto" w:sz="6" w:space="0"/>
              <w:right w:val="single" w:color="auto" w:sz="12" w:space="0"/>
            </w:tcBorders>
            <w:vAlign w:val="center"/>
          </w:tcPr>
          <w:p w14:paraId="79BAF7D2">
            <w:pPr>
              <w:ind w:right="-11"/>
              <w:jc w:val="center"/>
              <w:rPr>
                <w:rFonts w:ascii="宋体" w:hAnsi="宋体" w:cs="宋体"/>
                <w:b/>
                <w:bCs/>
                <w:color w:val="auto"/>
                <w:highlight w:val="none"/>
              </w:rPr>
            </w:pPr>
          </w:p>
        </w:tc>
      </w:tr>
      <w:tr w14:paraId="501E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63" w:type="dxa"/>
            <w:tcBorders>
              <w:top w:val="single" w:color="auto" w:sz="6" w:space="0"/>
              <w:left w:val="single" w:color="auto" w:sz="12" w:space="0"/>
              <w:bottom w:val="single" w:color="auto" w:sz="6" w:space="0"/>
              <w:right w:val="single" w:color="auto" w:sz="6" w:space="0"/>
            </w:tcBorders>
            <w:vAlign w:val="center"/>
          </w:tcPr>
          <w:p w14:paraId="4B64D4D5">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3869" w:type="dxa"/>
            <w:tcBorders>
              <w:top w:val="single" w:color="auto" w:sz="6" w:space="0"/>
              <w:left w:val="single" w:color="auto" w:sz="6" w:space="0"/>
              <w:bottom w:val="single" w:color="auto" w:sz="6" w:space="0"/>
              <w:right w:val="single" w:color="auto" w:sz="6" w:space="0"/>
            </w:tcBorders>
            <w:vAlign w:val="center"/>
          </w:tcPr>
          <w:p w14:paraId="67343408">
            <w:pPr>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项目团队驻场及组建</w:t>
            </w:r>
          </w:p>
        </w:tc>
        <w:tc>
          <w:tcPr>
            <w:tcW w:w="2715" w:type="dxa"/>
            <w:tcBorders>
              <w:top w:val="single" w:color="auto" w:sz="6" w:space="0"/>
              <w:left w:val="single" w:color="auto" w:sz="6" w:space="0"/>
              <w:bottom w:val="single" w:color="auto" w:sz="6" w:space="0"/>
              <w:right w:val="single" w:color="auto" w:sz="6" w:space="0"/>
            </w:tcBorders>
            <w:vAlign w:val="center"/>
          </w:tcPr>
          <w:p w14:paraId="7EE7F322">
            <w:pPr>
              <w:ind w:right="-11"/>
              <w:jc w:val="center"/>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含</w:t>
            </w:r>
          </w:p>
        </w:tc>
        <w:tc>
          <w:tcPr>
            <w:tcW w:w="1931" w:type="dxa"/>
            <w:tcBorders>
              <w:top w:val="single" w:color="auto" w:sz="6" w:space="0"/>
              <w:left w:val="single" w:color="auto" w:sz="6" w:space="0"/>
              <w:bottom w:val="single" w:color="auto" w:sz="6" w:space="0"/>
              <w:right w:val="single" w:color="auto" w:sz="12" w:space="0"/>
            </w:tcBorders>
            <w:vAlign w:val="center"/>
          </w:tcPr>
          <w:p w14:paraId="7AEC9A55">
            <w:pPr>
              <w:ind w:right="-11"/>
              <w:jc w:val="center"/>
              <w:rPr>
                <w:rFonts w:ascii="宋体" w:hAnsi="宋体" w:cs="宋体"/>
                <w:b/>
                <w:bCs/>
                <w:color w:val="auto"/>
                <w:highlight w:val="none"/>
              </w:rPr>
            </w:pPr>
          </w:p>
        </w:tc>
      </w:tr>
      <w:tr w14:paraId="4182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832" w:type="dxa"/>
            <w:gridSpan w:val="2"/>
            <w:tcBorders>
              <w:top w:val="single" w:color="auto" w:sz="6" w:space="0"/>
              <w:left w:val="single" w:color="auto" w:sz="12" w:space="0"/>
              <w:bottom w:val="single" w:color="auto" w:sz="6" w:space="0"/>
              <w:right w:val="single" w:color="auto" w:sz="6" w:space="0"/>
            </w:tcBorders>
            <w:vAlign w:val="center"/>
          </w:tcPr>
          <w:p w14:paraId="3D93BA07">
            <w:pPr>
              <w:autoSpaceDE w:val="0"/>
              <w:autoSpaceDN w:val="0"/>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总计价</w:t>
            </w:r>
          </w:p>
          <w:p w14:paraId="2F24B59C">
            <w:pPr>
              <w:jc w:val="center"/>
              <w:rPr>
                <w:rFonts w:hint="eastAsia" w:ascii="宋体" w:hAnsi="宋体" w:eastAsia="宋体" w:cs="宋体"/>
                <w:color w:val="auto"/>
                <w:kern w:val="0"/>
                <w:sz w:val="24"/>
                <w:szCs w:val="24"/>
                <w:highlight w:val="none"/>
                <w:lang w:bidi="ar"/>
              </w:rPr>
            </w:pP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eastAsia="zh-CN"/>
              </w:rPr>
              <w:t>序号</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p>
        </w:tc>
        <w:tc>
          <w:tcPr>
            <w:tcW w:w="4646" w:type="dxa"/>
            <w:gridSpan w:val="2"/>
            <w:tcBorders>
              <w:top w:val="single" w:color="auto" w:sz="6" w:space="0"/>
              <w:left w:val="single" w:color="auto" w:sz="6" w:space="0"/>
              <w:bottom w:val="single" w:color="auto" w:sz="6" w:space="0"/>
              <w:right w:val="single" w:color="auto" w:sz="12" w:space="0"/>
            </w:tcBorders>
            <w:vAlign w:val="center"/>
          </w:tcPr>
          <w:p w14:paraId="0018280F">
            <w:pPr>
              <w:ind w:right="-11"/>
              <w:jc w:val="center"/>
              <w:rPr>
                <w:rFonts w:ascii="宋体" w:hAnsi="宋体" w:cs="宋体"/>
                <w:color w:val="auto"/>
                <w:highlight w:val="none"/>
              </w:rPr>
            </w:pPr>
          </w:p>
        </w:tc>
      </w:tr>
    </w:tbl>
    <w:p w14:paraId="547DF369">
      <w:pPr>
        <w:spacing w:line="380" w:lineRule="exact"/>
        <w:rPr>
          <w:rFonts w:ascii="新宋体" w:hAnsi="新宋体" w:eastAsia="新宋体" w:cs="新宋体"/>
          <w:color w:val="auto"/>
          <w:sz w:val="22"/>
          <w:szCs w:val="22"/>
          <w:highlight w:val="none"/>
        </w:rPr>
      </w:pPr>
    </w:p>
    <w:p w14:paraId="4774C9A4">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63E0D2E9">
      <w:pPr>
        <w:numPr>
          <w:ilvl w:val="0"/>
          <w:numId w:val="22"/>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投标分项报价表内总计价应与附件二中“开标一览表”投标报价相一致。</w:t>
      </w:r>
    </w:p>
    <w:p w14:paraId="299275B7">
      <w:pPr>
        <w:numPr>
          <w:ilvl w:val="0"/>
          <w:numId w:val="22"/>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不提供此表的报价，视为没有实质性响应采购文件要求，如已包含在其他报价中填（含）。</w:t>
      </w:r>
    </w:p>
    <w:p w14:paraId="2F275612">
      <w:pPr>
        <w:numPr>
          <w:ilvl w:val="0"/>
          <w:numId w:val="22"/>
        </w:num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本表可在不改变主要格式的情况下根据具体需要自行调整。</w:t>
      </w:r>
    </w:p>
    <w:p w14:paraId="3F0880A9">
      <w:pPr>
        <w:spacing w:line="380" w:lineRule="exact"/>
        <w:rPr>
          <w:rFonts w:ascii="新宋体" w:hAnsi="新宋体" w:eastAsia="新宋体" w:cs="新宋体"/>
          <w:color w:val="auto"/>
          <w:sz w:val="22"/>
          <w:highlight w:val="none"/>
        </w:rPr>
      </w:pPr>
    </w:p>
    <w:p w14:paraId="1AD54289">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322B9789">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法定代表人或授权代表（签名）：</w:t>
      </w:r>
    </w:p>
    <w:p w14:paraId="096F8BE3">
      <w:pPr>
        <w:overflowPunct w:val="0"/>
        <w:spacing w:line="38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日 期：  年  月  日</w:t>
      </w:r>
    </w:p>
    <w:p w14:paraId="0183DB52">
      <w:pPr>
        <w:pStyle w:val="2"/>
        <w:rPr>
          <w:rFonts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145" w:name="_Toc7076"/>
      <w:bookmarkStart w:id="146" w:name="_Toc71374680"/>
      <w:r>
        <w:rPr>
          <w:rFonts w:hint="eastAsia" w:ascii="新宋体" w:hAnsi="新宋体" w:eastAsia="新宋体" w:cs="新宋体"/>
          <w:color w:val="auto"/>
          <w:sz w:val="36"/>
          <w:szCs w:val="36"/>
          <w:highlight w:val="none"/>
        </w:rPr>
        <w:t>第四部分   采购内容及要求</w:t>
      </w:r>
      <w:bookmarkEnd w:id="145"/>
      <w:bookmarkEnd w:id="146"/>
    </w:p>
    <w:p w14:paraId="53CDB593">
      <w:pPr>
        <w:spacing w:line="360" w:lineRule="auto"/>
        <w:ind w:firstLine="440" w:firstLineChars="200"/>
        <w:rPr>
          <w:rFonts w:ascii="宋体" w:hAnsi="宋体" w:cs="宋体"/>
          <w:color w:val="auto"/>
          <w:sz w:val="22"/>
          <w:szCs w:val="22"/>
          <w:highlight w:val="none"/>
        </w:rPr>
      </w:pPr>
    </w:p>
    <w:p w14:paraId="0F94089B">
      <w:pPr>
        <w:widowControl/>
        <w:autoSpaceDE w:val="0"/>
        <w:autoSpaceDN w:val="0"/>
        <w:snapToGrid w:val="0"/>
        <w:spacing w:line="360" w:lineRule="auto"/>
        <w:jc w:val="left"/>
        <w:rPr>
          <w:rFonts w:ascii="宋体" w:hAnsi="宋体" w:cs="宋体"/>
          <w:b/>
          <w:bCs/>
          <w:color w:val="auto"/>
          <w:sz w:val="22"/>
          <w:highlight w:val="none"/>
        </w:rPr>
      </w:pPr>
      <w:bookmarkStart w:id="147" w:name="_Toc28073"/>
      <w:bookmarkStart w:id="148" w:name="_Toc26699"/>
      <w:bookmarkStart w:id="149" w:name="_Toc27527"/>
      <w:bookmarkStart w:id="150" w:name="_Toc479601381"/>
      <w:bookmarkStart w:id="151" w:name="_Toc486540098"/>
      <w:bookmarkStart w:id="152" w:name="_Toc19998"/>
      <w:bookmarkStart w:id="153" w:name="_Toc21346"/>
      <w:bookmarkStart w:id="154" w:name="_Toc265529390"/>
      <w:bookmarkStart w:id="155" w:name="_Toc223716005"/>
      <w:bookmarkStart w:id="156" w:name="_Toc221356960"/>
      <w:bookmarkStart w:id="157" w:name="_Toc241404209"/>
      <w:bookmarkStart w:id="158" w:name="_Toc222114886"/>
      <w:bookmarkStart w:id="159" w:name="_Toc71374681"/>
      <w:bookmarkStart w:id="160" w:name="_Toc239145361"/>
      <w:bookmarkStart w:id="161" w:name="_Toc221356897"/>
      <w:bookmarkStart w:id="162" w:name="_Toc221423626"/>
      <w:bookmarkStart w:id="163" w:name="_Toc221374633"/>
      <w:r>
        <w:rPr>
          <w:rFonts w:hint="eastAsia" w:ascii="宋体" w:hAnsi="宋体" w:cs="宋体"/>
          <w:b/>
          <w:bCs/>
          <w:color w:val="auto"/>
          <w:sz w:val="22"/>
          <w:highlight w:val="none"/>
        </w:rPr>
        <w:t>一、项目简介</w:t>
      </w:r>
    </w:p>
    <w:p w14:paraId="69AB856C">
      <w:pPr>
        <w:widowControl/>
        <w:autoSpaceDE w:val="0"/>
        <w:autoSpaceDN w:val="0"/>
        <w:snapToGrid w:val="0"/>
        <w:spacing w:line="360" w:lineRule="auto"/>
        <w:ind w:firstLine="440" w:firstLineChars="200"/>
        <w:jc w:val="left"/>
        <w:rPr>
          <w:rFonts w:ascii="宋体" w:hAnsi="宋体" w:cs="宋体"/>
          <w:color w:val="auto"/>
          <w:sz w:val="22"/>
          <w:highlight w:val="none"/>
        </w:rPr>
      </w:pPr>
      <w:r>
        <w:rPr>
          <w:rFonts w:hint="eastAsia" w:ascii="宋体" w:hAnsi="宋体" w:cs="宋体"/>
          <w:color w:val="auto"/>
          <w:sz w:val="22"/>
          <w:highlight w:val="none"/>
        </w:rPr>
        <w:t>浙江鼎力工程项目管理有限公司受</w:t>
      </w:r>
      <w:r>
        <w:rPr>
          <w:rFonts w:hint="eastAsia" w:ascii="宋体" w:hAnsi="宋体" w:cs="宋体"/>
          <w:color w:val="auto"/>
          <w:sz w:val="22"/>
          <w:highlight w:val="none"/>
          <w:lang w:eastAsia="zh-CN"/>
        </w:rPr>
        <w:t>温州园博园建设发展有限公司</w:t>
      </w:r>
      <w:r>
        <w:rPr>
          <w:rFonts w:hint="eastAsia" w:ascii="宋体" w:hAnsi="宋体" w:cs="宋体"/>
          <w:color w:val="auto"/>
          <w:sz w:val="22"/>
          <w:highlight w:val="none"/>
        </w:rPr>
        <w:t>委托，以公开招标方式采购</w:t>
      </w:r>
      <w:r>
        <w:rPr>
          <w:rFonts w:hint="eastAsia" w:ascii="宋体" w:hAnsi="宋体" w:cs="宋体"/>
          <w:color w:val="auto"/>
          <w:sz w:val="22"/>
          <w:highlight w:val="none"/>
          <w:lang w:eastAsia="zh-CN"/>
        </w:rPr>
        <w:t>第十五届中国（温州）国际园林博览会筹开服务</w:t>
      </w:r>
      <w:r>
        <w:rPr>
          <w:rFonts w:hint="eastAsia" w:ascii="宋体" w:hAnsi="宋体" w:cs="宋体"/>
          <w:color w:val="auto"/>
          <w:sz w:val="22"/>
          <w:highlight w:val="none"/>
        </w:rPr>
        <w:t>，我们热忱欢迎有关公司（企业）前来进行投标。</w:t>
      </w:r>
    </w:p>
    <w:p w14:paraId="6DC08A98">
      <w:pPr>
        <w:numPr>
          <w:ilvl w:val="0"/>
          <w:numId w:val="23"/>
        </w:numPr>
        <w:spacing w:line="400" w:lineRule="exac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成交供应商服务内容</w:t>
      </w:r>
    </w:p>
    <w:p w14:paraId="6A0A618B">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具体服务内容如下：</w:t>
      </w:r>
    </w:p>
    <w:p w14:paraId="1AAA269D">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文旅</w:t>
      </w:r>
      <w:r>
        <w:rPr>
          <w:rFonts w:hint="eastAsia" w:ascii="宋体" w:hAnsi="宋体" w:eastAsia="宋体" w:cs="宋体"/>
          <w:color w:val="auto"/>
          <w:szCs w:val="21"/>
          <w:highlight w:val="none"/>
          <w:lang w:val="en-US" w:eastAsia="zh-CN"/>
        </w:rPr>
        <w:t>商</w:t>
      </w:r>
      <w:r>
        <w:rPr>
          <w:rFonts w:hint="eastAsia" w:ascii="宋体" w:hAnsi="宋体" w:eastAsia="宋体" w:cs="宋体"/>
          <w:color w:val="auto"/>
          <w:szCs w:val="21"/>
          <w:highlight w:val="none"/>
        </w:rPr>
        <w:t>项目策划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成交供应商提供项目策划服务。包含项目</w:t>
      </w:r>
      <w:r>
        <w:rPr>
          <w:rFonts w:hint="eastAsia" w:ascii="宋体" w:hAnsi="宋体" w:eastAsia="宋体" w:cs="宋体"/>
          <w:color w:val="auto"/>
          <w:szCs w:val="21"/>
          <w:highlight w:val="none"/>
        </w:rPr>
        <w:t>总体策划方案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产品定位方案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商业</w:t>
      </w:r>
      <w:r>
        <w:rPr>
          <w:rFonts w:hint="eastAsia" w:ascii="宋体" w:hAnsi="宋体" w:eastAsia="宋体" w:cs="宋体"/>
          <w:color w:val="auto"/>
          <w:szCs w:val="21"/>
          <w:highlight w:val="none"/>
        </w:rPr>
        <w:t>招商方案</w:t>
      </w:r>
      <w:r>
        <w:rPr>
          <w:rFonts w:hint="eastAsia" w:ascii="宋体" w:hAnsi="宋体" w:eastAsia="宋体" w:cs="宋体"/>
          <w:color w:val="auto"/>
          <w:szCs w:val="21"/>
          <w:highlight w:val="none"/>
          <w:lang w:eastAsia="zh-CN"/>
        </w:rPr>
        <w:t>。</w:t>
      </w:r>
    </w:p>
    <w:p w14:paraId="42D6DB2E">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景区</w:t>
      </w:r>
      <w:r>
        <w:rPr>
          <w:rFonts w:hint="eastAsia" w:ascii="宋体" w:hAnsi="宋体" w:eastAsia="宋体" w:cs="宋体"/>
          <w:color w:val="auto"/>
          <w:szCs w:val="21"/>
          <w:highlight w:val="none"/>
          <w:lang w:val="en-US" w:eastAsia="zh-CN"/>
        </w:rPr>
        <w:t>指示系统</w:t>
      </w:r>
      <w:r>
        <w:rPr>
          <w:rFonts w:hint="eastAsia" w:ascii="宋体" w:hAnsi="宋体" w:eastAsia="宋体" w:cs="宋体"/>
          <w:color w:val="auto"/>
          <w:szCs w:val="21"/>
          <w:highlight w:val="none"/>
        </w:rPr>
        <w:t>规划</w:t>
      </w:r>
      <w:r>
        <w:rPr>
          <w:rFonts w:hint="eastAsia" w:ascii="宋体" w:hAnsi="宋体" w:eastAsia="宋体" w:cs="宋体"/>
          <w:color w:val="auto"/>
          <w:szCs w:val="21"/>
          <w:highlight w:val="none"/>
          <w:lang w:val="en-US" w:eastAsia="zh-CN"/>
        </w:rPr>
        <w:t>及设计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根据景区运营专业意见，对指示</w:t>
      </w:r>
      <w:r>
        <w:rPr>
          <w:rFonts w:hint="eastAsia" w:ascii="宋体" w:hAnsi="宋体" w:eastAsia="宋体" w:cs="宋体"/>
          <w:color w:val="auto"/>
          <w:szCs w:val="21"/>
          <w:highlight w:val="none"/>
        </w:rPr>
        <w:t>系统</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rPr>
        <w:t>设计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并对具体</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位进行规划</w:t>
      </w:r>
      <w:r>
        <w:rPr>
          <w:rFonts w:hint="eastAsia" w:ascii="宋体" w:hAnsi="宋体" w:eastAsia="宋体" w:cs="宋体"/>
          <w:color w:val="auto"/>
          <w:szCs w:val="21"/>
          <w:highlight w:val="none"/>
          <w:lang w:eastAsia="zh-CN"/>
        </w:rPr>
        <w:t>。</w:t>
      </w:r>
    </w:p>
    <w:p w14:paraId="31429419">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景区筹开运营管理：</w:t>
      </w:r>
    </w:p>
    <w:p w14:paraId="1D950435">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招商管理：</w:t>
      </w:r>
      <w:r>
        <w:rPr>
          <w:rFonts w:hint="eastAsia" w:ascii="宋体" w:hAnsi="宋体" w:eastAsia="宋体" w:cs="宋体"/>
          <w:color w:val="auto"/>
          <w:szCs w:val="21"/>
          <w:highlight w:val="none"/>
          <w:lang w:val="en-US" w:eastAsia="zh-CN"/>
        </w:rPr>
        <w:t>成交供应商提供</w:t>
      </w:r>
      <w:r>
        <w:rPr>
          <w:rFonts w:hint="eastAsia" w:ascii="宋体" w:hAnsi="宋体" w:eastAsia="宋体" w:cs="宋体"/>
          <w:color w:val="auto"/>
          <w:szCs w:val="21"/>
          <w:highlight w:val="none"/>
        </w:rPr>
        <w:t>招商</w:t>
      </w:r>
      <w:r>
        <w:rPr>
          <w:rFonts w:hint="eastAsia" w:ascii="宋体" w:hAnsi="宋体" w:eastAsia="宋体" w:cs="宋体"/>
          <w:color w:val="auto"/>
          <w:szCs w:val="21"/>
          <w:highlight w:val="none"/>
          <w:lang w:val="en-US" w:eastAsia="zh-CN"/>
        </w:rPr>
        <w:t>管理服务，包含但不限于：市场调研及资料收集整理、商业定位及业态规划、制订商户经营管理规范；制定租赁条件及招商政策；市场及租户摸排及进驻意向、储备商户资源；确定商户工程条件标准；招商洽谈、合同签订、商户入场装修、商户开业；开业前人员架构组建及招聘；建立服务标准化体系；招商组建团队（其中包含：1名商业总监、1名招商经理）等。</w:t>
      </w:r>
    </w:p>
    <w:p w14:paraId="4BDB0E54">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工程及设计咨询管理。成交供应商提供工程及设计咨询管理服务。包含但不限于：工程条件提需，整体业态呈现、施工管理、装修材料推荐、工期管理、业态施工竣工全周期管理服务，保障业态呈现效果；设计过程管理、装修风格色调管控、功能分区等全周期设计咨询服务，保障业态设计可落地性；与各单位沟通与协调，从文旅运营层面的提出建设意见，跟踪运营相关问题的落实、确保施工结果符合后期运营的需要；工程咨询团队组建（包含：1名工程总监、1名工程经理）等。</w:t>
      </w:r>
    </w:p>
    <w:p w14:paraId="2E6DF953">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活动及组织编排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成交供应商提供活动及组织编排服务，包含但不限于：活动创意策划等相关工作</w:t>
      </w:r>
      <w:r>
        <w:rPr>
          <w:rFonts w:hint="eastAsia" w:ascii="宋体" w:hAnsi="宋体" w:eastAsia="宋体" w:cs="宋体"/>
          <w:color w:val="auto"/>
          <w:szCs w:val="21"/>
          <w:highlight w:val="none"/>
          <w:lang w:eastAsia="zh-CN"/>
        </w:rPr>
        <w:t>。</w:t>
      </w:r>
    </w:p>
    <w:p w14:paraId="28B92E81">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筹开运营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成交供应商提供筹开运营服务。包含但不限于：筹开运营团队组建（包含1名项目总、1名运营总监）；运营管理团队招聘、组建及管理；协助业主方办理各项审批程序、协助配合政府相关大型活动的开展、相关政府机关间的沟通协调；标准化文件的制订产出与执行；景区相关制度的建立与完善、景区业态统筹管理；结合运营经验从销售、设备设施匹配等层面进行运营前期指导；人员技能培训；景区各类应急预案的制订与执行、各类突发情况演练等。</w:t>
      </w:r>
    </w:p>
    <w:p w14:paraId="1AAE79CB">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5）项目团队驻场及组建：组建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人左右的项目团队（含上述商业、工程、运营驻场团队），提前1月全面项目驻场（包含：由项目总带队，商务负责人、采购及成本人员、策划及产品组、行政及后勤保障组、营销活动组等），具体人数及时间以实际情况为准。</w:t>
      </w:r>
    </w:p>
    <w:p w14:paraId="44095DA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具体内容以最终中标后双方签署的合同为准。</w:t>
      </w:r>
    </w:p>
    <w:p w14:paraId="6D4932DA">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1.4服务内容成果包括但不限于：《总体策划方案》、《产品定位方案》、《商业招商方案》等；</w:t>
      </w:r>
    </w:p>
    <w:p w14:paraId="460452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2合同签订后，双方根据服务内容，</w:t>
      </w:r>
      <w:r>
        <w:rPr>
          <w:rFonts w:hint="eastAsia" w:ascii="宋体" w:hAnsi="宋体" w:cs="宋体"/>
          <w:color w:val="auto"/>
          <w:szCs w:val="21"/>
          <w:highlight w:val="none"/>
          <w:lang w:eastAsia="zh-CN"/>
        </w:rPr>
        <w:t>明确具体验收清单</w:t>
      </w:r>
      <w:r>
        <w:rPr>
          <w:rFonts w:hint="eastAsia" w:ascii="宋体" w:hAnsi="宋体" w:cs="宋体"/>
          <w:color w:val="auto"/>
          <w:szCs w:val="21"/>
          <w:highlight w:val="none"/>
        </w:rPr>
        <w:t>；</w:t>
      </w:r>
    </w:p>
    <w:p w14:paraId="620C6F59">
      <w:pPr>
        <w:tabs>
          <w:tab w:val="left" w:pos="666"/>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3.项目服务要求或验收标准：</w:t>
      </w:r>
    </w:p>
    <w:p w14:paraId="476661B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（1）工程及设计咨询管理、活动及组织编排、咨询成果、筹开运营服务应以达到项目开业率</w:t>
      </w:r>
      <w:r>
        <w:rPr>
          <w:rFonts w:hint="eastAsia" w:ascii="宋体" w:hAnsi="宋体" w:cs="宋体"/>
          <w:color w:val="auto"/>
          <w:szCs w:val="21"/>
          <w:highlight w:val="none"/>
          <w:lang w:eastAsia="zh-CN"/>
        </w:rPr>
        <w:t>及“园博园”规格</w:t>
      </w:r>
      <w:r>
        <w:rPr>
          <w:rFonts w:hint="eastAsia" w:ascii="宋体" w:hAnsi="宋体" w:cs="宋体"/>
          <w:color w:val="auto"/>
          <w:szCs w:val="21"/>
          <w:highlight w:val="none"/>
        </w:rPr>
        <w:t>相匹配的服务，服务须经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审核合格。</w:t>
      </w:r>
    </w:p>
    <w:p w14:paraId="6F81FC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（2）三溪市集、园博工坊、园博驿站（暂定名）满足可招商条件面积的开业率目标为70%。</w:t>
      </w:r>
    </w:p>
    <w:p w14:paraId="02CD3A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（3）项目团队应具备专业的技术能力，团队稳定。</w:t>
      </w:r>
    </w:p>
    <w:p w14:paraId="422E06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（4）履约验收执行《市城发集团企业采购履约验收办法（试行）》的通知的要求。</w:t>
      </w:r>
    </w:p>
    <w:p w14:paraId="6CEDCB2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履约情况和售后服务明显不符合合同标准的，有权将</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纳入集团“黑名单”，</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的不良行为或违规失信记录永久留痕并可追溯。</w:t>
      </w:r>
    </w:p>
    <w:p w14:paraId="4564F04B">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）验收清单内明确的验收标准。</w:t>
      </w:r>
    </w:p>
    <w:p w14:paraId="5014E1F6">
      <w:pPr>
        <w:spacing w:line="40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、供应商应参照5A级景区或国家级旅游度假区筹开服务标准提供服务。</w:t>
      </w:r>
    </w:p>
    <w:p w14:paraId="4FD08C50">
      <w:pPr>
        <w:spacing w:line="400" w:lineRule="exact"/>
        <w:ind w:firstLine="420" w:firstLineChars="200"/>
        <w:rPr>
          <w:rFonts w:hint="eastAsia" w:ascii="宋体" w:hAnsi="宋体" w:cs="宋体"/>
          <w:color w:val="auto"/>
          <w:szCs w:val="21"/>
          <w:highlight w:val="none"/>
          <w:lang w:val="en-US" w:eastAsia="zh-CN"/>
        </w:rPr>
      </w:pPr>
    </w:p>
    <w:p w14:paraId="541DA15C">
      <w:pPr>
        <w:pStyle w:val="41"/>
        <w:autoSpaceDE w:val="0"/>
        <w:autoSpaceDN w:val="0"/>
        <w:adjustRightInd w:val="0"/>
        <w:snapToGrid w:val="0"/>
        <w:spacing w:line="360" w:lineRule="auto"/>
        <w:ind w:left="480" w:hanging="480" w:firstLineChars="0"/>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三、合同价款支付标准详见合同要求。</w:t>
      </w:r>
    </w:p>
    <w:p w14:paraId="07AC11BE">
      <w:pPr>
        <w:rPr>
          <w:rFonts w:hint="eastAsia" w:ascii="宋体" w:hAnsi="宋体" w:cs="宋体"/>
          <w:b/>
          <w:color w:val="auto"/>
          <w:sz w:val="22"/>
          <w:szCs w:val="22"/>
          <w:highlight w:val="none"/>
        </w:rPr>
      </w:pPr>
    </w:p>
    <w:p w14:paraId="489E99FA">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73ADC803">
      <w:pPr>
        <w:pStyle w:val="41"/>
        <w:autoSpaceDE w:val="0"/>
        <w:autoSpaceDN w:val="0"/>
        <w:adjustRightInd w:val="0"/>
        <w:snapToGrid w:val="0"/>
        <w:spacing w:line="360" w:lineRule="auto"/>
        <w:ind w:left="480" w:hanging="480" w:firstLineChars="0"/>
        <w:rPr>
          <w:rFonts w:hint="eastAsia" w:ascii="宋体" w:hAnsi="宋体" w:cs="宋体"/>
          <w:b/>
          <w:color w:val="auto"/>
          <w:sz w:val="22"/>
          <w:szCs w:val="22"/>
          <w:highlight w:val="none"/>
        </w:rPr>
      </w:pPr>
    </w:p>
    <w:bookmarkEnd w:id="147"/>
    <w:bookmarkEnd w:id="148"/>
    <w:bookmarkEnd w:id="149"/>
    <w:bookmarkEnd w:id="150"/>
    <w:bookmarkEnd w:id="151"/>
    <w:bookmarkEnd w:id="152"/>
    <w:bookmarkEnd w:id="153"/>
    <w:p w14:paraId="3F1311B9">
      <w:pPr>
        <w:pStyle w:val="3"/>
        <w:jc w:val="center"/>
        <w:rPr>
          <w:rFonts w:ascii="新宋体" w:hAnsi="新宋体" w:eastAsia="新宋体" w:cs="新宋体"/>
          <w:color w:val="auto"/>
          <w:sz w:val="36"/>
          <w:szCs w:val="36"/>
          <w:highlight w:val="none"/>
        </w:rPr>
      </w:pPr>
      <w:bookmarkStart w:id="164" w:name="_Toc18857"/>
      <w:r>
        <w:rPr>
          <w:rFonts w:hint="eastAsia" w:ascii="新宋体" w:hAnsi="新宋体" w:eastAsia="新宋体" w:cs="新宋体"/>
          <w:color w:val="auto"/>
          <w:sz w:val="36"/>
          <w:szCs w:val="36"/>
          <w:highlight w:val="none"/>
        </w:rPr>
        <w:t>第五部分   评标原则及方法</w:t>
      </w:r>
      <w:bookmarkEnd w:id="154"/>
      <w:bookmarkEnd w:id="155"/>
      <w:bookmarkEnd w:id="156"/>
      <w:bookmarkEnd w:id="157"/>
      <w:bookmarkEnd w:id="158"/>
      <w:bookmarkEnd w:id="159"/>
      <w:bookmarkEnd w:id="160"/>
      <w:bookmarkEnd w:id="161"/>
      <w:bookmarkEnd w:id="162"/>
      <w:bookmarkEnd w:id="163"/>
      <w:bookmarkEnd w:id="164"/>
    </w:p>
    <w:p w14:paraId="5C7E5F35">
      <w:pPr>
        <w:pStyle w:val="10"/>
        <w:spacing w:after="0" w:line="460" w:lineRule="exact"/>
        <w:rPr>
          <w:rFonts w:ascii="新宋体" w:hAnsi="新宋体" w:eastAsia="新宋体" w:cs="新宋体"/>
          <w:b/>
          <w:color w:val="auto"/>
          <w:sz w:val="22"/>
          <w:szCs w:val="22"/>
          <w:highlight w:val="none"/>
        </w:rPr>
      </w:pPr>
      <w:bookmarkStart w:id="165" w:name="_Toc221356961"/>
      <w:bookmarkStart w:id="166" w:name="_Toc221356898"/>
      <w:r>
        <w:rPr>
          <w:rFonts w:hint="eastAsia" w:ascii="新宋体" w:hAnsi="新宋体" w:eastAsia="新宋体" w:cs="新宋体"/>
          <w:b/>
          <w:color w:val="auto"/>
          <w:sz w:val="22"/>
          <w:szCs w:val="22"/>
          <w:highlight w:val="none"/>
        </w:rPr>
        <w:t>一. 总  则</w:t>
      </w:r>
      <w:bookmarkEnd w:id="165"/>
      <w:bookmarkEnd w:id="166"/>
    </w:p>
    <w:p w14:paraId="7433A21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服务质量、节约投资，最大限度的保护当事人权益，严格按照采购文件的商务、技术要求，对投标文件进行综合评定，提出优选方案，编写评标报告。对落标单位，评委会不作任何落标解释。</w:t>
      </w:r>
    </w:p>
    <w:p w14:paraId="67DC91F5">
      <w:pPr>
        <w:pStyle w:val="10"/>
        <w:spacing w:after="0" w:line="460" w:lineRule="exact"/>
        <w:rPr>
          <w:rFonts w:ascii="新宋体" w:hAnsi="新宋体" w:eastAsia="新宋体" w:cs="新宋体"/>
          <w:b/>
          <w:color w:val="auto"/>
          <w:sz w:val="22"/>
          <w:szCs w:val="22"/>
          <w:highlight w:val="none"/>
        </w:rPr>
      </w:pPr>
      <w:bookmarkStart w:id="167" w:name="_Toc221356962"/>
      <w:bookmarkStart w:id="168" w:name="_Toc221356899"/>
      <w:r>
        <w:rPr>
          <w:rFonts w:hint="eastAsia" w:ascii="新宋体" w:hAnsi="新宋体" w:eastAsia="新宋体" w:cs="新宋体"/>
          <w:b/>
          <w:color w:val="auto"/>
          <w:sz w:val="22"/>
          <w:szCs w:val="22"/>
          <w:highlight w:val="none"/>
        </w:rPr>
        <w:t>二、评标组织</w:t>
      </w:r>
      <w:bookmarkEnd w:id="167"/>
      <w:bookmarkEnd w:id="168"/>
    </w:p>
    <w:p w14:paraId="65E3591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ascii="新宋体" w:hAnsi="新宋体" w:eastAsia="新宋体" w:cs="新宋体"/>
          <w:color w:val="auto"/>
          <w:sz w:val="22"/>
          <w:szCs w:val="22"/>
          <w:highlight w:val="none"/>
        </w:rPr>
        <w:t>采购人</w:t>
      </w:r>
      <w:r>
        <w:rPr>
          <w:rFonts w:hint="eastAsia" w:ascii="新宋体" w:hAnsi="新宋体" w:eastAsia="新宋体" w:cs="新宋体"/>
          <w:color w:val="auto"/>
          <w:sz w:val="22"/>
          <w:szCs w:val="22"/>
          <w:highlight w:val="none"/>
        </w:rPr>
        <w:t>依法组建的评标委员会负责，评标全过程由有关部门指导监督。</w:t>
      </w:r>
    </w:p>
    <w:p w14:paraId="2407C2A2">
      <w:pPr>
        <w:pStyle w:val="10"/>
        <w:spacing w:after="0" w:line="460" w:lineRule="exact"/>
        <w:rPr>
          <w:rFonts w:ascii="新宋体" w:hAnsi="新宋体" w:eastAsia="新宋体" w:cs="新宋体"/>
          <w:b/>
          <w:color w:val="auto"/>
          <w:sz w:val="22"/>
          <w:szCs w:val="22"/>
          <w:highlight w:val="none"/>
        </w:rPr>
      </w:pPr>
      <w:bookmarkStart w:id="169" w:name="_Toc221356900"/>
      <w:bookmarkStart w:id="170" w:name="_Toc221356963"/>
      <w:r>
        <w:rPr>
          <w:rFonts w:hint="eastAsia" w:ascii="新宋体" w:hAnsi="新宋体" w:eastAsia="新宋体" w:cs="新宋体"/>
          <w:b/>
          <w:color w:val="auto"/>
          <w:sz w:val="22"/>
          <w:szCs w:val="22"/>
          <w:highlight w:val="none"/>
        </w:rPr>
        <w:t>三、评标程序</w:t>
      </w:r>
      <w:bookmarkEnd w:id="169"/>
      <w:bookmarkEnd w:id="170"/>
    </w:p>
    <w:p w14:paraId="0711BC4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代理机构对各投标供应商的资格进行审查；然后评标委员会对合格投标供应商的投标文件进行符合性审查，按照采购文件中规定的评标方法和标准，对符合性审查合格的投标文件进行商务和技术评估，综合比较与评价。</w:t>
      </w:r>
    </w:p>
    <w:p w14:paraId="01074016">
      <w:pPr>
        <w:pStyle w:val="10"/>
        <w:spacing w:after="0" w:line="460" w:lineRule="exact"/>
        <w:rPr>
          <w:rFonts w:ascii="新宋体" w:hAnsi="新宋体" w:eastAsia="新宋体" w:cs="新宋体"/>
          <w:b/>
          <w:color w:val="auto"/>
          <w:sz w:val="22"/>
          <w:szCs w:val="22"/>
          <w:highlight w:val="none"/>
        </w:rPr>
      </w:pPr>
      <w:bookmarkStart w:id="171" w:name="_Toc221356964"/>
      <w:bookmarkStart w:id="172" w:name="_Toc221356901"/>
      <w:r>
        <w:rPr>
          <w:rFonts w:hint="eastAsia" w:ascii="新宋体" w:hAnsi="新宋体" w:eastAsia="新宋体" w:cs="新宋体"/>
          <w:b/>
          <w:color w:val="auto"/>
          <w:sz w:val="22"/>
          <w:szCs w:val="22"/>
          <w:highlight w:val="none"/>
        </w:rPr>
        <w:t>四、评标办法</w:t>
      </w:r>
      <w:bookmarkEnd w:id="171"/>
      <w:bookmarkEnd w:id="172"/>
    </w:p>
    <w:p w14:paraId="3800145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供应商最大限度地满足采购文件实质性要求的基础上，按照采购文件的各项因素进行综合评审后，以评标总得分最高的投标供应商和次高的投标供应商作为第一中标候选供应商和第二中标候选供应商的评标方法。</w:t>
      </w:r>
    </w:p>
    <w:p w14:paraId="69E715F0">
      <w:pPr>
        <w:pStyle w:val="10"/>
        <w:spacing w:after="0" w:line="46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3B028186">
      <w:pPr>
        <w:numPr>
          <w:ilvl w:val="0"/>
          <w:numId w:val="24"/>
        </w:numPr>
        <w:spacing w:line="460" w:lineRule="exact"/>
        <w:ind w:firstLine="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技术资信部分的评定（</w:t>
      </w:r>
      <w:r>
        <w:rPr>
          <w:rFonts w:hint="eastAsia" w:ascii="新宋体" w:hAnsi="新宋体" w:eastAsia="新宋体" w:cs="新宋体"/>
          <w:b/>
          <w:bCs/>
          <w:color w:val="auto"/>
          <w:sz w:val="22"/>
          <w:szCs w:val="22"/>
          <w:highlight w:val="none"/>
          <w:lang w:val="en-US" w:eastAsia="zh-CN"/>
        </w:rPr>
        <w:t>85</w:t>
      </w:r>
      <w:r>
        <w:rPr>
          <w:rFonts w:hint="eastAsia" w:ascii="新宋体" w:hAnsi="新宋体" w:eastAsia="新宋体" w:cs="新宋体"/>
          <w:b/>
          <w:bCs/>
          <w:color w:val="auto"/>
          <w:sz w:val="22"/>
          <w:szCs w:val="22"/>
          <w:highlight w:val="none"/>
        </w:rPr>
        <w:t>分）</w:t>
      </w:r>
    </w:p>
    <w:p w14:paraId="4FEF2BB4">
      <w:pPr>
        <w:spacing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进行评审、独立打分，所有评委成员评分的算术平均值为该投标供应商技术资信部分的最终得分（四舍五入，保留小数点后二位）。</w:t>
      </w:r>
    </w:p>
    <w:tbl>
      <w:tblPr>
        <w:tblStyle w:val="25"/>
        <w:tblW w:w="9898" w:type="dxa"/>
        <w:jc w:val="center"/>
        <w:tblLayout w:type="fixed"/>
        <w:tblCellMar>
          <w:top w:w="0" w:type="dxa"/>
          <w:left w:w="108" w:type="dxa"/>
          <w:bottom w:w="0" w:type="dxa"/>
          <w:right w:w="108" w:type="dxa"/>
        </w:tblCellMar>
      </w:tblPr>
      <w:tblGrid>
        <w:gridCol w:w="765"/>
        <w:gridCol w:w="1338"/>
        <w:gridCol w:w="664"/>
        <w:gridCol w:w="7131"/>
      </w:tblGrid>
      <w:tr w14:paraId="00F98350">
        <w:tblPrEx>
          <w:tblCellMar>
            <w:top w:w="0" w:type="dxa"/>
            <w:left w:w="108" w:type="dxa"/>
            <w:bottom w:w="0" w:type="dxa"/>
            <w:right w:w="108" w:type="dxa"/>
          </w:tblCellMar>
        </w:tblPrEx>
        <w:trPr>
          <w:trHeight w:val="435" w:hRule="atLeast"/>
          <w:jc w:val="center"/>
        </w:trPr>
        <w:tc>
          <w:tcPr>
            <w:tcW w:w="76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D340D8E">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bookmarkStart w:id="173" w:name="_Toc28615"/>
            <w:r>
              <w:rPr>
                <w:rFonts w:hint="eastAsia" w:ascii="新宋体" w:hAnsi="新宋体" w:eastAsia="新宋体" w:cs="新宋体"/>
                <w:bCs/>
                <w:color w:val="auto"/>
                <w:kern w:val="2"/>
                <w:sz w:val="22"/>
                <w:szCs w:val="22"/>
                <w:highlight w:val="none"/>
                <w:lang w:val="en-US" w:eastAsia="zh-CN" w:bidi="ar-SA"/>
              </w:rPr>
              <w:t>序号</w:t>
            </w:r>
          </w:p>
        </w:tc>
        <w:tc>
          <w:tcPr>
            <w:tcW w:w="1338"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E9D00DE">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项目</w:t>
            </w:r>
          </w:p>
        </w:tc>
        <w:tc>
          <w:tcPr>
            <w:tcW w:w="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29E9D">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bidi="ar"/>
              </w:rPr>
              <w:t>分值</w:t>
            </w:r>
          </w:p>
        </w:tc>
        <w:tc>
          <w:tcPr>
            <w:tcW w:w="7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2060A">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kern w:val="0"/>
                <w:sz w:val="22"/>
                <w:szCs w:val="22"/>
                <w:highlight w:val="none"/>
                <w:lang w:bidi="ar"/>
              </w:rPr>
              <w:t>评分标准</w:t>
            </w:r>
          </w:p>
        </w:tc>
      </w:tr>
      <w:tr w14:paraId="22F86B67">
        <w:tblPrEx>
          <w:tblCellMar>
            <w:top w:w="0" w:type="dxa"/>
            <w:left w:w="108" w:type="dxa"/>
            <w:bottom w:w="0" w:type="dxa"/>
            <w:right w:w="108" w:type="dxa"/>
          </w:tblCellMar>
        </w:tblPrEx>
        <w:trPr>
          <w:trHeight w:val="5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200B5">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新宋体" w:hAnsi="新宋体" w:eastAsia="新宋体" w:cs="新宋体"/>
                <w:bCs/>
                <w:color w:val="auto"/>
                <w:kern w:val="0"/>
                <w:sz w:val="22"/>
                <w:szCs w:val="22"/>
                <w:highlight w:val="none"/>
                <w:lang w:val="en-US" w:eastAsia="zh-CN" w:bidi="ar"/>
              </w:rPr>
              <w:t>1</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3F99D">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
              </w:rPr>
              <w:t>企业业绩</w:t>
            </w:r>
          </w:p>
        </w:tc>
        <w:tc>
          <w:tcPr>
            <w:tcW w:w="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E675B">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
              </w:rPr>
              <w:t>20</w:t>
            </w:r>
          </w:p>
        </w:tc>
        <w:tc>
          <w:tcPr>
            <w:tcW w:w="7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AF76E">
            <w:pPr>
              <w:keepNext w:val="0"/>
              <w:keepLines w:val="0"/>
              <w:pageBreakBefore w:val="0"/>
              <w:widowControl/>
              <w:numPr>
                <w:ilvl w:val="0"/>
                <w:numId w:val="25"/>
              </w:numPr>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有5A级景区或国家级旅游度假区相关筹开服务（筹建及开业服务）业绩的，每提供1个得5分，最高得5分；相关筹开服务指项目正式投入运营（开街或开园）之前提供的专业服务，比如招商、策划、工程指导及设计管理等服务；</w:t>
            </w:r>
          </w:p>
          <w:p w14:paraId="15D7703B">
            <w:pPr>
              <w:keepNext w:val="0"/>
              <w:keepLines w:val="0"/>
              <w:pageBreakBefore w:val="0"/>
              <w:widowControl/>
              <w:numPr>
                <w:ilvl w:val="0"/>
                <w:numId w:val="25"/>
              </w:numPr>
              <w:kinsoku/>
              <w:wordWrap/>
              <w:overflowPunct/>
              <w:topLinePunct w:val="0"/>
              <w:autoSpaceDE/>
              <w:autoSpaceDN/>
              <w:bidi w:val="0"/>
              <w:adjustRightInd/>
              <w:snapToGrid/>
              <w:spacing w:line="360" w:lineRule="auto"/>
              <w:ind w:left="0" w:leftChars="0" w:firstLine="0" w:firstLineChars="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投标人有5A级景区或</w:t>
            </w:r>
            <w:bookmarkStart w:id="174" w:name="_GoBack"/>
            <w:bookmarkEnd w:id="174"/>
            <w:r>
              <w:rPr>
                <w:rFonts w:hint="eastAsia" w:ascii="新宋体" w:hAnsi="新宋体" w:eastAsia="新宋体" w:cs="新宋体"/>
                <w:color w:val="auto"/>
                <w:sz w:val="22"/>
                <w:szCs w:val="22"/>
                <w:highlight w:val="none"/>
                <w:lang w:val="en-US" w:eastAsia="zh-CN"/>
              </w:rPr>
              <w:t>国家级旅游度假区相关运营服务业绩的，每提供1个得5分，最高得5分。相关运营服务指项目正式投入运营（开街或开园）后提供的文旅运营专业服务；</w:t>
            </w:r>
          </w:p>
          <w:p w14:paraId="0CE2D54D">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（3）投标人有筹开服务业绩合同金额超过2千万元的，每提供一个得2分，最高得4分。</w:t>
            </w:r>
          </w:p>
          <w:p w14:paraId="22678A40">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（4）投标人有筹开服务业绩合同金额7百万元至2千万元的每提供一个得2分，最高得2分；</w:t>
            </w:r>
          </w:p>
          <w:p w14:paraId="7B8C89CE">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（5）投标人承接过国家级、国际级、联合国级的大型活动业绩的，每提供1个，得2分，最高得4分。</w:t>
            </w:r>
          </w:p>
          <w:p w14:paraId="7DF4754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注：需提供景区等级证明材料、业绩合同复印件等相关证明材料。</w:t>
            </w:r>
          </w:p>
        </w:tc>
      </w:tr>
      <w:tr w14:paraId="1D17367C">
        <w:tblPrEx>
          <w:tblCellMar>
            <w:top w:w="0" w:type="dxa"/>
            <w:left w:w="108" w:type="dxa"/>
            <w:bottom w:w="0" w:type="dxa"/>
            <w:right w:w="108" w:type="dxa"/>
          </w:tblCellMar>
        </w:tblPrEx>
        <w:trPr>
          <w:trHeight w:val="14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E779A">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新宋体" w:hAnsi="新宋体" w:eastAsia="新宋体" w:cs="新宋体"/>
                <w:bCs/>
                <w:color w:val="auto"/>
                <w:kern w:val="0"/>
                <w:sz w:val="22"/>
                <w:szCs w:val="22"/>
                <w:highlight w:val="none"/>
                <w:lang w:val="en-US" w:eastAsia="zh-CN" w:bidi="ar"/>
              </w:rPr>
              <w:t>2</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CCE9">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Theme="majorEastAsia" w:hAnsiTheme="majorEastAsia" w:eastAsiaTheme="majorEastAsia" w:cstheme="majorEastAsia"/>
                <w:color w:val="auto"/>
                <w:kern w:val="2"/>
                <w:sz w:val="24"/>
                <w:highlight w:val="none"/>
                <w:lang w:val="en-US" w:eastAsia="zh-CN" w:bidi="ar-SA"/>
              </w:rPr>
              <w:t>企业实力</w:t>
            </w:r>
          </w:p>
        </w:tc>
        <w:tc>
          <w:tcPr>
            <w:tcW w:w="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733F5">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Theme="majorEastAsia" w:hAnsiTheme="majorEastAsia" w:eastAsiaTheme="majorEastAsia" w:cstheme="majorEastAsia"/>
                <w:color w:val="auto"/>
                <w:kern w:val="2"/>
                <w:sz w:val="24"/>
                <w:highlight w:val="none"/>
                <w:lang w:val="en-US" w:eastAsia="zh-CN" w:bidi="ar-SA"/>
              </w:rPr>
              <w:t>20</w:t>
            </w:r>
          </w:p>
        </w:tc>
        <w:tc>
          <w:tcPr>
            <w:tcW w:w="7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31D72">
            <w:pPr>
              <w:keepNext w:val="0"/>
              <w:keepLines w:val="0"/>
              <w:pageBreakBefore w:val="0"/>
              <w:widowControl/>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（1）投标人获得过</w:t>
            </w:r>
            <w:r>
              <w:rPr>
                <w:rFonts w:hint="eastAsia" w:ascii="新宋体" w:hAnsi="新宋体" w:eastAsia="新宋体" w:cs="新宋体"/>
                <w:color w:val="auto"/>
                <w:sz w:val="22"/>
                <w:szCs w:val="22"/>
                <w:highlight w:val="none"/>
                <w:lang w:val="en-US" w:eastAsia="zh-CN"/>
              </w:rPr>
              <w:t>中华人民共和国文化和旅游</w:t>
            </w:r>
            <w:r>
              <w:rPr>
                <w:rFonts w:hint="eastAsia" w:ascii="新宋体" w:hAnsi="新宋体" w:eastAsia="新宋体" w:cs="新宋体"/>
                <w:color w:val="auto"/>
                <w:sz w:val="22"/>
                <w:szCs w:val="22"/>
                <w:highlight w:val="none"/>
              </w:rPr>
              <w:t>部</w:t>
            </w:r>
            <w:r>
              <w:rPr>
                <w:rFonts w:hint="eastAsia" w:asciiTheme="majorEastAsia" w:hAnsiTheme="majorEastAsia" w:eastAsiaTheme="majorEastAsia" w:cstheme="majorEastAsia"/>
                <w:color w:val="auto"/>
                <w:kern w:val="2"/>
                <w:sz w:val="22"/>
                <w:szCs w:val="22"/>
                <w:highlight w:val="none"/>
                <w:lang w:val="en-US" w:eastAsia="zh-CN" w:bidi="ar-SA"/>
              </w:rPr>
              <w:t>颁发的文旅相关奖项的，每提供1个得10分，最高得10分；</w:t>
            </w:r>
          </w:p>
          <w:p w14:paraId="11C05E96">
            <w:pPr>
              <w:keepNext w:val="0"/>
              <w:keepLines w:val="0"/>
              <w:pageBreakBefore w:val="0"/>
              <w:widowControl/>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（2）投标人获得过中国国际公共关系协会等全国性行业协会的文旅类奖项的，每提供1个得2分，最高得10分；</w:t>
            </w:r>
          </w:p>
          <w:p w14:paraId="607CBFB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新宋体" w:hAnsi="新宋体" w:eastAsia="新宋体" w:cs="新宋体"/>
                <w:color w:val="auto"/>
                <w:sz w:val="22"/>
                <w:szCs w:val="22"/>
                <w:highlight w:val="none"/>
                <w:lang w:val="en-US" w:eastAsia="zh-CN"/>
              </w:rPr>
            </w:pPr>
            <w:r>
              <w:rPr>
                <w:rFonts w:hint="eastAsia" w:asciiTheme="majorEastAsia" w:hAnsiTheme="majorEastAsia" w:eastAsiaTheme="majorEastAsia" w:cstheme="majorEastAsia"/>
                <w:color w:val="auto"/>
                <w:kern w:val="2"/>
                <w:sz w:val="22"/>
                <w:szCs w:val="22"/>
                <w:highlight w:val="none"/>
                <w:lang w:val="en-US" w:eastAsia="zh-CN" w:bidi="ar-SA"/>
              </w:rPr>
              <w:t>注：需提供证书或证明照片打印件或者复印件等相关证明材料。</w:t>
            </w:r>
          </w:p>
        </w:tc>
      </w:tr>
      <w:tr w14:paraId="7DE20368">
        <w:tblPrEx>
          <w:tblCellMar>
            <w:top w:w="0" w:type="dxa"/>
            <w:left w:w="108" w:type="dxa"/>
            <w:bottom w:w="0" w:type="dxa"/>
            <w:right w:w="108" w:type="dxa"/>
          </w:tblCellMar>
        </w:tblPrEx>
        <w:trPr>
          <w:trHeight w:val="43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B83AB">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3</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897F0">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4"/>
                <w:highlight w:val="none"/>
                <w:lang w:val="en-US" w:eastAsia="zh-CN" w:bidi="ar-SA"/>
              </w:rPr>
              <w:t>项目策划方案</w:t>
            </w:r>
          </w:p>
        </w:tc>
        <w:tc>
          <w:tcPr>
            <w:tcW w:w="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C2C1F">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4"/>
                <w:highlight w:val="none"/>
                <w:lang w:val="en-US" w:eastAsia="zh-CN" w:bidi="ar-SA"/>
              </w:rPr>
              <w:t>15</w:t>
            </w:r>
          </w:p>
        </w:tc>
        <w:tc>
          <w:tcPr>
            <w:tcW w:w="713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2EBA68">
            <w:pPr>
              <w:keepNext w:val="0"/>
              <w:keepLines w:val="0"/>
              <w:pageBreakBefore w:val="0"/>
              <w:widowControl/>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（1）市场调研充分，材料详实，项目运营定位合理，方案完善，得12-15分；</w:t>
            </w:r>
          </w:p>
          <w:p w14:paraId="1E9B2AD4">
            <w:pPr>
              <w:keepNext w:val="0"/>
              <w:keepLines w:val="0"/>
              <w:pageBreakBefore w:val="0"/>
              <w:widowControl/>
              <w:kinsoku/>
              <w:wordWrap/>
              <w:overflowPunct/>
              <w:topLinePunct w:val="0"/>
              <w:autoSpaceDE/>
              <w:autoSpaceDN/>
              <w:bidi w:val="0"/>
              <w:adjustRightInd/>
              <w:snapToGrid/>
              <w:spacing w:line="360" w:lineRule="auto"/>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（2）市场调研资料详细，分析细微深入，项目经营定位较合理，方案较完善，得8-12分；</w:t>
            </w:r>
          </w:p>
          <w:p w14:paraId="2EE929B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Theme="majorEastAsia" w:hAnsiTheme="majorEastAsia" w:eastAsiaTheme="majorEastAsia" w:cstheme="majorEastAsia"/>
                <w:color w:val="auto"/>
                <w:kern w:val="2"/>
                <w:sz w:val="22"/>
                <w:szCs w:val="22"/>
                <w:highlight w:val="none"/>
                <w:lang w:val="en-US" w:eastAsia="zh-CN" w:bidi="ar-SA"/>
              </w:rPr>
            </w:pPr>
            <w:r>
              <w:rPr>
                <w:rFonts w:hint="eastAsia" w:asciiTheme="majorEastAsia" w:hAnsiTheme="majorEastAsia" w:eastAsiaTheme="majorEastAsia" w:cstheme="majorEastAsia"/>
                <w:color w:val="auto"/>
                <w:kern w:val="2"/>
                <w:sz w:val="22"/>
                <w:szCs w:val="22"/>
                <w:highlight w:val="none"/>
                <w:lang w:val="en-US" w:eastAsia="zh-CN" w:bidi="ar-SA"/>
              </w:rPr>
              <w:t>（3）市场调研不足，材料缺乏，分析不深入、不透彻，定位不合理，方案较差的，得4-8分。</w:t>
            </w:r>
          </w:p>
          <w:p w14:paraId="063FF57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lang w:val="en-US" w:eastAsia="zh-CN"/>
              </w:rPr>
            </w:pPr>
            <w:r>
              <w:rPr>
                <w:rFonts w:hint="eastAsia" w:asciiTheme="majorEastAsia" w:hAnsiTheme="majorEastAsia" w:eastAsiaTheme="majorEastAsia" w:cstheme="majorEastAsia"/>
                <w:color w:val="auto"/>
                <w:kern w:val="2"/>
                <w:sz w:val="22"/>
                <w:szCs w:val="22"/>
                <w:highlight w:val="none"/>
                <w:lang w:val="en-US" w:eastAsia="zh-CN" w:bidi="ar-SA"/>
              </w:rPr>
              <w:t>注：提供项目策划方案，不提供不得分。</w:t>
            </w:r>
          </w:p>
        </w:tc>
      </w:tr>
      <w:tr w14:paraId="1CF1E6A9">
        <w:tblPrEx>
          <w:tblCellMar>
            <w:top w:w="0" w:type="dxa"/>
            <w:left w:w="108" w:type="dxa"/>
            <w:bottom w:w="0" w:type="dxa"/>
            <w:right w:w="108" w:type="dxa"/>
          </w:tblCellMar>
        </w:tblPrEx>
        <w:trPr>
          <w:trHeight w:val="5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B24F3">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新宋体" w:hAnsi="新宋体" w:eastAsia="新宋体" w:cs="新宋体"/>
                <w:bCs/>
                <w:color w:val="auto"/>
                <w:kern w:val="0"/>
                <w:sz w:val="22"/>
                <w:szCs w:val="22"/>
                <w:highlight w:val="none"/>
                <w:lang w:val="en-US" w:eastAsia="zh-CN" w:bidi="ar"/>
              </w:rPr>
              <w:t>4</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C7CB8">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val="en-US" w:eastAsia="zh-CN" w:bidi="ar"/>
              </w:rPr>
              <w:t>项目规划布局</w:t>
            </w:r>
          </w:p>
        </w:tc>
        <w:tc>
          <w:tcPr>
            <w:tcW w:w="6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37C89">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val="en-US" w:eastAsia="zh-CN" w:bidi="ar"/>
              </w:rPr>
              <w:t>10</w:t>
            </w:r>
          </w:p>
        </w:tc>
        <w:tc>
          <w:tcPr>
            <w:tcW w:w="713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52F8E9">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1</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lang w:val="en-US" w:eastAsia="zh-CN"/>
              </w:rPr>
              <w:t>景区</w:t>
            </w:r>
            <w:r>
              <w:rPr>
                <w:rFonts w:hint="eastAsia" w:ascii="新宋体" w:hAnsi="新宋体" w:eastAsia="新宋体" w:cs="新宋体"/>
                <w:color w:val="auto"/>
                <w:sz w:val="22"/>
                <w:szCs w:val="22"/>
                <w:highlight w:val="none"/>
              </w:rPr>
              <w:t>规划及功能区划布局合理、先进科学的，</w:t>
            </w:r>
            <w:r>
              <w:rPr>
                <w:rFonts w:hint="eastAsia" w:ascii="新宋体" w:hAnsi="新宋体" w:eastAsia="新宋体" w:cs="新宋体"/>
                <w:color w:val="auto"/>
                <w:sz w:val="22"/>
                <w:szCs w:val="22"/>
                <w:highlight w:val="none"/>
                <w:lang w:val="en-US" w:eastAsia="zh-CN"/>
              </w:rPr>
              <w:t>6-10</w:t>
            </w:r>
            <w:r>
              <w:rPr>
                <w:rFonts w:hint="eastAsia" w:ascii="新宋体" w:hAnsi="新宋体" w:eastAsia="新宋体" w:cs="新宋体"/>
                <w:color w:val="auto"/>
                <w:sz w:val="22"/>
                <w:szCs w:val="22"/>
                <w:highlight w:val="none"/>
              </w:rPr>
              <w:t>分；</w:t>
            </w:r>
          </w:p>
          <w:p w14:paraId="20D7E16A">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2</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lang w:val="en-US" w:eastAsia="zh-CN"/>
              </w:rPr>
              <w:t>景区</w:t>
            </w:r>
            <w:r>
              <w:rPr>
                <w:rFonts w:hint="eastAsia" w:ascii="新宋体" w:hAnsi="新宋体" w:eastAsia="新宋体" w:cs="新宋体"/>
                <w:color w:val="auto"/>
                <w:sz w:val="22"/>
                <w:szCs w:val="22"/>
                <w:highlight w:val="none"/>
              </w:rPr>
              <w:t>规划及功能区划布局比较合理、科学的，得</w:t>
            </w:r>
            <w:r>
              <w:rPr>
                <w:rFonts w:hint="eastAsia" w:ascii="新宋体" w:hAnsi="新宋体" w:eastAsia="新宋体" w:cs="新宋体"/>
                <w:color w:val="auto"/>
                <w:sz w:val="22"/>
                <w:szCs w:val="22"/>
                <w:highlight w:val="none"/>
                <w:lang w:val="en-US" w:eastAsia="zh-CN"/>
              </w:rPr>
              <w:t>4-6</w:t>
            </w:r>
            <w:r>
              <w:rPr>
                <w:rFonts w:hint="eastAsia" w:ascii="新宋体" w:hAnsi="新宋体" w:eastAsia="新宋体" w:cs="新宋体"/>
                <w:color w:val="auto"/>
                <w:sz w:val="22"/>
                <w:szCs w:val="22"/>
                <w:highlight w:val="none"/>
              </w:rPr>
              <w:t>分；</w:t>
            </w:r>
          </w:p>
          <w:p w14:paraId="06173F8E">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3</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lang w:val="en-US" w:eastAsia="zh-CN"/>
              </w:rPr>
              <w:t>景区</w:t>
            </w:r>
            <w:r>
              <w:rPr>
                <w:rFonts w:hint="eastAsia" w:ascii="新宋体" w:hAnsi="新宋体" w:eastAsia="新宋体" w:cs="新宋体"/>
                <w:color w:val="auto"/>
                <w:sz w:val="22"/>
                <w:szCs w:val="22"/>
                <w:highlight w:val="none"/>
              </w:rPr>
              <w:t>规划及功能区划布局杂乱无章，不合理的，得</w:t>
            </w:r>
            <w:r>
              <w:rPr>
                <w:rFonts w:hint="eastAsia" w:ascii="新宋体" w:hAnsi="新宋体" w:eastAsia="新宋体" w:cs="新宋体"/>
                <w:color w:val="auto"/>
                <w:sz w:val="22"/>
                <w:szCs w:val="22"/>
                <w:highlight w:val="none"/>
                <w:lang w:val="en-US" w:eastAsia="zh-CN"/>
              </w:rPr>
              <w:t>2-4</w:t>
            </w:r>
            <w:r>
              <w:rPr>
                <w:rFonts w:hint="eastAsia" w:ascii="新宋体" w:hAnsi="新宋体" w:eastAsia="新宋体" w:cs="新宋体"/>
                <w:color w:val="auto"/>
                <w:sz w:val="22"/>
                <w:szCs w:val="22"/>
                <w:highlight w:val="none"/>
              </w:rPr>
              <w:t>分。</w:t>
            </w:r>
          </w:p>
          <w:p w14:paraId="3F365980">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注：提供景区</w:t>
            </w:r>
            <w:r>
              <w:rPr>
                <w:rFonts w:hint="eastAsia" w:ascii="新宋体" w:hAnsi="新宋体" w:eastAsia="新宋体" w:cs="新宋体"/>
                <w:color w:val="auto"/>
                <w:sz w:val="22"/>
                <w:szCs w:val="22"/>
                <w:highlight w:val="none"/>
              </w:rPr>
              <w:t>规划及功能区划布局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不提供不得分。</w:t>
            </w:r>
          </w:p>
        </w:tc>
      </w:tr>
      <w:tr w14:paraId="6227C6B7">
        <w:tblPrEx>
          <w:tblCellMar>
            <w:top w:w="0" w:type="dxa"/>
            <w:left w:w="108" w:type="dxa"/>
            <w:bottom w:w="0" w:type="dxa"/>
            <w:right w:w="108" w:type="dxa"/>
          </w:tblCellMar>
        </w:tblPrEx>
        <w:trPr>
          <w:trHeight w:val="5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F78F41">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新宋体" w:hAnsi="新宋体" w:eastAsia="新宋体" w:cs="新宋体"/>
                <w:bCs/>
                <w:color w:val="auto"/>
                <w:kern w:val="0"/>
                <w:sz w:val="22"/>
                <w:szCs w:val="22"/>
                <w:highlight w:val="none"/>
                <w:lang w:val="en-US" w:eastAsia="zh-CN" w:bidi="ar"/>
              </w:rPr>
              <w:t>5</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314057E1">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val="en-US" w:eastAsia="zh-CN" w:bidi="ar"/>
              </w:rPr>
              <w:t>重难点分析</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ECB513E">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val="en-US" w:eastAsia="zh-CN" w:bidi="ar"/>
              </w:rPr>
              <w:t>5</w:t>
            </w:r>
          </w:p>
        </w:tc>
        <w:tc>
          <w:tcPr>
            <w:tcW w:w="7131" w:type="dxa"/>
            <w:tcBorders>
              <w:top w:val="single" w:color="auto" w:sz="4" w:space="0"/>
              <w:left w:val="single" w:color="auto" w:sz="4" w:space="0"/>
              <w:bottom w:val="single" w:color="auto" w:sz="4" w:space="0"/>
              <w:right w:val="single" w:color="auto" w:sz="4" w:space="0"/>
            </w:tcBorders>
            <w:shd w:val="clear" w:color="auto" w:fill="auto"/>
            <w:vAlign w:val="center"/>
          </w:tcPr>
          <w:p w14:paraId="388C8741">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1</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对本项目重点、难点部分描述的准确性、合理性评价。内容完整、合理，完全符合采购人要求的得得</w:t>
            </w:r>
            <w:r>
              <w:rPr>
                <w:rFonts w:hint="eastAsia" w:ascii="新宋体" w:hAnsi="新宋体" w:eastAsia="新宋体" w:cs="新宋体"/>
                <w:color w:val="auto"/>
                <w:sz w:val="22"/>
                <w:szCs w:val="22"/>
                <w:highlight w:val="none"/>
                <w:lang w:val="en-US" w:eastAsia="zh-CN"/>
              </w:rPr>
              <w:t>4-5</w:t>
            </w:r>
            <w:r>
              <w:rPr>
                <w:rFonts w:hint="eastAsia" w:ascii="新宋体" w:hAnsi="新宋体" w:eastAsia="新宋体" w:cs="新宋体"/>
                <w:color w:val="auto"/>
                <w:sz w:val="22"/>
                <w:szCs w:val="22"/>
                <w:highlight w:val="none"/>
              </w:rPr>
              <w:t>分；</w:t>
            </w:r>
          </w:p>
          <w:p w14:paraId="3AA7CA63">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2</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内容完整、合理，但存在一定问题，基本符合采购人要求的得得</w:t>
            </w:r>
            <w:r>
              <w:rPr>
                <w:rFonts w:hint="eastAsia" w:ascii="新宋体" w:hAnsi="新宋体" w:eastAsia="新宋体" w:cs="新宋体"/>
                <w:color w:val="auto"/>
                <w:sz w:val="22"/>
                <w:szCs w:val="22"/>
                <w:highlight w:val="none"/>
                <w:lang w:val="en-US" w:eastAsia="zh-CN"/>
              </w:rPr>
              <w:t>3-4</w:t>
            </w:r>
            <w:r>
              <w:rPr>
                <w:rFonts w:hint="eastAsia" w:ascii="新宋体" w:hAnsi="新宋体" w:eastAsia="新宋体" w:cs="新宋体"/>
                <w:color w:val="auto"/>
                <w:sz w:val="22"/>
                <w:szCs w:val="22"/>
                <w:highlight w:val="none"/>
              </w:rPr>
              <w:t>分；</w:t>
            </w:r>
          </w:p>
          <w:p w14:paraId="413CC6D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3</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内容不完整或有欠缺，偏离采购人要求的得得</w:t>
            </w: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rPr>
              <w:t>分。</w:t>
            </w:r>
          </w:p>
          <w:p w14:paraId="6A2FB71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注：提供</w:t>
            </w:r>
            <w:r>
              <w:rPr>
                <w:rFonts w:hint="eastAsia" w:ascii="新宋体" w:hAnsi="新宋体" w:eastAsia="新宋体" w:cs="新宋体"/>
                <w:bCs/>
                <w:color w:val="auto"/>
                <w:kern w:val="0"/>
                <w:sz w:val="22"/>
                <w:szCs w:val="22"/>
                <w:highlight w:val="none"/>
                <w:lang w:val="en-US" w:eastAsia="zh-CN" w:bidi="ar"/>
              </w:rPr>
              <w:t>重难点分析，</w:t>
            </w:r>
            <w:r>
              <w:rPr>
                <w:rFonts w:hint="eastAsia" w:ascii="新宋体" w:hAnsi="新宋体" w:eastAsia="新宋体" w:cs="新宋体"/>
                <w:color w:val="auto"/>
                <w:sz w:val="22"/>
                <w:szCs w:val="22"/>
                <w:highlight w:val="none"/>
                <w:lang w:val="en-US" w:eastAsia="zh-CN"/>
              </w:rPr>
              <w:t>不提供不得分。</w:t>
            </w:r>
          </w:p>
        </w:tc>
      </w:tr>
      <w:tr w14:paraId="2CB8F6A0">
        <w:tblPrEx>
          <w:tblCellMar>
            <w:top w:w="0" w:type="dxa"/>
            <w:left w:w="108" w:type="dxa"/>
            <w:bottom w:w="0" w:type="dxa"/>
            <w:right w:w="108" w:type="dxa"/>
          </w:tblCellMar>
        </w:tblPrEx>
        <w:trPr>
          <w:trHeight w:val="5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97269EC">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新宋体" w:hAnsi="新宋体" w:eastAsia="新宋体" w:cs="新宋体"/>
                <w:bCs/>
                <w:color w:val="auto"/>
                <w:kern w:val="0"/>
                <w:sz w:val="22"/>
                <w:szCs w:val="22"/>
                <w:highlight w:val="none"/>
                <w:lang w:val="en-US" w:eastAsia="zh-CN" w:bidi="ar"/>
              </w:rPr>
              <w:t>6</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0F914E22">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新宋体" w:hAnsi="新宋体" w:eastAsia="新宋体" w:cs="新宋体"/>
                <w:bCs/>
                <w:color w:val="auto"/>
                <w:kern w:val="0"/>
                <w:sz w:val="22"/>
                <w:szCs w:val="22"/>
                <w:highlight w:val="none"/>
                <w:lang w:val="en-US" w:eastAsia="zh-CN"/>
              </w:rPr>
              <w:t>策划</w:t>
            </w:r>
            <w:r>
              <w:rPr>
                <w:rFonts w:hint="eastAsia" w:ascii="新宋体" w:hAnsi="新宋体" w:eastAsia="新宋体" w:cs="新宋体"/>
                <w:bCs/>
                <w:color w:val="auto"/>
                <w:kern w:val="0"/>
                <w:sz w:val="22"/>
                <w:szCs w:val="22"/>
                <w:highlight w:val="none"/>
                <w:lang w:val="en-US" w:eastAsia="zh-CN" w:bidi="ar"/>
              </w:rPr>
              <w:t>方案</w:t>
            </w:r>
            <w:r>
              <w:rPr>
                <w:rFonts w:hint="eastAsia" w:ascii="新宋体" w:hAnsi="新宋体" w:eastAsia="新宋体" w:cs="新宋体"/>
                <w:bCs/>
                <w:color w:val="auto"/>
                <w:kern w:val="0"/>
                <w:sz w:val="22"/>
                <w:szCs w:val="22"/>
                <w:highlight w:val="none"/>
                <w:lang w:val="en-US" w:eastAsia="zh-CN"/>
              </w:rPr>
              <w:t>讲解</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4F71753">
            <w:pPr>
              <w:widowControl/>
              <w:spacing w:line="240" w:lineRule="auto"/>
              <w:jc w:val="center"/>
              <w:textAlignment w:val="center"/>
              <w:rPr>
                <w:rFonts w:hint="eastAsia" w:ascii="新宋体" w:hAnsi="新宋体" w:eastAsia="新宋体" w:cs="新宋体"/>
                <w:bCs/>
                <w:color w:val="auto"/>
                <w:kern w:val="0"/>
                <w:sz w:val="22"/>
                <w:szCs w:val="22"/>
                <w:highlight w:val="none"/>
                <w:lang w:val="en-US" w:eastAsia="zh-CN" w:bidi="ar"/>
              </w:rPr>
            </w:pPr>
            <w:r>
              <w:rPr>
                <w:rFonts w:hint="eastAsia" w:ascii="新宋体" w:hAnsi="新宋体" w:eastAsia="新宋体" w:cs="新宋体"/>
                <w:bCs/>
                <w:color w:val="auto"/>
                <w:sz w:val="22"/>
                <w:szCs w:val="22"/>
                <w:highlight w:val="none"/>
                <w:lang w:val="en-US" w:eastAsia="zh-CN"/>
              </w:rPr>
              <w:t>10</w:t>
            </w:r>
          </w:p>
        </w:tc>
        <w:tc>
          <w:tcPr>
            <w:tcW w:w="7131" w:type="dxa"/>
            <w:tcBorders>
              <w:top w:val="single" w:color="auto" w:sz="4" w:space="0"/>
              <w:left w:val="single" w:color="auto" w:sz="4" w:space="0"/>
              <w:bottom w:val="single" w:color="auto" w:sz="4" w:space="0"/>
              <w:right w:val="single" w:color="auto" w:sz="4" w:space="0"/>
            </w:tcBorders>
            <w:shd w:val="clear" w:color="auto" w:fill="auto"/>
            <w:vAlign w:val="center"/>
          </w:tcPr>
          <w:p w14:paraId="03F90A4A">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根据策划负责人方案讲解进行综合打分（0-10分）</w:t>
            </w:r>
          </w:p>
          <w:p w14:paraId="57151E2E">
            <w:pPr>
              <w:keepNext w:val="0"/>
              <w:keepLines w:val="0"/>
              <w:pageBreakBefore w:val="0"/>
              <w:widowControl/>
              <w:numPr>
                <w:ilvl w:val="0"/>
                <w:numId w:val="26"/>
              </w:numPr>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讲解内容详细、针对性强、逻辑清晰6-10分；</w:t>
            </w:r>
          </w:p>
          <w:p w14:paraId="75964826">
            <w:pPr>
              <w:keepNext w:val="0"/>
              <w:keepLines w:val="0"/>
              <w:pageBreakBefore w:val="0"/>
              <w:widowControl/>
              <w:numPr>
                <w:ilvl w:val="0"/>
                <w:numId w:val="26"/>
              </w:numPr>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讲解内容基本明确、针对性一般、逻辑较清楚，4-6分；</w:t>
            </w:r>
          </w:p>
          <w:p w14:paraId="645CF9CD">
            <w:pPr>
              <w:keepNext w:val="0"/>
              <w:keepLines w:val="0"/>
              <w:pageBreakBefore w:val="0"/>
              <w:widowControl/>
              <w:numPr>
                <w:ilvl w:val="0"/>
                <w:numId w:val="26"/>
              </w:numPr>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讲解内容有遗漏、针对性差、逻辑较差，2-4分；</w:t>
            </w:r>
          </w:p>
          <w:p w14:paraId="57CA854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注：</w:t>
            </w:r>
          </w:p>
          <w:p w14:paraId="7F0AC29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策划方案须由策划负责人进行讲解，且策划负责人须提供在投标单位在保5个月（必须包含2025年1月至2025年5月）以上的社保证明，没有完整满足上述要求的不得分。</w:t>
            </w:r>
          </w:p>
        </w:tc>
      </w:tr>
      <w:tr w14:paraId="3716129B">
        <w:tblPrEx>
          <w:tblCellMar>
            <w:top w:w="0" w:type="dxa"/>
            <w:left w:w="108" w:type="dxa"/>
            <w:bottom w:w="0" w:type="dxa"/>
            <w:right w:w="108" w:type="dxa"/>
          </w:tblCellMar>
        </w:tblPrEx>
        <w:trPr>
          <w:trHeight w:val="5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21F617B">
            <w:pPr>
              <w:widowControl/>
              <w:spacing w:line="240" w:lineRule="auto"/>
              <w:jc w:val="center"/>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5EE8F0EE">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服务团队设置和岗位职责</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F09D1EB">
            <w:pPr>
              <w:widowControl/>
              <w:spacing w:line="240" w:lineRule="auto"/>
              <w:jc w:val="center"/>
              <w:textAlignment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0"/>
                <w:sz w:val="22"/>
                <w:szCs w:val="22"/>
                <w:highlight w:val="none"/>
                <w:lang w:val="en-US" w:eastAsia="zh-CN" w:bidi="ar"/>
              </w:rPr>
              <w:t>5</w:t>
            </w:r>
          </w:p>
        </w:tc>
        <w:tc>
          <w:tcPr>
            <w:tcW w:w="7131" w:type="dxa"/>
            <w:tcBorders>
              <w:top w:val="single" w:color="auto" w:sz="4" w:space="0"/>
              <w:left w:val="single" w:color="auto" w:sz="4" w:space="0"/>
              <w:bottom w:val="single" w:color="auto" w:sz="4" w:space="0"/>
              <w:right w:val="single" w:color="auto" w:sz="4" w:space="0"/>
            </w:tcBorders>
            <w:shd w:val="clear" w:color="auto" w:fill="FFFFFF"/>
            <w:vAlign w:val="center"/>
          </w:tcPr>
          <w:p w14:paraId="7C5556E4">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1</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服务团队设置和岗位职责合理、先进科学的，得</w:t>
            </w:r>
            <w:r>
              <w:rPr>
                <w:rFonts w:hint="eastAsia" w:ascii="新宋体" w:hAnsi="新宋体" w:eastAsia="新宋体" w:cs="新宋体"/>
                <w:color w:val="auto"/>
                <w:sz w:val="22"/>
                <w:szCs w:val="22"/>
                <w:highlight w:val="none"/>
                <w:lang w:val="en-US" w:eastAsia="zh-CN"/>
              </w:rPr>
              <w:t>4-5</w:t>
            </w:r>
            <w:r>
              <w:rPr>
                <w:rFonts w:hint="eastAsia" w:ascii="新宋体" w:hAnsi="新宋体" w:eastAsia="新宋体" w:cs="新宋体"/>
                <w:color w:val="auto"/>
                <w:sz w:val="22"/>
                <w:szCs w:val="22"/>
                <w:highlight w:val="none"/>
              </w:rPr>
              <w:t>分；</w:t>
            </w:r>
          </w:p>
          <w:p w14:paraId="479C2019">
            <w:pPr>
              <w:keepNext w:val="0"/>
              <w:keepLines w:val="0"/>
              <w:pageBreakBefore w:val="0"/>
              <w:widowControl/>
              <w:kinsoku/>
              <w:wordWrap/>
              <w:overflowPunct/>
              <w:topLinePunct w:val="0"/>
              <w:autoSpaceDE/>
              <w:autoSpaceDN/>
              <w:bidi w:val="0"/>
              <w:adjustRightInd/>
              <w:snapToGrid/>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2</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服务团队设置和岗位职责比较合理、科学的，得</w:t>
            </w:r>
            <w:r>
              <w:rPr>
                <w:rFonts w:hint="eastAsia" w:ascii="新宋体" w:hAnsi="新宋体" w:eastAsia="新宋体" w:cs="新宋体"/>
                <w:color w:val="auto"/>
                <w:sz w:val="22"/>
                <w:szCs w:val="22"/>
                <w:highlight w:val="none"/>
                <w:lang w:val="en-US" w:eastAsia="zh-CN"/>
              </w:rPr>
              <w:t>3-4</w:t>
            </w:r>
            <w:r>
              <w:rPr>
                <w:rFonts w:hint="eastAsia" w:ascii="新宋体" w:hAnsi="新宋体" w:eastAsia="新宋体" w:cs="新宋体"/>
                <w:color w:val="auto"/>
                <w:sz w:val="22"/>
                <w:szCs w:val="22"/>
                <w:highlight w:val="none"/>
              </w:rPr>
              <w:t>分；</w:t>
            </w:r>
          </w:p>
          <w:p w14:paraId="0B7D8EB5">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bCs/>
                <w:color w:val="auto"/>
                <w:kern w:val="0"/>
                <w:sz w:val="22"/>
                <w:szCs w:val="22"/>
                <w:highlight w:val="none"/>
                <w:lang w:val="en-US" w:eastAsia="zh-CN" w:bidi="ar"/>
              </w:rPr>
              <w:t>3</w:t>
            </w:r>
            <w:r>
              <w:rPr>
                <w:rFonts w:hint="eastAsia" w:ascii="新宋体" w:hAnsi="新宋体" w:eastAsia="新宋体" w:cs="新宋体"/>
                <w:bCs/>
                <w:color w:val="auto"/>
                <w:kern w:val="0"/>
                <w:sz w:val="22"/>
                <w:szCs w:val="22"/>
                <w:highlight w:val="none"/>
                <w:lang w:bidi="ar"/>
              </w:rPr>
              <w:t>）</w:t>
            </w:r>
            <w:r>
              <w:rPr>
                <w:rFonts w:hint="eastAsia" w:ascii="新宋体" w:hAnsi="新宋体" w:eastAsia="新宋体" w:cs="新宋体"/>
                <w:color w:val="auto"/>
                <w:sz w:val="22"/>
                <w:szCs w:val="22"/>
                <w:highlight w:val="none"/>
              </w:rPr>
              <w:t>服务团队设置和岗位职责杂乱无章，不合理的，得</w:t>
            </w: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rPr>
              <w:t>分。</w:t>
            </w:r>
          </w:p>
          <w:p w14:paraId="65785077">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注：提供</w:t>
            </w:r>
            <w:r>
              <w:rPr>
                <w:rFonts w:hint="eastAsia" w:ascii="新宋体" w:hAnsi="新宋体" w:eastAsia="新宋体" w:cs="新宋体"/>
                <w:color w:val="auto"/>
                <w:sz w:val="22"/>
                <w:szCs w:val="22"/>
                <w:highlight w:val="none"/>
              </w:rPr>
              <w:t>服务团队设置和岗位职责</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不提供不得分</w:t>
            </w:r>
          </w:p>
        </w:tc>
      </w:tr>
    </w:tbl>
    <w:p w14:paraId="1D230321">
      <w:p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其他说明：</w:t>
      </w:r>
      <w:bookmarkEnd w:id="173"/>
    </w:p>
    <w:p w14:paraId="329A7322">
      <w:pPr>
        <w:pStyle w:val="23"/>
        <w:spacing w:after="0" w:line="460" w:lineRule="exact"/>
        <w:ind w:firstLine="440" w:firstLineChars="200"/>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（1）</w:t>
      </w:r>
      <w:r>
        <w:rPr>
          <w:rFonts w:hint="eastAsia" w:ascii="新宋体" w:hAnsi="新宋体" w:eastAsia="新宋体" w:cs="宋体"/>
          <w:bCs/>
          <w:color w:val="auto"/>
          <w:sz w:val="22"/>
          <w:szCs w:val="22"/>
          <w:highlight w:val="none"/>
          <w:lang w:eastAsia="zh-CN"/>
        </w:rPr>
        <w:t>合同、</w:t>
      </w:r>
      <w:r>
        <w:rPr>
          <w:rFonts w:hint="eastAsia" w:ascii="新宋体" w:hAnsi="新宋体" w:eastAsia="新宋体" w:cs="宋体"/>
          <w:bCs/>
          <w:color w:val="auto"/>
          <w:sz w:val="22"/>
          <w:szCs w:val="22"/>
          <w:highlight w:val="none"/>
        </w:rPr>
        <w:t>证书、证件、证明文件等原件，属备查项目，并非强制性要求。评标主要依据投标供应商投标文件中的</w:t>
      </w:r>
      <w:r>
        <w:rPr>
          <w:rFonts w:hint="eastAsia" w:ascii="新宋体" w:hAnsi="新宋体" w:eastAsia="新宋体" w:cs="宋体"/>
          <w:bCs/>
          <w:color w:val="auto"/>
          <w:sz w:val="22"/>
          <w:szCs w:val="22"/>
          <w:highlight w:val="none"/>
          <w:lang w:eastAsia="zh-CN"/>
        </w:rPr>
        <w:t>合同、</w:t>
      </w:r>
      <w:r>
        <w:rPr>
          <w:rFonts w:hint="eastAsia" w:ascii="新宋体" w:hAnsi="新宋体" w:eastAsia="新宋体" w:cs="宋体"/>
          <w:bCs/>
          <w:color w:val="auto"/>
          <w:sz w:val="22"/>
          <w:szCs w:val="22"/>
          <w:highlight w:val="none"/>
        </w:rPr>
        <w:t>证书、证件、证明文件复印件</w:t>
      </w:r>
      <w:r>
        <w:rPr>
          <w:rFonts w:hint="eastAsia" w:ascii="新宋体" w:hAnsi="新宋体" w:eastAsia="新宋体" w:cs="宋体"/>
          <w:bCs/>
          <w:color w:val="auto"/>
          <w:sz w:val="22"/>
          <w:szCs w:val="22"/>
          <w:highlight w:val="none"/>
          <w:lang w:eastAsia="zh-CN"/>
        </w:rPr>
        <w:t>或打印件</w:t>
      </w:r>
      <w:r>
        <w:rPr>
          <w:rFonts w:hint="eastAsia" w:ascii="新宋体" w:hAnsi="新宋体" w:eastAsia="新宋体" w:cs="宋体"/>
          <w:bCs/>
          <w:color w:val="auto"/>
          <w:sz w:val="22"/>
          <w:szCs w:val="22"/>
          <w:highlight w:val="none"/>
        </w:rPr>
        <w:t>，如评标委员会对复印件有异议的，可在投标供应商提供原件资料里核查，若投标供应商未提供原件资料佐证的，则承担相应评分项不得分的风险。</w:t>
      </w:r>
    </w:p>
    <w:p w14:paraId="39CE9372">
      <w:pPr>
        <w:pStyle w:val="23"/>
        <w:spacing w:after="0" w:line="460" w:lineRule="exact"/>
        <w:ind w:firstLine="440" w:firstLineChars="200"/>
        <w:rPr>
          <w:rFonts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（2）评标委员会、采购机构在项目评审直至合同签订、履约期间，有权要求投标供应商出具投标文件中的</w:t>
      </w:r>
      <w:r>
        <w:rPr>
          <w:rFonts w:hint="eastAsia" w:ascii="新宋体" w:hAnsi="新宋体" w:eastAsia="新宋体" w:cs="宋体"/>
          <w:bCs/>
          <w:color w:val="auto"/>
          <w:sz w:val="22"/>
          <w:szCs w:val="22"/>
          <w:highlight w:val="none"/>
          <w:lang w:eastAsia="zh-CN"/>
        </w:rPr>
        <w:t>合同、</w:t>
      </w:r>
      <w:r>
        <w:rPr>
          <w:rFonts w:hint="eastAsia" w:ascii="新宋体" w:hAnsi="新宋体" w:eastAsia="新宋体" w:cs="宋体"/>
          <w:bCs/>
          <w:color w:val="auto"/>
          <w:sz w:val="22"/>
          <w:szCs w:val="22"/>
          <w:highlight w:val="none"/>
        </w:rPr>
        <w:t>证书、证件、证明原件，予以确认其的真实性和有效性，如出现与事实不符等情况，将根据有关规定以</w:t>
      </w:r>
      <w:r>
        <w:rPr>
          <w:rFonts w:ascii="新宋体" w:hAnsi="新宋体" w:eastAsia="新宋体" w:cs="Cambria"/>
          <w:bCs/>
          <w:color w:val="auto"/>
          <w:sz w:val="22"/>
          <w:szCs w:val="22"/>
          <w:highlight w:val="none"/>
        </w:rPr>
        <w:t>“</w:t>
      </w:r>
      <w:r>
        <w:rPr>
          <w:rFonts w:hint="eastAsia" w:ascii="新宋体" w:hAnsi="新宋体" w:eastAsia="新宋体" w:cs="宋体"/>
          <w:bCs/>
          <w:color w:val="auto"/>
          <w:sz w:val="22"/>
          <w:szCs w:val="22"/>
          <w:highlight w:val="none"/>
        </w:rPr>
        <w:t>提供虚假材料谋取中标</w:t>
      </w:r>
      <w:r>
        <w:rPr>
          <w:rFonts w:ascii="新宋体" w:hAnsi="新宋体" w:eastAsia="新宋体" w:cs="Cambria"/>
          <w:bCs/>
          <w:color w:val="auto"/>
          <w:sz w:val="22"/>
          <w:szCs w:val="22"/>
          <w:highlight w:val="none"/>
        </w:rPr>
        <w:t>”</w:t>
      </w:r>
      <w:r>
        <w:rPr>
          <w:rFonts w:hint="eastAsia" w:ascii="新宋体" w:hAnsi="新宋体" w:eastAsia="新宋体" w:cs="宋体"/>
          <w:bCs/>
          <w:color w:val="auto"/>
          <w:sz w:val="22"/>
          <w:szCs w:val="22"/>
          <w:highlight w:val="none"/>
        </w:rPr>
        <w:t>予以处理。</w:t>
      </w:r>
    </w:p>
    <w:p w14:paraId="305F3365">
      <w:pPr>
        <w:pStyle w:val="23"/>
        <w:spacing w:after="0" w:line="460" w:lineRule="exact"/>
        <w:ind w:firstLine="440" w:firstLineChars="200"/>
        <w:rPr>
          <w:color w:val="auto"/>
          <w:sz w:val="22"/>
          <w:szCs w:val="22"/>
          <w:highlight w:val="none"/>
        </w:rPr>
      </w:pPr>
      <w:r>
        <w:rPr>
          <w:rFonts w:hint="eastAsia" w:ascii="新宋体" w:hAnsi="新宋体" w:eastAsia="新宋体" w:cs="宋体"/>
          <w:bCs/>
          <w:color w:val="auto"/>
          <w:sz w:val="22"/>
          <w:szCs w:val="22"/>
          <w:highlight w:val="none"/>
        </w:rPr>
        <w:t>（</w:t>
      </w:r>
      <w:r>
        <w:rPr>
          <w:rFonts w:hint="eastAsia" w:ascii="新宋体" w:hAnsi="新宋体" w:eastAsia="新宋体" w:cs="宋体"/>
          <w:bCs/>
          <w:color w:val="auto"/>
          <w:sz w:val="22"/>
          <w:szCs w:val="22"/>
          <w:highlight w:val="none"/>
          <w:lang w:val="en-US" w:eastAsia="zh-CN"/>
        </w:rPr>
        <w:t>3</w:t>
      </w:r>
      <w:r>
        <w:rPr>
          <w:rFonts w:hint="eastAsia" w:ascii="新宋体" w:hAnsi="新宋体" w:eastAsia="新宋体" w:cs="宋体"/>
          <w:bCs/>
          <w:color w:val="auto"/>
          <w:sz w:val="22"/>
          <w:szCs w:val="22"/>
          <w:highlight w:val="none"/>
        </w:rPr>
        <w:t>）投标文件未提供评分项目内容的，该项按零分处理，且不受最低分值限制。</w:t>
      </w:r>
    </w:p>
    <w:p w14:paraId="7FE5FE00">
      <w:pPr>
        <w:numPr>
          <w:ilvl w:val="0"/>
          <w:numId w:val="24"/>
        </w:numPr>
        <w:spacing w:line="460" w:lineRule="exact"/>
        <w:ind w:firstLine="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b/>
          <w:bCs/>
          <w:color w:val="auto"/>
          <w:sz w:val="22"/>
          <w:szCs w:val="22"/>
          <w:highlight w:val="none"/>
        </w:rPr>
        <w:t>商务评分（</w:t>
      </w: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分）：</w:t>
      </w:r>
    </w:p>
    <w:p w14:paraId="1F395673">
      <w:p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满足采购文件要求且投标报价的最低价作为评标基准价；</w:t>
      </w:r>
    </w:p>
    <w:p w14:paraId="40AB4857">
      <w:pPr>
        <w:numPr>
          <w:ilvl w:val="0"/>
          <w:numId w:val="27"/>
        </w:numPr>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有效投标供应商的投标报价等于评标基准价时，其最终报价评分值为满分</w:t>
      </w:r>
      <w:r>
        <w:rPr>
          <w:rFonts w:hint="eastAsia" w:ascii="新宋体" w:hAnsi="新宋体" w:eastAsia="新宋体" w:cs="新宋体"/>
          <w:bCs/>
          <w:color w:val="auto"/>
          <w:kern w:val="0"/>
          <w:sz w:val="22"/>
          <w:szCs w:val="22"/>
          <w:highlight w:val="none"/>
          <w:lang w:val="en-US" w:eastAsia="zh-CN"/>
        </w:rPr>
        <w:t>15</w:t>
      </w:r>
      <w:r>
        <w:rPr>
          <w:rFonts w:hint="eastAsia" w:ascii="新宋体" w:hAnsi="新宋体" w:eastAsia="新宋体" w:cs="新宋体"/>
          <w:bCs/>
          <w:color w:val="auto"/>
          <w:kern w:val="0"/>
          <w:sz w:val="22"/>
          <w:szCs w:val="22"/>
          <w:highlight w:val="none"/>
        </w:rPr>
        <w:t>分；</w:t>
      </w:r>
    </w:p>
    <w:p w14:paraId="1DB4940B">
      <w:pPr>
        <w:numPr>
          <w:ilvl w:val="0"/>
          <w:numId w:val="27"/>
        </w:numPr>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其他投标供应商的价格分按以下公式计算：</w:t>
      </w:r>
    </w:p>
    <w:p w14:paraId="3A01EB75">
      <w:pPr>
        <w:spacing w:line="460" w:lineRule="exact"/>
        <w:ind w:left="400" w:firstLine="440" w:firstLineChars="200"/>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商务分得分=（评审基准价/投标供应商投标报价）×价格权值×100（四舍五入后保留小数2位，价格权值为</w:t>
      </w:r>
      <w:r>
        <w:rPr>
          <w:rFonts w:hint="eastAsia" w:ascii="新宋体" w:hAnsi="新宋体" w:eastAsia="新宋体" w:cs="新宋体"/>
          <w:bCs/>
          <w:color w:val="auto"/>
          <w:kern w:val="0"/>
          <w:sz w:val="22"/>
          <w:szCs w:val="22"/>
          <w:highlight w:val="none"/>
          <w:lang w:val="en-US" w:eastAsia="zh-CN"/>
        </w:rPr>
        <w:t>15</w:t>
      </w:r>
      <w:r>
        <w:rPr>
          <w:rFonts w:hint="eastAsia" w:ascii="新宋体" w:hAnsi="新宋体" w:eastAsia="新宋体" w:cs="新宋体"/>
          <w:bCs/>
          <w:color w:val="auto"/>
          <w:kern w:val="0"/>
          <w:sz w:val="22"/>
          <w:szCs w:val="22"/>
          <w:highlight w:val="none"/>
        </w:rPr>
        <w:t>%）</w:t>
      </w:r>
    </w:p>
    <w:p w14:paraId="58F28599">
      <w:pPr>
        <w:numPr>
          <w:ilvl w:val="0"/>
          <w:numId w:val="27"/>
        </w:numPr>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如投标供应商报价超过项目</w:t>
      </w:r>
      <w:r>
        <w:rPr>
          <w:rFonts w:hint="eastAsia" w:ascii="新宋体" w:hAnsi="新宋体" w:eastAsia="新宋体" w:cs="新宋体"/>
          <w:bCs/>
          <w:color w:val="auto"/>
          <w:kern w:val="0"/>
          <w:sz w:val="22"/>
          <w:szCs w:val="22"/>
          <w:highlight w:val="none"/>
          <w:lang w:val="en-US" w:eastAsia="zh-CN"/>
        </w:rPr>
        <w:t>最高投标限价的</w:t>
      </w:r>
      <w:r>
        <w:rPr>
          <w:rFonts w:hint="eastAsia" w:ascii="新宋体" w:hAnsi="新宋体" w:eastAsia="新宋体" w:cs="新宋体"/>
          <w:bCs/>
          <w:color w:val="auto"/>
          <w:kern w:val="0"/>
          <w:sz w:val="22"/>
          <w:szCs w:val="22"/>
          <w:highlight w:val="none"/>
        </w:rPr>
        <w:t>，其投标文件作无效标处理。</w:t>
      </w:r>
    </w:p>
    <w:p w14:paraId="6A0B1222">
      <w:pPr>
        <w:numPr>
          <w:ilvl w:val="0"/>
          <w:numId w:val="27"/>
        </w:numPr>
        <w:spacing w:line="46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所有投标供应商商务报价均超过项目最高投标限价的，项目按流（废）标处理，重新组织采购程序。</w:t>
      </w:r>
    </w:p>
    <w:p w14:paraId="15E1164A">
      <w:pPr>
        <w:numPr>
          <w:ilvl w:val="0"/>
          <w:numId w:val="27"/>
        </w:numPr>
        <w:spacing w:line="4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kern w:val="0"/>
          <w:sz w:val="22"/>
          <w:szCs w:val="22"/>
          <w:highlight w:val="none"/>
        </w:rPr>
        <w:t>本项目采购预算金额为</w:t>
      </w:r>
      <w:r>
        <w:rPr>
          <w:rFonts w:hint="eastAsia" w:ascii="新宋体" w:hAnsi="新宋体" w:eastAsia="新宋体" w:cs="新宋体"/>
          <w:bCs/>
          <w:color w:val="auto"/>
          <w:kern w:val="0"/>
          <w:sz w:val="22"/>
          <w:szCs w:val="22"/>
          <w:highlight w:val="none"/>
          <w:lang w:val="en-US" w:eastAsia="zh-CN"/>
        </w:rPr>
        <w:t>780</w:t>
      </w:r>
      <w:r>
        <w:rPr>
          <w:rFonts w:hint="eastAsia" w:ascii="新宋体" w:hAnsi="新宋体" w:eastAsia="新宋体" w:cs="新宋体"/>
          <w:bCs/>
          <w:color w:val="auto"/>
          <w:kern w:val="0"/>
          <w:sz w:val="22"/>
          <w:szCs w:val="22"/>
          <w:highlight w:val="none"/>
        </w:rPr>
        <w:t>万元整</w:t>
      </w:r>
      <w:r>
        <w:rPr>
          <w:rFonts w:hint="eastAsia" w:ascii="新宋体" w:hAnsi="新宋体" w:eastAsia="新宋体" w:cs="新宋体"/>
          <w:bCs/>
          <w:color w:val="auto"/>
          <w:kern w:val="0"/>
          <w:sz w:val="22"/>
          <w:szCs w:val="22"/>
          <w:highlight w:val="none"/>
          <w:lang w:eastAsia="zh-CN"/>
        </w:rPr>
        <w:t>，</w:t>
      </w:r>
      <w:r>
        <w:rPr>
          <w:rFonts w:hint="eastAsia" w:ascii="新宋体" w:hAnsi="新宋体" w:eastAsia="新宋体" w:cs="新宋体"/>
          <w:bCs/>
          <w:color w:val="auto"/>
          <w:kern w:val="0"/>
          <w:sz w:val="22"/>
          <w:szCs w:val="22"/>
          <w:highlight w:val="none"/>
          <w:lang w:val="en-US" w:eastAsia="zh-CN"/>
        </w:rPr>
        <w:t>最高投标限价700万元整</w:t>
      </w:r>
      <w:r>
        <w:rPr>
          <w:rFonts w:hint="eastAsia" w:ascii="新宋体" w:hAnsi="新宋体" w:eastAsia="新宋体" w:cs="新宋体"/>
          <w:bCs/>
          <w:color w:val="auto"/>
          <w:kern w:val="0"/>
          <w:sz w:val="22"/>
          <w:szCs w:val="22"/>
          <w:highlight w:val="none"/>
        </w:rPr>
        <w:t>。</w:t>
      </w:r>
    </w:p>
    <w:p w14:paraId="79F88D0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3.有效投标供应商的综合得分为技术资信分和商务（报价）分的总和。</w:t>
      </w:r>
    </w:p>
    <w:p w14:paraId="135D1B13">
      <w:pPr>
        <w:spacing w:line="460" w:lineRule="exact"/>
        <w:rPr>
          <w:color w:val="auto"/>
          <w:sz w:val="22"/>
          <w:szCs w:val="22"/>
          <w:highlight w:val="none"/>
        </w:rPr>
      </w:pPr>
      <w:r>
        <w:rPr>
          <w:rFonts w:hint="eastAsia" w:ascii="新宋体" w:hAnsi="新宋体" w:eastAsia="新宋体" w:cs="新宋体"/>
          <w:color w:val="auto"/>
          <w:sz w:val="22"/>
          <w:szCs w:val="22"/>
          <w:highlight w:val="none"/>
        </w:rPr>
        <w:t>4.评标委员会依据法律、法规及采购文件有关规定在有效标中按投标供应商的最终得分（即技术资信分与商务报价分之和）高低进行排序，得分前两名的投标供应商推荐为第一中标候选供应商与第二中标候选供应商（得分相同投标报价低的排序优先；得分且投标报价相同的，由评委抽签决定排序）。</w:t>
      </w:r>
    </w:p>
    <w:sectPr>
      <w:footerReference r:id="rId6" w:type="default"/>
      <w:type w:val="nextColumn"/>
      <w:pgSz w:w="11906" w:h="16838"/>
      <w:pgMar w:top="1134" w:right="1134" w:bottom="1134" w:left="1134"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AD96">
    <w:pPr>
      <w:pStyle w:val="16"/>
      <w:pBdr>
        <w:top w:val="single" w:color="auto" w:sz="4" w:space="0"/>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1999">
    <w:pPr>
      <w:pStyle w:val="16"/>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posOffset>3006090</wp:posOffset>
              </wp:positionH>
              <wp:positionV relativeFrom="paragraph">
                <wp:posOffset>0</wp:posOffset>
              </wp:positionV>
              <wp:extent cx="205740"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5740" cy="131445"/>
                      </a:xfrm>
                      <a:prstGeom prst="rect">
                        <a:avLst/>
                      </a:prstGeom>
                      <a:noFill/>
                      <a:ln>
                        <a:noFill/>
                      </a:ln>
                      <a:effectLst/>
                    </wps:spPr>
                    <wps:txbx>
                      <w:txbxContent>
                        <w:p w14:paraId="4C66417E">
                          <w:pPr>
                            <w:pStyle w:val="16"/>
                            <w:rPr>
                              <w:rFonts w:eastAsia="宋体"/>
                            </w:rPr>
                          </w:pPr>
                          <w:r>
                            <w:fldChar w:fldCharType="begin"/>
                          </w:r>
                          <w:r>
                            <w:instrText xml:space="preserve"> PAGE  \* MERGEFORMAT </w:instrText>
                          </w:r>
                          <w:r>
                            <w:fldChar w:fldCharType="separate"/>
                          </w:r>
                          <w:r>
                            <w:t>37</w:t>
                          </w:r>
                          <w: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36.7pt;margin-top:0pt;height:10.35pt;width:16.2pt;mso-position-horizontal-relative:margin;z-index:251659264;mso-width-relative:page;mso-height-relative:page;" filled="f" stroked="f" coordsize="21600,21600" o:gfxdata="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3IowdUAAAAHAQAADwAAAAAAAAABACAA&#10;AAAiAAAAZHJzL2Rvd25yZXYueG1sUEsBAhQAFAAAAAgAh07iQGtNsVcQAgAAEgQAAA4AAAAAAAAA&#10;AQAgAAAAJAEAAGRycy9lMm9Eb2MueG1sUEsFBgAAAAAGAAYAWQEAAKYFAAAAAA==&#10;">
              <v:fill on="f" focussize="0,0"/>
              <v:stroke on="f"/>
              <v:imagedata o:title=""/>
              <o:lock v:ext="edit" aspectratio="f"/>
              <v:textbox inset="0mm,0mm,0mm,0mm" style="mso-fit-shape-to-text:t;">
                <w:txbxContent>
                  <w:p w14:paraId="4C66417E">
                    <w:pPr>
                      <w:pStyle w:val="16"/>
                      <w:rPr>
                        <w:rFonts w:eastAsia="宋体"/>
                      </w:rPr>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BB6A9">
    <w:pPr>
      <w:pStyle w:val="17"/>
      <w:jc w:val="both"/>
      <w:rPr>
        <w:rFonts w:eastAsia="宋体"/>
      </w:rPr>
    </w:pPr>
    <w:r>
      <w:rPr>
        <w:rFonts w:hint="eastAsia" w:eastAsia="宋体"/>
      </w:rPr>
      <w:t>温州市国有企业采购文件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CE1E">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8A971587"/>
    <w:multiLevelType w:val="singleLevel"/>
    <w:tmpl w:val="8A971587"/>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980C886E"/>
    <w:multiLevelType w:val="singleLevel"/>
    <w:tmpl w:val="980C886E"/>
    <w:lvl w:ilvl="0" w:tentative="0">
      <w:start w:val="1"/>
      <w:numFmt w:val="decimal"/>
      <w:suff w:val="space"/>
      <w:lvlText w:val="%1)"/>
      <w:lvlJc w:val="left"/>
    </w:lvl>
  </w:abstractNum>
  <w:abstractNum w:abstractNumId="4">
    <w:nsid w:val="AEF1AA36"/>
    <w:multiLevelType w:val="singleLevel"/>
    <w:tmpl w:val="AEF1AA36"/>
    <w:lvl w:ilvl="0" w:tentative="0">
      <w:start w:val="1"/>
      <w:numFmt w:val="decimal"/>
      <w:suff w:val="nothing"/>
      <w:lvlText w:val="%1．"/>
      <w:lvlJc w:val="left"/>
      <w:pPr>
        <w:ind w:left="20" w:firstLine="400"/>
      </w:pPr>
      <w:rPr>
        <w:rFonts w:hint="default"/>
      </w:rPr>
    </w:lvl>
  </w:abstractNum>
  <w:abstractNum w:abstractNumId="5">
    <w:nsid w:val="BEBFF64D"/>
    <w:multiLevelType w:val="singleLevel"/>
    <w:tmpl w:val="BEBFF64D"/>
    <w:lvl w:ilvl="0" w:tentative="0">
      <w:start w:val="1"/>
      <w:numFmt w:val="decimal"/>
      <w:suff w:val="nothing"/>
      <w:lvlText w:val="（%1）"/>
      <w:lvlJc w:val="left"/>
    </w:lvl>
  </w:abstractNum>
  <w:abstractNum w:abstractNumId="6">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00000032"/>
    <w:multiLevelType w:val="multilevel"/>
    <w:tmpl w:val="00000032"/>
    <w:lvl w:ilvl="0" w:tentative="0">
      <w:start w:val="19"/>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9">
    <w:nsid w:val="00000039"/>
    <w:multiLevelType w:val="multilevel"/>
    <w:tmpl w:val="00000039"/>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3A"/>
    <w:multiLevelType w:val="multilevel"/>
    <w:tmpl w:val="0000003A"/>
    <w:lvl w:ilvl="0" w:tentative="0">
      <w:start w:val="5"/>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1">
    <w:nsid w:val="00000041"/>
    <w:multiLevelType w:val="multilevel"/>
    <w:tmpl w:val="00000041"/>
    <w:lvl w:ilvl="0" w:tentative="0">
      <w:start w:val="1"/>
      <w:numFmt w:val="decimal"/>
      <w:lvlText w:val="%1)"/>
      <w:lvlJc w:val="left"/>
      <w:pPr>
        <w:tabs>
          <w:tab w:val="left" w:pos="780"/>
        </w:tabs>
        <w:ind w:left="780" w:hanging="420"/>
      </w:pPr>
      <w:rPr>
        <w:rFonts w:hint="eastAsia" w:ascii="楷体_GB2312" w:hAnsi="Tahoma" w:eastAsia="楷体_GB2312" w:cs="Tahom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4A"/>
    <w:multiLevelType w:val="multilevel"/>
    <w:tmpl w:val="0000004A"/>
    <w:lvl w:ilvl="0" w:tentative="0">
      <w:start w:val="16"/>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3">
    <w:nsid w:val="0000004D"/>
    <w:multiLevelType w:val="multilevel"/>
    <w:tmpl w:val="0000004D"/>
    <w:lvl w:ilvl="0" w:tentative="0">
      <w:start w:val="8"/>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4">
    <w:nsid w:val="0E4487C0"/>
    <w:multiLevelType w:val="singleLevel"/>
    <w:tmpl w:val="0E4487C0"/>
    <w:lvl w:ilvl="0" w:tentative="0">
      <w:start w:val="1"/>
      <w:numFmt w:val="decimalEnclosedCircleChinese"/>
      <w:suff w:val="nothing"/>
      <w:lvlText w:val="%1　"/>
      <w:lvlJc w:val="left"/>
      <w:pPr>
        <w:ind w:left="0" w:firstLine="400"/>
      </w:pPr>
      <w:rPr>
        <w:rFonts w:hint="eastAsia"/>
      </w:rPr>
    </w:lvl>
  </w:abstractNum>
  <w:abstractNum w:abstractNumId="15">
    <w:nsid w:val="17501AC2"/>
    <w:multiLevelType w:val="singleLevel"/>
    <w:tmpl w:val="17501AC2"/>
    <w:lvl w:ilvl="0" w:tentative="0">
      <w:start w:val="1"/>
      <w:numFmt w:val="decimalEnclosedCircleChinese"/>
      <w:suff w:val="nothing"/>
      <w:lvlText w:val="%1　"/>
      <w:lvlJc w:val="left"/>
      <w:pPr>
        <w:ind w:left="0" w:firstLine="400"/>
      </w:pPr>
      <w:rPr>
        <w:rFonts w:hint="eastAsia"/>
      </w:rPr>
    </w:lvl>
  </w:abstractNum>
  <w:abstractNum w:abstractNumId="16">
    <w:nsid w:val="17677B83"/>
    <w:multiLevelType w:val="singleLevel"/>
    <w:tmpl w:val="17677B83"/>
    <w:lvl w:ilvl="0" w:tentative="0">
      <w:start w:val="2"/>
      <w:numFmt w:val="chineseCounting"/>
      <w:suff w:val="nothing"/>
      <w:lvlText w:val="%1、"/>
      <w:lvlJc w:val="left"/>
      <w:rPr>
        <w:rFonts w:hint="eastAsia"/>
      </w:rPr>
    </w:lvl>
  </w:abstractNum>
  <w:abstractNum w:abstractNumId="17">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8">
    <w:nsid w:val="2D4BC95F"/>
    <w:multiLevelType w:val="singleLevel"/>
    <w:tmpl w:val="2D4BC95F"/>
    <w:lvl w:ilvl="0" w:tentative="0">
      <w:start w:val="1"/>
      <w:numFmt w:val="decimal"/>
      <w:suff w:val="nothing"/>
      <w:lvlText w:val="（%1）"/>
      <w:lvlJc w:val="left"/>
    </w:lvl>
  </w:abstractNum>
  <w:abstractNum w:abstractNumId="19">
    <w:nsid w:val="3096AB5F"/>
    <w:multiLevelType w:val="singleLevel"/>
    <w:tmpl w:val="3096AB5F"/>
    <w:lvl w:ilvl="0" w:tentative="0">
      <w:start w:val="1"/>
      <w:numFmt w:val="chineseCounting"/>
      <w:suff w:val="space"/>
      <w:lvlText w:val="(%1)"/>
      <w:lvlJc w:val="left"/>
      <w:rPr>
        <w:rFonts w:hint="eastAsia"/>
      </w:rPr>
    </w:lvl>
  </w:abstractNum>
  <w:abstractNum w:abstractNumId="20">
    <w:nsid w:val="3380FA00"/>
    <w:multiLevelType w:val="singleLevel"/>
    <w:tmpl w:val="3380FA00"/>
    <w:lvl w:ilvl="0" w:tentative="0">
      <w:start w:val="1"/>
      <w:numFmt w:val="decimal"/>
      <w:suff w:val="nothing"/>
      <w:lvlText w:val="%1）"/>
      <w:lvlJc w:val="left"/>
    </w:lvl>
  </w:abstractNum>
  <w:abstractNum w:abstractNumId="21">
    <w:nsid w:val="41774699"/>
    <w:multiLevelType w:val="multilevel"/>
    <w:tmpl w:val="41774699"/>
    <w:lvl w:ilvl="0" w:tentative="0">
      <w:start w:val="5"/>
      <w:numFmt w:val="bullet"/>
      <w:pStyle w:val="50"/>
      <w:lvlText w:val="□"/>
      <w:lvlJc w:val="left"/>
      <w:pPr>
        <w:ind w:left="840" w:hanging="360"/>
      </w:pPr>
      <w:rPr>
        <w:rFonts w:hint="eastAsia" w:ascii="宋体" w:hAnsi="宋体" w:eastAsia="宋体" w:cs="Times New Roman"/>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23">
    <w:nsid w:val="57481DA1"/>
    <w:multiLevelType w:val="singleLevel"/>
    <w:tmpl w:val="57481DA1"/>
    <w:lvl w:ilvl="0" w:tentative="0">
      <w:start w:val="1"/>
      <w:numFmt w:val="chineseCounting"/>
      <w:suff w:val="nothing"/>
      <w:lvlText w:val="%1、"/>
      <w:lvlJc w:val="left"/>
      <w:pPr>
        <w:ind w:left="0" w:firstLine="420"/>
      </w:pPr>
      <w:rPr>
        <w:rFonts w:hint="eastAsia"/>
      </w:rPr>
    </w:lvl>
  </w:abstractNum>
  <w:abstractNum w:abstractNumId="24">
    <w:nsid w:val="5A1B912C"/>
    <w:multiLevelType w:val="singleLevel"/>
    <w:tmpl w:val="5A1B912C"/>
    <w:lvl w:ilvl="0" w:tentative="0">
      <w:start w:val="1"/>
      <w:numFmt w:val="decimalEnclosedCircleChinese"/>
      <w:suff w:val="nothing"/>
      <w:lvlText w:val="%1　"/>
      <w:lvlJc w:val="left"/>
      <w:pPr>
        <w:ind w:left="0" w:firstLine="400"/>
      </w:pPr>
      <w:rPr>
        <w:rFonts w:hint="eastAsia"/>
      </w:rPr>
    </w:lvl>
  </w:abstractNum>
  <w:abstractNum w:abstractNumId="25">
    <w:nsid w:val="7641CACD"/>
    <w:multiLevelType w:val="singleLevel"/>
    <w:tmpl w:val="7641CACD"/>
    <w:lvl w:ilvl="0" w:tentative="0">
      <w:start w:val="2"/>
      <w:numFmt w:val="decimal"/>
      <w:suff w:val="nothing"/>
      <w:lvlText w:val="（%1）"/>
      <w:lvlJc w:val="left"/>
      <w:rPr>
        <w:b/>
      </w:rPr>
    </w:lvl>
  </w:abstractNum>
  <w:abstractNum w:abstractNumId="2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21"/>
  </w:num>
  <w:num w:numId="2">
    <w:abstractNumId w:val="7"/>
  </w:num>
  <w:num w:numId="3">
    <w:abstractNumId w:val="10"/>
  </w:num>
  <w:num w:numId="4">
    <w:abstractNumId w:val="13"/>
  </w:num>
  <w:num w:numId="5">
    <w:abstractNumId w:val="26"/>
    <w:lvlOverride w:ilvl="0">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1"/>
  </w:num>
  <w:num w:numId="9">
    <w:abstractNumId w:val="14"/>
  </w:num>
  <w:num w:numId="10">
    <w:abstractNumId w:val="9"/>
  </w:num>
  <w:num w:numId="11">
    <w:abstractNumId w:val="6"/>
  </w:num>
  <w:num w:numId="12">
    <w:abstractNumId w:val="12"/>
  </w:num>
  <w:num w:numId="13">
    <w:abstractNumId w:val="24"/>
  </w:num>
  <w:num w:numId="14">
    <w:abstractNumId w:val="8"/>
  </w:num>
  <w:num w:numId="15">
    <w:abstractNumId w:val="20"/>
  </w:num>
  <w:num w:numId="16">
    <w:abstractNumId w:val="3"/>
  </w:num>
  <w:num w:numId="17">
    <w:abstractNumId w:val="19"/>
  </w:num>
  <w:num w:numId="18">
    <w:abstractNumId w:val="23"/>
    <w:lvlOverride w:ilvl="0">
      <w:startOverride w:val="1"/>
    </w:lvlOverride>
  </w:num>
  <w:num w:numId="19">
    <w:abstractNumId w:val="2"/>
  </w:num>
  <w:num w:numId="20">
    <w:abstractNumId w:val="0"/>
  </w:num>
  <w:num w:numId="21">
    <w:abstractNumId w:val="4"/>
  </w:num>
  <w:num w:numId="22">
    <w:abstractNumId w:val="22"/>
  </w:num>
  <w:num w:numId="23">
    <w:abstractNumId w:val="16"/>
  </w:num>
  <w:num w:numId="24">
    <w:abstractNumId w:val="1"/>
  </w:num>
  <w:num w:numId="25">
    <w:abstractNumId w:val="18"/>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C82FC4"/>
    <w:rsid w:val="00003D46"/>
    <w:rsid w:val="00012774"/>
    <w:rsid w:val="000363D0"/>
    <w:rsid w:val="00043BB6"/>
    <w:rsid w:val="0008534E"/>
    <w:rsid w:val="00094228"/>
    <w:rsid w:val="000A17B4"/>
    <w:rsid w:val="000C0228"/>
    <w:rsid w:val="000F025D"/>
    <w:rsid w:val="000F298B"/>
    <w:rsid w:val="000F505F"/>
    <w:rsid w:val="00110535"/>
    <w:rsid w:val="00110636"/>
    <w:rsid w:val="00150ED8"/>
    <w:rsid w:val="00151B0E"/>
    <w:rsid w:val="00156C4E"/>
    <w:rsid w:val="00170C89"/>
    <w:rsid w:val="0017755A"/>
    <w:rsid w:val="001A17ED"/>
    <w:rsid w:val="001C7D48"/>
    <w:rsid w:val="001F0C05"/>
    <w:rsid w:val="001F34B8"/>
    <w:rsid w:val="00201B6E"/>
    <w:rsid w:val="002156EA"/>
    <w:rsid w:val="00236D0B"/>
    <w:rsid w:val="002477DB"/>
    <w:rsid w:val="002501A3"/>
    <w:rsid w:val="00276B8B"/>
    <w:rsid w:val="002A3E2F"/>
    <w:rsid w:val="002D5AC4"/>
    <w:rsid w:val="002E69DA"/>
    <w:rsid w:val="003254BF"/>
    <w:rsid w:val="003648D3"/>
    <w:rsid w:val="003953AF"/>
    <w:rsid w:val="003A6C3E"/>
    <w:rsid w:val="003B30B6"/>
    <w:rsid w:val="003B6B4C"/>
    <w:rsid w:val="003B72A0"/>
    <w:rsid w:val="003F7BE8"/>
    <w:rsid w:val="00434E6A"/>
    <w:rsid w:val="00446A23"/>
    <w:rsid w:val="004512AB"/>
    <w:rsid w:val="0045778E"/>
    <w:rsid w:val="00462664"/>
    <w:rsid w:val="00477FDF"/>
    <w:rsid w:val="00492066"/>
    <w:rsid w:val="004B049B"/>
    <w:rsid w:val="004E2549"/>
    <w:rsid w:val="004F0123"/>
    <w:rsid w:val="00552A84"/>
    <w:rsid w:val="005843DB"/>
    <w:rsid w:val="005B7A88"/>
    <w:rsid w:val="005D59EB"/>
    <w:rsid w:val="005F6603"/>
    <w:rsid w:val="005F6B65"/>
    <w:rsid w:val="0066070D"/>
    <w:rsid w:val="00700434"/>
    <w:rsid w:val="00702C76"/>
    <w:rsid w:val="007236FE"/>
    <w:rsid w:val="00724AF0"/>
    <w:rsid w:val="0074470A"/>
    <w:rsid w:val="007A1213"/>
    <w:rsid w:val="007A60BC"/>
    <w:rsid w:val="007B70BA"/>
    <w:rsid w:val="007C022A"/>
    <w:rsid w:val="007F3705"/>
    <w:rsid w:val="008022DB"/>
    <w:rsid w:val="00815FCA"/>
    <w:rsid w:val="00820D0A"/>
    <w:rsid w:val="008311AC"/>
    <w:rsid w:val="008331BF"/>
    <w:rsid w:val="00846215"/>
    <w:rsid w:val="00847C05"/>
    <w:rsid w:val="008623F1"/>
    <w:rsid w:val="00865B57"/>
    <w:rsid w:val="008856C4"/>
    <w:rsid w:val="009512DD"/>
    <w:rsid w:val="009552AC"/>
    <w:rsid w:val="009C220E"/>
    <w:rsid w:val="009C75F9"/>
    <w:rsid w:val="009E2BE5"/>
    <w:rsid w:val="00A17466"/>
    <w:rsid w:val="00A17515"/>
    <w:rsid w:val="00A22AD2"/>
    <w:rsid w:val="00A45604"/>
    <w:rsid w:val="00A577B1"/>
    <w:rsid w:val="00B209A6"/>
    <w:rsid w:val="00B66538"/>
    <w:rsid w:val="00BA215F"/>
    <w:rsid w:val="00BE0574"/>
    <w:rsid w:val="00BE16E5"/>
    <w:rsid w:val="00BE21FB"/>
    <w:rsid w:val="00C00474"/>
    <w:rsid w:val="00C10829"/>
    <w:rsid w:val="00C16A21"/>
    <w:rsid w:val="00C35B4D"/>
    <w:rsid w:val="00C55CFC"/>
    <w:rsid w:val="00C61817"/>
    <w:rsid w:val="00C6421E"/>
    <w:rsid w:val="00C66CA0"/>
    <w:rsid w:val="00C814D3"/>
    <w:rsid w:val="00C82FC4"/>
    <w:rsid w:val="00C90943"/>
    <w:rsid w:val="00C96BCC"/>
    <w:rsid w:val="00CA20D9"/>
    <w:rsid w:val="00CC06C9"/>
    <w:rsid w:val="00CC2E3F"/>
    <w:rsid w:val="00CE1364"/>
    <w:rsid w:val="00CF5209"/>
    <w:rsid w:val="00D3757B"/>
    <w:rsid w:val="00D507AB"/>
    <w:rsid w:val="00D65DC6"/>
    <w:rsid w:val="00D817A5"/>
    <w:rsid w:val="00DD2362"/>
    <w:rsid w:val="00E15BB5"/>
    <w:rsid w:val="00E357B5"/>
    <w:rsid w:val="00E368BE"/>
    <w:rsid w:val="00E42FE9"/>
    <w:rsid w:val="00E53398"/>
    <w:rsid w:val="00EE337D"/>
    <w:rsid w:val="00EE5826"/>
    <w:rsid w:val="00EF2D29"/>
    <w:rsid w:val="00EF3131"/>
    <w:rsid w:val="00F40682"/>
    <w:rsid w:val="00F450CE"/>
    <w:rsid w:val="00F55F77"/>
    <w:rsid w:val="00F608F6"/>
    <w:rsid w:val="00F63F6C"/>
    <w:rsid w:val="00F91828"/>
    <w:rsid w:val="00F92136"/>
    <w:rsid w:val="00FA1484"/>
    <w:rsid w:val="00FA27B7"/>
    <w:rsid w:val="00FB771B"/>
    <w:rsid w:val="00FE6CE1"/>
    <w:rsid w:val="010159BE"/>
    <w:rsid w:val="010B751B"/>
    <w:rsid w:val="021B568A"/>
    <w:rsid w:val="024B6E08"/>
    <w:rsid w:val="02E1151B"/>
    <w:rsid w:val="02E402FA"/>
    <w:rsid w:val="02F1302A"/>
    <w:rsid w:val="030C017A"/>
    <w:rsid w:val="033C20F3"/>
    <w:rsid w:val="03C9092D"/>
    <w:rsid w:val="040D290F"/>
    <w:rsid w:val="046E072D"/>
    <w:rsid w:val="04947BB0"/>
    <w:rsid w:val="055D5EC9"/>
    <w:rsid w:val="05AF7C03"/>
    <w:rsid w:val="05E25CD6"/>
    <w:rsid w:val="063454A1"/>
    <w:rsid w:val="065A5D3B"/>
    <w:rsid w:val="06692B2D"/>
    <w:rsid w:val="06D66953"/>
    <w:rsid w:val="06E23CE3"/>
    <w:rsid w:val="06F256D4"/>
    <w:rsid w:val="07322345"/>
    <w:rsid w:val="077F5AF0"/>
    <w:rsid w:val="07CD3ACA"/>
    <w:rsid w:val="07F2003D"/>
    <w:rsid w:val="082F4AD6"/>
    <w:rsid w:val="08654DB5"/>
    <w:rsid w:val="09341D69"/>
    <w:rsid w:val="093A43CC"/>
    <w:rsid w:val="095437B6"/>
    <w:rsid w:val="097A464F"/>
    <w:rsid w:val="0AA55524"/>
    <w:rsid w:val="0B234FDB"/>
    <w:rsid w:val="0B567942"/>
    <w:rsid w:val="0B7A17BD"/>
    <w:rsid w:val="0BE1258C"/>
    <w:rsid w:val="0BFC277F"/>
    <w:rsid w:val="0BFD49F7"/>
    <w:rsid w:val="0C5B016C"/>
    <w:rsid w:val="0C9C49CB"/>
    <w:rsid w:val="0CBD200C"/>
    <w:rsid w:val="0D244E26"/>
    <w:rsid w:val="0D892AC2"/>
    <w:rsid w:val="0DDF018D"/>
    <w:rsid w:val="0DE13B50"/>
    <w:rsid w:val="0E215936"/>
    <w:rsid w:val="0E8C10B1"/>
    <w:rsid w:val="0EA24254"/>
    <w:rsid w:val="0EA264ED"/>
    <w:rsid w:val="0F1862C4"/>
    <w:rsid w:val="0F5B5D0F"/>
    <w:rsid w:val="0FB87AA7"/>
    <w:rsid w:val="10053B5E"/>
    <w:rsid w:val="10162A08"/>
    <w:rsid w:val="10855BDB"/>
    <w:rsid w:val="10950FAE"/>
    <w:rsid w:val="10DC3F25"/>
    <w:rsid w:val="10F112B0"/>
    <w:rsid w:val="11512579"/>
    <w:rsid w:val="11705D5E"/>
    <w:rsid w:val="125C296C"/>
    <w:rsid w:val="12F04814"/>
    <w:rsid w:val="130D0161"/>
    <w:rsid w:val="13133CDF"/>
    <w:rsid w:val="13223BB5"/>
    <w:rsid w:val="136F05CC"/>
    <w:rsid w:val="13AA26D3"/>
    <w:rsid w:val="14027C72"/>
    <w:rsid w:val="14425B91"/>
    <w:rsid w:val="159D17ED"/>
    <w:rsid w:val="16254A61"/>
    <w:rsid w:val="163B18B1"/>
    <w:rsid w:val="166F38F8"/>
    <w:rsid w:val="17871642"/>
    <w:rsid w:val="18C235A3"/>
    <w:rsid w:val="197113F3"/>
    <w:rsid w:val="199C7AF2"/>
    <w:rsid w:val="19D158B6"/>
    <w:rsid w:val="1A4210E4"/>
    <w:rsid w:val="1A4221AD"/>
    <w:rsid w:val="1B1C6F45"/>
    <w:rsid w:val="1B1D66B9"/>
    <w:rsid w:val="1B311BC4"/>
    <w:rsid w:val="1B383B4D"/>
    <w:rsid w:val="1B7678DD"/>
    <w:rsid w:val="1B8B0927"/>
    <w:rsid w:val="1BCD77FF"/>
    <w:rsid w:val="1BFB0751"/>
    <w:rsid w:val="1C0D4CD7"/>
    <w:rsid w:val="1C170349"/>
    <w:rsid w:val="1C420E24"/>
    <w:rsid w:val="1C473449"/>
    <w:rsid w:val="1CF57F21"/>
    <w:rsid w:val="1D4F61B9"/>
    <w:rsid w:val="1D813C80"/>
    <w:rsid w:val="1D943902"/>
    <w:rsid w:val="1DC91AFC"/>
    <w:rsid w:val="1DE4122C"/>
    <w:rsid w:val="1E200CF1"/>
    <w:rsid w:val="1E266946"/>
    <w:rsid w:val="1E2E7D5F"/>
    <w:rsid w:val="1E647B5E"/>
    <w:rsid w:val="1F185990"/>
    <w:rsid w:val="1F344F6B"/>
    <w:rsid w:val="1F4C5B16"/>
    <w:rsid w:val="1F656BC0"/>
    <w:rsid w:val="1F90634B"/>
    <w:rsid w:val="1F9868BF"/>
    <w:rsid w:val="1FA94384"/>
    <w:rsid w:val="200C7170"/>
    <w:rsid w:val="2011674C"/>
    <w:rsid w:val="20631369"/>
    <w:rsid w:val="2190365E"/>
    <w:rsid w:val="21A01596"/>
    <w:rsid w:val="21B20476"/>
    <w:rsid w:val="220E687B"/>
    <w:rsid w:val="229F2A88"/>
    <w:rsid w:val="22AE3822"/>
    <w:rsid w:val="22BD1205"/>
    <w:rsid w:val="22CC008C"/>
    <w:rsid w:val="22E571F3"/>
    <w:rsid w:val="23473AF5"/>
    <w:rsid w:val="2435301D"/>
    <w:rsid w:val="24C10BC5"/>
    <w:rsid w:val="24D52FE3"/>
    <w:rsid w:val="24DA2E40"/>
    <w:rsid w:val="24EC2AE1"/>
    <w:rsid w:val="250453BE"/>
    <w:rsid w:val="25D11103"/>
    <w:rsid w:val="26485289"/>
    <w:rsid w:val="26B32870"/>
    <w:rsid w:val="26D37A2D"/>
    <w:rsid w:val="26E90325"/>
    <w:rsid w:val="273B6B9C"/>
    <w:rsid w:val="27A0743E"/>
    <w:rsid w:val="27D0342A"/>
    <w:rsid w:val="27EB7D54"/>
    <w:rsid w:val="2943065A"/>
    <w:rsid w:val="296E60BD"/>
    <w:rsid w:val="2976597E"/>
    <w:rsid w:val="298E38FB"/>
    <w:rsid w:val="2A884BD1"/>
    <w:rsid w:val="2A9F1C41"/>
    <w:rsid w:val="2ACD18AF"/>
    <w:rsid w:val="2AE31C2A"/>
    <w:rsid w:val="2AF05EF0"/>
    <w:rsid w:val="2B0F6376"/>
    <w:rsid w:val="2B5534AE"/>
    <w:rsid w:val="2BF53CA3"/>
    <w:rsid w:val="2C02340F"/>
    <w:rsid w:val="2C5330B6"/>
    <w:rsid w:val="2C8B3FEE"/>
    <w:rsid w:val="2CD53DC4"/>
    <w:rsid w:val="2D2229F0"/>
    <w:rsid w:val="2D333DC9"/>
    <w:rsid w:val="2D613355"/>
    <w:rsid w:val="2D785779"/>
    <w:rsid w:val="2D813D46"/>
    <w:rsid w:val="2DA62684"/>
    <w:rsid w:val="2DFD28ED"/>
    <w:rsid w:val="2E114AFB"/>
    <w:rsid w:val="2E186047"/>
    <w:rsid w:val="2E364343"/>
    <w:rsid w:val="2E646148"/>
    <w:rsid w:val="2E7E2FE0"/>
    <w:rsid w:val="2EC3289D"/>
    <w:rsid w:val="2EEC3191"/>
    <w:rsid w:val="2F03781A"/>
    <w:rsid w:val="2F1B0988"/>
    <w:rsid w:val="2F307665"/>
    <w:rsid w:val="2F4448E2"/>
    <w:rsid w:val="2FAF45CB"/>
    <w:rsid w:val="2FB27C17"/>
    <w:rsid w:val="30986123"/>
    <w:rsid w:val="31C84F69"/>
    <w:rsid w:val="32591705"/>
    <w:rsid w:val="326873E7"/>
    <w:rsid w:val="326A228A"/>
    <w:rsid w:val="326C21C7"/>
    <w:rsid w:val="330169A7"/>
    <w:rsid w:val="33164C40"/>
    <w:rsid w:val="331D645F"/>
    <w:rsid w:val="33AB2871"/>
    <w:rsid w:val="33F86541"/>
    <w:rsid w:val="342C7F98"/>
    <w:rsid w:val="346239BA"/>
    <w:rsid w:val="34930ECF"/>
    <w:rsid w:val="34AB1287"/>
    <w:rsid w:val="34AD40BB"/>
    <w:rsid w:val="34D843C0"/>
    <w:rsid w:val="354C1AA5"/>
    <w:rsid w:val="357C189A"/>
    <w:rsid w:val="373231E3"/>
    <w:rsid w:val="37515F68"/>
    <w:rsid w:val="37800E50"/>
    <w:rsid w:val="3793297C"/>
    <w:rsid w:val="379C086E"/>
    <w:rsid w:val="37E35407"/>
    <w:rsid w:val="38077679"/>
    <w:rsid w:val="38196A86"/>
    <w:rsid w:val="38A81BB8"/>
    <w:rsid w:val="38B957C9"/>
    <w:rsid w:val="38BD6B4F"/>
    <w:rsid w:val="390D594A"/>
    <w:rsid w:val="3A696735"/>
    <w:rsid w:val="3AC15774"/>
    <w:rsid w:val="3B927489"/>
    <w:rsid w:val="3BC4735F"/>
    <w:rsid w:val="3BCB486B"/>
    <w:rsid w:val="3BDD3F04"/>
    <w:rsid w:val="3C0B4296"/>
    <w:rsid w:val="3C9E57AB"/>
    <w:rsid w:val="3CC73BA1"/>
    <w:rsid w:val="3D840E45"/>
    <w:rsid w:val="3E6F58B3"/>
    <w:rsid w:val="3E7767AB"/>
    <w:rsid w:val="3E8B57F6"/>
    <w:rsid w:val="3E9B316E"/>
    <w:rsid w:val="3EAA2D6C"/>
    <w:rsid w:val="3ED951C1"/>
    <w:rsid w:val="3EFE3EEB"/>
    <w:rsid w:val="3F2B6AF0"/>
    <w:rsid w:val="3FF34060"/>
    <w:rsid w:val="3FFB532F"/>
    <w:rsid w:val="405373A7"/>
    <w:rsid w:val="405D6F2D"/>
    <w:rsid w:val="40B94356"/>
    <w:rsid w:val="40ED6D01"/>
    <w:rsid w:val="4143695C"/>
    <w:rsid w:val="41674CF9"/>
    <w:rsid w:val="41AD7EBB"/>
    <w:rsid w:val="427A246E"/>
    <w:rsid w:val="42B87EDF"/>
    <w:rsid w:val="435A6649"/>
    <w:rsid w:val="43642937"/>
    <w:rsid w:val="43802B3B"/>
    <w:rsid w:val="43D03228"/>
    <w:rsid w:val="442F145E"/>
    <w:rsid w:val="44DA134B"/>
    <w:rsid w:val="450331CB"/>
    <w:rsid w:val="4592558C"/>
    <w:rsid w:val="45B25CC3"/>
    <w:rsid w:val="461036EB"/>
    <w:rsid w:val="461F1138"/>
    <w:rsid w:val="4676253A"/>
    <w:rsid w:val="469B2FFF"/>
    <w:rsid w:val="46A20BA6"/>
    <w:rsid w:val="46A41C10"/>
    <w:rsid w:val="46F55185"/>
    <w:rsid w:val="47012CC1"/>
    <w:rsid w:val="471C5C4A"/>
    <w:rsid w:val="476870E2"/>
    <w:rsid w:val="47925F0D"/>
    <w:rsid w:val="479F26D7"/>
    <w:rsid w:val="47AB5077"/>
    <w:rsid w:val="48432E90"/>
    <w:rsid w:val="485D23E1"/>
    <w:rsid w:val="49147AA9"/>
    <w:rsid w:val="4947632A"/>
    <w:rsid w:val="495A37CD"/>
    <w:rsid w:val="49BB1BB7"/>
    <w:rsid w:val="4A193B6D"/>
    <w:rsid w:val="4A4D2D15"/>
    <w:rsid w:val="4AED54C8"/>
    <w:rsid w:val="4B226F2B"/>
    <w:rsid w:val="4B436A33"/>
    <w:rsid w:val="4B5C7416"/>
    <w:rsid w:val="4BB84847"/>
    <w:rsid w:val="4BD70A02"/>
    <w:rsid w:val="4BF50A61"/>
    <w:rsid w:val="4BF577EE"/>
    <w:rsid w:val="4BFF04FD"/>
    <w:rsid w:val="4C0513A3"/>
    <w:rsid w:val="4C0E6E26"/>
    <w:rsid w:val="4C0F1DDA"/>
    <w:rsid w:val="4C862548"/>
    <w:rsid w:val="4D1A758C"/>
    <w:rsid w:val="4D2A3371"/>
    <w:rsid w:val="4D477799"/>
    <w:rsid w:val="4DE1488D"/>
    <w:rsid w:val="4E0910F4"/>
    <w:rsid w:val="4ED908C5"/>
    <w:rsid w:val="4FAC51F7"/>
    <w:rsid w:val="4FE5045C"/>
    <w:rsid w:val="50717435"/>
    <w:rsid w:val="508D2D4B"/>
    <w:rsid w:val="510160AF"/>
    <w:rsid w:val="5102372B"/>
    <w:rsid w:val="51861437"/>
    <w:rsid w:val="51EB424C"/>
    <w:rsid w:val="521D29BB"/>
    <w:rsid w:val="52356A1C"/>
    <w:rsid w:val="529B1FC1"/>
    <w:rsid w:val="52B37355"/>
    <w:rsid w:val="52C37623"/>
    <w:rsid w:val="545F5C39"/>
    <w:rsid w:val="546B1248"/>
    <w:rsid w:val="552A3FF3"/>
    <w:rsid w:val="553B6237"/>
    <w:rsid w:val="55BB408B"/>
    <w:rsid w:val="56273743"/>
    <w:rsid w:val="5628714B"/>
    <w:rsid w:val="56484F3F"/>
    <w:rsid w:val="56AD75ED"/>
    <w:rsid w:val="56F565F6"/>
    <w:rsid w:val="571526B6"/>
    <w:rsid w:val="57A83076"/>
    <w:rsid w:val="57E15F90"/>
    <w:rsid w:val="58745418"/>
    <w:rsid w:val="58913FAE"/>
    <w:rsid w:val="58997701"/>
    <w:rsid w:val="58AC7CDB"/>
    <w:rsid w:val="58F52699"/>
    <w:rsid w:val="594403C3"/>
    <w:rsid w:val="59965D30"/>
    <w:rsid w:val="59FE1985"/>
    <w:rsid w:val="5A246023"/>
    <w:rsid w:val="5A486240"/>
    <w:rsid w:val="5AA93841"/>
    <w:rsid w:val="5AAE26E8"/>
    <w:rsid w:val="5AB67C78"/>
    <w:rsid w:val="5AC567C3"/>
    <w:rsid w:val="5B025823"/>
    <w:rsid w:val="5B361442"/>
    <w:rsid w:val="5BB43E59"/>
    <w:rsid w:val="5C30098F"/>
    <w:rsid w:val="5C524CBC"/>
    <w:rsid w:val="5C6519E1"/>
    <w:rsid w:val="5C9B0909"/>
    <w:rsid w:val="5CA82D62"/>
    <w:rsid w:val="5CCC2D3D"/>
    <w:rsid w:val="5CF75970"/>
    <w:rsid w:val="5DD1739A"/>
    <w:rsid w:val="5DF30E44"/>
    <w:rsid w:val="5DF41277"/>
    <w:rsid w:val="5DF57E06"/>
    <w:rsid w:val="5E040D28"/>
    <w:rsid w:val="5E1B0E0A"/>
    <w:rsid w:val="5E2F697B"/>
    <w:rsid w:val="5EDC0A98"/>
    <w:rsid w:val="5EE9126B"/>
    <w:rsid w:val="5F5A14E4"/>
    <w:rsid w:val="5FA26232"/>
    <w:rsid w:val="5FD26E00"/>
    <w:rsid w:val="5FEF619A"/>
    <w:rsid w:val="5FFE7254"/>
    <w:rsid w:val="60A164F8"/>
    <w:rsid w:val="60EC4243"/>
    <w:rsid w:val="621213E3"/>
    <w:rsid w:val="622C4D7A"/>
    <w:rsid w:val="6249466A"/>
    <w:rsid w:val="62A0094C"/>
    <w:rsid w:val="62B00BD6"/>
    <w:rsid w:val="62B03FC7"/>
    <w:rsid w:val="635D78BF"/>
    <w:rsid w:val="63831EBB"/>
    <w:rsid w:val="646E572C"/>
    <w:rsid w:val="64CA16A8"/>
    <w:rsid w:val="64D86723"/>
    <w:rsid w:val="655107C0"/>
    <w:rsid w:val="65AD704F"/>
    <w:rsid w:val="65E10B1A"/>
    <w:rsid w:val="65F0031D"/>
    <w:rsid w:val="662D3DF8"/>
    <w:rsid w:val="6657212D"/>
    <w:rsid w:val="66E04A8F"/>
    <w:rsid w:val="67547B33"/>
    <w:rsid w:val="678825F0"/>
    <w:rsid w:val="68525518"/>
    <w:rsid w:val="698A7F9B"/>
    <w:rsid w:val="6A2F02A7"/>
    <w:rsid w:val="6A891B7D"/>
    <w:rsid w:val="6AE80D1B"/>
    <w:rsid w:val="6AF01018"/>
    <w:rsid w:val="6B3E6DEB"/>
    <w:rsid w:val="6B957D75"/>
    <w:rsid w:val="6BEE7306"/>
    <w:rsid w:val="6C1E65E6"/>
    <w:rsid w:val="6C5B777F"/>
    <w:rsid w:val="6CCD25E3"/>
    <w:rsid w:val="6DB70F9A"/>
    <w:rsid w:val="6DF8446C"/>
    <w:rsid w:val="6E1119D2"/>
    <w:rsid w:val="6EF87C4E"/>
    <w:rsid w:val="6F415EB0"/>
    <w:rsid w:val="6F525231"/>
    <w:rsid w:val="6FD3304A"/>
    <w:rsid w:val="70B4267B"/>
    <w:rsid w:val="70F4076A"/>
    <w:rsid w:val="71007A3F"/>
    <w:rsid w:val="71166FD6"/>
    <w:rsid w:val="713D0E74"/>
    <w:rsid w:val="714425C5"/>
    <w:rsid w:val="71EB0920"/>
    <w:rsid w:val="723B0003"/>
    <w:rsid w:val="724D75FF"/>
    <w:rsid w:val="72B6712F"/>
    <w:rsid w:val="730C7C43"/>
    <w:rsid w:val="732B3227"/>
    <w:rsid w:val="73440153"/>
    <w:rsid w:val="737B03A5"/>
    <w:rsid w:val="73B70621"/>
    <w:rsid w:val="73B76A1D"/>
    <w:rsid w:val="73EC10D8"/>
    <w:rsid w:val="73EF6F5E"/>
    <w:rsid w:val="73F92CEC"/>
    <w:rsid w:val="73FD1DB1"/>
    <w:rsid w:val="74854F64"/>
    <w:rsid w:val="748C1DB2"/>
    <w:rsid w:val="748D3FC4"/>
    <w:rsid w:val="75A81516"/>
    <w:rsid w:val="76161367"/>
    <w:rsid w:val="76182B4E"/>
    <w:rsid w:val="762941E6"/>
    <w:rsid w:val="76E67110"/>
    <w:rsid w:val="77422BFC"/>
    <w:rsid w:val="77C93B8D"/>
    <w:rsid w:val="781E0F73"/>
    <w:rsid w:val="783418D1"/>
    <w:rsid w:val="78421F12"/>
    <w:rsid w:val="7842267B"/>
    <w:rsid w:val="78450BF6"/>
    <w:rsid w:val="785A3DFC"/>
    <w:rsid w:val="786F4898"/>
    <w:rsid w:val="78806CC2"/>
    <w:rsid w:val="78D9133E"/>
    <w:rsid w:val="79007C7F"/>
    <w:rsid w:val="79122B51"/>
    <w:rsid w:val="798E2E18"/>
    <w:rsid w:val="79B16B5D"/>
    <w:rsid w:val="7A253E5D"/>
    <w:rsid w:val="7A8A042D"/>
    <w:rsid w:val="7AC57348"/>
    <w:rsid w:val="7AC95598"/>
    <w:rsid w:val="7B0B45B2"/>
    <w:rsid w:val="7B364C78"/>
    <w:rsid w:val="7B437705"/>
    <w:rsid w:val="7B7C575B"/>
    <w:rsid w:val="7B853B4A"/>
    <w:rsid w:val="7BC6109E"/>
    <w:rsid w:val="7C432CBE"/>
    <w:rsid w:val="7D67516A"/>
    <w:rsid w:val="7DAA424C"/>
    <w:rsid w:val="7DBE050E"/>
    <w:rsid w:val="7E3F7C92"/>
    <w:rsid w:val="7E4030DF"/>
    <w:rsid w:val="7EAE4BA1"/>
    <w:rsid w:val="7EBC4622"/>
    <w:rsid w:val="7EDC22EA"/>
    <w:rsid w:val="7EE1505B"/>
    <w:rsid w:val="7EE22BD9"/>
    <w:rsid w:val="7F5C5C4A"/>
    <w:rsid w:val="7FC2212F"/>
    <w:rsid w:val="7FC8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Calibri" w:eastAsia="Calibri"/>
      <w:b/>
      <w:bCs/>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6">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qFormat/>
    <w:uiPriority w:val="0"/>
  </w:style>
  <w:style w:type="paragraph" w:styleId="8">
    <w:name w:val="Normal Indent"/>
    <w:basedOn w:val="1"/>
    <w:qFormat/>
    <w:uiPriority w:val="0"/>
    <w:pPr>
      <w:adjustRightInd w:val="0"/>
      <w:spacing w:line="312" w:lineRule="atLeast"/>
      <w:ind w:firstLine="420"/>
      <w:textAlignment w:val="baseline"/>
    </w:pPr>
    <w:rPr>
      <w:rFonts w:eastAsia="Cambria"/>
      <w:kern w:val="0"/>
      <w:szCs w:val="20"/>
    </w:rPr>
  </w:style>
  <w:style w:type="paragraph" w:styleId="9">
    <w:name w:val="annotation text"/>
    <w:basedOn w:val="1"/>
    <w:link w:val="48"/>
    <w:qFormat/>
    <w:uiPriority w:val="0"/>
    <w:pPr>
      <w:jc w:val="left"/>
    </w:pPr>
  </w:style>
  <w:style w:type="paragraph" w:styleId="10">
    <w:name w:val="Body Text"/>
    <w:basedOn w:val="1"/>
    <w:next w:val="1"/>
    <w:qFormat/>
    <w:uiPriority w:val="0"/>
    <w:pPr>
      <w:spacing w:after="120"/>
    </w:pPr>
    <w:rPr>
      <w:rFonts w:eastAsia="Cambria"/>
    </w:rPr>
  </w:style>
  <w:style w:type="paragraph" w:styleId="11">
    <w:name w:val="Body Text Indent"/>
    <w:basedOn w:val="1"/>
    <w:link w:val="42"/>
    <w:qFormat/>
    <w:uiPriority w:val="0"/>
    <w:pPr>
      <w:ind w:left="200" w:hanging="200" w:hangingChars="200"/>
    </w:pPr>
    <w:rPr>
      <w:sz w:val="24"/>
    </w:rPr>
  </w:style>
  <w:style w:type="paragraph" w:styleId="12">
    <w:name w:val="Block Text"/>
    <w:basedOn w:val="1"/>
    <w:qFormat/>
    <w:uiPriority w:val="0"/>
    <w:pPr>
      <w:spacing w:before="156" w:after="156"/>
      <w:ind w:left="203" w:right="-11" w:hanging="203" w:hangingChars="203"/>
    </w:pPr>
    <w:rPr>
      <w:rFonts w:eastAsia="楷体_GB2312"/>
    </w:rPr>
  </w:style>
  <w:style w:type="paragraph" w:styleId="13">
    <w:name w:val="toc 3"/>
    <w:basedOn w:val="1"/>
    <w:next w:val="1"/>
    <w:qFormat/>
    <w:uiPriority w:val="0"/>
    <w:pPr>
      <w:ind w:left="840" w:leftChars="400"/>
    </w:pPr>
  </w:style>
  <w:style w:type="paragraph" w:styleId="14">
    <w:name w:val="Plain Text"/>
    <w:basedOn w:val="1"/>
    <w:next w:val="1"/>
    <w:link w:val="44"/>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15">
    <w:name w:val="Balloon Text"/>
    <w:basedOn w:val="1"/>
    <w:link w:val="47"/>
    <w:semiHidden/>
    <w:unhideWhenUsed/>
    <w:qFormat/>
    <w:uiPriority w:val="0"/>
    <w:rPr>
      <w:sz w:val="18"/>
      <w:szCs w:val="18"/>
    </w:rPr>
  </w:style>
  <w:style w:type="paragraph" w:styleId="16">
    <w:name w:val="footer"/>
    <w:basedOn w:val="1"/>
    <w:qFormat/>
    <w:uiPriority w:val="0"/>
    <w:pPr>
      <w:tabs>
        <w:tab w:val="center" w:pos="4153"/>
        <w:tab w:val="right" w:pos="8306"/>
      </w:tabs>
      <w:snapToGrid w:val="0"/>
      <w:jc w:val="left"/>
    </w:pPr>
    <w:rPr>
      <w:rFonts w:eastAsia="Cambria"/>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18">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19">
    <w:name w:val="toc 6"/>
    <w:basedOn w:val="1"/>
    <w:next w:val="1"/>
    <w:qFormat/>
    <w:uiPriority w:val="0"/>
    <w:pPr>
      <w:autoSpaceDE w:val="0"/>
      <w:autoSpaceDN w:val="0"/>
      <w:adjustRightInd w:val="0"/>
      <w:ind w:left="2100" w:leftChars="1000"/>
      <w:jc w:val="left"/>
    </w:pPr>
    <w:rPr>
      <w:kern w:val="0"/>
      <w:sz w:val="20"/>
      <w:szCs w:val="20"/>
    </w:rPr>
  </w:style>
  <w:style w:type="paragraph" w:styleId="20">
    <w:name w:val="toc 2"/>
    <w:basedOn w:val="1"/>
    <w:next w:val="1"/>
    <w:qFormat/>
    <w:uiPriority w:val="0"/>
    <w:pPr>
      <w:ind w:left="420" w:leftChars="200"/>
    </w:pPr>
  </w:style>
  <w:style w:type="paragraph" w:styleId="21">
    <w:name w:val="Normal (Web)"/>
    <w:basedOn w:val="1"/>
    <w:next w:val="7"/>
    <w:qFormat/>
    <w:uiPriority w:val="0"/>
    <w:pPr>
      <w:widowControl/>
      <w:spacing w:before="100" w:beforeAutospacing="1" w:after="100" w:afterAutospacing="1"/>
      <w:jc w:val="left"/>
    </w:pPr>
    <w:rPr>
      <w:rFonts w:ascii="Cambria" w:hAnsi="Cambria" w:cs="Cambria"/>
      <w:kern w:val="0"/>
      <w:sz w:val="24"/>
    </w:rPr>
  </w:style>
  <w:style w:type="paragraph" w:styleId="22">
    <w:name w:val="annotation subject"/>
    <w:basedOn w:val="9"/>
    <w:next w:val="9"/>
    <w:link w:val="49"/>
    <w:semiHidden/>
    <w:unhideWhenUsed/>
    <w:qFormat/>
    <w:uiPriority w:val="0"/>
    <w:rPr>
      <w:b/>
      <w:bCs/>
    </w:rPr>
  </w:style>
  <w:style w:type="paragraph" w:styleId="23">
    <w:name w:val="Body Text First Indent"/>
    <w:basedOn w:val="10"/>
    <w:next w:val="1"/>
    <w:qFormat/>
    <w:uiPriority w:val="0"/>
    <w:pPr>
      <w:autoSpaceDE w:val="0"/>
      <w:autoSpaceDN w:val="0"/>
      <w:adjustRightInd w:val="0"/>
      <w:ind w:firstLine="420" w:firstLineChars="100"/>
      <w:jc w:val="left"/>
    </w:pPr>
    <w:rPr>
      <w:kern w:val="0"/>
      <w:sz w:val="20"/>
      <w:szCs w:val="20"/>
    </w:rPr>
  </w:style>
  <w:style w:type="paragraph" w:styleId="24">
    <w:name w:val="Body Text First Indent 2"/>
    <w:basedOn w:val="11"/>
    <w:link w:val="43"/>
    <w:qFormat/>
    <w:uiPriority w:val="0"/>
    <w:pPr>
      <w:spacing w:after="120"/>
      <w:ind w:left="420" w:leftChars="200" w:firstLine="420" w:firstLineChars="200"/>
    </w:pPr>
    <w:rPr>
      <w:sz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0"/>
    <w:rPr>
      <w:color w:val="771CAA"/>
      <w:u w:val="none"/>
    </w:rPr>
  </w:style>
  <w:style w:type="character" w:styleId="30">
    <w:name w:val="Emphasis"/>
    <w:basedOn w:val="27"/>
    <w:qFormat/>
    <w:uiPriority w:val="0"/>
    <w:rPr>
      <w:color w:val="F73131"/>
    </w:rPr>
  </w:style>
  <w:style w:type="character" w:styleId="31">
    <w:name w:val="Hyperlink"/>
    <w:qFormat/>
    <w:uiPriority w:val="99"/>
    <w:rPr>
      <w:color w:val="000000"/>
      <w:sz w:val="20"/>
      <w:szCs w:val="20"/>
      <w:u w:val="none"/>
    </w:rPr>
  </w:style>
  <w:style w:type="character" w:styleId="32">
    <w:name w:val="annotation reference"/>
    <w:basedOn w:val="27"/>
    <w:semiHidden/>
    <w:unhideWhenUsed/>
    <w:qFormat/>
    <w:uiPriority w:val="0"/>
    <w:rPr>
      <w:sz w:val="21"/>
      <w:szCs w:val="21"/>
    </w:rPr>
  </w:style>
  <w:style w:type="character" w:styleId="33">
    <w:name w:val="HTML Cite"/>
    <w:basedOn w:val="27"/>
    <w:semiHidden/>
    <w:unhideWhenUsed/>
    <w:qFormat/>
    <w:uiPriority w:val="0"/>
    <w:rPr>
      <w:color w:val="008000"/>
    </w:rPr>
  </w:style>
  <w:style w:type="paragraph" w:customStyle="1" w:styleId="34">
    <w:name w:val="[Normal]"/>
    <w:qFormat/>
    <w:uiPriority w:val="0"/>
    <w:rPr>
      <w:rFonts w:ascii="宋体" w:hAnsi="宋体" w:eastAsia="宋体" w:cs="Times New Roman"/>
      <w:sz w:val="24"/>
      <w:szCs w:val="22"/>
      <w:lang w:val="zh-CN" w:eastAsia="zh-CN" w:bidi="ar-SA"/>
    </w:rPr>
  </w:style>
  <w:style w:type="paragraph" w:customStyle="1" w:styleId="3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36">
    <w:name w:val="样式1"/>
    <w:basedOn w:val="1"/>
    <w:qFormat/>
    <w:uiPriority w:val="0"/>
    <w:rPr>
      <w:b/>
      <w:color w:val="538135"/>
      <w:sz w:val="28"/>
    </w:rPr>
  </w:style>
  <w:style w:type="character" w:customStyle="1" w:styleId="37">
    <w:name w:val="font01"/>
    <w:basedOn w:val="27"/>
    <w:qFormat/>
    <w:uiPriority w:val="0"/>
    <w:rPr>
      <w:rFonts w:hint="eastAsia" w:ascii="宋体" w:hAnsi="宋体" w:eastAsia="宋体" w:cs="宋体"/>
      <w:color w:val="000000"/>
      <w:sz w:val="22"/>
      <w:szCs w:val="22"/>
      <w:u w:val="none"/>
    </w:rPr>
  </w:style>
  <w:style w:type="paragraph" w:customStyle="1" w:styleId="38">
    <w:name w:val="Table Paragraph"/>
    <w:basedOn w:val="1"/>
    <w:qFormat/>
    <w:uiPriority w:val="0"/>
    <w:rPr>
      <w:rFonts w:ascii="宋体" w:cs="宋体"/>
      <w:lang w:val="zh-CN" w:bidi="zh-CN"/>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正文_0_2"/>
    <w:qFormat/>
    <w:uiPriority w:val="0"/>
    <w:pPr>
      <w:widowControl w:val="0"/>
      <w:ind w:firstLine="560" w:firstLineChars="200"/>
      <w:jc w:val="both"/>
    </w:pPr>
    <w:rPr>
      <w:rFonts w:ascii="Calibri" w:hAnsi="Calibri" w:eastAsia="宋体" w:cs="Times New Roman"/>
      <w:kern w:val="2"/>
      <w:sz w:val="28"/>
      <w:szCs w:val="28"/>
      <w:lang w:val="en-US" w:eastAsia="zh-CN" w:bidi="ar-SA"/>
    </w:rPr>
  </w:style>
  <w:style w:type="paragraph" w:styleId="41">
    <w:name w:val="List Paragraph"/>
    <w:basedOn w:val="1"/>
    <w:qFormat/>
    <w:uiPriority w:val="34"/>
    <w:pPr>
      <w:ind w:firstLine="420" w:firstLineChars="200"/>
    </w:pPr>
  </w:style>
  <w:style w:type="character" w:customStyle="1" w:styleId="42">
    <w:name w:val="正文文本缩进 Char"/>
    <w:basedOn w:val="27"/>
    <w:link w:val="11"/>
    <w:qFormat/>
    <w:uiPriority w:val="0"/>
    <w:rPr>
      <w:kern w:val="2"/>
      <w:sz w:val="24"/>
      <w:szCs w:val="24"/>
    </w:rPr>
  </w:style>
  <w:style w:type="character" w:customStyle="1" w:styleId="43">
    <w:name w:val="正文首行缩进 2 Char"/>
    <w:basedOn w:val="42"/>
    <w:link w:val="24"/>
    <w:qFormat/>
    <w:uiPriority w:val="0"/>
    <w:rPr>
      <w:kern w:val="2"/>
      <w:sz w:val="21"/>
      <w:szCs w:val="24"/>
    </w:rPr>
  </w:style>
  <w:style w:type="character" w:customStyle="1" w:styleId="44">
    <w:name w:val="纯文本 Char"/>
    <w:link w:val="14"/>
    <w:qFormat/>
    <w:uiPriority w:val="0"/>
    <w:rPr>
      <w:rFonts w:ascii="Cambria" w:hAnsi="隶书" w:eastAsia="Cambria"/>
      <w:sz w:val="21"/>
      <w:szCs w:val="21"/>
    </w:rPr>
  </w:style>
  <w:style w:type="paragraph" w:customStyle="1" w:styleId="45">
    <w:name w:val="tytytyty"/>
    <w:basedOn w:val="1"/>
    <w:qFormat/>
    <w:uiPriority w:val="0"/>
    <w:pPr>
      <w:spacing w:line="360" w:lineRule="auto"/>
      <w:ind w:left="359" w:leftChars="171" w:firstLine="480" w:firstLineChars="200"/>
    </w:pPr>
    <w:rPr>
      <w:sz w:val="24"/>
      <w:szCs w:val="20"/>
    </w:rPr>
  </w:style>
  <w:style w:type="paragraph" w:customStyle="1" w:styleId="46">
    <w:name w:val="正文标准"/>
    <w:basedOn w:val="1"/>
    <w:qFormat/>
    <w:uiPriority w:val="0"/>
    <w:pPr>
      <w:autoSpaceDE w:val="0"/>
      <w:autoSpaceDN w:val="0"/>
      <w:spacing w:before="50" w:beforeLines="50" w:after="50" w:afterLines="50" w:line="360" w:lineRule="auto"/>
      <w:ind w:firstLine="200" w:firstLineChars="200"/>
      <w:contextualSpacing/>
      <w:jc w:val="left"/>
    </w:pPr>
    <w:rPr>
      <w:rFonts w:ascii="宋体" w:hAnsi="宋体" w:eastAsia="仿宋"/>
      <w:color w:val="000000"/>
      <w:kern w:val="0"/>
      <w:sz w:val="24"/>
    </w:rPr>
  </w:style>
  <w:style w:type="character" w:customStyle="1" w:styleId="47">
    <w:name w:val="批注框文本 Char"/>
    <w:basedOn w:val="27"/>
    <w:link w:val="15"/>
    <w:semiHidden/>
    <w:qFormat/>
    <w:uiPriority w:val="0"/>
    <w:rPr>
      <w:kern w:val="2"/>
      <w:sz w:val="18"/>
      <w:szCs w:val="18"/>
    </w:rPr>
  </w:style>
  <w:style w:type="character" w:customStyle="1" w:styleId="48">
    <w:name w:val="批注文字 Char"/>
    <w:basedOn w:val="27"/>
    <w:link w:val="9"/>
    <w:qFormat/>
    <w:uiPriority w:val="0"/>
    <w:rPr>
      <w:kern w:val="2"/>
      <w:sz w:val="21"/>
      <w:szCs w:val="24"/>
    </w:rPr>
  </w:style>
  <w:style w:type="character" w:customStyle="1" w:styleId="49">
    <w:name w:val="批注主题 Char"/>
    <w:basedOn w:val="48"/>
    <w:link w:val="22"/>
    <w:semiHidden/>
    <w:qFormat/>
    <w:uiPriority w:val="0"/>
    <w:rPr>
      <w:b/>
      <w:bCs/>
      <w:kern w:val="2"/>
      <w:sz w:val="21"/>
      <w:szCs w:val="24"/>
    </w:rPr>
  </w:style>
  <w:style w:type="paragraph" w:customStyle="1" w:styleId="50">
    <w:name w:val="附件标题"/>
    <w:basedOn w:val="3"/>
    <w:next w:val="1"/>
    <w:qFormat/>
    <w:uiPriority w:val="0"/>
    <w:pPr>
      <w:widowControl/>
      <w:numPr>
        <w:ilvl w:val="0"/>
        <w:numId w:val="1"/>
      </w:numPr>
      <w:tabs>
        <w:tab w:val="left" w:pos="1134"/>
      </w:tabs>
      <w:wordWrap w:val="0"/>
      <w:topLinePunct/>
      <w:adjustRightInd w:val="0"/>
      <w:snapToGrid w:val="0"/>
      <w:spacing w:before="0" w:after="120" w:afterLines="50" w:line="360" w:lineRule="auto"/>
      <w:ind w:firstLine="0"/>
      <w:jc w:val="center"/>
    </w:pPr>
    <w:rPr>
      <w:rFonts w:ascii="黑体" w:hAnsi="黑体"/>
      <w:kern w:val="0"/>
      <w:sz w:val="30"/>
      <w:szCs w:val="30"/>
    </w:rPr>
  </w:style>
  <w:style w:type="character" w:customStyle="1" w:styleId="51">
    <w:name w:val="hover25"/>
    <w:basedOn w:val="27"/>
    <w:qFormat/>
    <w:uiPriority w:val="0"/>
    <w:rPr>
      <w:color w:val="315EFB"/>
    </w:rPr>
  </w:style>
  <w:style w:type="character" w:customStyle="1" w:styleId="52">
    <w:name w:val="hover26"/>
    <w:basedOn w:val="27"/>
    <w:qFormat/>
    <w:uiPriority w:val="0"/>
  </w:style>
  <w:style w:type="character" w:customStyle="1" w:styleId="53">
    <w:name w:val="hover27"/>
    <w:basedOn w:val="27"/>
    <w:qFormat/>
    <w:uiPriority w:val="0"/>
    <w:rPr>
      <w:color w:val="335BFF"/>
    </w:rPr>
  </w:style>
  <w:style w:type="character" w:customStyle="1" w:styleId="54">
    <w:name w:val="hover28"/>
    <w:basedOn w:val="27"/>
    <w:qFormat/>
    <w:uiPriority w:val="0"/>
  </w:style>
  <w:style w:type="character" w:customStyle="1" w:styleId="55">
    <w:name w:val="hover29"/>
    <w:basedOn w:val="27"/>
    <w:qFormat/>
    <w:uiPriority w:val="0"/>
    <w:rPr>
      <w:color w:val="315EFB"/>
    </w:rPr>
  </w:style>
  <w:style w:type="character" w:customStyle="1" w:styleId="56">
    <w:name w:val="c-icon28"/>
    <w:basedOn w:val="27"/>
    <w:qFormat/>
    <w:uiPriority w:val="0"/>
  </w:style>
  <w:style w:type="character" w:customStyle="1" w:styleId="57">
    <w:name w:val="c-icon"/>
    <w:basedOn w:val="27"/>
    <w:qFormat/>
    <w:uiPriority w:val="0"/>
  </w:style>
  <w:style w:type="character" w:customStyle="1" w:styleId="58">
    <w:name w:val="hover7"/>
    <w:basedOn w:val="27"/>
    <w:qFormat/>
    <w:uiPriority w:val="0"/>
    <w:rPr>
      <w:color w:val="315EFB"/>
    </w:rPr>
  </w:style>
  <w:style w:type="character" w:customStyle="1" w:styleId="59">
    <w:name w:val="hover"/>
    <w:basedOn w:val="27"/>
    <w:qFormat/>
    <w:uiPriority w:val="0"/>
    <w:rPr>
      <w:color w:val="315EFB"/>
    </w:rPr>
  </w:style>
  <w:style w:type="character" w:customStyle="1" w:styleId="60">
    <w:name w:val="hover1"/>
    <w:basedOn w:val="27"/>
    <w:qFormat/>
    <w:uiPriority w:val="0"/>
  </w:style>
  <w:style w:type="character" w:customStyle="1" w:styleId="61">
    <w:name w:val="hover2"/>
    <w:basedOn w:val="27"/>
    <w:qFormat/>
    <w:uiPriority w:val="0"/>
    <w:rPr>
      <w:color w:val="315EFB"/>
    </w:rPr>
  </w:style>
  <w:style w:type="character" w:customStyle="1" w:styleId="62">
    <w:name w:val="hover3"/>
    <w:basedOn w:val="27"/>
    <w:qFormat/>
    <w:uiPriority w:val="0"/>
  </w:style>
  <w:style w:type="character" w:customStyle="1" w:styleId="63">
    <w:name w:val="hover4"/>
    <w:basedOn w:val="27"/>
    <w:qFormat/>
    <w:uiPriority w:val="0"/>
    <w:rPr>
      <w:color w:val="315EFB"/>
    </w:rPr>
  </w:style>
  <w:style w:type="paragraph" w:customStyle="1" w:styleId="64">
    <w:name w:val="正文，首行缩进:"/>
    <w:basedOn w:val="1"/>
    <w:qFormat/>
    <w:uiPriority w:val="0"/>
    <w:pPr>
      <w:tabs>
        <w:tab w:val="left" w:pos="3376"/>
      </w:tabs>
      <w:spacing w:line="460" w:lineRule="exact"/>
      <w:ind w:firstLine="480" w:firstLineChars="200"/>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10476</Words>
  <Characters>11215</Characters>
  <Lines>327</Lines>
  <Paragraphs>92</Paragraphs>
  <TotalTime>33</TotalTime>
  <ScaleCrop>false</ScaleCrop>
  <LinksUpToDate>false</LinksUpToDate>
  <CharactersWithSpaces>11332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2022-04-14T02:53:00Z</dcterms:created>
  <dc:creator>Administrator</dc:creator>
  <cp:lastModifiedBy>GJDN</cp:lastModifiedBy>
  <cp:lastPrinted>2022-09-13T06:57:00Z</cp:lastPrinted>
  <dcterms:modified xsi:type="dcterms:W3CDTF">2025-06-27T09:42:28Z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B5F6A043B79A4D37B66CA19E91788311_13</vt:lpwstr>
  </property>
  <property fmtid="{D5CDD505-2E9C-101B-9397-08002B2CF9AE}" pid="4" name="KSOTemplateDocerSaveRecord">
    <vt:lpwstr>eyJoZGlkIjoiZmY0ZTYyNTEwNmIwOWU3NGNhODA5NWY2MjkzNTU1MTkiLCJ1c2VySWQiOiIxNDQ0NDUzODExIn0=</vt:lpwstr>
  </property>
</Properties>
</file>