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5B3C0">
      <w:pPr>
        <w:pStyle w:val="970"/>
        <w:spacing w:line="760" w:lineRule="exact"/>
        <w:rPr>
          <w:rFonts w:hint="eastAsia" w:ascii="宋体" w:hAnsi="宋体" w:eastAsia="宋体" w:cs="宋体"/>
          <w:color w:val="auto"/>
          <w:sz w:val="72"/>
          <w:szCs w:val="72"/>
          <w:highlight w:val="none"/>
        </w:rPr>
      </w:pPr>
    </w:p>
    <w:p w14:paraId="7DAC6C31">
      <w:pPr>
        <w:pStyle w:val="24"/>
        <w:jc w:val="center"/>
        <w:rPr>
          <w:rFonts w:hint="eastAsia" w:ascii="宋体" w:hAnsi="宋体" w:eastAsia="宋体" w:cs="宋体"/>
          <w:b/>
          <w:bCs/>
          <w:color w:val="auto"/>
          <w:sz w:val="56"/>
          <w:szCs w:val="56"/>
          <w:highlight w:val="none"/>
          <w:lang w:val="en-US" w:eastAsia="zh-CN"/>
        </w:rPr>
      </w:pPr>
      <w:r>
        <w:rPr>
          <w:rFonts w:hint="eastAsia" w:hAnsi="宋体" w:cs="宋体"/>
          <w:b/>
          <w:bCs/>
          <w:color w:val="auto"/>
          <w:sz w:val="52"/>
          <w:szCs w:val="52"/>
          <w:highlight w:val="none"/>
          <w:lang w:val="en-US" w:eastAsia="zh-CN"/>
        </w:rPr>
        <w:t>杭州市医疗保障局萧山分局2025年档案规范化整理与数字化加工采购项目</w:t>
      </w:r>
    </w:p>
    <w:p w14:paraId="27406F59">
      <w:pPr>
        <w:pStyle w:val="83"/>
        <w:rPr>
          <w:rFonts w:hint="eastAsia" w:ascii="宋体" w:hAnsi="宋体" w:eastAsia="宋体" w:cs="宋体"/>
          <w:color w:val="auto"/>
          <w:highlight w:val="none"/>
          <w:lang w:eastAsia="zh-CN"/>
        </w:rPr>
      </w:pPr>
    </w:p>
    <w:p w14:paraId="5F40921D">
      <w:pPr>
        <w:adjustRightInd/>
        <w:spacing w:line="360" w:lineRule="auto"/>
        <w:jc w:val="center"/>
        <w:rPr>
          <w:rFonts w:hint="eastAsia" w:ascii="宋体" w:hAnsi="宋体" w:eastAsia="宋体" w:cs="宋体"/>
          <w:b/>
          <w:bCs/>
          <w:color w:val="auto"/>
          <w:sz w:val="72"/>
          <w:szCs w:val="72"/>
          <w:highlight w:val="none"/>
        </w:rPr>
      </w:pPr>
    </w:p>
    <w:p w14:paraId="5FACB633">
      <w:pPr>
        <w:widowControl/>
        <w:adjustRightInd/>
        <w:spacing w:after="200" w:line="360" w:lineRule="auto"/>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公开竞争文件</w:t>
      </w:r>
    </w:p>
    <w:p w14:paraId="25394EF4">
      <w:pPr>
        <w:widowControl/>
        <w:adjustRightInd/>
        <w:spacing w:after="200" w:line="360" w:lineRule="auto"/>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（电子交易）</w:t>
      </w:r>
    </w:p>
    <w:p w14:paraId="5CB2A03F">
      <w:pPr>
        <w:snapToGrid w:val="0"/>
        <w:spacing w:line="360" w:lineRule="auto"/>
        <w:jc w:val="center"/>
        <w:rPr>
          <w:rFonts w:hint="eastAsia" w:ascii="宋体" w:hAnsi="宋体" w:eastAsia="宋体" w:cs="宋体"/>
          <w:b/>
          <w:bCs/>
          <w:color w:val="auto"/>
          <w:sz w:val="30"/>
          <w:szCs w:val="30"/>
          <w:highlight w:val="none"/>
        </w:rPr>
      </w:pPr>
    </w:p>
    <w:p w14:paraId="650FCAB5">
      <w:pPr>
        <w:widowControl/>
        <w:adjustRightInd/>
        <w:spacing w:after="200" w:line="360" w:lineRule="auto"/>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32"/>
          <w:szCs w:val="32"/>
          <w:highlight w:val="none"/>
        </w:rPr>
        <w:t>交易编号：</w:t>
      </w:r>
      <w:r>
        <w:rPr>
          <w:rFonts w:hint="eastAsia" w:ascii="宋体" w:hAnsi="宋体" w:cs="宋体"/>
          <w:b/>
          <w:color w:val="auto"/>
          <w:kern w:val="0"/>
          <w:sz w:val="32"/>
          <w:szCs w:val="32"/>
          <w:highlight w:val="none"/>
          <w:lang w:eastAsia="zh-CN"/>
        </w:rPr>
        <w:t>BWZBDL2025-134</w:t>
      </w:r>
    </w:p>
    <w:p w14:paraId="231FF693">
      <w:pPr>
        <w:adjustRightInd/>
        <w:spacing w:line="360" w:lineRule="auto"/>
        <w:rPr>
          <w:rFonts w:hint="eastAsia" w:ascii="宋体" w:hAnsi="宋体" w:eastAsia="宋体" w:cs="宋体"/>
          <w:color w:val="auto"/>
          <w:sz w:val="28"/>
          <w:szCs w:val="20"/>
          <w:highlight w:val="none"/>
        </w:rPr>
      </w:pPr>
    </w:p>
    <w:p w14:paraId="677113DB">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FCAEFDB">
      <w:pPr>
        <w:spacing w:line="360" w:lineRule="auto"/>
        <w:jc w:val="center"/>
        <w:rPr>
          <w:rFonts w:hint="eastAsia" w:ascii="宋体" w:hAnsi="宋体" w:eastAsia="宋体" w:cs="宋体"/>
          <w:b/>
          <w:color w:val="auto"/>
          <w:sz w:val="44"/>
          <w:szCs w:val="44"/>
          <w:highlight w:val="none"/>
        </w:rPr>
      </w:pPr>
    </w:p>
    <w:p w14:paraId="2C0E94CB">
      <w:pPr>
        <w:spacing w:line="360" w:lineRule="auto"/>
        <w:jc w:val="center"/>
        <w:rPr>
          <w:rFonts w:hint="eastAsia" w:ascii="宋体" w:hAnsi="宋体" w:eastAsia="宋体" w:cs="宋体"/>
          <w:b/>
          <w:color w:val="auto"/>
          <w:spacing w:val="-34"/>
          <w:sz w:val="32"/>
          <w:szCs w:val="30"/>
          <w:highlight w:val="none"/>
        </w:rPr>
      </w:pPr>
    </w:p>
    <w:p w14:paraId="2FCD1266">
      <w:pPr>
        <w:snapToGrid w:val="0"/>
        <w:spacing w:line="360" w:lineRule="auto"/>
        <w:ind w:firstLine="964" w:firstLineChars="300"/>
        <w:rPr>
          <w:rFonts w:hint="eastAsia" w:ascii="宋体" w:hAnsi="宋体" w:eastAsia="宋体" w:cs="宋体"/>
          <w:b/>
          <w:color w:val="auto"/>
          <w:sz w:val="32"/>
          <w:szCs w:val="30"/>
          <w:highlight w:val="none"/>
        </w:rPr>
      </w:pPr>
    </w:p>
    <w:p w14:paraId="6D2FFFC6">
      <w:pPr>
        <w:snapToGrid w:val="0"/>
        <w:spacing w:line="360" w:lineRule="auto"/>
        <w:ind w:firstLine="964" w:firstLineChars="300"/>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32"/>
          <w:szCs w:val="30"/>
          <w:highlight w:val="none"/>
        </w:rPr>
        <w:t>交易发起人：</w:t>
      </w:r>
      <w:r>
        <w:rPr>
          <w:rFonts w:hint="eastAsia" w:ascii="宋体" w:hAnsi="宋体" w:cs="宋体"/>
          <w:b/>
          <w:bCs/>
          <w:color w:val="auto"/>
          <w:sz w:val="32"/>
          <w:szCs w:val="32"/>
          <w:highlight w:val="none"/>
          <w:lang w:eastAsia="zh-CN"/>
        </w:rPr>
        <w:t>杭州市医疗保障局萧山分局</w:t>
      </w:r>
    </w:p>
    <w:p w14:paraId="48CE6989">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14:paraId="0E7CD976">
      <w:pPr>
        <w:snapToGrid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32"/>
          <w:szCs w:val="32"/>
          <w:highlight w:val="none"/>
          <w:lang w:val="en-US" w:eastAsia="zh-CN"/>
        </w:rPr>
        <w:t>2025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07</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04</w:t>
      </w:r>
      <w:r>
        <w:rPr>
          <w:rFonts w:hint="eastAsia" w:ascii="宋体" w:hAnsi="宋体" w:eastAsia="宋体" w:cs="宋体"/>
          <w:b/>
          <w:color w:val="auto"/>
          <w:sz w:val="32"/>
          <w:szCs w:val="32"/>
          <w:highlight w:val="none"/>
        </w:rPr>
        <w:t>日</w:t>
      </w:r>
    </w:p>
    <w:p w14:paraId="5F77B019">
      <w:pPr>
        <w:jc w:val="center"/>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EABF6DA">
      <w:pPr>
        <w:pStyle w:val="63"/>
        <w:ind w:firstLine="420"/>
        <w:rPr>
          <w:rFonts w:hint="eastAsia" w:ascii="宋体" w:hAnsi="宋体" w:eastAsia="宋体" w:cs="宋体"/>
          <w:color w:val="auto"/>
          <w:highlight w:val="none"/>
        </w:rPr>
      </w:pPr>
    </w:p>
    <w:p w14:paraId="4FDB919E">
      <w:pPr>
        <w:jc w:val="center"/>
        <w:rPr>
          <w:rFonts w:hint="eastAsia" w:ascii="宋体" w:hAnsi="宋体" w:eastAsia="宋体" w:cs="宋体"/>
          <w:b/>
          <w:color w:val="auto"/>
          <w:sz w:val="48"/>
          <w:szCs w:val="48"/>
          <w:highlight w:val="none"/>
        </w:rPr>
      </w:pPr>
    </w:p>
    <w:p w14:paraId="60F58DA5">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5BA6318">
      <w:pPr>
        <w:spacing w:line="360" w:lineRule="auto"/>
        <w:rPr>
          <w:rFonts w:hint="eastAsia" w:ascii="宋体" w:hAnsi="宋体" w:eastAsia="宋体" w:cs="宋体"/>
          <w:color w:val="auto"/>
          <w:sz w:val="32"/>
          <w:szCs w:val="32"/>
          <w:highlight w:val="none"/>
        </w:rPr>
      </w:pPr>
    </w:p>
    <w:p w14:paraId="3466B54D">
      <w:pPr>
        <w:spacing w:line="360" w:lineRule="auto"/>
        <w:rPr>
          <w:rFonts w:hint="eastAsia" w:ascii="宋体" w:hAnsi="宋体" w:eastAsia="宋体" w:cs="宋体"/>
          <w:color w:val="auto"/>
          <w:sz w:val="32"/>
          <w:szCs w:val="32"/>
          <w:highlight w:val="none"/>
        </w:rPr>
      </w:pPr>
    </w:p>
    <w:p w14:paraId="0ABDB76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32A8D5A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14:paraId="6972E0C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14:paraId="5FA4C96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第四部分      </w:t>
      </w:r>
      <w:r>
        <w:rPr>
          <w:rFonts w:hint="eastAsia" w:ascii="宋体" w:hAnsi="宋体" w:cs="宋体"/>
          <w:color w:val="auto"/>
          <w:sz w:val="32"/>
          <w:szCs w:val="32"/>
          <w:highlight w:val="none"/>
          <w:lang w:val="en-US" w:eastAsia="zh-CN"/>
        </w:rPr>
        <w:t>交易</w:t>
      </w:r>
      <w:r>
        <w:rPr>
          <w:rFonts w:hint="eastAsia" w:ascii="宋体" w:hAnsi="宋体" w:eastAsia="宋体" w:cs="宋体"/>
          <w:color w:val="auto"/>
          <w:sz w:val="32"/>
          <w:szCs w:val="32"/>
          <w:highlight w:val="none"/>
        </w:rPr>
        <w:t>办法</w:t>
      </w:r>
    </w:p>
    <w:p w14:paraId="28D3F21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F9F454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E40F053">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7CCB49D7">
      <w:pPr>
        <w:spacing w:line="360" w:lineRule="auto"/>
        <w:ind w:firstLine="549" w:firstLineChars="229"/>
        <w:rPr>
          <w:rFonts w:hint="eastAsia" w:ascii="宋体" w:hAnsi="宋体" w:eastAsia="宋体" w:cs="宋体"/>
          <w:color w:val="auto"/>
          <w:sz w:val="24"/>
          <w:highlight w:val="none"/>
        </w:rPr>
      </w:pPr>
    </w:p>
    <w:p w14:paraId="24CD4AA7">
      <w:pPr>
        <w:spacing w:line="360" w:lineRule="auto"/>
        <w:ind w:firstLine="549" w:firstLineChars="229"/>
        <w:rPr>
          <w:rFonts w:hint="eastAsia" w:ascii="宋体" w:hAnsi="宋体" w:eastAsia="宋体" w:cs="宋体"/>
          <w:color w:val="auto"/>
          <w:sz w:val="24"/>
          <w:highlight w:val="none"/>
        </w:rPr>
      </w:pPr>
    </w:p>
    <w:p w14:paraId="70A53B3B">
      <w:pPr>
        <w:spacing w:line="360" w:lineRule="auto"/>
        <w:ind w:firstLine="549" w:firstLineChars="229"/>
        <w:rPr>
          <w:rFonts w:hint="eastAsia" w:ascii="宋体" w:hAnsi="宋体" w:eastAsia="宋体" w:cs="宋体"/>
          <w:color w:val="auto"/>
          <w:sz w:val="24"/>
          <w:highlight w:val="none"/>
        </w:rPr>
      </w:pPr>
    </w:p>
    <w:p w14:paraId="36D5D439">
      <w:pPr>
        <w:spacing w:line="360" w:lineRule="auto"/>
        <w:ind w:firstLine="549" w:firstLineChars="229"/>
        <w:rPr>
          <w:rFonts w:hint="eastAsia" w:ascii="宋体" w:hAnsi="宋体" w:eastAsia="宋体" w:cs="宋体"/>
          <w:color w:val="auto"/>
          <w:sz w:val="24"/>
          <w:highlight w:val="none"/>
        </w:rPr>
      </w:pPr>
    </w:p>
    <w:p w14:paraId="73F500CB">
      <w:pPr>
        <w:spacing w:line="360" w:lineRule="auto"/>
        <w:ind w:firstLine="549" w:firstLineChars="229"/>
        <w:rPr>
          <w:rFonts w:hint="eastAsia" w:ascii="宋体" w:hAnsi="宋体" w:eastAsia="宋体" w:cs="宋体"/>
          <w:color w:val="auto"/>
          <w:sz w:val="24"/>
          <w:highlight w:val="none"/>
        </w:rPr>
      </w:pPr>
    </w:p>
    <w:p w14:paraId="5A403733">
      <w:pPr>
        <w:spacing w:line="360" w:lineRule="auto"/>
        <w:ind w:firstLine="549" w:firstLineChars="229"/>
        <w:rPr>
          <w:rFonts w:hint="eastAsia" w:ascii="宋体" w:hAnsi="宋体" w:eastAsia="宋体" w:cs="宋体"/>
          <w:color w:val="auto"/>
          <w:sz w:val="24"/>
          <w:highlight w:val="none"/>
        </w:rPr>
      </w:pPr>
    </w:p>
    <w:p w14:paraId="4C3DAABD">
      <w:pPr>
        <w:spacing w:line="360" w:lineRule="auto"/>
        <w:ind w:firstLine="549" w:firstLineChars="229"/>
        <w:rPr>
          <w:rFonts w:hint="eastAsia" w:ascii="宋体" w:hAnsi="宋体" w:eastAsia="宋体" w:cs="宋体"/>
          <w:color w:val="auto"/>
          <w:sz w:val="24"/>
          <w:highlight w:val="none"/>
        </w:rPr>
      </w:pPr>
    </w:p>
    <w:p w14:paraId="269C8064">
      <w:pPr>
        <w:spacing w:line="360" w:lineRule="auto"/>
        <w:ind w:firstLine="549" w:firstLineChars="229"/>
        <w:rPr>
          <w:rFonts w:hint="eastAsia" w:ascii="宋体" w:hAnsi="宋体" w:eastAsia="宋体" w:cs="宋体"/>
          <w:color w:val="auto"/>
          <w:sz w:val="24"/>
          <w:highlight w:val="none"/>
        </w:rPr>
      </w:pPr>
    </w:p>
    <w:p w14:paraId="4089809A">
      <w:pPr>
        <w:spacing w:line="360" w:lineRule="auto"/>
        <w:ind w:firstLine="549" w:firstLineChars="229"/>
        <w:rPr>
          <w:rFonts w:hint="eastAsia" w:ascii="宋体" w:hAnsi="宋体" w:eastAsia="宋体" w:cs="宋体"/>
          <w:color w:val="auto"/>
          <w:sz w:val="24"/>
          <w:highlight w:val="none"/>
        </w:rPr>
      </w:pPr>
    </w:p>
    <w:p w14:paraId="3D8ECFAD">
      <w:pPr>
        <w:spacing w:line="360" w:lineRule="auto"/>
        <w:ind w:firstLine="549" w:firstLineChars="229"/>
        <w:rPr>
          <w:rFonts w:hint="eastAsia" w:ascii="宋体" w:hAnsi="宋体" w:eastAsia="宋体" w:cs="宋体"/>
          <w:color w:val="auto"/>
          <w:sz w:val="24"/>
          <w:highlight w:val="none"/>
        </w:rPr>
      </w:pPr>
    </w:p>
    <w:p w14:paraId="01C84B1E">
      <w:pPr>
        <w:spacing w:line="360" w:lineRule="auto"/>
        <w:ind w:firstLine="549" w:firstLineChars="229"/>
        <w:rPr>
          <w:rFonts w:hint="eastAsia" w:ascii="宋体" w:hAnsi="宋体" w:eastAsia="宋体" w:cs="宋体"/>
          <w:color w:val="auto"/>
          <w:sz w:val="24"/>
          <w:highlight w:val="none"/>
        </w:rPr>
      </w:pPr>
    </w:p>
    <w:p w14:paraId="5D5FD114">
      <w:pPr>
        <w:spacing w:line="360" w:lineRule="auto"/>
        <w:ind w:firstLine="549" w:firstLineChars="229"/>
        <w:rPr>
          <w:rFonts w:hint="eastAsia" w:ascii="宋体" w:hAnsi="宋体" w:eastAsia="宋体" w:cs="宋体"/>
          <w:color w:val="auto"/>
          <w:sz w:val="24"/>
          <w:highlight w:val="none"/>
        </w:rPr>
      </w:pPr>
    </w:p>
    <w:p w14:paraId="1EE572D6">
      <w:pPr>
        <w:spacing w:line="360" w:lineRule="auto"/>
        <w:rPr>
          <w:rFonts w:hint="eastAsia" w:ascii="宋体" w:hAnsi="宋体" w:eastAsia="宋体" w:cs="宋体"/>
          <w:color w:val="auto"/>
          <w:sz w:val="24"/>
          <w:highlight w:val="none"/>
        </w:rPr>
      </w:pPr>
    </w:p>
    <w:p w14:paraId="642860AE">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14:paraId="122C3DB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0FA386DA">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cs="宋体"/>
          <w:b w:val="0"/>
          <w:bCs/>
          <w:color w:val="auto"/>
          <w:sz w:val="24"/>
          <w:highlight w:val="none"/>
          <w:lang w:eastAsia="zh-CN"/>
        </w:rPr>
        <w:t>BWZBDL2025-134</w:t>
      </w:r>
    </w:p>
    <w:p w14:paraId="261F0CD9">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cs="宋体"/>
          <w:bCs/>
          <w:color w:val="auto"/>
          <w:sz w:val="24"/>
          <w:highlight w:val="none"/>
          <w:lang w:eastAsia="zh-CN"/>
        </w:rPr>
        <w:t>杭州市医疗保障局萧山分局202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eastAsia="zh-CN"/>
        </w:rPr>
        <w:t>年档案规范化整理与数字化加工采购项目</w:t>
      </w:r>
    </w:p>
    <w:p w14:paraId="4E588BD2">
      <w:pPr>
        <w:spacing w:line="360" w:lineRule="auto"/>
        <w:ind w:firstLine="482" w:firstLineChars="200"/>
        <w:rPr>
          <w:rFonts w:hint="default" w:ascii="宋体" w:hAnsi="宋体" w:cs="宋体"/>
          <w:bCs/>
          <w:color w:val="auto"/>
          <w:sz w:val="24"/>
          <w:highlight w:val="none"/>
          <w:lang w:val="en-US" w:eastAsia="zh-CN"/>
        </w:rPr>
      </w:pPr>
      <w:r>
        <w:rPr>
          <w:rFonts w:hint="eastAsia" w:ascii="宋体" w:hAnsi="宋体" w:cs="宋体"/>
          <w:b/>
          <w:bCs w:val="0"/>
          <w:color w:val="auto"/>
          <w:sz w:val="24"/>
          <w:highlight w:val="none"/>
          <w:lang w:val="en-US" w:eastAsia="zh-CN"/>
        </w:rPr>
        <w:t>预算金额：</w:t>
      </w:r>
      <w:r>
        <w:rPr>
          <w:rFonts w:hint="eastAsia" w:ascii="宋体" w:hAnsi="宋体" w:cs="宋体"/>
          <w:bCs/>
          <w:color w:val="auto"/>
          <w:sz w:val="24"/>
          <w:highlight w:val="none"/>
          <w:lang w:val="en-US" w:eastAsia="zh-CN"/>
        </w:rPr>
        <w:t>22.50万元</w:t>
      </w:r>
    </w:p>
    <w:p w14:paraId="717B14B0">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cs="宋体"/>
          <w:b/>
          <w:bCs w:val="0"/>
          <w:color w:val="auto"/>
          <w:sz w:val="24"/>
          <w:highlight w:val="none"/>
          <w:lang w:val="en-US" w:eastAsia="zh-CN"/>
        </w:rPr>
        <w:t>单价最高限价：</w:t>
      </w:r>
      <w:r>
        <w:rPr>
          <w:rFonts w:hint="eastAsia" w:hAnsi="宋体" w:cs="宋体"/>
          <w:color w:val="auto"/>
          <w:sz w:val="24"/>
          <w:szCs w:val="24"/>
          <w:highlight w:val="none"/>
        </w:rPr>
        <w:t>业务档案规范化整理（包括条目）</w:t>
      </w:r>
      <w:r>
        <w:rPr>
          <w:rFonts w:hint="eastAsia" w:hAnsi="宋体" w:cs="宋体"/>
          <w:color w:val="auto"/>
          <w:sz w:val="24"/>
          <w:szCs w:val="24"/>
          <w:highlight w:val="none"/>
          <w:lang w:val="en-US" w:eastAsia="zh-CN"/>
        </w:rPr>
        <w:t>：0.45元/页；</w:t>
      </w:r>
      <w:r>
        <w:rPr>
          <w:rFonts w:hint="eastAsia" w:hAnsi="宋体" w:cs="宋体"/>
          <w:color w:val="auto"/>
          <w:sz w:val="24"/>
          <w:szCs w:val="24"/>
          <w:highlight w:val="none"/>
        </w:rPr>
        <w:t>档案纸质数字化（A4幅面）</w:t>
      </w:r>
      <w:r>
        <w:rPr>
          <w:rFonts w:hint="eastAsia" w:hAnsi="宋体" w:cs="宋体"/>
          <w:color w:val="auto"/>
          <w:sz w:val="24"/>
          <w:szCs w:val="24"/>
          <w:highlight w:val="none"/>
          <w:lang w:val="en-US" w:eastAsia="zh-CN"/>
        </w:rPr>
        <w:t>0.45元/页。</w:t>
      </w:r>
    </w:p>
    <w:p w14:paraId="523E260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cs="宋体"/>
          <w:bCs/>
          <w:color w:val="auto"/>
          <w:sz w:val="24"/>
          <w:highlight w:val="none"/>
          <w:lang w:eastAsia="zh-CN"/>
        </w:rPr>
        <w:t>杭州市医疗保障局萧山分局202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eastAsia="zh-CN"/>
        </w:rPr>
        <w:t>年档案规范化整理与数字化加工采购项目</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详见交易需求。</w:t>
      </w:r>
    </w:p>
    <w:p w14:paraId="758F658D">
      <w:pPr>
        <w:pStyle w:val="16"/>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14:paraId="2058380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w:t>
      </w:r>
      <w:r>
        <w:rPr>
          <w:rFonts w:hint="eastAsia" w:ascii="宋体" w:hAnsi="宋体" w:cs="宋体"/>
          <w:b/>
          <w:color w:val="auto"/>
          <w:sz w:val="24"/>
          <w:highlight w:val="none"/>
          <w:lang w:val="en-US" w:eastAsia="zh-CN"/>
        </w:rPr>
        <w:t>交易</w:t>
      </w:r>
      <w:r>
        <w:rPr>
          <w:rFonts w:hint="eastAsia" w:ascii="宋体" w:hAnsi="宋体" w:eastAsia="宋体" w:cs="宋体"/>
          <w:b/>
          <w:color w:val="auto"/>
          <w:sz w:val="24"/>
          <w:highlight w:val="none"/>
        </w:rPr>
        <w:t>：</w:t>
      </w:r>
      <w:r>
        <w:rPr>
          <w:rFonts w:hint="eastAsia" w:ascii="宋体" w:hAnsi="宋体" w:eastAsia="宋体" w:cs="宋体"/>
          <w:bCs/>
          <w:color w:val="auto"/>
          <w:sz w:val="24"/>
          <w:highlight w:val="none"/>
        </w:rPr>
        <w:t>（  ）是；（√）否。</w:t>
      </w:r>
    </w:p>
    <w:p w14:paraId="387CEB4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410ADD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E378E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5B9BE6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037DA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82A23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14:paraId="27C8A9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030F25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14:paraId="50A3C5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8、本项目不接受联合体参与（潜在供应商能独立完成本项目）。</w:t>
      </w:r>
    </w:p>
    <w:p w14:paraId="18884C5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三、获取公开竞争文件 </w:t>
      </w:r>
    </w:p>
    <w:p w14:paraId="71EA1C8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1DFC104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乐采云平台（https://www.lecaiyun.com/）</w:t>
      </w:r>
    </w:p>
    <w:p w14:paraId="2EFD39F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响应人登录乐采云平台（https://www.lecaiyun.com/）在线申请获取公开竞争文件（进入“项目采购”应用，在获取采购文件菜单中选择项目，申请获取公开竞争文件）。 </w:t>
      </w:r>
    </w:p>
    <w:p w14:paraId="470BEFB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4492F87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17908F6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2AD22EA7">
      <w:pPr>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交易</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乐采云平台（https://www.lecaiyun.com/）</w:t>
      </w:r>
    </w:p>
    <w:p w14:paraId="318AAAEE">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14:paraId="123A9243">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交易</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乐采云平台（https://www.lecaiyun.com/）</w:t>
      </w:r>
    </w:p>
    <w:p w14:paraId="4382A8E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14:paraId="75DDE0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611181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：本项目以数据电文形式，依托“乐采云平台（https://www.lecaiyun.com/）”进行</w:t>
      </w:r>
      <w:r>
        <w:rPr>
          <w:rFonts w:hint="eastAsia" w:ascii="宋体" w:hAnsi="宋体" w:cs="宋体"/>
          <w:color w:val="auto"/>
          <w:sz w:val="24"/>
          <w:highlight w:val="none"/>
          <w:lang w:val="en-US" w:eastAsia="zh-CN"/>
        </w:rPr>
        <w:t>公开交易</w:t>
      </w:r>
      <w:r>
        <w:rPr>
          <w:rFonts w:hint="eastAsia" w:ascii="宋体" w:hAnsi="宋体" w:eastAsia="宋体" w:cs="宋体"/>
          <w:color w:val="auto"/>
          <w:sz w:val="24"/>
          <w:highlight w:val="none"/>
        </w:rPr>
        <w:t>活动，不接受纸质响应文件；②</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准备：注册账号--点击“商家入驻”，进行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项目电子交易管理操作指南-供应商”。</w:t>
      </w:r>
    </w:p>
    <w:p w14:paraId="275DB85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w:t>
      </w:r>
      <w:r>
        <w:rPr>
          <w:rFonts w:hint="eastAsia" w:ascii="宋体" w:hAnsi="宋体" w:cs="宋体"/>
          <w:b/>
          <w:color w:val="auto"/>
          <w:sz w:val="24"/>
          <w:highlight w:val="none"/>
          <w:lang w:val="en-US" w:eastAsia="zh-CN"/>
        </w:rPr>
        <w:t>询问</w:t>
      </w:r>
      <w:r>
        <w:rPr>
          <w:rFonts w:hint="eastAsia" w:ascii="宋体" w:hAnsi="宋体" w:eastAsia="宋体" w:cs="宋体"/>
          <w:b/>
          <w:color w:val="auto"/>
          <w:sz w:val="24"/>
          <w:highlight w:val="none"/>
        </w:rPr>
        <w:t>，请按以下方式联系</w:t>
      </w:r>
    </w:p>
    <w:p w14:paraId="4FA89DAE">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14:paraId="6FCEBA06">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杭州市医疗保障局萧山分局</w:t>
      </w:r>
    </w:p>
    <w:p w14:paraId="58FF7966">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地址：萧山区萧然东路343号</w:t>
      </w:r>
    </w:p>
    <w:p w14:paraId="793164B5">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highlight w:val="none"/>
          <w:lang w:val="en-US" w:eastAsia="zh-CN"/>
        </w:rPr>
        <w:t>陈频</w:t>
      </w:r>
    </w:p>
    <w:p w14:paraId="1320F6B7">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项目联系方式（询问）：</w:t>
      </w:r>
      <w:r>
        <w:rPr>
          <w:rFonts w:hint="eastAsia" w:ascii="宋体" w:hAnsi="宋体" w:eastAsia="宋体" w:cs="宋体"/>
          <w:color w:val="auto"/>
          <w:sz w:val="24"/>
          <w:highlight w:val="none"/>
          <w:lang w:val="en-US" w:eastAsia="zh-CN"/>
        </w:rPr>
        <w:t>0571-82456975</w:t>
      </w:r>
    </w:p>
    <w:p w14:paraId="22409588">
      <w:pPr>
        <w:spacing w:line="360" w:lineRule="auto"/>
        <w:ind w:firstLine="480" w:firstLineChars="200"/>
        <w:jc w:val="left"/>
        <w:rPr>
          <w:rFonts w:hint="eastAsia" w:ascii="宋体" w:hAnsi="宋体" w:eastAsia="宋体" w:cs="宋体"/>
          <w:color w:val="auto"/>
          <w:sz w:val="24"/>
          <w:szCs w:val="28"/>
          <w:highlight w:val="none"/>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14:paraId="48633689">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14:paraId="65E67731">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14:paraId="3DA72019">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范梦迪</w:t>
      </w:r>
    </w:p>
    <w:p w14:paraId="1F65610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14:paraId="374B3D2A">
      <w:pPr>
        <w:spacing w:line="360" w:lineRule="auto"/>
        <w:ind w:firstLine="480" w:firstLineChars="200"/>
        <w:rPr>
          <w:rFonts w:hint="eastAsia" w:ascii="宋体" w:hAnsi="宋体" w:eastAsia="宋体" w:cs="宋体"/>
          <w:color w:val="auto"/>
          <w:sz w:val="24"/>
          <w:highlight w:val="none"/>
        </w:rPr>
      </w:pPr>
    </w:p>
    <w:p w14:paraId="79892160">
      <w:pPr>
        <w:spacing w:line="360" w:lineRule="auto"/>
        <w:ind w:firstLine="480" w:firstLineChars="200"/>
        <w:rPr>
          <w:rFonts w:hint="eastAsia" w:ascii="宋体" w:hAnsi="宋体" w:eastAsia="宋体" w:cs="宋体"/>
          <w:color w:val="auto"/>
          <w:sz w:val="24"/>
          <w:highlight w:val="none"/>
        </w:rPr>
      </w:pPr>
    </w:p>
    <w:p w14:paraId="4C72E7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若对项目电子交易系统操作有疑问，可登录乐采云平台（https://www.lecaiyun.com/），点击右侧咨询小采，获取采小蜜智能服务管家帮助，或拨打乐采云服务热线95763获取热线服务帮助。</w:t>
      </w:r>
    </w:p>
    <w:p w14:paraId="38D2BB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AD9E719">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响应人须知</w:t>
      </w:r>
      <w:bookmarkEnd w:id="8"/>
    </w:p>
    <w:p w14:paraId="6FFFE4B2">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7BF36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1DF5996">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AD604D9">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2FE0EFF8">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4B8E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BC1315">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72C4680">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7CE2B1FB">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530E722B">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2779F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740648">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BBAA72">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51F39113">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14:paraId="14D99BFB">
            <w:pPr>
              <w:spacing w:line="400" w:lineRule="exac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28D70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87D83E">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11F33B">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62F7DA21">
            <w:pPr>
              <w:spacing w:line="400" w:lineRule="exact"/>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5729B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FE97AFA">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9649E2">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3A024AE5">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14:paraId="218EF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96EDD2">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0B368C0">
            <w:pPr>
              <w:snapToGrid w:val="0"/>
              <w:spacing w:line="400" w:lineRule="exact"/>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交易</w:t>
            </w:r>
            <w:r>
              <w:rPr>
                <w:rFonts w:hint="eastAsia" w:ascii="宋体" w:hAnsi="宋体" w:eastAsia="宋体" w:cs="宋体"/>
                <w:b/>
                <w:color w:val="auto"/>
                <w:sz w:val="24"/>
                <w:highlight w:val="none"/>
              </w:rPr>
              <w:t>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3A574EDE">
            <w:pPr>
              <w:spacing w:line="400" w:lineRule="exact"/>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14:paraId="2114D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495D975">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7174726">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6E59FE51">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14:paraId="343A7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EB2FCA2">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2A3DE9">
            <w:pPr>
              <w:snapToGrid w:val="0"/>
              <w:spacing w:line="400" w:lineRule="exact"/>
              <w:jc w:val="center"/>
              <w:rPr>
                <w:rFonts w:hint="eastAsia" w:ascii="宋体" w:hAnsi="宋体" w:eastAsia="宋体" w:cs="宋体"/>
                <w:color w:val="auto"/>
                <w:highlight w:val="none"/>
              </w:rPr>
            </w:pPr>
            <w:r>
              <w:rPr>
                <w:rFonts w:hint="eastAsia" w:ascii="宋体" w:hAnsi="宋体" w:cs="宋体"/>
                <w:b/>
                <w:bCs/>
                <w:color w:val="auto"/>
                <w:highlight w:val="none"/>
                <w:lang w:val="en-US" w:eastAsia="zh-CN"/>
              </w:rPr>
              <w:t>方案讲解</w:t>
            </w:r>
            <w:r>
              <w:rPr>
                <w:rFonts w:hint="eastAsia" w:ascii="宋体" w:hAnsi="宋体" w:eastAsia="宋体" w:cs="宋体"/>
                <w:b/>
                <w:bCs/>
                <w:color w:val="auto"/>
                <w:highlight w:val="none"/>
              </w:rPr>
              <w:t>演示</w:t>
            </w:r>
          </w:p>
        </w:tc>
        <w:tc>
          <w:tcPr>
            <w:tcW w:w="6706" w:type="dxa"/>
            <w:tcBorders>
              <w:top w:val="single" w:color="000000" w:sz="8" w:space="0"/>
              <w:left w:val="single" w:color="000000" w:sz="2" w:space="0"/>
              <w:bottom w:val="single" w:color="000000" w:sz="8" w:space="0"/>
              <w:right w:val="single" w:color="000000" w:sz="8" w:space="0"/>
            </w:tcBorders>
            <w:vAlign w:val="center"/>
          </w:tcPr>
          <w:p w14:paraId="399065BA">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（√）A不组织。</w:t>
            </w:r>
          </w:p>
          <w:p w14:paraId="28962226">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  ）B组织。</w:t>
            </w:r>
          </w:p>
        </w:tc>
      </w:tr>
      <w:tr w14:paraId="7E660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2325DE6">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110AD2BA">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771F6FCA">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14:paraId="1B477512">
            <w:pPr>
              <w:spacing w:line="400" w:lineRule="exact"/>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6A94D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5831635A">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3C608536">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464EC2EA">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14:paraId="107F39D2">
            <w:pPr>
              <w:spacing w:line="400" w:lineRule="exact"/>
              <w:rPr>
                <w:rFonts w:hint="eastAsia" w:ascii="宋体" w:hAnsi="宋体" w:eastAsia="宋体" w:cs="宋体"/>
                <w:bCs/>
                <w:color w:val="auto"/>
                <w:kern w:val="0"/>
                <w:sz w:val="24"/>
                <w:highlight w:val="none"/>
                <w:lang w:val="zh-CN"/>
              </w:rPr>
            </w:pPr>
            <w:r>
              <w:rPr>
                <w:rFonts w:hint="eastAsia" w:ascii="宋体" w:hAnsi="宋体" w:cs="宋体"/>
                <w:bCs/>
                <w:color w:val="auto"/>
                <w:kern w:val="0"/>
                <w:sz w:val="24"/>
                <w:highlight w:val="none"/>
                <w:lang w:val="en-US" w:eastAsia="zh-CN"/>
              </w:rPr>
              <w:t>响应</w:t>
            </w:r>
            <w:r>
              <w:rPr>
                <w:rFonts w:hint="eastAsia" w:ascii="宋体" w:hAnsi="宋体" w:eastAsia="宋体" w:cs="宋体"/>
                <w:bCs/>
                <w:color w:val="auto"/>
                <w:kern w:val="0"/>
                <w:sz w:val="24"/>
                <w:highlight w:val="none"/>
                <w:lang w:val="zh-CN"/>
              </w:rPr>
              <w:t>报价出现下列情形的，交易无效：</w:t>
            </w:r>
          </w:p>
          <w:p w14:paraId="1C602759">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w:t>
            </w:r>
            <w:r>
              <w:rPr>
                <w:rFonts w:hint="eastAsia" w:ascii="宋体" w:hAnsi="宋体" w:cs="宋体"/>
                <w:bCs/>
                <w:color w:val="auto"/>
                <w:kern w:val="0"/>
                <w:sz w:val="24"/>
                <w:highlight w:val="none"/>
                <w:lang w:val="en-US" w:eastAsia="zh-CN"/>
              </w:rPr>
              <w:t>响应</w:t>
            </w:r>
            <w:r>
              <w:rPr>
                <w:rFonts w:hint="eastAsia" w:ascii="宋体" w:hAnsi="宋体" w:eastAsia="宋体" w:cs="宋体"/>
                <w:bCs/>
                <w:color w:val="auto"/>
                <w:kern w:val="0"/>
                <w:sz w:val="24"/>
                <w:highlight w:val="none"/>
                <w:lang w:val="zh-CN"/>
              </w:rPr>
              <w:t>报价的；</w:t>
            </w:r>
          </w:p>
          <w:p w14:paraId="3CDEF1C4">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cs="宋体"/>
                <w:bCs/>
                <w:color w:val="auto"/>
                <w:kern w:val="0"/>
                <w:sz w:val="24"/>
                <w:highlight w:val="none"/>
                <w:lang w:val="en-US" w:eastAsia="zh-CN"/>
              </w:rPr>
              <w:t>响应</w:t>
            </w:r>
            <w:r>
              <w:rPr>
                <w:rFonts w:hint="eastAsia" w:ascii="宋体" w:hAnsi="宋体" w:eastAsia="宋体" w:cs="宋体"/>
                <w:bCs/>
                <w:color w:val="auto"/>
                <w:kern w:val="0"/>
                <w:sz w:val="24"/>
                <w:highlight w:val="none"/>
                <w:lang w:val="zh-CN"/>
              </w:rPr>
              <w:t>报价超过公开竞争文件中规定的预算金额或者最高限价的；</w:t>
            </w:r>
          </w:p>
          <w:p w14:paraId="5EB3BDF6">
            <w:pPr>
              <w:spacing w:line="40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5B61E8CC">
            <w:pPr>
              <w:spacing w:line="40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响应人对根据修正原则修正后的报价不确认的。</w:t>
            </w:r>
          </w:p>
          <w:p w14:paraId="4AED4E83">
            <w:pPr>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cs="宋体"/>
                <w:b w:val="0"/>
                <w:color w:val="auto"/>
                <w:kern w:val="0"/>
                <w:sz w:val="24"/>
                <w:szCs w:val="24"/>
                <w:highlight w:val="none"/>
                <w:lang w:val="en-US" w:eastAsia="zh-CN"/>
              </w:rPr>
              <w:t>资格文件、商务技术文件与报价文件未分开制作。</w:t>
            </w:r>
          </w:p>
        </w:tc>
      </w:tr>
      <w:tr w14:paraId="02176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5F553DF">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DF1BFE4">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108B4392">
            <w:pPr>
              <w:pStyle w:val="34"/>
              <w:spacing w:line="400" w:lineRule="exact"/>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719CB1D8">
            <w:pPr>
              <w:pStyle w:val="34"/>
              <w:spacing w:line="400" w:lineRule="exact"/>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14:paraId="627F6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445ACB8">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7400995">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6A314877">
            <w:pPr>
              <w:pageBreakBefore w:val="0"/>
              <w:kinsoku/>
              <w:wordWrap w:val="0"/>
              <w:overflowPunct/>
              <w:topLinePunct w:val="0"/>
              <w:bidi w:val="0"/>
              <w:spacing w:after="0" w:line="400" w:lineRule="exact"/>
              <w:textAlignment w:val="auto"/>
              <w:rPr>
                <w:rFonts w:hint="eastAsia" w:ascii="宋体" w:hAnsi="宋体" w:eastAsia="宋体" w:cs="宋体"/>
                <w:color w:val="auto"/>
                <w:sz w:val="24"/>
                <w:szCs w:val="18"/>
                <w:highlight w:val="none"/>
              </w:rPr>
            </w:pPr>
            <w:r>
              <w:rPr>
                <w:rFonts w:hint="eastAsia" w:ascii="宋体" w:hAnsi="宋体" w:eastAsia="宋体" w:cs="宋体"/>
                <w:color w:val="auto"/>
                <w:kern w:val="28"/>
                <w:sz w:val="24"/>
                <w:highlight w:val="none"/>
                <w:lang w:val="en-US" w:eastAsia="zh-CN"/>
              </w:rPr>
              <w:t>本项目采购机构代理费用由成交人支付。</w:t>
            </w:r>
            <w:r>
              <w:rPr>
                <w:rFonts w:hint="eastAsia" w:ascii="宋体" w:hAnsi="宋体" w:eastAsia="宋体" w:cs="宋体"/>
                <w:color w:val="auto"/>
                <w:sz w:val="24"/>
                <w:szCs w:val="18"/>
                <w:highlight w:val="none"/>
              </w:rPr>
              <w:t>按国家发展计划委员会的计价格[2002]1980号文件收费标准</w:t>
            </w:r>
            <w:r>
              <w:rPr>
                <w:rFonts w:hint="eastAsia" w:ascii="宋体" w:hAnsi="宋体" w:eastAsia="宋体" w:cs="宋体"/>
                <w:color w:val="auto"/>
                <w:sz w:val="24"/>
                <w:szCs w:val="18"/>
                <w:highlight w:val="none"/>
                <w:lang w:val="en-US" w:eastAsia="zh-CN"/>
              </w:rPr>
              <w:t>服务类</w:t>
            </w:r>
            <w:r>
              <w:rPr>
                <w:rFonts w:hint="eastAsia" w:ascii="宋体" w:hAnsi="宋体" w:eastAsia="宋体" w:cs="宋体"/>
                <w:color w:val="auto"/>
                <w:sz w:val="24"/>
                <w:szCs w:val="18"/>
                <w:highlight w:val="none"/>
              </w:rPr>
              <w:t>下浮</w:t>
            </w:r>
            <w:r>
              <w:rPr>
                <w:rFonts w:hint="eastAsia" w:ascii="宋体" w:hAnsi="宋体" w:eastAsia="宋体" w:cs="宋体"/>
                <w:color w:val="auto"/>
                <w:sz w:val="24"/>
                <w:szCs w:val="18"/>
                <w:highlight w:val="none"/>
                <w:u w:val="single"/>
              </w:rPr>
              <w:t>40%</w:t>
            </w:r>
            <w:r>
              <w:rPr>
                <w:rFonts w:hint="eastAsia" w:ascii="宋体" w:hAnsi="宋体" w:eastAsia="宋体" w:cs="宋体"/>
                <w:color w:val="auto"/>
                <w:sz w:val="24"/>
                <w:szCs w:val="18"/>
                <w:highlight w:val="none"/>
              </w:rPr>
              <w:t>结算收取(单项不足</w:t>
            </w:r>
            <w:r>
              <w:rPr>
                <w:rFonts w:hint="eastAsia" w:ascii="宋体" w:hAnsi="宋体" w:eastAsia="宋体" w:cs="宋体"/>
                <w:color w:val="auto"/>
                <w:sz w:val="24"/>
                <w:szCs w:val="18"/>
                <w:highlight w:val="none"/>
                <w:lang w:val="en-US" w:eastAsia="zh-CN"/>
              </w:rPr>
              <w:t>3</w:t>
            </w:r>
            <w:r>
              <w:rPr>
                <w:rFonts w:hint="eastAsia" w:ascii="宋体" w:hAnsi="宋体" w:eastAsia="宋体" w:cs="宋体"/>
                <w:color w:val="auto"/>
                <w:sz w:val="24"/>
                <w:szCs w:val="18"/>
                <w:highlight w:val="none"/>
              </w:rPr>
              <w:t>000元的，按</w:t>
            </w:r>
            <w:r>
              <w:rPr>
                <w:rFonts w:hint="eastAsia" w:ascii="宋体" w:hAnsi="宋体" w:eastAsia="宋体" w:cs="宋体"/>
                <w:color w:val="auto"/>
                <w:sz w:val="24"/>
                <w:szCs w:val="18"/>
                <w:highlight w:val="none"/>
                <w:lang w:val="en-US" w:eastAsia="zh-CN"/>
              </w:rPr>
              <w:t>3</w:t>
            </w:r>
            <w:r>
              <w:rPr>
                <w:rFonts w:hint="eastAsia" w:ascii="宋体" w:hAnsi="宋体" w:eastAsia="宋体" w:cs="宋体"/>
                <w:color w:val="auto"/>
                <w:sz w:val="24"/>
                <w:szCs w:val="18"/>
                <w:highlight w:val="none"/>
              </w:rPr>
              <w:t>000元计)；代理费用按实际</w:t>
            </w:r>
            <w:r>
              <w:rPr>
                <w:rFonts w:hint="eastAsia" w:ascii="宋体" w:hAnsi="宋体" w:eastAsia="宋体" w:cs="宋体"/>
                <w:color w:val="auto"/>
                <w:sz w:val="24"/>
                <w:szCs w:val="18"/>
                <w:highlight w:val="none"/>
                <w:lang w:val="en-US" w:eastAsia="zh-CN"/>
              </w:rPr>
              <w:t>成交</w:t>
            </w:r>
            <w:r>
              <w:rPr>
                <w:rFonts w:hint="eastAsia" w:ascii="宋体" w:hAnsi="宋体" w:eastAsia="宋体" w:cs="宋体"/>
                <w:color w:val="auto"/>
                <w:sz w:val="24"/>
                <w:szCs w:val="18"/>
                <w:highlight w:val="none"/>
              </w:rPr>
              <w:t>价结算费用。</w:t>
            </w:r>
          </w:p>
          <w:p w14:paraId="31BEC9F7">
            <w:pPr>
              <w:pageBreakBefore w:val="0"/>
              <w:kinsoku/>
              <w:wordWrap w:val="0"/>
              <w:overflowPunct/>
              <w:topLinePunct w:val="0"/>
              <w:bidi w:val="0"/>
              <w:spacing w:after="0" w:line="400" w:lineRule="exact"/>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缴纳账号：</w:t>
            </w:r>
          </w:p>
          <w:p w14:paraId="0694BE97">
            <w:pPr>
              <w:pageBreakBefore w:val="0"/>
              <w:kinsoku/>
              <w:wordWrap w:val="0"/>
              <w:overflowPunct/>
              <w:topLinePunct w:val="0"/>
              <w:bidi w:val="0"/>
              <w:spacing w:after="0" w:line="400" w:lineRule="exact"/>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开户银行：上海浦东发展银行萧山支行</w:t>
            </w:r>
          </w:p>
          <w:p w14:paraId="37F39E10">
            <w:pPr>
              <w:pageBreakBefore w:val="0"/>
              <w:kinsoku/>
              <w:wordWrap w:val="0"/>
              <w:overflowPunct/>
              <w:topLinePunct w:val="0"/>
              <w:bidi w:val="0"/>
              <w:spacing w:after="0" w:line="400" w:lineRule="exact"/>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账户名称：杭州博望建设工程招标投标代理有限公司</w:t>
            </w:r>
          </w:p>
          <w:p w14:paraId="51D4088B">
            <w:pPr>
              <w:pageBreakBefore w:val="0"/>
              <w:kinsoku/>
              <w:wordWrap w:val="0"/>
              <w:overflowPunct/>
              <w:topLinePunct w:val="0"/>
              <w:bidi w:val="0"/>
              <w:spacing w:after="0" w:line="400" w:lineRule="exact"/>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银行账号：95070154740001005</w:t>
            </w:r>
          </w:p>
          <w:p w14:paraId="5C14F4FB">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color w:val="auto"/>
                <w:sz w:val="24"/>
                <w:szCs w:val="18"/>
                <w:highlight w:val="none"/>
              </w:rPr>
              <w:t>联系电话：0571-82373980</w:t>
            </w:r>
          </w:p>
        </w:tc>
      </w:tr>
      <w:tr w14:paraId="62574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93F3B17">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F5C6D64">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5D850E19">
            <w:pPr>
              <w:snapToGrid w:val="0"/>
              <w:spacing w:line="400" w:lineRule="exact"/>
              <w:rPr>
                <w:rFonts w:hint="eastAsia" w:ascii="宋体" w:hAnsi="宋体" w:cs="宋体"/>
                <w:bCs/>
                <w:color w:val="auto"/>
                <w:kern w:val="0"/>
                <w:sz w:val="24"/>
                <w:highlight w:val="none"/>
                <w:lang w:val="en-US" w:eastAsia="zh-CN"/>
              </w:rPr>
            </w:pPr>
            <w:r>
              <w:rPr>
                <w:rFonts w:hint="eastAsia" w:ascii="宋体" w:hAnsi="宋体" w:eastAsia="宋体" w:cs="宋体"/>
                <w:bCs/>
                <w:color w:val="auto"/>
                <w:kern w:val="0"/>
                <w:sz w:val="24"/>
                <w:highlight w:val="none"/>
              </w:rPr>
              <w:t>履约保证金：</w:t>
            </w:r>
            <w:r>
              <w:rPr>
                <w:rFonts w:hint="eastAsia" w:ascii="宋体" w:hAnsi="宋体" w:eastAsia="宋体" w:cs="宋体"/>
                <w:snapToGrid/>
                <w:color w:val="auto"/>
                <w:kern w:val="28"/>
                <w:sz w:val="24"/>
                <w:szCs w:val="24"/>
                <w:highlight w:val="none"/>
                <w:lang w:val="en-US" w:eastAsia="zh-CN" w:bidi="ar-SA"/>
              </w:rPr>
              <w:t>收取</w:t>
            </w:r>
            <w:r>
              <w:rPr>
                <w:rFonts w:hint="eastAsia" w:hAnsi="宋体" w:cs="宋体"/>
                <w:snapToGrid/>
                <w:color w:val="auto"/>
                <w:kern w:val="28"/>
                <w:sz w:val="24"/>
                <w:szCs w:val="24"/>
                <w:highlight w:val="none"/>
                <w:lang w:val="en-US" w:eastAsia="zh-CN" w:bidi="ar-SA"/>
              </w:rPr>
              <w:t>合同价的</w:t>
            </w:r>
            <w:r>
              <w:rPr>
                <w:rFonts w:hint="eastAsia" w:ascii="宋体" w:hAnsi="宋体" w:eastAsia="宋体" w:cs="宋体"/>
                <w:snapToGrid/>
                <w:color w:val="auto"/>
                <w:kern w:val="28"/>
                <w:sz w:val="24"/>
                <w:szCs w:val="24"/>
                <w:highlight w:val="none"/>
                <w:lang w:val="en-US" w:eastAsia="zh-CN" w:bidi="ar-SA"/>
              </w:rPr>
              <w:t>1%</w:t>
            </w:r>
            <w:r>
              <w:rPr>
                <w:rFonts w:hint="eastAsia" w:ascii="宋体" w:hAnsi="宋体" w:cs="宋体"/>
                <w:bCs/>
                <w:color w:val="auto"/>
                <w:kern w:val="0"/>
                <w:sz w:val="24"/>
                <w:highlight w:val="none"/>
                <w:lang w:val="en-US" w:eastAsia="zh-CN"/>
              </w:rPr>
              <w:t>，合同签订后支付，履约完成后无息退还。</w:t>
            </w:r>
          </w:p>
          <w:p w14:paraId="5F5A4568">
            <w:pPr>
              <w:snapToGrid w:val="0"/>
              <w:spacing w:line="400" w:lineRule="exact"/>
              <w:rPr>
                <w:rFonts w:hint="default" w:ascii="宋体" w:hAnsi="宋体" w:eastAsia="宋体" w:cs="宋体"/>
                <w:bCs/>
                <w:color w:val="auto"/>
                <w:kern w:val="0"/>
                <w:sz w:val="24"/>
                <w:highlight w:val="none"/>
                <w:lang w:val="en-US"/>
              </w:rPr>
            </w:pPr>
            <w:r>
              <w:rPr>
                <w:rFonts w:hint="eastAsia" w:ascii="宋体" w:hAnsi="宋体" w:cs="宋体"/>
                <w:bCs/>
                <w:color w:val="auto"/>
                <w:kern w:val="0"/>
                <w:sz w:val="24"/>
                <w:highlight w:val="none"/>
                <w:lang w:val="en-US" w:eastAsia="zh-CN"/>
              </w:rPr>
              <w:t>供应商应当以支票、汇票、本票或者金融机构、担保机构出具的保函等非现金形式提交。</w:t>
            </w:r>
          </w:p>
        </w:tc>
      </w:tr>
      <w:tr w14:paraId="120AF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400D500">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9564590">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45AABA89">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14:paraId="53A2A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510DAD">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416C073">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79F78588">
            <w:pPr>
              <w:snapToGrid w:val="0"/>
              <w:spacing w:line="400" w:lineRule="exac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交易发起人</w:t>
            </w:r>
            <w:r>
              <w:rPr>
                <w:rFonts w:hint="eastAsia" w:ascii="宋体" w:hAnsi="宋体" w:eastAsia="宋体" w:cs="宋体"/>
                <w:color w:val="auto"/>
                <w:sz w:val="24"/>
                <w:highlight w:val="none"/>
              </w:rPr>
              <w:t>异议</w:t>
            </w:r>
            <w:r>
              <w:rPr>
                <w:rFonts w:hint="eastAsia" w:ascii="宋体" w:hAnsi="宋体" w:cs="宋体"/>
                <w:color w:val="auto"/>
                <w:sz w:val="24"/>
                <w:highlight w:val="none"/>
                <w:lang w:val="en-US" w:eastAsia="zh-CN"/>
              </w:rPr>
              <w:t>接收人：</w:t>
            </w:r>
            <w:r>
              <w:rPr>
                <w:rFonts w:hint="eastAsia" w:ascii="宋体" w:hAnsi="宋体" w:cs="宋体"/>
                <w:color w:val="auto"/>
                <w:sz w:val="24"/>
                <w:highlight w:val="none"/>
                <w:u w:val="single"/>
                <w:lang w:val="en-US" w:eastAsia="zh-CN"/>
              </w:rPr>
              <w:t xml:space="preserve">骆锦波 </w:t>
            </w:r>
            <w:r>
              <w:rPr>
                <w:rFonts w:hint="eastAsia" w:ascii="宋体" w:hAnsi="宋体" w:cs="宋体"/>
                <w:color w:val="auto"/>
                <w:sz w:val="24"/>
                <w:highlight w:val="none"/>
                <w:lang w:val="en-US" w:eastAsia="zh-CN"/>
              </w:rPr>
              <w:t>联系方式：</w:t>
            </w:r>
            <w:r>
              <w:rPr>
                <w:rFonts w:hint="eastAsia" w:ascii="宋体" w:hAnsi="宋体" w:eastAsia="宋体" w:cs="宋体"/>
                <w:color w:val="auto"/>
                <w:sz w:val="24"/>
                <w:highlight w:val="none"/>
                <w:u w:val="single"/>
                <w:lang w:val="en-US" w:eastAsia="zh-CN"/>
              </w:rPr>
              <w:t>0571-82153270</w:t>
            </w:r>
          </w:p>
          <w:p w14:paraId="445474AC">
            <w:pPr>
              <w:snapToGrid w:val="0"/>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eastAsia="宋体" w:cs="宋体"/>
                <w:color w:val="auto"/>
                <w:sz w:val="24"/>
                <w:highlight w:val="none"/>
                <w:u w:val="single"/>
              </w:rPr>
              <w:t>萧山区萧然东路343号</w:t>
            </w:r>
          </w:p>
          <w:p w14:paraId="5E62FC84">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14:paraId="5BD2E571">
            <w:pPr>
              <w:snapToGrid w:val="0"/>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14:paraId="010CD151">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w:t>
            </w:r>
            <w:r>
              <w:rPr>
                <w:rFonts w:hint="eastAsia" w:ascii="宋体" w:hAnsi="宋体" w:cs="宋体"/>
                <w:color w:val="auto"/>
                <w:sz w:val="24"/>
                <w:highlight w:val="none"/>
                <w:u w:val="single"/>
                <w:lang w:val="en-US" w:eastAsia="zh-CN"/>
              </w:rPr>
              <w:t>@qq</w:t>
            </w:r>
            <w:r>
              <w:rPr>
                <w:rFonts w:hint="eastAsia" w:ascii="宋体" w:hAnsi="宋体" w:eastAsia="宋体" w:cs="宋体"/>
                <w:color w:val="auto"/>
                <w:sz w:val="24"/>
                <w:highlight w:val="none"/>
                <w:u w:val="single"/>
              </w:rPr>
              <w:t>.com</w:t>
            </w:r>
          </w:p>
          <w:p w14:paraId="4E6AC2AF">
            <w:pPr>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3E1FE909">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前答疑会事项由交易发起人进行答复。</w:t>
            </w:r>
          </w:p>
          <w:p w14:paraId="40B6ACA2">
            <w:pPr>
              <w:pStyle w:val="34"/>
              <w:spacing w:line="400" w:lineRule="exact"/>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w:t>
            </w:r>
            <w:r>
              <w:rPr>
                <w:rFonts w:hint="eastAsia" w:hAnsi="宋体" w:cs="宋体"/>
                <w:color w:val="auto"/>
                <w:sz w:val="24"/>
                <w:highlight w:val="none"/>
                <w:lang w:val="en-US" w:eastAsia="zh-CN"/>
              </w:rPr>
              <w:t>规范性、</w:t>
            </w:r>
            <w:r>
              <w:rPr>
                <w:rFonts w:hint="eastAsia" w:ascii="宋体" w:hAnsi="宋体" w:eastAsia="宋体" w:cs="宋体"/>
                <w:color w:val="auto"/>
                <w:sz w:val="24"/>
                <w:highlight w:val="none"/>
              </w:rPr>
              <w:t>组织</w:t>
            </w:r>
            <w:r>
              <w:rPr>
                <w:rFonts w:hint="eastAsia" w:hAnsi="宋体" w:cs="宋体"/>
                <w:color w:val="auto"/>
                <w:sz w:val="24"/>
                <w:highlight w:val="none"/>
                <w:lang w:val="en-US" w:eastAsia="zh-CN"/>
              </w:rPr>
              <w:t>程序</w:t>
            </w:r>
            <w:r>
              <w:rPr>
                <w:rFonts w:hint="eastAsia" w:ascii="宋体" w:hAnsi="宋体" w:eastAsia="宋体" w:cs="宋体"/>
                <w:color w:val="auto"/>
                <w:sz w:val="24"/>
                <w:highlight w:val="none"/>
              </w:rPr>
              <w:t>等相关事项，由代理机构进行答复。</w:t>
            </w:r>
          </w:p>
        </w:tc>
      </w:tr>
      <w:tr w14:paraId="0CBD9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47B1D69">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E2A02FD">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6FEEF71C">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bookmarkEnd w:id="9"/>
    </w:tbl>
    <w:p w14:paraId="228DEC22">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14:paraId="3638B208">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CC81689">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44BF9729">
      <w:pPr>
        <w:snapToGrid w:val="0"/>
        <w:spacing w:line="460" w:lineRule="exact"/>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、合同、验收等行为（法律、法规另有规定的，从其规定）。</w:t>
      </w:r>
    </w:p>
    <w:p w14:paraId="15CECDF3">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6CA9A52">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14:paraId="6B2B4ACA">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14:paraId="283C13A8">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、参加</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竞争的法人、其他组织或者自然人。</w:t>
      </w:r>
    </w:p>
    <w:p w14:paraId="4BED4CD5">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682E7A56">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4CF297A2">
      <w:pPr>
        <w:spacing w:line="460" w:lineRule="exact"/>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2.6“电子交易平台”是指本项目交易活动所依托的乐采云平台（https://www.lecaiyun.com/）。</w:t>
      </w:r>
    </w:p>
    <w:p w14:paraId="2435E346">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182B3139">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14:paraId="1ED4834B">
      <w:pPr>
        <w:autoSpaceDE w:val="0"/>
        <w:autoSpaceDN w:val="0"/>
        <w:spacing w:line="460" w:lineRule="exact"/>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14:paraId="185D4D2B">
      <w:pPr>
        <w:autoSpaceDE w:val="0"/>
        <w:autoSpaceDN w:val="0"/>
        <w:spacing w:line="460" w:lineRule="exact"/>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07335DBB">
      <w:pPr>
        <w:autoSpaceDE w:val="0"/>
        <w:autoSpaceDN w:val="0"/>
        <w:spacing w:line="460" w:lineRule="exact"/>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14:paraId="431315D6">
      <w:pPr>
        <w:pStyle w:val="34"/>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14:paraId="1ED88B49">
      <w:pPr>
        <w:pStyle w:val="34"/>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14:paraId="4153A39A">
      <w:pPr>
        <w:pStyle w:val="34"/>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14:paraId="625EFC75">
      <w:pPr>
        <w:pStyle w:val="34"/>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14:paraId="518686AC">
      <w:pPr>
        <w:pStyle w:val="34"/>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14:paraId="17A80841">
      <w:pPr>
        <w:pStyle w:val="34"/>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14:paraId="441D5402">
      <w:pPr>
        <w:pStyle w:val="34"/>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2858BE94">
      <w:pPr>
        <w:pStyle w:val="34"/>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319C8DB4">
      <w:pPr>
        <w:pStyle w:val="34"/>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14:paraId="03A75E03">
      <w:pPr>
        <w:pStyle w:val="34"/>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52A7D767">
      <w:pPr>
        <w:pStyle w:val="34"/>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14:paraId="2C72B4A6">
      <w:pPr>
        <w:pStyle w:val="34"/>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009AFC95">
      <w:pPr>
        <w:pStyle w:val="34"/>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14:paraId="020FFDA0">
      <w:pPr>
        <w:pStyle w:val="34"/>
        <w:spacing w:line="460" w:lineRule="exact"/>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14:paraId="6E297469">
      <w:pPr>
        <w:pStyle w:val="34"/>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14:paraId="605BA3B4">
      <w:pPr>
        <w:pStyle w:val="34"/>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14:paraId="435E5101">
      <w:pPr>
        <w:pStyle w:val="34"/>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14:paraId="20E166BA">
      <w:pPr>
        <w:pStyle w:val="34"/>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14:paraId="76059813">
      <w:pPr>
        <w:pStyle w:val="34"/>
        <w:spacing w:line="460" w:lineRule="exact"/>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14:paraId="59EE72BB">
      <w:pPr>
        <w:pStyle w:val="137"/>
        <w:snapToGrid w:val="0"/>
        <w:spacing w:before="0" w:line="460" w:lineRule="exact"/>
        <w:ind w:left="0" w:leftChars="0" w:firstLine="315" w:firstLineChars="175"/>
        <w:rPr>
          <w:rFonts w:hint="eastAsia" w:ascii="宋体" w:hAnsi="宋体" w:eastAsia="宋体" w:cs="宋体"/>
          <w:color w:val="auto"/>
          <w:sz w:val="18"/>
          <w:szCs w:val="18"/>
          <w:highlight w:val="none"/>
        </w:rPr>
      </w:pPr>
    </w:p>
    <w:p w14:paraId="192C14C5">
      <w:pPr>
        <w:adjustRightInd/>
        <w:spacing w:line="460" w:lineRule="exact"/>
        <w:ind w:left="0" w:leftChars="0" w:firstLine="562" w:firstLineChars="175"/>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14:paraId="4C12401C">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4．公开竞争文件的构成</w:t>
      </w:r>
    </w:p>
    <w:p w14:paraId="7A9A4F0C">
      <w:pPr>
        <w:pStyle w:val="34"/>
        <w:spacing w:line="46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14:paraId="07BD5BCA">
      <w:pPr>
        <w:pStyle w:val="34"/>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7C3B28F6">
      <w:pPr>
        <w:pStyle w:val="34"/>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14:paraId="014CBBBD">
      <w:pPr>
        <w:pStyle w:val="34"/>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7869846D">
      <w:pPr>
        <w:pStyle w:val="34"/>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52E56A99">
      <w:pPr>
        <w:pStyle w:val="34"/>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364DE3E9">
      <w:pPr>
        <w:pStyle w:val="34"/>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5B1AB053">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14:paraId="02769FBB">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5.公开竞争文件的澄清、修改</w:t>
      </w:r>
    </w:p>
    <w:p w14:paraId="32DE6F68">
      <w:pPr>
        <w:pStyle w:val="137"/>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14:paraId="4C950D2B">
      <w:pPr>
        <w:pStyle w:val="137"/>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705676DF">
      <w:pPr>
        <w:adjustRightInd/>
        <w:spacing w:line="460" w:lineRule="exact"/>
        <w:ind w:left="0" w:leftChars="0" w:firstLine="527" w:firstLineChars="175"/>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4DE5F68C">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6.公开竞争文件的获取</w:t>
      </w:r>
    </w:p>
    <w:p w14:paraId="3D1EB438">
      <w:pPr>
        <w:spacing w:line="460" w:lineRule="exact"/>
        <w:ind w:left="0" w:leftChars="0" w:firstLine="420" w:firstLineChars="175"/>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14:paraId="65D940C2">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7.交易前答疑会或现场考察</w:t>
      </w:r>
    </w:p>
    <w:p w14:paraId="17B17235">
      <w:pPr>
        <w:pStyle w:val="34"/>
        <w:spacing w:line="46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交易发起人组织潜在响应人现场考察或者召开交易前答疑会的，潜在响应人按第二部分响应人须知前附表的规定参加现场考察或者</w:t>
      </w:r>
      <w:r>
        <w:rPr>
          <w:rFonts w:hint="eastAsia" w:hAnsi="宋体" w:cs="宋体"/>
          <w:color w:val="auto"/>
          <w:sz w:val="24"/>
          <w:szCs w:val="24"/>
          <w:highlight w:val="none"/>
          <w:lang w:val="en-US" w:eastAsia="zh-CN"/>
        </w:rPr>
        <w:t>交易</w:t>
      </w:r>
      <w:r>
        <w:rPr>
          <w:rFonts w:hint="eastAsia" w:ascii="宋体" w:hAnsi="宋体" w:eastAsia="宋体" w:cs="宋体"/>
          <w:color w:val="auto"/>
          <w:sz w:val="24"/>
          <w:szCs w:val="24"/>
          <w:highlight w:val="none"/>
        </w:rPr>
        <w:t>前答疑会。</w:t>
      </w:r>
    </w:p>
    <w:p w14:paraId="6D8E1FD6">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8.交易保证金</w:t>
      </w:r>
    </w:p>
    <w:p w14:paraId="5E644CEE">
      <w:pPr>
        <w:pStyle w:val="16"/>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4F43F889">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9.响应文件的语言</w:t>
      </w:r>
    </w:p>
    <w:p w14:paraId="55BC4F01">
      <w:pPr>
        <w:autoSpaceDE w:val="0"/>
        <w:autoSpaceDN w:val="0"/>
        <w:spacing w:line="460" w:lineRule="exact"/>
        <w:ind w:left="0" w:leftChars="0"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14:paraId="33200B93">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10.响应文件的组成</w:t>
      </w:r>
    </w:p>
    <w:p w14:paraId="154B520D">
      <w:pPr>
        <w:snapToGrid w:val="0"/>
        <w:spacing w:line="460" w:lineRule="exact"/>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14:paraId="21E07206">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14:paraId="4E460447">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14:paraId="6E0B53CC">
      <w:pPr>
        <w:snapToGrid w:val="0"/>
        <w:spacing w:line="460" w:lineRule="exact"/>
        <w:ind w:left="0" w:leftChars="0" w:firstLine="422" w:firstLineChars="175"/>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06BB3183">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14:paraId="1087672F">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47A2119F">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14:paraId="06FCF275">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7F6E3743">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14:paraId="0FCE0E8E">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14:paraId="5AB56607">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14:paraId="54C2BC34">
      <w:pPr>
        <w:snapToGrid w:val="0"/>
        <w:spacing w:line="460" w:lineRule="exact"/>
        <w:ind w:left="0" w:leftChars="0" w:firstLine="422" w:firstLineChars="175"/>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1C41FA93">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4F2FBA93">
      <w:pPr>
        <w:spacing w:line="460" w:lineRule="exact"/>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14:paraId="5DDF329A">
      <w:pPr>
        <w:spacing w:line="460" w:lineRule="exact"/>
        <w:ind w:left="0" w:leftChars="0" w:firstLine="422" w:firstLineChars="175"/>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w:t>
      </w:r>
      <w:r>
        <w:rPr>
          <w:rFonts w:hint="eastAsia" w:ascii="宋体" w:hAnsi="宋体" w:cs="宋体"/>
          <w:b/>
          <w:color w:val="auto"/>
          <w:sz w:val="24"/>
          <w:highlight w:val="none"/>
          <w:lang w:val="en-US" w:eastAsia="zh-CN"/>
        </w:rPr>
        <w:t>交易</w:t>
      </w:r>
      <w:r>
        <w:rPr>
          <w:rFonts w:hint="eastAsia" w:ascii="宋体" w:hAnsi="宋体" w:eastAsia="宋体" w:cs="宋体"/>
          <w:b/>
          <w:color w:val="auto"/>
          <w:sz w:val="24"/>
          <w:highlight w:val="none"/>
        </w:rPr>
        <w:t>的，交易无效。</w:t>
      </w:r>
    </w:p>
    <w:p w14:paraId="16EEB15E">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w:t>
      </w:r>
      <w:r>
        <w:rPr>
          <w:rFonts w:hint="eastAsia" w:ascii="宋体" w:hAnsi="宋体" w:eastAsia="宋体" w:cs="宋体"/>
          <w:b/>
          <w:color w:val="auto"/>
          <w:sz w:val="24"/>
          <w:highlight w:val="none"/>
          <w:lang w:val="zh-CN"/>
        </w:rPr>
        <w:t>.</w:t>
      </w:r>
      <w:r>
        <w:rPr>
          <w:rFonts w:hint="eastAsia" w:ascii="宋体" w:hAnsi="宋体" w:eastAsia="宋体" w:cs="宋体"/>
          <w:b/>
          <w:color w:val="auto"/>
          <w:sz w:val="24"/>
          <w:highlight w:val="none"/>
        </w:rPr>
        <w:t>响应文件的编制</w:t>
      </w:r>
    </w:p>
    <w:p w14:paraId="3BD09B92">
      <w:pPr>
        <w:spacing w:line="460" w:lineRule="exact"/>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7B5D3AF6">
      <w:pPr>
        <w:spacing w:line="460" w:lineRule="exact"/>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应安装客户端软件—“</w:t>
      </w:r>
      <w:r>
        <w:rPr>
          <w:rFonts w:hint="eastAsia" w:ascii="宋体" w:hAnsi="宋体" w:eastAsia="宋体" w:cs="宋体"/>
          <w:color w:val="auto"/>
          <w:kern w:val="0"/>
          <w:sz w:val="24"/>
          <w:highlight w:val="none"/>
        </w:rPr>
        <w:t>乐采</w:t>
      </w:r>
      <w:r>
        <w:rPr>
          <w:rFonts w:hint="eastAsia" w:ascii="宋体" w:hAnsi="宋体" w:eastAsia="宋体" w:cs="宋体"/>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29BB543D">
      <w:pPr>
        <w:spacing w:line="460" w:lineRule="exact"/>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w:t>
      </w:r>
      <w:r>
        <w:rPr>
          <w:rFonts w:hint="eastAsia" w:ascii="宋体" w:hAnsi="宋体" w:eastAsia="宋体" w:cs="宋体"/>
          <w:color w:val="auto"/>
          <w:kern w:val="0"/>
          <w:sz w:val="24"/>
          <w:highlight w:val="none"/>
        </w:rPr>
        <w:t>乐采</w:t>
      </w:r>
      <w:r>
        <w:rPr>
          <w:rFonts w:hint="eastAsia" w:ascii="宋体" w:hAnsi="宋体" w:eastAsia="宋体" w:cs="宋体"/>
          <w:color w:val="auto"/>
          <w:kern w:val="0"/>
          <w:sz w:val="24"/>
          <w:highlight w:val="none"/>
          <w:lang w:val="zh-CN"/>
        </w:rPr>
        <w:t>云电子交易客户端”需要提前申领CA数字证书，申领流程请自行前往“</w:t>
      </w:r>
      <w:r>
        <w:rPr>
          <w:rFonts w:hint="eastAsia" w:ascii="宋体" w:hAnsi="宋体" w:eastAsia="宋体" w:cs="宋体"/>
          <w:color w:val="auto"/>
          <w:sz w:val="24"/>
          <w:highlight w:val="none"/>
        </w:rPr>
        <w:t>浙江企业采购信息服务网-下载专区-电子交易客户端</w:t>
      </w:r>
      <w:r>
        <w:rPr>
          <w:rFonts w:hint="eastAsia" w:ascii="宋体" w:hAnsi="宋体" w:eastAsia="宋体" w:cs="宋体"/>
          <w:color w:val="auto"/>
          <w:kern w:val="0"/>
          <w:sz w:val="24"/>
          <w:highlight w:val="none"/>
          <w:lang w:val="zh-CN"/>
        </w:rPr>
        <w:t>-CA驱动和申领流程”进行查阅。</w:t>
      </w:r>
    </w:p>
    <w:p w14:paraId="158F2904">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710DD149">
      <w:pPr>
        <w:pStyle w:val="137"/>
        <w:snapToGrid w:val="0"/>
        <w:spacing w:before="0" w:line="460" w:lineRule="exact"/>
        <w:ind w:left="0" w:leftChars="0" w:firstLine="420" w:firstLineChars="175"/>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14:paraId="098926F5">
      <w:pPr>
        <w:pStyle w:val="137"/>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12.2为确保网上操作合法、有效和安全，响应人应当在响应截止时间前完成在“乐采云平台”的身份认证，确保在电子</w:t>
      </w:r>
      <w:r>
        <w:rPr>
          <w:rFonts w:hint="eastAsia" w:ascii="宋体" w:hAnsi="宋体" w:cs="宋体"/>
          <w:color w:val="auto"/>
          <w:highlight w:val="none"/>
          <w:lang w:val="en-US" w:eastAsia="zh-CN"/>
        </w:rPr>
        <w:t>交易</w:t>
      </w:r>
      <w:r>
        <w:rPr>
          <w:rFonts w:hint="eastAsia" w:ascii="宋体" w:hAnsi="宋体" w:eastAsia="宋体" w:cs="宋体"/>
          <w:color w:val="auto"/>
          <w:highlight w:val="none"/>
        </w:rPr>
        <w:t>过程中能够对相关数据电文进行加密和使用电子签名。</w:t>
      </w:r>
    </w:p>
    <w:p w14:paraId="4269CC77">
      <w:pPr>
        <w:pStyle w:val="137"/>
        <w:snapToGrid w:val="0"/>
        <w:spacing w:before="0" w:line="460" w:lineRule="exact"/>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14:paraId="36615332">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13.响应文件的提交、补充、修改、撤回</w:t>
      </w:r>
    </w:p>
    <w:p w14:paraId="430811D4">
      <w:pPr>
        <w:pStyle w:val="137"/>
        <w:spacing w:line="460" w:lineRule="exact"/>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w:t>
      </w:r>
      <w:r>
        <w:rPr>
          <w:rFonts w:hint="eastAsia" w:ascii="宋体" w:hAnsi="宋体" w:cs="宋体"/>
          <w:color w:val="auto"/>
          <w:szCs w:val="24"/>
          <w:highlight w:val="none"/>
          <w:lang w:val="en-US" w:eastAsia="zh-CN"/>
        </w:rPr>
        <w:t>交易</w:t>
      </w:r>
      <w:r>
        <w:rPr>
          <w:rFonts w:hint="eastAsia" w:ascii="宋体" w:hAnsi="宋体" w:eastAsia="宋体" w:cs="宋体"/>
          <w:color w:val="auto"/>
          <w:szCs w:val="24"/>
          <w:highlight w:val="none"/>
        </w:rPr>
        <w:t>截止时间前未完成传输的，视为撤回响应文件。响应截止时间后递交的响应文件，电子交易平台将拒收。</w:t>
      </w:r>
    </w:p>
    <w:p w14:paraId="0391BD10">
      <w:pPr>
        <w:pStyle w:val="137"/>
        <w:spacing w:before="0" w:line="460" w:lineRule="exact"/>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344B7BB9">
      <w:pPr>
        <w:pStyle w:val="137"/>
        <w:spacing w:before="0" w:line="460" w:lineRule="exact"/>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w:t>
      </w:r>
      <w:r>
        <w:rPr>
          <w:rFonts w:hint="eastAsia" w:ascii="宋体" w:hAnsi="宋体" w:cs="宋体"/>
          <w:color w:val="auto"/>
          <w:szCs w:val="24"/>
          <w:highlight w:val="none"/>
          <w:lang w:val="en-US" w:eastAsia="zh-CN"/>
        </w:rPr>
        <w:t>交易</w:t>
      </w:r>
      <w:r>
        <w:rPr>
          <w:rFonts w:hint="eastAsia" w:ascii="宋体" w:hAnsi="宋体" w:eastAsia="宋体" w:cs="宋体"/>
          <w:color w:val="auto"/>
          <w:szCs w:val="24"/>
          <w:highlight w:val="none"/>
        </w:rPr>
        <w:t>截止期方面的全部权利、责任和义务，将适用于延长至新的</w:t>
      </w:r>
      <w:r>
        <w:rPr>
          <w:rFonts w:hint="eastAsia" w:ascii="宋体" w:hAnsi="宋体" w:cs="宋体"/>
          <w:color w:val="auto"/>
          <w:szCs w:val="24"/>
          <w:highlight w:val="none"/>
          <w:lang w:val="en-US" w:eastAsia="zh-CN"/>
        </w:rPr>
        <w:t>交易</w:t>
      </w:r>
      <w:r>
        <w:rPr>
          <w:rFonts w:hint="eastAsia" w:ascii="宋体" w:hAnsi="宋体" w:eastAsia="宋体" w:cs="宋体"/>
          <w:color w:val="auto"/>
          <w:szCs w:val="24"/>
          <w:highlight w:val="none"/>
        </w:rPr>
        <w:t>截止期。</w:t>
      </w:r>
    </w:p>
    <w:p w14:paraId="6234C7F6">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14.备份响应文件</w:t>
      </w:r>
    </w:p>
    <w:p w14:paraId="78036A3E">
      <w:pPr>
        <w:pStyle w:val="34"/>
        <w:spacing w:line="460" w:lineRule="exact"/>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52292025">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15.响应文件的无效处理</w:t>
      </w:r>
    </w:p>
    <w:p w14:paraId="5A926411">
      <w:pPr>
        <w:pStyle w:val="26"/>
        <w:spacing w:line="460" w:lineRule="exact"/>
        <w:ind w:left="0" w:leftChars="0" w:firstLine="420" w:firstLineChars="17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4B492285">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16.交易有效期</w:t>
      </w:r>
    </w:p>
    <w:p w14:paraId="3B0D0741">
      <w:pPr>
        <w:spacing w:line="460" w:lineRule="exact"/>
        <w:ind w:left="0" w:leftChars="0" w:firstLine="420" w:firstLineChars="175"/>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14:paraId="254CB2B5">
      <w:pPr>
        <w:pStyle w:val="137"/>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w:t>
      </w:r>
      <w:r>
        <w:rPr>
          <w:rFonts w:hint="eastAsia" w:ascii="宋体" w:hAnsi="宋体" w:cs="宋体"/>
          <w:color w:val="auto"/>
          <w:highlight w:val="none"/>
          <w:lang w:val="en-US" w:eastAsia="zh-CN"/>
        </w:rPr>
        <w:t>交易</w:t>
      </w:r>
      <w:r>
        <w:rPr>
          <w:rFonts w:hint="eastAsia" w:ascii="宋体" w:hAnsi="宋体" w:eastAsia="宋体" w:cs="宋体"/>
          <w:color w:val="auto"/>
          <w:highlight w:val="none"/>
        </w:rPr>
        <w:t>截止日期起，在交易有效期内有效。</w:t>
      </w:r>
    </w:p>
    <w:p w14:paraId="09E5A87A">
      <w:pPr>
        <w:pStyle w:val="137"/>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6A209E97">
      <w:pPr>
        <w:adjustRightInd/>
        <w:spacing w:line="460" w:lineRule="exact"/>
        <w:ind w:left="0" w:leftChars="0" w:firstLine="527" w:firstLineChars="175"/>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四、交易、资格审查</w:t>
      </w:r>
    </w:p>
    <w:p w14:paraId="05E4410B">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17.交易 </w:t>
      </w:r>
    </w:p>
    <w:p w14:paraId="34A68F0C">
      <w:pPr>
        <w:pStyle w:val="562"/>
        <w:spacing w:before="0" w:line="460" w:lineRule="exact"/>
        <w:ind w:left="0" w:leftChars="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，所有响应人均应当准时在线参加。响应人不足3家的，不得</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w:t>
      </w:r>
    </w:p>
    <w:p w14:paraId="7894D713">
      <w:pPr>
        <w:pStyle w:val="562"/>
        <w:spacing w:before="0" w:line="460" w:lineRule="exact"/>
        <w:ind w:left="0" w:leftChars="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2AFBCEA1">
      <w:pPr>
        <w:pStyle w:val="562"/>
        <w:spacing w:before="0" w:line="460" w:lineRule="exact"/>
        <w:ind w:left="0" w:leftChars="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14:paraId="0BEE6181">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18、资格审查</w:t>
      </w:r>
    </w:p>
    <w:p w14:paraId="7F2F46DE">
      <w:pPr>
        <w:pStyle w:val="137"/>
        <w:spacing w:before="0" w:line="460" w:lineRule="exact"/>
        <w:ind w:left="0" w:leftChars="0" w:firstLine="420" w:firstLineChars="175"/>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14:paraId="13E7BA90">
      <w:pPr>
        <w:snapToGrid w:val="0"/>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14:paraId="49D41A96">
      <w:pPr>
        <w:pStyle w:val="137"/>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14:paraId="3181FFFA">
      <w:pPr>
        <w:pStyle w:val="137"/>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14:paraId="2779B548">
      <w:pPr>
        <w:pStyle w:val="137"/>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14:paraId="5BC1AE20">
      <w:pPr>
        <w:snapToGrid w:val="0"/>
        <w:spacing w:line="460" w:lineRule="exact"/>
        <w:ind w:left="0" w:leftChars="0" w:firstLine="632" w:firstLineChars="175"/>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439BEEFE">
      <w:pPr>
        <w:adjustRightInd/>
        <w:spacing w:line="460" w:lineRule="exact"/>
        <w:outlineLvl w:val="1"/>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19.评审</w:t>
      </w:r>
    </w:p>
    <w:p w14:paraId="18B9DA29">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评审委员会将根据公开竞争文件和有关规定，履行评标工作职责，并按照评</w:t>
      </w:r>
      <w:r>
        <w:rPr>
          <w:rFonts w:hint="eastAsia" w:ascii="宋体" w:hAnsi="宋体" w:cs="宋体"/>
          <w:color w:val="auto"/>
          <w:sz w:val="24"/>
          <w:highlight w:val="none"/>
          <w:lang w:val="en-US" w:eastAsia="zh-CN"/>
        </w:rPr>
        <w:t>审</w:t>
      </w:r>
      <w:r>
        <w:rPr>
          <w:rFonts w:hint="eastAsia" w:ascii="宋体" w:hAnsi="宋体" w:eastAsia="宋体" w:cs="宋体"/>
          <w:color w:val="auto"/>
          <w:sz w:val="24"/>
          <w:highlight w:val="none"/>
        </w:rPr>
        <w:t>方法及评分标准，全面衡量各响应人对公开竞争文件的响应情况。对实质上响应公开竞争文件的响应人，按照评审因素的量化指标排出推荐成交的响应人的先后顺序，并按顺序提出授标建议。</w:t>
      </w:r>
    </w:p>
    <w:p w14:paraId="50ADAE73">
      <w:pPr>
        <w:spacing w:line="460" w:lineRule="exact"/>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14:paraId="371CB8BF">
      <w:pPr>
        <w:snapToGrid w:val="0"/>
        <w:spacing w:line="460" w:lineRule="exact"/>
        <w:ind w:left="0" w:leftChars="0" w:firstLine="632" w:firstLineChars="175"/>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164263CD">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20.确定成交响应人</w:t>
      </w:r>
    </w:p>
    <w:p w14:paraId="5012CD18">
      <w:pPr>
        <w:pStyle w:val="137"/>
        <w:snapToGrid w:val="0"/>
        <w:spacing w:before="0" w:line="460" w:lineRule="exact"/>
        <w:ind w:left="0" w:leftChars="0" w:firstLine="420" w:firstLineChars="175"/>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14:paraId="00CD870B">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21.成交通知与成交结果公告</w:t>
      </w:r>
    </w:p>
    <w:p w14:paraId="79A0F570">
      <w:pPr>
        <w:widowControl/>
        <w:shd w:val="clear" w:color="auto" w:fill="FFFFFF"/>
        <w:spacing w:line="460" w:lineRule="exact"/>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76270961">
      <w:pPr>
        <w:widowControl/>
        <w:shd w:val="clear" w:color="auto" w:fill="FFFFFF"/>
        <w:spacing w:line="460" w:lineRule="exact"/>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名称和交易编号，成交人名称、地址和成交金额。</w:t>
      </w:r>
    </w:p>
    <w:p w14:paraId="67B7DCB0">
      <w:pPr>
        <w:widowControl/>
        <w:shd w:val="clear" w:color="auto" w:fill="FFFFFF"/>
        <w:spacing w:line="460" w:lineRule="exact"/>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.3公告期限为1个工作日。</w:t>
      </w:r>
    </w:p>
    <w:p w14:paraId="21C34BF1">
      <w:pPr>
        <w:snapToGrid w:val="0"/>
        <w:spacing w:line="460" w:lineRule="exact"/>
        <w:ind w:left="0" w:leftChars="0" w:firstLine="632" w:firstLineChars="175"/>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七、合同授予</w:t>
      </w:r>
    </w:p>
    <w:p w14:paraId="4CBBA0D3">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22.合同主要条款</w:t>
      </w:r>
    </w:p>
    <w:p w14:paraId="16D5614B">
      <w:pPr>
        <w:pStyle w:val="26"/>
        <w:spacing w:line="460" w:lineRule="exact"/>
        <w:ind w:left="0" w:leftChars="0" w:firstLine="420" w:firstLineChars="175"/>
        <w:rPr>
          <w:rFonts w:hint="eastAsia" w:ascii="宋体" w:hAnsi="宋体" w:eastAsia="宋体" w:cs="宋体"/>
          <w:b/>
          <w:color w:val="auto"/>
          <w:highlight w:val="none"/>
        </w:rPr>
      </w:pPr>
      <w:r>
        <w:rPr>
          <w:rFonts w:hint="eastAsia" w:ascii="宋体" w:hAnsi="宋体" w:eastAsia="宋体" w:cs="宋体"/>
          <w:color w:val="auto"/>
          <w:highlight w:val="none"/>
        </w:rPr>
        <w:t>详见第五部分拟签订的合同文本。</w:t>
      </w:r>
    </w:p>
    <w:p w14:paraId="4C8C049A">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23.合同的签订</w:t>
      </w:r>
    </w:p>
    <w:p w14:paraId="2A549E22">
      <w:pPr>
        <w:widowControl/>
        <w:shd w:val="clear" w:color="auto" w:fill="FFFFFF"/>
        <w:spacing w:line="460" w:lineRule="exact"/>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交易发起人与成交人应当通过电子交易平台在成交通知书发出之日起三十日内，按照公开竞争文件确定的事项签订书面合同。</w:t>
      </w:r>
    </w:p>
    <w:p w14:paraId="0FF717F8">
      <w:pPr>
        <w:pStyle w:val="137"/>
        <w:snapToGrid w:val="0"/>
        <w:spacing w:before="0" w:line="460" w:lineRule="exact"/>
        <w:ind w:left="0" w:leftChars="0" w:firstLine="420" w:firstLineChars="175"/>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36BBDC60">
      <w:pPr>
        <w:pStyle w:val="137"/>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14:paraId="3B7E3F63">
      <w:pPr>
        <w:pStyle w:val="137"/>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14:paraId="3F2131E9">
      <w:pPr>
        <w:pStyle w:val="137"/>
        <w:snapToGrid w:val="0"/>
        <w:spacing w:before="0" w:after="12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14:paraId="7E55FA54">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24.履约保证金：</w:t>
      </w:r>
      <w:r>
        <w:rPr>
          <w:rFonts w:hint="eastAsia" w:ascii="宋体" w:hAnsi="宋体" w:eastAsia="宋体" w:cs="宋体"/>
          <w:color w:val="auto"/>
          <w:sz w:val="24"/>
          <w:szCs w:val="20"/>
          <w:highlight w:val="none"/>
        </w:rPr>
        <w:t>详见前附表。</w:t>
      </w:r>
    </w:p>
    <w:p w14:paraId="0306ADBE">
      <w:pPr>
        <w:snapToGrid w:val="0"/>
        <w:spacing w:line="460" w:lineRule="exact"/>
        <w:ind w:left="0" w:leftChars="0" w:firstLine="632" w:firstLineChars="175"/>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八、电子交易活动的中止</w:t>
      </w:r>
    </w:p>
    <w:p w14:paraId="0D9781B6">
      <w:pPr>
        <w:adjustRightInd/>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25.电子交易活动的中止</w:t>
      </w:r>
    </w:p>
    <w:p w14:paraId="6E8A2337">
      <w:pPr>
        <w:pStyle w:val="137"/>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14:paraId="43550676">
      <w:pPr>
        <w:pStyle w:val="137"/>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010761E5">
      <w:pPr>
        <w:pStyle w:val="137"/>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3CBAF8EB">
      <w:pPr>
        <w:pStyle w:val="137"/>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1F2D16A6">
      <w:pPr>
        <w:pStyle w:val="137"/>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4982D7D5">
      <w:pPr>
        <w:pStyle w:val="137"/>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3DE191DF">
      <w:pPr>
        <w:pStyle w:val="137"/>
        <w:snapToGrid w:val="0"/>
        <w:spacing w:before="0" w:line="460" w:lineRule="exact"/>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48C51B29">
      <w:pPr>
        <w:snapToGrid w:val="0"/>
        <w:spacing w:line="460" w:lineRule="exact"/>
        <w:ind w:left="0" w:leftChars="0" w:firstLine="632" w:firstLineChars="175"/>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九、验收</w:t>
      </w:r>
    </w:p>
    <w:p w14:paraId="162DBE20">
      <w:pPr>
        <w:adjustRightInd/>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27.验收</w:t>
      </w:r>
    </w:p>
    <w:p w14:paraId="35484E95">
      <w:pPr>
        <w:tabs>
          <w:tab w:val="left" w:pos="0"/>
        </w:tabs>
        <w:spacing w:line="460" w:lineRule="exact"/>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14:paraId="2182B7C1">
      <w:pPr>
        <w:ind w:left="0" w:leftChars="0" w:firstLine="0" w:firstLineChars="0"/>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1C8A3320">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   交易需求</w:t>
      </w:r>
    </w:p>
    <w:p w14:paraId="41D6C5F3">
      <w:pPr>
        <w:snapToGrid w:val="0"/>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属于实质性要求条款的，请用符号“▲”标明，否则属于非实质性要求。</w:t>
      </w:r>
    </w:p>
    <w:p w14:paraId="1763DC3F">
      <w:pPr>
        <w:keepNext w:val="0"/>
        <w:keepLines w:val="0"/>
        <w:pageBreakBefore w:val="0"/>
        <w:widowControl w:val="0"/>
        <w:numPr>
          <w:ilvl w:val="0"/>
          <w:numId w:val="0"/>
        </w:numPr>
        <w:tabs>
          <w:tab w:val="left" w:pos="900"/>
        </w:tabs>
        <w:kinsoku/>
        <w:wordWrap/>
        <w:overflowPunct/>
        <w:topLinePunct w:val="0"/>
        <w:autoSpaceDE/>
        <w:autoSpaceDN/>
        <w:bidi w:val="0"/>
        <w:adjustRightInd w:val="0"/>
        <w:snapToGrid/>
        <w:spacing w:line="52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一、</w:t>
      </w:r>
      <w:r>
        <w:rPr>
          <w:rFonts w:hint="eastAsia" w:ascii="宋体" w:hAnsi="宋体" w:eastAsia="宋体" w:cs="宋体"/>
          <w:b/>
          <w:color w:val="auto"/>
          <w:sz w:val="28"/>
          <w:szCs w:val="28"/>
          <w:highlight w:val="none"/>
        </w:rPr>
        <w:t>交易一览表</w:t>
      </w:r>
    </w:p>
    <w:p w14:paraId="1A6BED77">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标项1：杭州市医疗保障局萧山分局202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年档案规范化整理与数字化加工采购项目</w:t>
      </w:r>
    </w:p>
    <w:tbl>
      <w:tblPr>
        <w:tblStyle w:val="64"/>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536"/>
        <w:gridCol w:w="1944"/>
        <w:gridCol w:w="709"/>
        <w:gridCol w:w="965"/>
        <w:gridCol w:w="1335"/>
        <w:gridCol w:w="1032"/>
      </w:tblGrid>
      <w:tr w14:paraId="6240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6" w:hRule="atLeast"/>
          <w:jc w:val="center"/>
        </w:trPr>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CC3A87">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17AB0D">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DC5D10">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规格型号与参数</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551629">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584681">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p w14:paraId="5A15F0ED">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(暂定)</w:t>
            </w:r>
          </w:p>
        </w:tc>
        <w:tc>
          <w:tcPr>
            <w:tcW w:w="1335" w:type="dxa"/>
            <w:tcBorders>
              <w:top w:val="single" w:color="auto" w:sz="4" w:space="0"/>
              <w:left w:val="single" w:color="auto" w:sz="4" w:space="0"/>
              <w:bottom w:val="single" w:color="auto" w:sz="4" w:space="0"/>
              <w:right w:val="single" w:color="auto" w:sz="4" w:space="0"/>
            </w:tcBorders>
            <w:vAlign w:val="center"/>
          </w:tcPr>
          <w:p w14:paraId="250E676B">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单价最高限价（元）</w:t>
            </w:r>
          </w:p>
        </w:tc>
        <w:tc>
          <w:tcPr>
            <w:tcW w:w="1032" w:type="dxa"/>
            <w:tcBorders>
              <w:top w:val="single" w:color="auto" w:sz="4" w:space="0"/>
              <w:left w:val="single" w:color="auto" w:sz="4" w:space="0"/>
              <w:bottom w:val="single" w:color="auto" w:sz="4" w:space="0"/>
              <w:right w:val="single" w:color="auto" w:sz="4" w:space="0"/>
            </w:tcBorders>
            <w:vAlign w:val="center"/>
          </w:tcPr>
          <w:p w14:paraId="34AB0153">
            <w:pPr>
              <w:keepNext w:val="0"/>
              <w:keepLines w:val="0"/>
              <w:pageBreakBefore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994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5" w:hRule="atLeast"/>
          <w:jc w:val="center"/>
        </w:trPr>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7BCE6E">
            <w:pPr>
              <w:pStyle w:val="16"/>
              <w:keepNext w:val="0"/>
              <w:keepLines w:val="0"/>
              <w:pageBreakBefore w:val="0"/>
              <w:kinsoku/>
              <w:wordWrap/>
              <w:overflowPunct/>
              <w:topLinePunct w:val="0"/>
              <w:autoSpaceDE/>
              <w:autoSpaceDN/>
              <w:bidi w:val="0"/>
              <w:adjustRightInd w:val="0"/>
              <w:spacing w:line="440" w:lineRule="exact"/>
              <w:ind w:firstLine="0"/>
              <w:jc w:val="center"/>
              <w:textAlignment w:val="auto"/>
              <w:rPr>
                <w:rFonts w:hint="eastAsia" w:hAnsi="宋体" w:cs="宋体"/>
                <w:color w:val="auto"/>
                <w:kern w:val="2"/>
                <w:sz w:val="24"/>
                <w:szCs w:val="24"/>
                <w:highlight w:val="none"/>
              </w:rPr>
            </w:pPr>
            <w:r>
              <w:rPr>
                <w:rFonts w:hint="eastAsia" w:hAnsi="宋体" w:cs="宋体"/>
                <w:color w:val="auto"/>
                <w:kern w:val="2"/>
                <w:sz w:val="24"/>
                <w:szCs w:val="24"/>
                <w:highlight w:val="none"/>
              </w:rPr>
              <w:t>1</w:t>
            </w:r>
          </w:p>
        </w:tc>
        <w:tc>
          <w:tcPr>
            <w:tcW w:w="25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84271E">
            <w:pPr>
              <w:pStyle w:val="16"/>
              <w:keepNext w:val="0"/>
              <w:keepLines w:val="0"/>
              <w:pageBreakBefore w:val="0"/>
              <w:kinsoku/>
              <w:wordWrap/>
              <w:overflowPunct/>
              <w:topLinePunct w:val="0"/>
              <w:autoSpaceDE/>
              <w:autoSpaceDN/>
              <w:bidi w:val="0"/>
              <w:adjustRightInd w:val="0"/>
              <w:spacing w:line="440" w:lineRule="exact"/>
              <w:ind w:firstLine="0"/>
              <w:jc w:val="center"/>
              <w:textAlignment w:val="auto"/>
              <w:rPr>
                <w:rFonts w:hint="eastAsia" w:hAnsi="宋体" w:cs="宋体"/>
                <w:color w:val="auto"/>
                <w:kern w:val="2"/>
                <w:sz w:val="24"/>
                <w:szCs w:val="24"/>
                <w:highlight w:val="none"/>
              </w:rPr>
            </w:pPr>
            <w:r>
              <w:rPr>
                <w:rFonts w:hint="eastAsia" w:hAnsi="宋体" w:cs="宋体"/>
                <w:color w:val="auto"/>
                <w:sz w:val="24"/>
                <w:szCs w:val="24"/>
                <w:highlight w:val="none"/>
              </w:rPr>
              <w:t>业务档案规范化整理（包括条目）</w:t>
            </w:r>
          </w:p>
        </w:tc>
        <w:tc>
          <w:tcPr>
            <w:tcW w:w="19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6D17D3">
            <w:pPr>
              <w:pStyle w:val="16"/>
              <w:keepNext w:val="0"/>
              <w:keepLines w:val="0"/>
              <w:pageBreakBefore w:val="0"/>
              <w:kinsoku/>
              <w:wordWrap/>
              <w:overflowPunct/>
              <w:topLinePunct w:val="0"/>
              <w:autoSpaceDE/>
              <w:autoSpaceDN/>
              <w:bidi w:val="0"/>
              <w:adjustRightInd w:val="0"/>
              <w:spacing w:line="440" w:lineRule="exact"/>
              <w:ind w:firstLine="0"/>
              <w:jc w:val="center"/>
              <w:textAlignment w:val="auto"/>
              <w:rPr>
                <w:rFonts w:hint="eastAsia" w:hAnsi="宋体" w:cs="宋体"/>
                <w:color w:val="auto"/>
                <w:kern w:val="2"/>
                <w:sz w:val="24"/>
                <w:szCs w:val="24"/>
                <w:highlight w:val="none"/>
              </w:rPr>
            </w:pPr>
            <w:r>
              <w:rPr>
                <w:rFonts w:hint="eastAsia" w:hAnsi="宋体" w:cs="宋体"/>
                <w:color w:val="auto"/>
                <w:kern w:val="2"/>
                <w:sz w:val="24"/>
                <w:szCs w:val="24"/>
                <w:highlight w:val="none"/>
              </w:rPr>
              <w:t>详见交易需求</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55DFB9">
            <w:pPr>
              <w:keepNext w:val="0"/>
              <w:keepLines w:val="0"/>
              <w:pageBreakBefore w:val="0"/>
              <w:kinsoku/>
              <w:wordWrap/>
              <w:overflowPunct/>
              <w:topLinePunct w:val="0"/>
              <w:autoSpaceDE/>
              <w:autoSpaceDN/>
              <w:bidi w:val="0"/>
              <w:adjustRightInd w:val="0"/>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w:t>
            </w:r>
          </w:p>
        </w:tc>
        <w:tc>
          <w:tcPr>
            <w:tcW w:w="9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31708B">
            <w:pPr>
              <w:keepNext w:val="0"/>
              <w:keepLines w:val="0"/>
              <w:pageBreakBefore w:val="0"/>
              <w:kinsoku/>
              <w:wordWrap/>
              <w:overflowPunct/>
              <w:topLinePunct w:val="0"/>
              <w:autoSpaceDE/>
              <w:autoSpaceDN/>
              <w:bidi w:val="0"/>
              <w:adjustRightInd w:val="0"/>
              <w:spacing w:after="0" w:line="440" w:lineRule="exact"/>
              <w:jc w:val="center"/>
              <w:textAlignment w:val="auto"/>
              <w:rPr>
                <w:rFonts w:hint="default" w:ascii="宋体" w:hAnsi="宋体" w:eastAsia="宋体" w:cs="宋体"/>
                <w:color w:val="auto"/>
                <w:sz w:val="24"/>
                <w:szCs w:val="24"/>
                <w:highlight w:val="none"/>
                <w:lang w:val="en-US" w:eastAsia="zh-CN"/>
              </w:rPr>
            </w:pPr>
            <w:bookmarkStart w:id="16" w:name="OLE_LINK1"/>
            <w:r>
              <w:rPr>
                <w:rFonts w:hint="eastAsia" w:ascii="宋体" w:hAnsi="宋体" w:eastAsia="宋体" w:cs="宋体"/>
                <w:color w:val="auto"/>
                <w:sz w:val="24"/>
                <w:szCs w:val="24"/>
                <w:highlight w:val="none"/>
              </w:rPr>
              <w:t>25</w:t>
            </w:r>
            <w:bookmarkEnd w:id="16"/>
            <w:r>
              <w:rPr>
                <w:rFonts w:hint="eastAsia" w:ascii="宋体" w:hAnsi="宋体" w:cs="宋体"/>
                <w:color w:val="auto"/>
                <w:sz w:val="24"/>
                <w:szCs w:val="24"/>
                <w:highlight w:val="none"/>
                <w:lang w:val="en-US" w:eastAsia="zh-CN"/>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6471F534">
            <w:pPr>
              <w:keepNext w:val="0"/>
              <w:keepLines w:val="0"/>
              <w:pageBreakBefore w:val="0"/>
              <w:kinsoku/>
              <w:wordWrap/>
              <w:overflowPunct/>
              <w:topLinePunct w:val="0"/>
              <w:autoSpaceDE/>
              <w:autoSpaceDN/>
              <w:bidi w:val="0"/>
              <w:adjustRightInd w:val="0"/>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1032" w:type="dxa"/>
            <w:tcBorders>
              <w:top w:val="single" w:color="auto" w:sz="4" w:space="0"/>
              <w:left w:val="single" w:color="auto" w:sz="4" w:space="0"/>
              <w:bottom w:val="single" w:color="auto" w:sz="4" w:space="0"/>
              <w:right w:val="single" w:color="auto" w:sz="4" w:space="0"/>
            </w:tcBorders>
            <w:vAlign w:val="center"/>
          </w:tcPr>
          <w:p w14:paraId="0DF465DB">
            <w:pPr>
              <w:keepNext w:val="0"/>
              <w:keepLines w:val="0"/>
              <w:pageBreakBefore w:val="0"/>
              <w:kinsoku/>
              <w:wordWrap/>
              <w:overflowPunct/>
              <w:topLinePunct w:val="0"/>
              <w:autoSpaceDE/>
              <w:autoSpaceDN/>
              <w:bidi w:val="0"/>
              <w:adjustRightInd w:val="0"/>
              <w:spacing w:after="0" w:line="440" w:lineRule="exact"/>
              <w:jc w:val="center"/>
              <w:textAlignment w:val="auto"/>
              <w:rPr>
                <w:rFonts w:hint="eastAsia" w:ascii="宋体" w:hAnsi="宋体" w:eastAsia="宋体" w:cs="宋体"/>
                <w:color w:val="auto"/>
                <w:sz w:val="24"/>
                <w:szCs w:val="24"/>
                <w:highlight w:val="none"/>
              </w:rPr>
            </w:pPr>
          </w:p>
        </w:tc>
      </w:tr>
      <w:tr w14:paraId="3533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5" w:hRule="atLeast"/>
          <w:jc w:val="center"/>
        </w:trPr>
        <w:tc>
          <w:tcPr>
            <w:tcW w:w="5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DE83E7">
            <w:pPr>
              <w:pStyle w:val="16"/>
              <w:keepNext w:val="0"/>
              <w:keepLines w:val="0"/>
              <w:pageBreakBefore w:val="0"/>
              <w:kinsoku/>
              <w:wordWrap/>
              <w:overflowPunct/>
              <w:topLinePunct w:val="0"/>
              <w:autoSpaceDE/>
              <w:autoSpaceDN/>
              <w:bidi w:val="0"/>
              <w:adjustRightInd w:val="0"/>
              <w:spacing w:line="440" w:lineRule="exact"/>
              <w:ind w:firstLine="0"/>
              <w:jc w:val="center"/>
              <w:textAlignment w:val="auto"/>
              <w:rPr>
                <w:rFonts w:hint="eastAsia" w:hAnsi="宋体" w:cs="宋体"/>
                <w:color w:val="auto"/>
                <w:kern w:val="2"/>
                <w:sz w:val="24"/>
                <w:szCs w:val="24"/>
                <w:highlight w:val="none"/>
              </w:rPr>
            </w:pPr>
            <w:r>
              <w:rPr>
                <w:rFonts w:hint="eastAsia" w:hAnsi="宋体" w:cs="宋体"/>
                <w:color w:val="auto"/>
                <w:kern w:val="2"/>
                <w:sz w:val="24"/>
                <w:szCs w:val="24"/>
                <w:highlight w:val="none"/>
              </w:rPr>
              <w:t>2</w:t>
            </w:r>
          </w:p>
        </w:tc>
        <w:tc>
          <w:tcPr>
            <w:tcW w:w="25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BDC1E3">
            <w:pPr>
              <w:pStyle w:val="16"/>
              <w:keepNext w:val="0"/>
              <w:keepLines w:val="0"/>
              <w:pageBreakBefore w:val="0"/>
              <w:kinsoku/>
              <w:wordWrap/>
              <w:overflowPunct/>
              <w:topLinePunct w:val="0"/>
              <w:autoSpaceDE/>
              <w:autoSpaceDN/>
              <w:bidi w:val="0"/>
              <w:adjustRightInd w:val="0"/>
              <w:spacing w:line="440" w:lineRule="exact"/>
              <w:ind w:firstLine="0"/>
              <w:jc w:val="center"/>
              <w:textAlignment w:val="auto"/>
              <w:rPr>
                <w:rFonts w:hint="eastAsia" w:hAnsi="宋体" w:cs="宋体"/>
                <w:color w:val="auto"/>
                <w:sz w:val="24"/>
                <w:szCs w:val="24"/>
                <w:highlight w:val="none"/>
              </w:rPr>
            </w:pPr>
            <w:r>
              <w:rPr>
                <w:rFonts w:hint="eastAsia" w:hAnsi="宋体" w:cs="宋体"/>
                <w:color w:val="auto"/>
                <w:sz w:val="24"/>
                <w:szCs w:val="24"/>
                <w:highlight w:val="none"/>
              </w:rPr>
              <w:t>档案纸质数字化</w:t>
            </w:r>
          </w:p>
          <w:p w14:paraId="699805DD">
            <w:pPr>
              <w:pStyle w:val="16"/>
              <w:keepNext w:val="0"/>
              <w:keepLines w:val="0"/>
              <w:pageBreakBefore w:val="0"/>
              <w:kinsoku/>
              <w:wordWrap/>
              <w:overflowPunct/>
              <w:topLinePunct w:val="0"/>
              <w:autoSpaceDE/>
              <w:autoSpaceDN/>
              <w:bidi w:val="0"/>
              <w:adjustRightInd w:val="0"/>
              <w:spacing w:line="440" w:lineRule="exact"/>
              <w:ind w:firstLine="0"/>
              <w:jc w:val="center"/>
              <w:textAlignment w:val="auto"/>
              <w:rPr>
                <w:rFonts w:hint="eastAsia" w:hAnsi="宋体" w:cs="宋体"/>
                <w:color w:val="auto"/>
                <w:sz w:val="24"/>
                <w:szCs w:val="24"/>
                <w:highlight w:val="none"/>
              </w:rPr>
            </w:pPr>
            <w:r>
              <w:rPr>
                <w:rFonts w:hint="eastAsia" w:hAnsi="宋体" w:cs="宋体"/>
                <w:color w:val="auto"/>
                <w:sz w:val="24"/>
                <w:szCs w:val="24"/>
                <w:highlight w:val="none"/>
              </w:rPr>
              <w:t>（A4幅面）</w:t>
            </w:r>
          </w:p>
        </w:tc>
        <w:tc>
          <w:tcPr>
            <w:tcW w:w="19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BF6D8F">
            <w:pPr>
              <w:pStyle w:val="16"/>
              <w:keepNext w:val="0"/>
              <w:keepLines w:val="0"/>
              <w:pageBreakBefore w:val="0"/>
              <w:kinsoku/>
              <w:wordWrap/>
              <w:overflowPunct/>
              <w:topLinePunct w:val="0"/>
              <w:autoSpaceDE/>
              <w:autoSpaceDN/>
              <w:bidi w:val="0"/>
              <w:adjustRightInd w:val="0"/>
              <w:spacing w:line="440" w:lineRule="exact"/>
              <w:ind w:firstLine="0"/>
              <w:jc w:val="center"/>
              <w:textAlignment w:val="auto"/>
              <w:rPr>
                <w:rFonts w:hint="eastAsia" w:hAnsi="宋体" w:cs="宋体"/>
                <w:color w:val="auto"/>
                <w:kern w:val="2"/>
                <w:sz w:val="24"/>
                <w:szCs w:val="24"/>
                <w:highlight w:val="none"/>
              </w:rPr>
            </w:pPr>
            <w:r>
              <w:rPr>
                <w:rFonts w:hint="eastAsia" w:hAnsi="宋体" w:cs="宋体"/>
                <w:color w:val="auto"/>
                <w:kern w:val="2"/>
                <w:sz w:val="24"/>
                <w:szCs w:val="24"/>
                <w:highlight w:val="none"/>
              </w:rPr>
              <w:t>详见交易需求</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E45AAB">
            <w:pPr>
              <w:keepNext w:val="0"/>
              <w:keepLines w:val="0"/>
              <w:pageBreakBefore w:val="0"/>
              <w:kinsoku/>
              <w:wordWrap/>
              <w:overflowPunct/>
              <w:topLinePunct w:val="0"/>
              <w:autoSpaceDE/>
              <w:autoSpaceDN/>
              <w:bidi w:val="0"/>
              <w:adjustRightInd w:val="0"/>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w:t>
            </w:r>
          </w:p>
        </w:tc>
        <w:tc>
          <w:tcPr>
            <w:tcW w:w="9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5FE7B2">
            <w:pPr>
              <w:keepNext w:val="0"/>
              <w:keepLines w:val="0"/>
              <w:pageBreakBefore w:val="0"/>
              <w:kinsoku/>
              <w:wordWrap/>
              <w:overflowPunct/>
              <w:topLinePunct w:val="0"/>
              <w:autoSpaceDE/>
              <w:autoSpaceDN/>
              <w:bidi w:val="0"/>
              <w:adjustRightInd w:val="0"/>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cs="宋体"/>
                <w:color w:val="auto"/>
                <w:sz w:val="24"/>
                <w:szCs w:val="24"/>
                <w:highlight w:val="none"/>
                <w:lang w:val="en-US" w:eastAsia="zh-CN"/>
              </w:rPr>
              <w:t>0000</w:t>
            </w:r>
          </w:p>
        </w:tc>
        <w:tc>
          <w:tcPr>
            <w:tcW w:w="1335" w:type="dxa"/>
            <w:tcBorders>
              <w:top w:val="single" w:color="auto" w:sz="4" w:space="0"/>
              <w:left w:val="single" w:color="auto" w:sz="4" w:space="0"/>
              <w:bottom w:val="single" w:color="auto" w:sz="4" w:space="0"/>
              <w:right w:val="single" w:color="auto" w:sz="4" w:space="0"/>
            </w:tcBorders>
            <w:vAlign w:val="center"/>
          </w:tcPr>
          <w:p w14:paraId="5141420C">
            <w:pPr>
              <w:keepNext w:val="0"/>
              <w:keepLines w:val="0"/>
              <w:pageBreakBefore w:val="0"/>
              <w:kinsoku/>
              <w:wordWrap/>
              <w:overflowPunct/>
              <w:topLinePunct w:val="0"/>
              <w:autoSpaceDE/>
              <w:autoSpaceDN/>
              <w:bidi w:val="0"/>
              <w:adjustRightInd w:val="0"/>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1032" w:type="dxa"/>
            <w:tcBorders>
              <w:top w:val="single" w:color="auto" w:sz="4" w:space="0"/>
              <w:left w:val="single" w:color="auto" w:sz="4" w:space="0"/>
              <w:bottom w:val="single" w:color="auto" w:sz="4" w:space="0"/>
              <w:right w:val="single" w:color="auto" w:sz="4" w:space="0"/>
            </w:tcBorders>
            <w:vAlign w:val="center"/>
          </w:tcPr>
          <w:p w14:paraId="5192AB6F">
            <w:pPr>
              <w:keepNext w:val="0"/>
              <w:keepLines w:val="0"/>
              <w:pageBreakBefore w:val="0"/>
              <w:kinsoku/>
              <w:wordWrap/>
              <w:overflowPunct/>
              <w:topLinePunct w:val="0"/>
              <w:autoSpaceDE/>
              <w:autoSpaceDN/>
              <w:bidi w:val="0"/>
              <w:adjustRightInd w:val="0"/>
              <w:spacing w:after="0" w:line="440" w:lineRule="exact"/>
              <w:jc w:val="center"/>
              <w:textAlignment w:val="auto"/>
              <w:rPr>
                <w:rFonts w:hint="eastAsia" w:ascii="宋体" w:hAnsi="宋体" w:eastAsia="宋体" w:cs="宋体"/>
                <w:color w:val="auto"/>
                <w:sz w:val="24"/>
                <w:szCs w:val="24"/>
                <w:highlight w:val="none"/>
              </w:rPr>
            </w:pPr>
          </w:p>
        </w:tc>
      </w:tr>
    </w:tbl>
    <w:p w14:paraId="75AAF984">
      <w:pPr>
        <w:spacing w:after="0"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color w:val="auto"/>
          <w:sz w:val="24"/>
          <w:szCs w:val="24"/>
          <w:highlight w:val="none"/>
        </w:rPr>
        <w:t>1、清单数量为</w:t>
      </w:r>
      <w:r>
        <w:rPr>
          <w:rFonts w:hint="eastAsia" w:ascii="宋体" w:hAnsi="宋体" w:eastAsia="宋体" w:cs="宋体"/>
          <w:b/>
          <w:color w:val="auto"/>
          <w:sz w:val="24"/>
          <w:szCs w:val="24"/>
          <w:highlight w:val="none"/>
          <w:lang w:val="en-US" w:eastAsia="zh-CN"/>
        </w:rPr>
        <w:t>交易发起</w:t>
      </w:r>
      <w:r>
        <w:rPr>
          <w:rFonts w:hint="eastAsia" w:ascii="宋体" w:hAnsi="宋体" w:eastAsia="宋体" w:cs="宋体"/>
          <w:b/>
          <w:color w:val="auto"/>
          <w:sz w:val="24"/>
          <w:szCs w:val="24"/>
          <w:highlight w:val="none"/>
        </w:rPr>
        <w:t>人暂定数量，但交易时响应人不得变更数量；最终费用按实际完成的数量（经</w:t>
      </w:r>
      <w:r>
        <w:rPr>
          <w:rFonts w:hint="eastAsia" w:ascii="宋体" w:hAnsi="宋体" w:eastAsia="宋体" w:cs="宋体"/>
          <w:b/>
          <w:color w:val="auto"/>
          <w:sz w:val="24"/>
          <w:szCs w:val="24"/>
          <w:highlight w:val="none"/>
          <w:lang w:val="en-US" w:eastAsia="zh-CN"/>
        </w:rPr>
        <w:t>交易发起</w:t>
      </w:r>
      <w:r>
        <w:rPr>
          <w:rFonts w:hint="eastAsia" w:ascii="宋体" w:hAnsi="宋体" w:eastAsia="宋体" w:cs="宋体"/>
          <w:b/>
          <w:color w:val="auto"/>
          <w:sz w:val="24"/>
          <w:szCs w:val="24"/>
          <w:highlight w:val="none"/>
        </w:rPr>
        <w:t>人认可后）与响应单价（单价不作调整）的乘积计算，响应人应自行承担报价风险。</w:t>
      </w:r>
    </w:p>
    <w:p w14:paraId="24C35DD6">
      <w:pPr>
        <w:spacing w:after="0"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▲2、该项目</w:t>
      </w:r>
      <w:r>
        <w:rPr>
          <w:rFonts w:hint="eastAsia" w:ascii="宋体" w:hAnsi="宋体" w:cs="宋体"/>
          <w:b/>
          <w:color w:val="auto"/>
          <w:sz w:val="24"/>
          <w:szCs w:val="24"/>
          <w:highlight w:val="none"/>
          <w:lang w:val="en-US" w:eastAsia="zh-CN"/>
        </w:rPr>
        <w:t>单价</w:t>
      </w:r>
      <w:r>
        <w:rPr>
          <w:rFonts w:hint="eastAsia" w:ascii="宋体" w:hAnsi="宋体" w:eastAsia="宋体" w:cs="宋体"/>
          <w:b/>
          <w:color w:val="auto"/>
          <w:sz w:val="24"/>
          <w:szCs w:val="24"/>
          <w:highlight w:val="none"/>
        </w:rPr>
        <w:t>最高限价为：业务档案规范化整理（包括条目）</w:t>
      </w:r>
      <w:r>
        <w:rPr>
          <w:rFonts w:hint="eastAsia" w:ascii="宋体" w:hAnsi="宋体" w:eastAsia="宋体" w:cs="宋体"/>
          <w:b/>
          <w:color w:val="auto"/>
          <w:sz w:val="24"/>
          <w:szCs w:val="24"/>
          <w:highlight w:val="none"/>
          <w:lang w:val="en-US" w:eastAsia="zh-CN"/>
        </w:rPr>
        <w:t>：0.45元/页；</w:t>
      </w:r>
      <w:r>
        <w:rPr>
          <w:rFonts w:hint="eastAsia" w:ascii="宋体" w:hAnsi="宋体" w:eastAsia="宋体" w:cs="宋体"/>
          <w:b/>
          <w:color w:val="auto"/>
          <w:sz w:val="24"/>
          <w:szCs w:val="24"/>
          <w:highlight w:val="none"/>
        </w:rPr>
        <w:t>档案纸质数字化（A4幅面）</w:t>
      </w:r>
      <w:r>
        <w:rPr>
          <w:rFonts w:hint="eastAsia" w:ascii="宋体" w:hAnsi="宋体" w:eastAsia="宋体" w:cs="宋体"/>
          <w:b/>
          <w:color w:val="auto"/>
          <w:sz w:val="24"/>
          <w:szCs w:val="24"/>
          <w:highlight w:val="none"/>
          <w:lang w:val="en-US" w:eastAsia="zh-CN"/>
        </w:rPr>
        <w:t>0.45元/页。</w:t>
      </w:r>
      <w:r>
        <w:rPr>
          <w:rFonts w:hint="eastAsia" w:ascii="宋体" w:hAnsi="宋体" w:eastAsia="宋体" w:cs="宋体"/>
          <w:b/>
          <w:color w:val="auto"/>
          <w:sz w:val="24"/>
          <w:szCs w:val="24"/>
          <w:highlight w:val="none"/>
        </w:rPr>
        <w:t>响应报价超过最高限价按无效响应处理。</w:t>
      </w:r>
    </w:p>
    <w:p w14:paraId="20FC0CED">
      <w:pPr>
        <w:numPr>
          <w:ilvl w:val="0"/>
          <w:numId w:val="0"/>
        </w:numPr>
        <w:spacing w:line="360" w:lineRule="auto"/>
        <w:ind w:left="0" w:leftChars="0" w:firstLine="0" w:firstLineChars="0"/>
        <w:jc w:val="center"/>
        <w:outlineLvl w:val="0"/>
        <w:rPr>
          <w:rFonts w:hint="eastAsia" w:ascii="宋体" w:hAnsi="宋体" w:eastAsia="宋体" w:cs="宋体"/>
          <w:b/>
          <w:color w:val="auto"/>
          <w:kern w:val="2"/>
          <w:sz w:val="28"/>
          <w:szCs w:val="28"/>
          <w:highlight w:val="none"/>
          <w:lang w:val="en-US" w:eastAsia="zh-CN" w:bidi="ar-SA"/>
        </w:rPr>
      </w:pPr>
    </w:p>
    <w:p w14:paraId="130A8B98">
      <w:pPr>
        <w:numPr>
          <w:ilvl w:val="0"/>
          <w:numId w:val="0"/>
        </w:numPr>
        <w:spacing w:line="360" w:lineRule="auto"/>
        <w:ind w:left="0" w:leftChars="0" w:firstLine="0" w:firstLineChars="0"/>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二、</w:t>
      </w:r>
      <w:r>
        <w:rPr>
          <w:rFonts w:hint="eastAsia" w:ascii="宋体" w:hAnsi="宋体" w:eastAsia="宋体" w:cs="宋体"/>
          <w:b/>
          <w:color w:val="auto"/>
          <w:sz w:val="28"/>
          <w:szCs w:val="28"/>
          <w:highlight w:val="none"/>
        </w:rPr>
        <w:t>交易需求</w:t>
      </w:r>
    </w:p>
    <w:p w14:paraId="233523FB">
      <w:pPr>
        <w:widowControl/>
        <w:adjustRightInd/>
        <w:spacing w:after="0" w:line="360" w:lineRule="auto"/>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一</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技术需求</w:t>
      </w:r>
    </w:p>
    <w:p w14:paraId="0A7D596A">
      <w:pPr>
        <w:widowControl/>
        <w:adjustRightInd/>
        <w:spacing w:after="0"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、项目背景</w:t>
      </w:r>
    </w:p>
    <w:p w14:paraId="0EEB325E">
      <w:pPr>
        <w:widowControl/>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2019年医疗保障局成立以来，为积极落实医疗保障经办管理、公共服务体系建设等各项工作，切实保障我区160万余参保人员的医保权益，近年来，我局在经办工作中，保存大量的纸质档案资料，为进一步深化“最多跑一次”改革、加快推进政府数字化转型工作，全面落实档案电子化，结合省市医保局关于档案规范的具体要求，重点推进市医疗保障局萧山分局档案规范化、数字化归档工作，建立健全电子归档的长效工作机制，实现重要档案数据的应归尽归、安全管理、有效利用，我局迫切需要启动档案规范化整理与数字化加工项目。</w:t>
      </w:r>
    </w:p>
    <w:p w14:paraId="66073745">
      <w:pPr>
        <w:widowControl/>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本项目档案需要根据《中华人民共和国档案法》、《国家档案局令（第8 号）》《浙江省社会保障档案管理办法》、《浙江省劳动和社会保障系统档案工作目标管理省级认定办法》《归档文件整理规则》及《杭州市医疗保险管理服务局档案管理办法》、《杭州市医疗保险管理服务局档案管理制度》《浙江省实施〈中华人民共和国档案法〉办法》等相关规定、规范，遵循社会医疗保障工作的规律和特点，保持文件材料系统的内在联系进行规范化整理及数字化加工。</w:t>
      </w:r>
    </w:p>
    <w:p w14:paraId="622D4B20">
      <w:pPr>
        <w:widowControl/>
        <w:adjustRightInd/>
        <w:spacing w:after="0"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、项目实施范围</w:t>
      </w:r>
    </w:p>
    <w:p w14:paraId="194EF6F5">
      <w:pPr>
        <w:widowControl/>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杭州市医疗保障局萧山分局日常业务办理过程中形成的具有保存利用价值的业务档案进行规范化整理及数字化加工服务。档案资料主要有生育待遇类资料、医疗零星报销单类资料、一次性补缴清算累材料、医保转移登记类材料、医保参保类业务及医保备案类业务资料等。</w:t>
      </w:r>
    </w:p>
    <w:p w14:paraId="4F563582">
      <w:pPr>
        <w:widowControl/>
        <w:adjustRightInd/>
        <w:spacing w:after="0"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、档案的整理要求</w:t>
      </w:r>
    </w:p>
    <w:p w14:paraId="2DF68EE9">
      <w:pPr>
        <w:widowControl/>
        <w:autoSpaceDE w:val="0"/>
        <w:autoSpaceDN w:val="0"/>
        <w:adjustRightInd/>
        <w:spacing w:after="0"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纸质档案整理</w:t>
      </w:r>
    </w:p>
    <w:p w14:paraId="3CB6B2F3">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需要整理的档案内容，包括对案卷内情况进行登记、拆卷、分件、排序、拟标题；档案案卷级和文件级条目著录、目录数据校对、补录、目录打印和建库；档案卷盒更换、盒内卷内目录和备考表制作打印及目录册打印装订等工作环节。</w:t>
      </w:r>
    </w:p>
    <w:p w14:paraId="7E564F5C">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档案进出库交接必须严格执行档案进出库管理制度。成交</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必须在加工场所设立临时档案库房，建立管理制度，指定专人（组长）管理档案实体，并建立《借用档案审批单》、《归还档案登记表》等工作流程单，做好调档交接等各环节的登记工作。</w:t>
      </w:r>
    </w:p>
    <w:p w14:paraId="333F5E9D">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对案卷封面上的全宗名称、案卷题名、责任者、文种、保管期限、时间、文字等书写是否规范，前后是否统一；档号是否正确，有无空号、重号现象；是否己按规定进行划控；卷内文件份数与实际是否相符等进行核查和修正。包括对案卷内情况与原目录不一致处应建立勘误表进行登记、同时对卷内文件进行稿本选择、拆卷、分件、排序、标页、拟标题等。</w:t>
      </w:r>
    </w:p>
    <w:p w14:paraId="1B4A835B">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对卷内文件目录的著录，应按《浙江省省直单位文书档案目录数据库结构与交换格式》、《社会保险业务档案管理规范》（GB/T31599-2015）和医保局目录制作要求著录，电子目录须导入医保局指定的档案系统之中。检查和修正卷内缺页、重页、倒页、破损、字迹褪变、模糊、褶皱不平、装订压字等现象，并加以记录，通过对档案的整理和规范著录，实现对案卷、文件、利用、编研、统计、密级、划控等科学管理。</w:t>
      </w:r>
    </w:p>
    <w:p w14:paraId="1C15F4DE">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档案装订时，要求按照档案整理规范验收后的成品目录（原纸制目录仍保留）打印卷内目录，加工完成验收后成交</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应移交纸质目录册。纸质目录册和案卷封面制作须确保纸张挺括，排版规范，字迹清晰。打印应采用黑白模式。</w:t>
      </w:r>
    </w:p>
    <w:p w14:paraId="2381B4D3">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拆除整理过装订物的档案应按档案保管的要求重新装订。在恢复装订时，按照档案原有的装订方向进行，不可更换装订位置（如改右装订为左装订）；遵循“两对齐”要求，即装订线一侧边缘对齐，档案内页以边缘对齐；装订需采购专业装订线进行装订，不可使用金属或塑料装订物，如原始档案中发现金属或塑料装订物的应予以剔除；保持档案的排列顺序不变，不得漏页、错页、不得压字，装订牢固、不得掉页，做到安全、准确、无遗漏。同时，案卷备考表上要详细记录案卷内出现的漏号、缺号、重号、重页、空白页等增删改情况，要求用黑色档案专用水笔进行书写，字体要求工整、清洁、不准出现涂改的现象。</w:t>
      </w:r>
    </w:p>
    <w:p w14:paraId="01084423">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必须对档案实体进行逐卷清点，按档案数量、卷内文件目录、页数与顺序、文件状况、装订要求等进行检查，如发现丢失、损坏、圈划或涂改等将追究法律责任；顺序错误、卷间文件颠倒等情况，成交</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要重新进行处理和无条件整改，同时应配合专人一起做好实体的清点交接工作，并做好移交记录。</w:t>
      </w:r>
    </w:p>
    <w:p w14:paraId="0D66D4B5">
      <w:pPr>
        <w:widowControl/>
        <w:autoSpaceDE w:val="0"/>
        <w:autoSpaceDN w:val="0"/>
        <w:adjustRightInd/>
        <w:spacing w:after="0"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档案信息化加工要求</w:t>
      </w:r>
    </w:p>
    <w:p w14:paraId="7BE193C0">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档案条目协调导入管理软件，建立案卷级、文件级数据库，要求著录检索信息完整、准确、规范。</w:t>
      </w:r>
    </w:p>
    <w:p w14:paraId="28F7C8C8">
      <w:pPr>
        <w:widowControl/>
        <w:autoSpaceDE w:val="0"/>
        <w:autoSpaceDN w:val="0"/>
        <w:adjustRightInd/>
        <w:spacing w:after="0"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数字化加工具体要求</w:t>
      </w:r>
    </w:p>
    <w:p w14:paraId="5CF1CD11">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1）档案扫描</w:t>
      </w:r>
    </w:p>
    <w:p w14:paraId="3E01C847">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利用准备的档案数字化设备扫描，均保持原档方向。扫描时，应根据纸张质地、底色、薄厚程度等因素，设置最佳的扫描明暗度、对比度设置，保证原始扫描图像效果与原件吻合，对成册材料不宜拆卷的，则不作拆卷扫描。扫描时应在《纸质档案扫描工作流程表》上认真登记扫描的页码和页数，并利用软硬件手段，自动核对每份文件的扫描页码、页数与实际的文件页码、页数是否一致，不一致时应注明具体原因和处理方法。</w:t>
      </w:r>
    </w:p>
    <w:p w14:paraId="31184E1E">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登记完成后要对扫描件进行逐页质检，确保扫描件与原件一致，无内容扫描不完整、漏扫、排列顺序不一致等问题。认真填写相关表单，记录质检结果和处理意见。</w:t>
      </w:r>
    </w:p>
    <w:p w14:paraId="0C3000EF">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著录：扫描文件著录应准确。著录档案内容有卷内文件题名、文件编号、目录号、案卷号、顺序号、成文日期、页号、全宗号；案卷文件题名、页码、份数。录入的内容要详细、准确。录入有不准确或错漏的，应根据文件内容重新修改提炼，符合国家《纸质档案著录规则》要求。</w:t>
      </w:r>
    </w:p>
    <w:p w14:paraId="34C97688">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3）图像处理</w:t>
      </w:r>
    </w:p>
    <w:p w14:paraId="4F5C6C5C">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影像资料和原档案页码顺序需要一致。图像不能存在压边、倾斜、扭曲、比例变形、图像无法显示、漏扫等现象。对出现偏斜的图像应进行纠偏处理，倾斜度在1度之内，以达到视觉上基本不感觉偏斜为准；对方向不正确的图像进行旋转还原，以符合阅读习惯；对内容过于靠边的扫描件，要进行内容居中处理，确保档案电子件不出现内容过于靠边的现象。不出现图像的一部分出现倾斜或扭曲而影响阅读的现象。</w:t>
      </w:r>
    </w:p>
    <w:p w14:paraId="594BC5CF">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对淡铅笔印痕的图件，至少要保留铅笔痕迹扫描效果。</w:t>
      </w:r>
    </w:p>
    <w:p w14:paraId="4A12A901">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在复印件上加盖有资料责任单位的红色公章的，视为原件。如果资料单位的原件复印件的章亦是黑白复印效果的，确定为“复印件”，统一在影像的左上方标记“复印件”。</w:t>
      </w:r>
    </w:p>
    <w:p w14:paraId="1A8B4F68">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保证文件内容完整的前提下，影像页无扫描过程中带来的污斑，无黑边，外观达到清晰、平直、干净。处理过程中应遵循在不影响可读性和可理解性的前提下展现档案原貌的原则。由于档案本身因陈旧、破损或不洁等造成页面上有污点的，如果在页面视图下无法看清，或该污点嵌在文本行中无法清除，可不予清除。要求四边处理干净，打印时无黑边、黑线。对有底色的扫描件图像处理时，必须保留原底色，不得抽色变白。</w:t>
      </w:r>
    </w:p>
    <w:p w14:paraId="50C85754">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4）图像数据质检</w:t>
      </w:r>
    </w:p>
    <w:p w14:paraId="77C544F1">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图像偏斜度、清晰度、空白页等进行检查。发现不符合图像质量要求时，应重新进行图像的处理。由于操作不当，造成扫描的图像文件不完整、分辨率不对或无法清晰识别时，应重新扫描。发现文件漏扫时，应及时补扫并正确插入图像。发现扫描图像的排列顺序与档案原件不一致时，应及时进行调整。</w:t>
      </w:r>
    </w:p>
    <w:p w14:paraId="02159D51">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字化软件的图像处理，可依据质检人员的在线退回的不合格的产品的错误提示信息进行修改；数字化软件的图像处理，可通过系统设置，要求图像处理人员必须先将不合格的影像文件修改完毕并通过质检人员验收合格后，才能进入到正常加工流程中，以控制有问题图像的优先处理，以免造成有问题图像遗漏处理。</w:t>
      </w:r>
    </w:p>
    <w:p w14:paraId="51531C34">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认真填写相关表单，记录质检结果和处理意见。</w:t>
      </w:r>
    </w:p>
    <w:p w14:paraId="7C555AA4">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5）文件存储</w:t>
      </w:r>
    </w:p>
    <w:p w14:paraId="5B5DA698">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w:t>
      </w:r>
      <w:r>
        <w:rPr>
          <w:rFonts w:hint="eastAsia" w:ascii="宋体" w:hAnsi="宋体" w:eastAsia="宋体" w:cs="宋体"/>
          <w:color w:val="auto"/>
          <w:kern w:val="0"/>
          <w:sz w:val="24"/>
          <w:highlight w:val="none"/>
          <w:lang w:val="en-US" w:eastAsia="zh-CN"/>
        </w:rPr>
        <w:t>交易发起</w:t>
      </w:r>
      <w:r>
        <w:rPr>
          <w:rFonts w:hint="eastAsia" w:ascii="宋体" w:hAnsi="宋体" w:eastAsia="宋体" w:cs="宋体"/>
          <w:color w:val="auto"/>
          <w:kern w:val="0"/>
          <w:sz w:val="24"/>
          <w:highlight w:val="none"/>
        </w:rPr>
        <w:t>人要求进行存储。</w:t>
      </w:r>
    </w:p>
    <w:p w14:paraId="3977841E">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6）成果质检</w:t>
      </w:r>
    </w:p>
    <w:p w14:paraId="03D2ACB9">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必须建立严格的质量检测体系，对整理和数字化后的数据进行自检，自检达到杭州市医疗保障局萧山分局的数据质量标准后，才能提交杭州市医疗保障局萧山分局验收。</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kern w:val="0"/>
          <w:sz w:val="24"/>
          <w:highlight w:val="none"/>
        </w:rPr>
        <w:t>需在响应材料中详细说明拟采用的质检方案。</w:t>
      </w:r>
    </w:p>
    <w:p w14:paraId="1A0DBB4F">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7）数据挂接</w:t>
      </w:r>
    </w:p>
    <w:p w14:paraId="71A997B6">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扫描图像文件应与目录数据进行挂接，同时在《纸质档案扫描工作流程表》上填写数据挂接后的页码、页数，核对每一份文件挂接后的页码、页数与前处理、扫描时填写的页码、页数是否一致，不一致时应注明具体原因和处理办法。</w:t>
      </w:r>
    </w:p>
    <w:p w14:paraId="0672562E">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8）档案装订</w:t>
      </w:r>
    </w:p>
    <w:p w14:paraId="0C832537">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遵循尽可能保持档案原貌的原则，对扫描后的档案进行装订。档案装订必须采用专业装订线进行装订，不可使用金属装订物；如原始档案中发现金属装订物，应予以剔除。应遵循“两对齐”要求，即装订线一侧边缘对齐，档案内页下边缘对齐。</w:t>
      </w:r>
    </w:p>
    <w:p w14:paraId="62222A05">
      <w:pPr>
        <w:widowControl/>
        <w:autoSpaceDE w:val="0"/>
        <w:autoSpaceDN w:val="0"/>
        <w:adjustRightInd/>
        <w:spacing w:after="0"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其他要求</w:t>
      </w:r>
    </w:p>
    <w:p w14:paraId="12360E05">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交易发起人</w:t>
      </w:r>
      <w:r>
        <w:rPr>
          <w:rFonts w:hint="eastAsia" w:ascii="宋体" w:hAnsi="宋体" w:eastAsia="宋体" w:cs="宋体"/>
          <w:color w:val="auto"/>
          <w:kern w:val="0"/>
          <w:sz w:val="24"/>
          <w:highlight w:val="none"/>
        </w:rPr>
        <w:t>不提供档案整理服务所需的场地及任何相应设备、数字化加工软件，由</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kern w:val="0"/>
          <w:sz w:val="24"/>
          <w:highlight w:val="none"/>
        </w:rPr>
        <w:t>自行安排提供。</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kern w:val="0"/>
          <w:sz w:val="24"/>
          <w:highlight w:val="none"/>
        </w:rPr>
        <w:t>拥有专业独立安全的加工中心，配备监控设备及消防安全设施设备。场地要求大于200平，工作区域与其他区域物理隔开，项目实施完成并通过验收后，需按实际情况预留充足时间予以搬运。</w:t>
      </w:r>
    </w:p>
    <w:p w14:paraId="02F228D7">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双方各指定专人做好档案的清点交接工作，并做好移交记录，归还档案时还要提供扫描加工工作流程情况说明，并随同档案一起交接。</w:t>
      </w:r>
    </w:p>
    <w:p w14:paraId="7206E938">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要求成交</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在签立合同时成立项目组，项目实施过程中，公司原有熟练技术人员始终保持至少5人，指定专人为项目负责人负责该项目，技术负责人负责项目的技术方案及实施要求</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并保持不变动。列出具体的项目操作标准及流程、项目实施计划、人员及保证措施。交易时，对本条款作出书面承诺。</w:t>
      </w:r>
    </w:p>
    <w:p w14:paraId="41F4537E">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要求在签定合同后5日内，将有关档案资料进行搬运交接入场，扫描加工软、硬件设备、工作人员等进驻扫描加工场地，并开始整理工作。</w:t>
      </w:r>
    </w:p>
    <w:p w14:paraId="69566A27">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质保期（免费维护期）及其服务要求。</w:t>
      </w:r>
    </w:p>
    <w:p w14:paraId="342E6250">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5.1</w:t>
      </w:r>
      <w:r>
        <w:rPr>
          <w:rFonts w:hint="eastAsia" w:ascii="宋体" w:hAnsi="宋体" w:eastAsia="宋体" w:cs="宋体"/>
          <w:color w:val="auto"/>
          <w:kern w:val="0"/>
          <w:sz w:val="24"/>
          <w:highlight w:val="none"/>
        </w:rPr>
        <w:t>质保期：项目免费质保期为项目验收通过后2年。</w:t>
      </w:r>
    </w:p>
    <w:p w14:paraId="5F983E97">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5.2</w:t>
      </w:r>
      <w:r>
        <w:rPr>
          <w:rFonts w:hint="eastAsia" w:ascii="宋体" w:hAnsi="宋体" w:eastAsia="宋体" w:cs="宋体"/>
          <w:color w:val="auto"/>
          <w:kern w:val="0"/>
          <w:sz w:val="24"/>
          <w:highlight w:val="none"/>
        </w:rPr>
        <w:t>服务要求：若</w:t>
      </w:r>
      <w:r>
        <w:rPr>
          <w:rFonts w:hint="eastAsia" w:ascii="宋体" w:hAnsi="宋体" w:eastAsia="宋体" w:cs="宋体"/>
          <w:color w:val="auto"/>
          <w:kern w:val="0"/>
          <w:sz w:val="24"/>
          <w:highlight w:val="none"/>
          <w:lang w:val="en-US" w:eastAsia="zh-CN"/>
        </w:rPr>
        <w:t>交易发起人</w:t>
      </w:r>
      <w:r>
        <w:rPr>
          <w:rFonts w:hint="eastAsia" w:ascii="宋体" w:hAnsi="宋体" w:eastAsia="宋体" w:cs="宋体"/>
          <w:color w:val="auto"/>
          <w:kern w:val="0"/>
          <w:sz w:val="24"/>
          <w:highlight w:val="none"/>
        </w:rPr>
        <w:t>提出故障申请，成交</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须在4小时内给予响应，并最迟在1个工作日内进行上门服务。成交</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还须提供数据维护和现场巡检等服务，以及其他的技术支持工作。如有需要须免费提供接口程序。保修期内，所有维护服务均为上门服务。在质保期内，与质保和维护等相关的费用由成交</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负责。</w:t>
      </w:r>
    </w:p>
    <w:p w14:paraId="628AA235">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验收要求。</w:t>
      </w:r>
    </w:p>
    <w:p w14:paraId="787E7DAE">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6.1成交人应制定严格的项目质量控制及质量保证措施，保证业务档案的整理和数字化工作符合质量要求，并高质量地完成工作任务。</w:t>
      </w:r>
    </w:p>
    <w:p w14:paraId="318F4B09">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6.2</w:t>
      </w:r>
      <w:r>
        <w:rPr>
          <w:rFonts w:hint="eastAsia" w:ascii="宋体" w:hAnsi="宋体" w:eastAsia="宋体" w:cs="宋体"/>
          <w:color w:val="auto"/>
          <w:kern w:val="0"/>
          <w:sz w:val="24"/>
          <w:highlight w:val="none"/>
        </w:rPr>
        <w:t>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kern w:val="0"/>
          <w:sz w:val="24"/>
          <w:highlight w:val="none"/>
        </w:rPr>
        <w:t>必须建立严格的质量检测体系，对加工完成的业务档案必须逐卷（册）全面自检，自检达到质量标准要求的，才能递交验收。</w:t>
      </w:r>
    </w:p>
    <w:p w14:paraId="01B033BB">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6.3验收时间</w:t>
      </w:r>
    </w:p>
    <w:p w14:paraId="5BFF0578">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①杭州市医疗保障局萧山分局方对分批递交加工的业务档案进行分批完工验收，成交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kern w:val="0"/>
          <w:sz w:val="24"/>
          <w:highlight w:val="none"/>
          <w:lang w:val="en-US" w:eastAsia="zh-CN"/>
        </w:rPr>
        <w:t>应在自检合格后，备齐相应的项目文档和接收单向杭州市医疗保障局萧山分局方提交验收。杭州市医疗保障局萧山分局方应在收到上述文件后及时完成验收，并根据验收结果作出批次验收结论。</w:t>
      </w:r>
    </w:p>
    <w:p w14:paraId="7EF3FF3B">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②项目全部完成后，成交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kern w:val="0"/>
          <w:sz w:val="24"/>
          <w:highlight w:val="none"/>
          <w:lang w:val="en-US" w:eastAsia="zh-CN"/>
        </w:rPr>
        <w:t>应备齐相应的项目文档、项目总结报告、批次验收单和总体验收申请向成交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kern w:val="0"/>
          <w:sz w:val="24"/>
          <w:highlight w:val="none"/>
          <w:lang w:val="en-US" w:eastAsia="zh-CN"/>
        </w:rPr>
        <w:t>提交项目总体验收。杭州市医疗保障局萧山分局方在收到上述文件后20个工作日内做出总体验收结论。</w:t>
      </w:r>
    </w:p>
    <w:p w14:paraId="59FDF8F9">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③杭州市医疗保障局萧山分局对备齐相应的项目文档、项目总结报告、批次验收单和总体验收申请等进行抽检。</w:t>
      </w:r>
    </w:p>
    <w:p w14:paraId="32F5CAE0">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6.4验收质量标准</w:t>
      </w:r>
    </w:p>
    <w:p w14:paraId="7403A8C9">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ascii="宋体" w:hAnsi="宋体" w:eastAsia="宋体" w:cs="宋体"/>
          <w:color w:val="auto"/>
          <w:sz w:val="24"/>
          <w:szCs w:val="24"/>
          <w:highlight w:val="none"/>
          <w:lang w:val="en-US" w:eastAsia="zh-CN" w:bidi="ar-SA"/>
        </w:rPr>
        <w:t>①</w:t>
      </w:r>
      <w:r>
        <w:rPr>
          <w:rFonts w:hint="eastAsia" w:ascii="宋体" w:hAnsi="宋体" w:eastAsia="宋体" w:cs="宋体"/>
          <w:color w:val="auto"/>
          <w:sz w:val="24"/>
          <w:szCs w:val="24"/>
          <w:highlight w:val="none"/>
          <w:lang w:val="en-US" w:eastAsia="zh-CN" w:bidi="ar-SA"/>
        </w:rPr>
        <w:t>实物验收</w:t>
      </w:r>
    </w:p>
    <w:p w14:paraId="49F7E6FF">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档案实物验收必须逐卷清点，对档案数量、文件状况等进行检查。如发现丢失、损坏、损毁业务档案或档案材料内容；私自圈划、涂改、抽取或伪造档案材料；擅自处理或销毁档案材料等严重违规行为的，该批次将全部发回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bidi="ar-SA"/>
        </w:rPr>
        <w:t>全面自检。对已发现的问题，成交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bidi="ar-SA"/>
        </w:rPr>
        <w:t>须及时采取补救措施，并承担相应责任。杭州市医疗保障局萧山分局方有权解除合同并追究成交方违约责任。</w:t>
      </w:r>
    </w:p>
    <w:p w14:paraId="6DB42305">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ascii="宋体" w:hAnsi="宋体" w:eastAsia="宋体" w:cs="宋体"/>
          <w:color w:val="auto"/>
          <w:sz w:val="24"/>
          <w:szCs w:val="24"/>
          <w:highlight w:val="none"/>
          <w:lang w:val="en-US" w:eastAsia="zh-CN" w:bidi="ar-SA"/>
        </w:rPr>
        <w:t>②</w:t>
      </w:r>
      <w:r>
        <w:rPr>
          <w:rFonts w:hint="eastAsia" w:ascii="宋体" w:hAnsi="宋体" w:eastAsia="宋体" w:cs="宋体"/>
          <w:color w:val="auto"/>
          <w:sz w:val="24"/>
          <w:szCs w:val="24"/>
          <w:highlight w:val="none"/>
          <w:lang w:val="en-US" w:eastAsia="zh-CN" w:bidi="ar-SA"/>
        </w:rPr>
        <w:t>整理质量验收</w:t>
      </w:r>
    </w:p>
    <w:p w14:paraId="61AFA404">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实物整理质量验收以抽检的方式检查，抽检比例由杭州市医疗保障局萧山分局方确定。如发现档案材料分类错误、排序错误、编目错误、装订不符要求、卷间文件颠倒、档案标识打印与粘贴错误等作为差错，该卷档案的整理质量将被确定为“不合格”。</w:t>
      </w:r>
    </w:p>
    <w:p w14:paraId="72986440">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ascii="宋体" w:hAnsi="宋体" w:eastAsia="宋体" w:cs="宋体"/>
          <w:color w:val="auto"/>
          <w:sz w:val="24"/>
          <w:szCs w:val="24"/>
          <w:highlight w:val="none"/>
          <w:lang w:val="en-US" w:eastAsia="zh-CN" w:bidi="ar-SA"/>
        </w:rPr>
        <w:t>③</w:t>
      </w:r>
      <w:r>
        <w:rPr>
          <w:rFonts w:hint="eastAsia" w:ascii="宋体" w:hAnsi="宋体" w:eastAsia="宋体" w:cs="宋体"/>
          <w:color w:val="auto"/>
          <w:sz w:val="24"/>
          <w:szCs w:val="24"/>
          <w:highlight w:val="none"/>
          <w:lang w:val="en-US" w:eastAsia="zh-CN" w:bidi="ar-SA"/>
        </w:rPr>
        <w:t>数字化加工质量验收</w:t>
      </w:r>
    </w:p>
    <w:p w14:paraId="4D7B2348">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等情况，该卷档案的数字化加工质量将被确定为“不合格”。</w:t>
      </w:r>
    </w:p>
    <w:p w14:paraId="78F5C01B">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④每批次质量验收合格率98%及以上，该批次质量验收结论将确定为“通过”，未达到的，该批次质量验收结论将确定为“不通过”。</w:t>
      </w:r>
    </w:p>
    <w:p w14:paraId="531E859F">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⑤在质量抽检中被确定为“不合格”的服务产品或在验收中发现有其他存在问题，成交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bidi="ar-SA"/>
        </w:rPr>
        <w:t>应及时、无偿地予以纠正并再次提交杭州市医疗保障局萧山分局方验收，直至更正全部错误。</w:t>
      </w:r>
    </w:p>
    <w:p w14:paraId="425AD36F">
      <w:pPr>
        <w:spacing w:after="120"/>
        <w:ind w:firstLine="42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fldChar w:fldCharType="begin"/>
      </w:r>
      <w:r>
        <w:rPr>
          <w:rFonts w:hint="eastAsia" w:ascii="宋体" w:hAnsi="宋体" w:eastAsia="宋体" w:cs="宋体"/>
          <w:color w:val="auto"/>
          <w:sz w:val="24"/>
          <w:szCs w:val="20"/>
          <w:highlight w:val="none"/>
          <w:lang w:val="en-US" w:eastAsia="zh-CN" w:bidi="ar-SA"/>
        </w:rPr>
        <w:instrText xml:space="preserve"> = 6 \* GB3 \* MERGEFORMAT </w:instrText>
      </w:r>
      <w:r>
        <w:rPr>
          <w:rFonts w:hint="eastAsia" w:ascii="宋体" w:hAnsi="宋体" w:eastAsia="宋体" w:cs="宋体"/>
          <w:color w:val="auto"/>
          <w:sz w:val="24"/>
          <w:szCs w:val="20"/>
          <w:highlight w:val="none"/>
          <w:lang w:val="en-US" w:eastAsia="zh-CN" w:bidi="ar-SA"/>
        </w:rPr>
        <w:fldChar w:fldCharType="separate"/>
      </w:r>
      <w:r>
        <w:rPr>
          <w:rFonts w:hint="eastAsia" w:ascii="宋体" w:hAnsi="宋体" w:eastAsia="宋体" w:cs="宋体"/>
          <w:color w:val="auto"/>
          <w:sz w:val="24"/>
          <w:szCs w:val="20"/>
          <w:highlight w:val="none"/>
          <w:lang w:val="en-US" w:eastAsia="zh-CN" w:bidi="ar-SA"/>
        </w:rPr>
        <w:t>⑥</w:t>
      </w:r>
      <w:r>
        <w:rPr>
          <w:rFonts w:hint="eastAsia" w:ascii="宋体" w:hAnsi="宋体" w:eastAsia="宋体" w:cs="宋体"/>
          <w:color w:val="auto"/>
          <w:sz w:val="24"/>
          <w:szCs w:val="20"/>
          <w:highlight w:val="none"/>
          <w:lang w:val="en-US" w:eastAsia="zh-CN" w:bidi="ar-SA"/>
        </w:rPr>
        <w:fldChar w:fldCharType="end"/>
      </w:r>
      <w:r>
        <w:rPr>
          <w:rFonts w:hint="eastAsia" w:ascii="宋体" w:hAnsi="宋体" w:eastAsia="宋体" w:cs="宋体"/>
          <w:color w:val="auto"/>
          <w:sz w:val="24"/>
          <w:szCs w:val="20"/>
          <w:highlight w:val="none"/>
          <w:lang w:val="en-US" w:eastAsia="zh-CN" w:bidi="ar-SA"/>
        </w:rPr>
        <w:t>档案数字化质量验收表</w:t>
      </w:r>
    </w:p>
    <w:tbl>
      <w:tblPr>
        <w:tblStyle w:val="65"/>
        <w:tblW w:w="895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5308"/>
        <w:gridCol w:w="2227"/>
      </w:tblGrid>
      <w:tr w14:paraId="45FF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53" w:type="dxa"/>
            <w:gridSpan w:val="3"/>
            <w:tcBorders>
              <w:top w:val="single" w:color="auto" w:sz="4" w:space="0"/>
              <w:left w:val="single" w:color="auto" w:sz="4" w:space="0"/>
              <w:bottom w:val="single" w:color="auto" w:sz="4" w:space="0"/>
              <w:right w:val="single" w:color="auto" w:sz="4" w:space="0"/>
            </w:tcBorders>
            <w:vAlign w:val="center"/>
          </w:tcPr>
          <w:p w14:paraId="323A7F9C">
            <w:pPr>
              <w:spacing w:after="0"/>
              <w:ind w:left="0"/>
              <w:contextualSpacing/>
              <w:jc w:val="center"/>
              <w:rPr>
                <w:rFonts w:hint="eastAsia" w:ascii="宋体" w:hAnsi="宋体" w:eastAsia="宋体" w:cs="宋体"/>
                <w:b/>
                <w:color w:val="auto"/>
                <w:sz w:val="28"/>
                <w:szCs w:val="28"/>
                <w:highlight w:val="none"/>
                <w:lang w:val="en-US" w:eastAsia="zh-CN" w:bidi="ar-SA"/>
              </w:rPr>
            </w:pPr>
            <w:r>
              <w:rPr>
                <w:rFonts w:hint="eastAsia" w:ascii="宋体" w:hAnsi="宋体" w:eastAsia="宋体" w:cs="宋体"/>
                <w:b/>
                <w:color w:val="auto"/>
                <w:sz w:val="36"/>
                <w:szCs w:val="36"/>
                <w:highlight w:val="none"/>
                <w:lang w:val="en-US" w:eastAsia="zh-CN" w:bidi="ar-SA"/>
              </w:rPr>
              <w:t>档案数字化项目质量验收表</w:t>
            </w:r>
          </w:p>
        </w:tc>
      </w:tr>
      <w:tr w14:paraId="3D8E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18" w:type="dxa"/>
            <w:tcBorders>
              <w:top w:val="single" w:color="auto" w:sz="4" w:space="0"/>
              <w:left w:val="single" w:color="auto" w:sz="4" w:space="0"/>
              <w:bottom w:val="single" w:color="auto" w:sz="4" w:space="0"/>
              <w:right w:val="single" w:color="auto" w:sz="4" w:space="0"/>
            </w:tcBorders>
            <w:vAlign w:val="center"/>
          </w:tcPr>
          <w:p w14:paraId="00C8D17F">
            <w:pPr>
              <w:spacing w:after="0" w:line="360" w:lineRule="auto"/>
              <w:ind w:left="0"/>
              <w:contextualSpacing/>
              <w:jc w:val="center"/>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验收项目</w:t>
            </w:r>
          </w:p>
        </w:tc>
        <w:tc>
          <w:tcPr>
            <w:tcW w:w="5308" w:type="dxa"/>
            <w:tcBorders>
              <w:top w:val="single" w:color="auto" w:sz="4" w:space="0"/>
              <w:left w:val="single" w:color="auto" w:sz="4" w:space="0"/>
              <w:bottom w:val="single" w:color="auto" w:sz="4" w:space="0"/>
              <w:right w:val="single" w:color="auto" w:sz="4" w:space="0"/>
            </w:tcBorders>
            <w:vAlign w:val="center"/>
          </w:tcPr>
          <w:p w14:paraId="63533F83">
            <w:pPr>
              <w:spacing w:after="0" w:line="360" w:lineRule="auto"/>
              <w:ind w:left="0"/>
              <w:contextualSpacing/>
              <w:jc w:val="center"/>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验收成果</w:t>
            </w:r>
          </w:p>
        </w:tc>
        <w:tc>
          <w:tcPr>
            <w:tcW w:w="2227" w:type="dxa"/>
            <w:tcBorders>
              <w:top w:val="single" w:color="auto" w:sz="4" w:space="0"/>
              <w:left w:val="single" w:color="auto" w:sz="4" w:space="0"/>
              <w:bottom w:val="single" w:color="auto" w:sz="4" w:space="0"/>
              <w:right w:val="single" w:color="auto" w:sz="4" w:space="0"/>
            </w:tcBorders>
            <w:vAlign w:val="center"/>
          </w:tcPr>
          <w:p w14:paraId="16675990">
            <w:pPr>
              <w:spacing w:after="0" w:line="360" w:lineRule="auto"/>
              <w:ind w:left="0"/>
              <w:contextualSpacing/>
              <w:jc w:val="center"/>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验收情况</w:t>
            </w:r>
          </w:p>
        </w:tc>
      </w:tr>
      <w:tr w14:paraId="3CB5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14:paraId="108DAFD2">
            <w:pPr>
              <w:spacing w:after="200" w:line="360" w:lineRule="auto"/>
              <w:ind w:left="0"/>
              <w:contextualSpacing/>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档案整理</w:t>
            </w:r>
          </w:p>
        </w:tc>
        <w:tc>
          <w:tcPr>
            <w:tcW w:w="5308" w:type="dxa"/>
            <w:tcBorders>
              <w:top w:val="single" w:color="auto" w:sz="4" w:space="0"/>
              <w:left w:val="single" w:color="auto" w:sz="4" w:space="0"/>
              <w:bottom w:val="single" w:color="auto" w:sz="4" w:space="0"/>
              <w:right w:val="single" w:color="auto" w:sz="4" w:space="0"/>
            </w:tcBorders>
            <w:vAlign w:val="center"/>
          </w:tcPr>
          <w:p w14:paraId="4B4E3440">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整理验收标准：</w:t>
            </w:r>
          </w:p>
          <w:p w14:paraId="6C1CBFE4">
            <w:pPr>
              <w:spacing w:after="0" w:line="280" w:lineRule="exact"/>
              <w:ind w:left="0"/>
              <w:contextualSpacing/>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1、整理排序：符合实施方案整理要求，排序合理；</w:t>
            </w:r>
          </w:p>
          <w:p w14:paraId="2FFF760C">
            <w:pPr>
              <w:spacing w:after="0" w:line="280" w:lineRule="exact"/>
              <w:ind w:left="0"/>
              <w:contextualSpacing/>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2、页码编制：页码正确，无漏编，错编</w:t>
            </w:r>
          </w:p>
          <w:p w14:paraId="47EFDD0C">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合格率标准：以上所有合格率各自达到98%及以上</w:t>
            </w:r>
          </w:p>
          <w:p w14:paraId="6385C78B">
            <w:pPr>
              <w:widowControl/>
              <w:adjustRightInd/>
              <w:spacing w:after="0" w:line="280" w:lineRule="exact"/>
              <w:jc w:val="left"/>
              <w:rPr>
                <w:rFonts w:hint="eastAsia" w:ascii="宋体" w:hAnsi="宋体" w:eastAsia="宋体" w:cs="宋体"/>
                <w:color w:val="auto"/>
                <w:kern w:val="0"/>
                <w:sz w:val="28"/>
                <w:szCs w:val="32"/>
                <w:highlight w:val="none"/>
              </w:rPr>
            </w:pPr>
            <w:r>
              <w:rPr>
                <w:rFonts w:hint="eastAsia" w:ascii="宋体" w:hAnsi="宋体" w:eastAsia="宋体" w:cs="宋体"/>
                <w:bCs/>
                <w:color w:val="auto"/>
                <w:kern w:val="0"/>
                <w:sz w:val="24"/>
                <w:szCs w:val="20"/>
                <w:highlight w:val="none"/>
              </w:rPr>
              <w:t>抽检率：10%</w:t>
            </w:r>
          </w:p>
        </w:tc>
        <w:tc>
          <w:tcPr>
            <w:tcW w:w="2227" w:type="dxa"/>
            <w:tcBorders>
              <w:top w:val="single" w:color="auto" w:sz="4" w:space="0"/>
              <w:left w:val="single" w:color="auto" w:sz="4" w:space="0"/>
              <w:bottom w:val="single" w:color="auto" w:sz="4" w:space="0"/>
              <w:right w:val="single" w:color="auto" w:sz="4" w:space="0"/>
            </w:tcBorders>
            <w:vAlign w:val="center"/>
          </w:tcPr>
          <w:p w14:paraId="32A83495">
            <w:pPr>
              <w:spacing w:after="200" w:line="360" w:lineRule="auto"/>
              <w:ind w:left="0"/>
              <w:contextualSpacing/>
              <w:jc w:val="both"/>
              <w:rPr>
                <w:rFonts w:hint="eastAsia" w:ascii="宋体" w:hAnsi="宋体" w:eastAsia="宋体" w:cs="宋体"/>
                <w:color w:val="auto"/>
                <w:sz w:val="28"/>
                <w:szCs w:val="32"/>
                <w:highlight w:val="none"/>
                <w:lang w:val="en-US" w:eastAsia="zh-CN" w:bidi="ar-SA"/>
              </w:rPr>
            </w:pPr>
            <w:r>
              <w:rPr>
                <w:rFonts w:hint="eastAsia" w:ascii="宋体" w:hAnsi="宋体" w:eastAsia="宋体" w:cs="宋体"/>
                <w:bCs/>
                <w:color w:val="auto"/>
                <w:sz w:val="24"/>
                <w:szCs w:val="20"/>
                <w:highlight w:val="none"/>
                <w:lang w:val="en-US" w:eastAsia="zh-CN" w:bidi="ar-SA"/>
              </w:rPr>
              <w:t>□合格 □不合格</w:t>
            </w:r>
          </w:p>
        </w:tc>
      </w:tr>
      <w:tr w14:paraId="06FC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14:paraId="67B1AC36">
            <w:pPr>
              <w:spacing w:after="200" w:line="360" w:lineRule="auto"/>
              <w:ind w:left="0"/>
              <w:contextualSpacing/>
              <w:jc w:val="center"/>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档案图片</w:t>
            </w:r>
          </w:p>
        </w:tc>
        <w:tc>
          <w:tcPr>
            <w:tcW w:w="5308" w:type="dxa"/>
            <w:tcBorders>
              <w:top w:val="single" w:color="auto" w:sz="4" w:space="0"/>
              <w:left w:val="single" w:color="auto" w:sz="4" w:space="0"/>
              <w:bottom w:val="single" w:color="auto" w:sz="4" w:space="0"/>
              <w:right w:val="single" w:color="auto" w:sz="4" w:space="0"/>
            </w:tcBorders>
            <w:vAlign w:val="center"/>
          </w:tcPr>
          <w:p w14:paraId="25EB8271">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图像验收标准：</w:t>
            </w:r>
          </w:p>
          <w:p w14:paraId="5C1B81BB">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1、图像格式：彩色JPG格式</w:t>
            </w:r>
          </w:p>
          <w:p w14:paraId="1CC2A18F">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2、扫描分辨率：≥300dpi</w:t>
            </w:r>
          </w:p>
          <w:p w14:paraId="48319E48">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3、漏扫：漏扫率不高于1‰</w:t>
            </w:r>
          </w:p>
          <w:p w14:paraId="139D53BF">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4、倾斜度：不大于1度</w:t>
            </w:r>
          </w:p>
          <w:p w14:paraId="59502220">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5、无黑边</w:t>
            </w:r>
          </w:p>
          <w:p w14:paraId="2513B871">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6、装订孔、污点：页面有效内容之内的可不去除，保证档案原件的一致性</w:t>
            </w:r>
          </w:p>
          <w:p w14:paraId="28B6BD1F">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合格率标准：以上所有合格率各自达到98%及以上</w:t>
            </w:r>
          </w:p>
          <w:p w14:paraId="609A8F5B">
            <w:pPr>
              <w:widowControl/>
              <w:adjustRightInd/>
              <w:spacing w:after="0" w:line="280" w:lineRule="exact"/>
              <w:jc w:val="left"/>
              <w:rPr>
                <w:rFonts w:hint="eastAsia" w:ascii="宋体" w:hAnsi="宋体" w:eastAsia="宋体" w:cs="宋体"/>
                <w:color w:val="auto"/>
                <w:kern w:val="0"/>
                <w:sz w:val="28"/>
                <w:szCs w:val="32"/>
                <w:highlight w:val="none"/>
              </w:rPr>
            </w:pPr>
            <w:r>
              <w:rPr>
                <w:rFonts w:hint="eastAsia" w:ascii="宋体" w:hAnsi="宋体" w:eastAsia="宋体" w:cs="宋体"/>
                <w:bCs/>
                <w:color w:val="auto"/>
                <w:kern w:val="0"/>
                <w:sz w:val="24"/>
                <w:szCs w:val="20"/>
                <w:highlight w:val="none"/>
              </w:rPr>
              <w:t>抽检率：10%</w:t>
            </w:r>
          </w:p>
        </w:tc>
        <w:tc>
          <w:tcPr>
            <w:tcW w:w="2227" w:type="dxa"/>
            <w:tcBorders>
              <w:top w:val="single" w:color="auto" w:sz="4" w:space="0"/>
              <w:left w:val="single" w:color="auto" w:sz="4" w:space="0"/>
              <w:bottom w:val="single" w:color="auto" w:sz="4" w:space="0"/>
              <w:right w:val="single" w:color="auto" w:sz="4" w:space="0"/>
            </w:tcBorders>
            <w:vAlign w:val="center"/>
          </w:tcPr>
          <w:p w14:paraId="43C626DD">
            <w:pPr>
              <w:spacing w:after="200" w:line="360" w:lineRule="auto"/>
              <w:ind w:left="0"/>
              <w:contextualSpacing/>
              <w:jc w:val="both"/>
              <w:rPr>
                <w:rFonts w:hint="eastAsia" w:ascii="宋体" w:hAnsi="宋体" w:eastAsia="宋体" w:cs="宋体"/>
                <w:color w:val="auto"/>
                <w:sz w:val="28"/>
                <w:szCs w:val="32"/>
                <w:highlight w:val="none"/>
                <w:lang w:val="en-US" w:eastAsia="zh-CN" w:bidi="ar-SA"/>
              </w:rPr>
            </w:pPr>
            <w:r>
              <w:rPr>
                <w:rFonts w:hint="eastAsia" w:ascii="宋体" w:hAnsi="宋体" w:eastAsia="宋体" w:cs="宋体"/>
                <w:bCs/>
                <w:color w:val="auto"/>
                <w:sz w:val="24"/>
                <w:szCs w:val="20"/>
                <w:highlight w:val="none"/>
                <w:lang w:val="en-US" w:eastAsia="zh-CN" w:bidi="ar-SA"/>
              </w:rPr>
              <w:t>□合格 □不合格</w:t>
            </w:r>
          </w:p>
        </w:tc>
      </w:tr>
      <w:tr w14:paraId="4EB3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418" w:type="dxa"/>
            <w:tcBorders>
              <w:top w:val="single" w:color="auto" w:sz="4" w:space="0"/>
              <w:left w:val="single" w:color="auto" w:sz="4" w:space="0"/>
              <w:bottom w:val="single" w:color="auto" w:sz="4" w:space="0"/>
              <w:right w:val="single" w:color="auto" w:sz="4" w:space="0"/>
            </w:tcBorders>
            <w:vAlign w:val="center"/>
          </w:tcPr>
          <w:p w14:paraId="116E3BF7">
            <w:pPr>
              <w:spacing w:after="200" w:line="360" w:lineRule="auto"/>
              <w:ind w:left="0"/>
              <w:contextualSpacing/>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条目著录</w:t>
            </w:r>
          </w:p>
        </w:tc>
        <w:tc>
          <w:tcPr>
            <w:tcW w:w="5308" w:type="dxa"/>
            <w:tcBorders>
              <w:top w:val="single" w:color="auto" w:sz="4" w:space="0"/>
              <w:left w:val="single" w:color="auto" w:sz="4" w:space="0"/>
              <w:bottom w:val="single" w:color="auto" w:sz="4" w:space="0"/>
              <w:right w:val="single" w:color="auto" w:sz="4" w:space="0"/>
            </w:tcBorders>
            <w:vAlign w:val="center"/>
          </w:tcPr>
          <w:p w14:paraId="71CF1952">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条目数据验收标准：</w:t>
            </w:r>
          </w:p>
          <w:p w14:paraId="02F2B6EE">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1、姓名、身份证等信息无错录</w:t>
            </w:r>
          </w:p>
          <w:p w14:paraId="57FD317A">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2、无错字</w:t>
            </w:r>
          </w:p>
          <w:p w14:paraId="4540B2C3">
            <w:pPr>
              <w:widowControl/>
              <w:adjustRightInd/>
              <w:spacing w:after="0" w:line="280" w:lineRule="exact"/>
              <w:jc w:val="left"/>
              <w:rPr>
                <w:rFonts w:hint="eastAsia" w:ascii="宋体" w:hAnsi="宋体" w:eastAsia="宋体" w:cs="宋体"/>
                <w:color w:val="auto"/>
                <w:kern w:val="0"/>
                <w:sz w:val="28"/>
                <w:szCs w:val="32"/>
                <w:highlight w:val="none"/>
              </w:rPr>
            </w:pPr>
            <w:r>
              <w:rPr>
                <w:rFonts w:hint="eastAsia" w:ascii="宋体" w:hAnsi="宋体" w:eastAsia="宋体" w:cs="宋体"/>
                <w:bCs/>
                <w:color w:val="auto"/>
                <w:kern w:val="0"/>
                <w:sz w:val="24"/>
                <w:szCs w:val="20"/>
                <w:highlight w:val="none"/>
              </w:rPr>
              <w:t>合格率标准：字段准确率达到98%及以上</w:t>
            </w:r>
          </w:p>
        </w:tc>
        <w:tc>
          <w:tcPr>
            <w:tcW w:w="2227" w:type="dxa"/>
            <w:tcBorders>
              <w:top w:val="single" w:color="auto" w:sz="4" w:space="0"/>
              <w:left w:val="single" w:color="auto" w:sz="4" w:space="0"/>
              <w:bottom w:val="single" w:color="auto" w:sz="4" w:space="0"/>
              <w:right w:val="single" w:color="auto" w:sz="4" w:space="0"/>
            </w:tcBorders>
            <w:vAlign w:val="center"/>
          </w:tcPr>
          <w:p w14:paraId="3D99CD51">
            <w:pPr>
              <w:spacing w:after="200" w:line="360" w:lineRule="auto"/>
              <w:ind w:left="0"/>
              <w:contextualSpacing/>
              <w:jc w:val="both"/>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□合格 □不合格</w:t>
            </w:r>
          </w:p>
        </w:tc>
      </w:tr>
      <w:tr w14:paraId="1A5F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418" w:type="dxa"/>
            <w:tcBorders>
              <w:top w:val="single" w:color="auto" w:sz="4" w:space="0"/>
              <w:left w:val="single" w:color="auto" w:sz="4" w:space="0"/>
              <w:bottom w:val="single" w:color="auto" w:sz="4" w:space="0"/>
              <w:right w:val="single" w:color="auto" w:sz="4" w:space="0"/>
            </w:tcBorders>
            <w:vAlign w:val="center"/>
          </w:tcPr>
          <w:p w14:paraId="44EAA493">
            <w:pPr>
              <w:spacing w:after="200" w:line="360" w:lineRule="auto"/>
              <w:ind w:left="0"/>
              <w:contextualSpacing/>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档案装订</w:t>
            </w:r>
          </w:p>
        </w:tc>
        <w:tc>
          <w:tcPr>
            <w:tcW w:w="5308" w:type="dxa"/>
            <w:tcBorders>
              <w:top w:val="single" w:color="auto" w:sz="4" w:space="0"/>
              <w:left w:val="single" w:color="auto" w:sz="4" w:space="0"/>
              <w:bottom w:val="single" w:color="auto" w:sz="4" w:space="0"/>
              <w:right w:val="single" w:color="auto" w:sz="4" w:space="0"/>
            </w:tcBorders>
          </w:tcPr>
          <w:p w14:paraId="7F46C5A6">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实体档案验收标准：</w:t>
            </w:r>
          </w:p>
          <w:p w14:paraId="324E840F">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1、装订质量：案卷内容无缺失、错页、倒页、掉页</w:t>
            </w:r>
          </w:p>
          <w:p w14:paraId="65177676">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2、内容完整：无遗失、损毁</w:t>
            </w:r>
          </w:p>
          <w:p w14:paraId="44101520">
            <w:pPr>
              <w:widowControl/>
              <w:adjustRightInd/>
              <w:spacing w:after="0" w:line="280" w:lineRule="exact"/>
              <w:jc w:val="left"/>
              <w:rPr>
                <w:rFonts w:hint="eastAsia"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合格率标准：</w:t>
            </w:r>
            <w:r>
              <w:rPr>
                <w:rFonts w:hint="eastAsia" w:ascii="宋体" w:hAnsi="宋体" w:eastAsia="宋体" w:cs="宋体"/>
                <w:color w:val="auto"/>
                <w:kern w:val="0"/>
                <w:sz w:val="24"/>
                <w:szCs w:val="20"/>
                <w:highlight w:val="none"/>
              </w:rPr>
              <w:t>合格率达到98%及以上</w:t>
            </w:r>
          </w:p>
          <w:p w14:paraId="27DCD2DA">
            <w:pPr>
              <w:spacing w:after="0" w:line="280" w:lineRule="exact"/>
              <w:ind w:left="0"/>
              <w:contextualSpacing/>
              <w:rPr>
                <w:rFonts w:hint="eastAsia" w:ascii="宋体" w:hAnsi="宋体" w:eastAsia="宋体" w:cs="宋体"/>
                <w:color w:val="auto"/>
                <w:sz w:val="28"/>
                <w:szCs w:val="32"/>
                <w:highlight w:val="none"/>
                <w:lang w:val="en-US" w:eastAsia="zh-CN" w:bidi="ar-SA"/>
              </w:rPr>
            </w:pPr>
            <w:r>
              <w:rPr>
                <w:rFonts w:hint="eastAsia" w:ascii="宋体" w:hAnsi="宋体" w:eastAsia="宋体" w:cs="宋体"/>
                <w:bCs/>
                <w:color w:val="auto"/>
                <w:sz w:val="24"/>
                <w:szCs w:val="20"/>
                <w:highlight w:val="none"/>
                <w:lang w:val="en-US" w:eastAsia="zh-CN" w:bidi="ar-SA"/>
              </w:rPr>
              <w:t>抽检率：10%</w:t>
            </w:r>
          </w:p>
        </w:tc>
        <w:tc>
          <w:tcPr>
            <w:tcW w:w="2227" w:type="dxa"/>
            <w:tcBorders>
              <w:top w:val="single" w:color="auto" w:sz="4" w:space="0"/>
              <w:left w:val="single" w:color="auto" w:sz="4" w:space="0"/>
              <w:bottom w:val="single" w:color="auto" w:sz="4" w:space="0"/>
              <w:right w:val="single" w:color="auto" w:sz="4" w:space="0"/>
            </w:tcBorders>
            <w:vAlign w:val="center"/>
          </w:tcPr>
          <w:p w14:paraId="78B8E418">
            <w:pPr>
              <w:spacing w:after="200" w:line="360" w:lineRule="auto"/>
              <w:ind w:left="0"/>
              <w:contextualSpacing/>
              <w:jc w:val="both"/>
              <w:rPr>
                <w:rFonts w:hint="eastAsia" w:ascii="宋体" w:hAnsi="宋体" w:eastAsia="宋体" w:cs="宋体"/>
                <w:color w:val="auto"/>
                <w:sz w:val="28"/>
                <w:szCs w:val="32"/>
                <w:highlight w:val="none"/>
                <w:lang w:val="en-US" w:eastAsia="zh-CN" w:bidi="ar-SA"/>
              </w:rPr>
            </w:pPr>
            <w:r>
              <w:rPr>
                <w:rFonts w:hint="eastAsia" w:ascii="宋体" w:hAnsi="宋体" w:eastAsia="宋体" w:cs="宋体"/>
                <w:bCs/>
                <w:color w:val="auto"/>
                <w:sz w:val="24"/>
                <w:szCs w:val="20"/>
                <w:highlight w:val="none"/>
                <w:lang w:val="en-US" w:eastAsia="zh-CN" w:bidi="ar-SA"/>
              </w:rPr>
              <w:t>□合格 □不合格</w:t>
            </w:r>
          </w:p>
        </w:tc>
      </w:tr>
      <w:tr w14:paraId="4D43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3" w:type="dxa"/>
            <w:gridSpan w:val="3"/>
            <w:tcBorders>
              <w:top w:val="single" w:color="auto" w:sz="4" w:space="0"/>
              <w:left w:val="single" w:color="auto" w:sz="4" w:space="0"/>
              <w:bottom w:val="single" w:color="auto" w:sz="4" w:space="0"/>
              <w:right w:val="single" w:color="auto" w:sz="4" w:space="0"/>
            </w:tcBorders>
            <w:vAlign w:val="center"/>
          </w:tcPr>
          <w:p w14:paraId="42906A61">
            <w:pPr>
              <w:spacing w:after="200" w:line="360" w:lineRule="auto"/>
              <w:contextualSpacing/>
              <w:rPr>
                <w:rFonts w:hint="eastAsia" w:ascii="宋体" w:hAnsi="宋体" w:eastAsia="宋体" w:cs="宋体"/>
                <w:color w:val="auto"/>
                <w:sz w:val="28"/>
                <w:szCs w:val="32"/>
                <w:highlight w:val="none"/>
                <w:lang w:val="en-US" w:eastAsia="zh-CN" w:bidi="ar-SA"/>
              </w:rPr>
            </w:pPr>
            <w:r>
              <w:rPr>
                <w:rFonts w:hint="eastAsia" w:ascii="宋体" w:hAnsi="宋体" w:eastAsia="宋体" w:cs="宋体"/>
                <w:bCs/>
                <w:color w:val="auto"/>
                <w:sz w:val="24"/>
                <w:szCs w:val="24"/>
                <w:highlight w:val="none"/>
                <w:lang w:val="en-US" w:eastAsia="zh-CN" w:bidi="ar-SA"/>
              </w:rPr>
              <w:t>验收意见</w:t>
            </w:r>
            <w:r>
              <w:rPr>
                <w:rFonts w:hint="eastAsia" w:ascii="宋体" w:hAnsi="宋体" w:eastAsia="宋体" w:cs="宋体"/>
                <w:color w:val="auto"/>
                <w:sz w:val="24"/>
                <w:szCs w:val="24"/>
                <w:highlight w:val="none"/>
                <w:lang w:val="en-US" w:eastAsia="zh-CN" w:bidi="ar-SA"/>
              </w:rPr>
              <w:t>：</w:t>
            </w:r>
          </w:p>
          <w:p w14:paraId="5B5C85F3">
            <w:pPr>
              <w:spacing w:after="200" w:line="360" w:lineRule="auto"/>
              <w:contextualSpacing/>
              <w:rPr>
                <w:rFonts w:hint="eastAsia" w:ascii="宋体" w:hAnsi="宋体" w:eastAsia="宋体" w:cs="宋体"/>
                <w:color w:val="auto"/>
                <w:sz w:val="28"/>
                <w:szCs w:val="32"/>
                <w:highlight w:val="none"/>
                <w:lang w:val="en-US" w:eastAsia="zh-CN" w:bidi="ar-SA"/>
              </w:rPr>
            </w:pPr>
            <w:r>
              <w:rPr>
                <w:rFonts w:hint="eastAsia" w:ascii="宋体" w:hAnsi="宋体" w:eastAsia="宋体" w:cs="宋体"/>
                <w:bCs/>
                <w:color w:val="auto"/>
                <w:sz w:val="24"/>
                <w:szCs w:val="20"/>
                <w:highlight w:val="none"/>
                <w:lang w:val="en-US" w:eastAsia="zh-CN" w:bidi="ar-SA"/>
              </w:rPr>
              <w:t xml:space="preserve">□合格 </w:t>
            </w:r>
            <w:r>
              <w:rPr>
                <w:rFonts w:hint="eastAsia" w:ascii="宋体" w:hAnsi="宋体" w:eastAsia="宋体" w:cs="宋体"/>
                <w:color w:val="auto"/>
                <w:sz w:val="28"/>
                <w:szCs w:val="32"/>
                <w:highlight w:val="none"/>
                <w:lang w:val="en-US" w:eastAsia="zh-CN" w:bidi="ar-SA"/>
              </w:rPr>
              <w:t xml:space="preserve">                         </w:t>
            </w:r>
            <w:r>
              <w:rPr>
                <w:rFonts w:hint="eastAsia" w:ascii="宋体" w:hAnsi="宋体" w:eastAsia="宋体" w:cs="宋体"/>
                <w:bCs/>
                <w:color w:val="auto"/>
                <w:sz w:val="24"/>
                <w:szCs w:val="20"/>
                <w:highlight w:val="none"/>
                <w:lang w:val="en-US" w:eastAsia="zh-CN" w:bidi="ar-SA"/>
              </w:rPr>
              <w:t>☑不合格</w:t>
            </w:r>
          </w:p>
          <w:p w14:paraId="51B8933A">
            <w:pPr>
              <w:widowControl/>
              <w:adjustRightInd/>
              <w:spacing w:after="200" w:line="360" w:lineRule="auto"/>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甲方验收小组成员：</w:t>
            </w:r>
          </w:p>
          <w:p w14:paraId="6646A34C">
            <w:pPr>
              <w:widowControl/>
              <w:adjustRightInd/>
              <w:spacing w:after="200" w:line="360" w:lineRule="auto"/>
              <w:jc w:val="left"/>
              <w:rPr>
                <w:rFonts w:hint="eastAsia" w:ascii="宋体" w:hAnsi="宋体" w:eastAsia="宋体" w:cs="宋体"/>
                <w:color w:val="auto"/>
                <w:kern w:val="0"/>
                <w:sz w:val="28"/>
                <w:szCs w:val="32"/>
                <w:highlight w:val="none"/>
              </w:rPr>
            </w:pPr>
            <w:r>
              <w:rPr>
                <w:rFonts w:hint="eastAsia" w:ascii="宋体" w:hAnsi="宋体" w:eastAsia="宋体" w:cs="宋体"/>
                <w:bCs/>
                <w:color w:val="auto"/>
                <w:kern w:val="0"/>
                <w:sz w:val="24"/>
                <w:highlight w:val="none"/>
              </w:rPr>
              <w:t>甲方负责人签字：                        日期：</w:t>
            </w:r>
          </w:p>
        </w:tc>
      </w:tr>
    </w:tbl>
    <w:p w14:paraId="45EB8FFD">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总体验收抽检比例由杭州市医疗保障局萧山分局方视实际情况确定。</w:t>
      </w:r>
    </w:p>
    <w:p w14:paraId="10610771">
      <w:pPr>
        <w:spacing w:after="0" w:line="360" w:lineRule="auto"/>
        <w:ind w:right="73" w:rightChars="35"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7）项目过程中所使用过的U盘、移动硬盘等存储设备，扫描加工单位不得留存，应全部交由</w:t>
      </w:r>
      <w:r>
        <w:rPr>
          <w:rFonts w:hint="eastAsia" w:ascii="宋体" w:hAnsi="宋体" w:eastAsia="宋体" w:cs="宋体"/>
          <w:color w:val="auto"/>
          <w:kern w:val="0"/>
          <w:sz w:val="24"/>
          <w:highlight w:val="none"/>
          <w:lang w:val="en-US" w:eastAsia="zh-CN"/>
        </w:rPr>
        <w:t>交易发起人</w:t>
      </w:r>
      <w:r>
        <w:rPr>
          <w:rFonts w:hint="eastAsia" w:ascii="宋体" w:hAnsi="宋体" w:eastAsia="宋体" w:cs="宋体"/>
          <w:color w:val="auto"/>
          <w:sz w:val="24"/>
          <w:szCs w:val="24"/>
          <w:highlight w:val="none"/>
          <w:lang w:val="en-US" w:eastAsia="zh-CN" w:bidi="ar-SA"/>
        </w:rPr>
        <w:t>保管，其成本由</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bidi="ar-SA"/>
        </w:rPr>
        <w:t>纳入相应报价中。</w:t>
      </w:r>
    </w:p>
    <w:p w14:paraId="2934A24E">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在项目实施过程中，严格遵守国家相关保密与安全法律法规，遵循</w:t>
      </w:r>
      <w:r>
        <w:rPr>
          <w:rFonts w:hint="eastAsia" w:ascii="宋体" w:hAnsi="宋体" w:eastAsia="宋体" w:cs="宋体"/>
          <w:color w:val="auto"/>
          <w:kern w:val="0"/>
          <w:sz w:val="24"/>
          <w:highlight w:val="none"/>
          <w:lang w:val="en-US" w:eastAsia="zh-CN"/>
        </w:rPr>
        <w:t>交易发起人</w:t>
      </w:r>
      <w:r>
        <w:rPr>
          <w:rFonts w:hint="eastAsia" w:ascii="宋体" w:hAnsi="宋体" w:eastAsia="宋体" w:cs="宋体"/>
          <w:color w:val="auto"/>
          <w:kern w:val="0"/>
          <w:sz w:val="24"/>
          <w:highlight w:val="none"/>
        </w:rPr>
        <w:t>各项安全保密制度和规章；</w:t>
      </w:r>
      <w:r>
        <w:rPr>
          <w:rFonts w:hint="eastAsia" w:ascii="宋体" w:hAnsi="宋体" w:eastAsia="宋体" w:cs="宋体"/>
          <w:color w:val="auto"/>
          <w:kern w:val="0"/>
          <w:sz w:val="24"/>
          <w:highlight w:val="none"/>
          <w:lang w:val="en-US" w:eastAsia="zh-CN"/>
        </w:rPr>
        <w:t>交易发起人</w:t>
      </w:r>
      <w:r>
        <w:rPr>
          <w:rFonts w:hint="eastAsia" w:ascii="宋体" w:hAnsi="宋体" w:eastAsia="宋体" w:cs="宋体"/>
          <w:color w:val="auto"/>
          <w:kern w:val="0"/>
          <w:sz w:val="24"/>
          <w:highlight w:val="none"/>
        </w:rPr>
        <w:t>与成交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kern w:val="0"/>
          <w:sz w:val="24"/>
          <w:highlight w:val="none"/>
        </w:rPr>
        <w:t>双方必须签订保密协议。</w:t>
      </w:r>
    </w:p>
    <w:p w14:paraId="2C01F678">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kern w:val="0"/>
          <w:sz w:val="24"/>
          <w:highlight w:val="none"/>
        </w:rPr>
        <w:t>必须与指派的工作人员签订保密协议，要求服务工作人员对工作中涉及到的用户的数据、文件等任何资料进行保密。因工作人员的行为造成泄密等问题由成交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kern w:val="0"/>
          <w:sz w:val="24"/>
          <w:highlight w:val="none"/>
        </w:rPr>
        <w:t>承担相应的责任。</w:t>
      </w:r>
    </w:p>
    <w:p w14:paraId="0A6E72FA">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kern w:val="0"/>
          <w:sz w:val="24"/>
          <w:highlight w:val="none"/>
        </w:rPr>
        <w:t>办公场地需自行安排。</w:t>
      </w:r>
    </w:p>
    <w:p w14:paraId="66FAA6A5">
      <w:pPr>
        <w:widowControl/>
        <w:autoSpaceDE w:val="0"/>
        <w:autoSpaceDN w:val="0"/>
        <w:adjustRightInd/>
        <w:spacing w:after="0"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安全要求</w:t>
      </w:r>
    </w:p>
    <w:p w14:paraId="148901D5">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格遵守《中华人民共和国档案法》、国家省市相关规定及杭州市医疗保障局萧山分局有关规定。项目实施在杭州市医疗保障局萧山分局指定的场所内进行，确保场所正常秩序和安全。不得遗失、损坏档案，如有违法者，将追究法律责任。应做到：</w:t>
      </w:r>
    </w:p>
    <w:p w14:paraId="6144A564">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与项目工作人员签订保密协议，加强对工作人员的保密教育。</w:t>
      </w:r>
    </w:p>
    <w:p w14:paraId="171CC692">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建立严格的保密制度，加强管理，杜绝工作人员对档案及档案信息的私自复制行为。</w:t>
      </w:r>
    </w:p>
    <w:p w14:paraId="2006E57C">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不同的工序之间要采取措施，杜绝泄密事故的发生。</w:t>
      </w:r>
    </w:p>
    <w:p w14:paraId="46E9C14D">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工作场地的安全及保密措施，具备保密设施，保证档案原件的安全和保密。</w:t>
      </w:r>
    </w:p>
    <w:p w14:paraId="425B2EDD">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条目与全文数据验收移交时，工作站上的数据必须在杭州市医疗保障局萧山分局工作人员的现场监督下销毁。</w:t>
      </w:r>
    </w:p>
    <w:p w14:paraId="5563FE8A">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不得在工作场所使用与工作无关的任何电器设备。每天工作人员离开时，应切断场内电器的电源，确保工作场地的安全。如发生意外由成交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kern w:val="0"/>
          <w:sz w:val="24"/>
          <w:highlight w:val="none"/>
        </w:rPr>
        <w:t>负责。</w:t>
      </w:r>
    </w:p>
    <w:p w14:paraId="4B15E2C5">
      <w:pPr>
        <w:widowControl/>
        <w:autoSpaceDE w:val="0"/>
        <w:autoSpaceDN w:val="0"/>
        <w:adjustRightInd/>
        <w:spacing w:after="0" w:line="360" w:lineRule="auto"/>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其他要求</w:t>
      </w:r>
    </w:p>
    <w:p w14:paraId="262116BF">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双方各指定专人做好档案的清点交接工作，并做好移交记录。</w:t>
      </w:r>
    </w:p>
    <w:p w14:paraId="3A0CC614">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要求成交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kern w:val="0"/>
          <w:sz w:val="24"/>
          <w:highlight w:val="none"/>
        </w:rPr>
        <w:t>在签订合同时成立项目组，指定专人为项目负责人负责该项目，并列出具体的项目操作标准及流程、项目实施计划、人员及保证措施。</w:t>
      </w:r>
    </w:p>
    <w:p w14:paraId="7DD115AA">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要求在签定合同后5日内，将有关档案资料进行搬运交接入场，扫描加工软、硬件设备、工作人员等进驻扫描加工场地，并开始整理工作。</w:t>
      </w:r>
    </w:p>
    <w:p w14:paraId="501EE801">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各</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kern w:val="0"/>
          <w:sz w:val="24"/>
          <w:highlight w:val="none"/>
        </w:rPr>
        <w:t>在响应时要特别强调指出所承诺的服务内容，其中包括：免费服务期后的服务方式和费用。服务响应时间、项目完成时间、公司的技术力量、技术服务内容、保密措施和质量水平、免费培训项目等。</w:t>
      </w:r>
    </w:p>
    <w:p w14:paraId="66FF321B">
      <w:pPr>
        <w:widowControl/>
        <w:autoSpaceDE w:val="0"/>
        <w:autoSpaceDN w:val="0"/>
        <w:adjustRightInd/>
        <w:spacing w:after="0"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档案整理的标准</w:t>
      </w:r>
    </w:p>
    <w:p w14:paraId="0FE0AAC3">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以《中华人民共和国档案法》、《国家档案局令（第8 号）》《中华人民共和国人力资源和社会保障部、国家档案局令（第3 号）》、《浙江省社会保障档案管理办法》、《浙江省劳动和社会保障系统档案工作目标管理省级认定办法》《归档文件整理规则》《社会保险业务档案管理规范》《杭州市医疗保险管理服务局档案管理制度》的相关规定、规范为依据，遵循社会医疗保障工作的规律和特点，保持文件材料系统的内在联系进行规范化整理,并便于档案的保管和利用。符合国家及省有关档案工作政策法规的业务档案整理整体方案及策划思路。</w:t>
      </w:r>
    </w:p>
    <w:p w14:paraId="1B44A11F">
      <w:pPr>
        <w:widowControl/>
        <w:autoSpaceDE w:val="0"/>
        <w:autoSpaceDN w:val="0"/>
        <w:adjustRightInd/>
        <w:spacing w:after="0"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专项经费的预算</w:t>
      </w:r>
    </w:p>
    <w:p w14:paraId="58FAF372">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根据杭州市医疗保障局萧山分局的经费预算，用于本次招标项目的专项资金为人民币</w:t>
      </w:r>
      <w:r>
        <w:rPr>
          <w:rFonts w:hint="eastAsia" w:ascii="宋体" w:hAnsi="宋体" w:cs="宋体"/>
          <w:bCs/>
          <w:color w:val="auto"/>
          <w:sz w:val="24"/>
          <w:highlight w:val="none"/>
          <w:lang w:val="en-US" w:eastAsia="zh-CN"/>
        </w:rPr>
        <w:t>22.50万元</w:t>
      </w:r>
      <w:r>
        <w:rPr>
          <w:rFonts w:hint="eastAsia" w:ascii="宋体" w:hAnsi="宋体" w:eastAsia="宋体" w:cs="宋体"/>
          <w:color w:val="auto"/>
          <w:kern w:val="0"/>
          <w:sz w:val="24"/>
          <w:highlight w:val="none"/>
        </w:rPr>
        <w:t>。</w:t>
      </w:r>
    </w:p>
    <w:p w14:paraId="3CEB87FC">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最终按照实际整理量结算。</w:t>
      </w:r>
    </w:p>
    <w:p w14:paraId="33B6EEFC">
      <w:pPr>
        <w:widowControl/>
        <w:autoSpaceDE w:val="0"/>
        <w:autoSpaceDN w:val="0"/>
        <w:adjustRightInd/>
        <w:spacing w:after="0"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验收服务</w:t>
      </w:r>
    </w:p>
    <w:p w14:paraId="4F849A26">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交易文件以及答疑过程中的承诺将成为合同的组成部分，与合同具有同等的法律效力，并作为验收的标准和依据之一。</w:t>
      </w:r>
    </w:p>
    <w:p w14:paraId="32663E0A">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整理好的档案，分批次验收。每次验收合格后由采购方杭州市医疗保障局萧山分局的具体项目负责人在验收合格单上签名认可，并作为总验收的依据。</w:t>
      </w:r>
    </w:p>
    <w:p w14:paraId="1C3C3481">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全部服务完成后，</w:t>
      </w:r>
      <w:r>
        <w:rPr>
          <w:rFonts w:hint="eastAsia" w:ascii="宋体" w:hAnsi="宋体" w:eastAsia="宋体" w:cs="宋体"/>
          <w:color w:val="auto"/>
          <w:kern w:val="0"/>
          <w:sz w:val="24"/>
          <w:highlight w:val="none"/>
          <w:lang w:val="en-US" w:eastAsia="zh-CN"/>
        </w:rPr>
        <w:t>响应人</w:t>
      </w:r>
      <w:r>
        <w:rPr>
          <w:rFonts w:hint="eastAsia" w:ascii="宋体" w:hAnsi="宋体" w:eastAsia="宋体" w:cs="宋体"/>
          <w:color w:val="auto"/>
          <w:kern w:val="0"/>
          <w:sz w:val="24"/>
          <w:highlight w:val="none"/>
        </w:rPr>
        <w:t>和</w:t>
      </w:r>
      <w:r>
        <w:rPr>
          <w:rFonts w:hint="eastAsia" w:ascii="宋体" w:hAnsi="宋体" w:eastAsia="宋体" w:cs="宋体"/>
          <w:color w:val="auto"/>
          <w:kern w:val="0"/>
          <w:sz w:val="24"/>
          <w:highlight w:val="none"/>
          <w:lang w:val="en-US" w:eastAsia="zh-CN"/>
        </w:rPr>
        <w:t>交易发起人</w:t>
      </w:r>
      <w:r>
        <w:rPr>
          <w:rFonts w:hint="eastAsia" w:ascii="宋体" w:hAnsi="宋体" w:eastAsia="宋体" w:cs="宋体"/>
          <w:color w:val="auto"/>
          <w:kern w:val="0"/>
          <w:sz w:val="24"/>
          <w:highlight w:val="none"/>
        </w:rPr>
        <w:t>进行总验收，并填写总验收合格单，由采</w:t>
      </w:r>
      <w:r>
        <w:rPr>
          <w:rFonts w:hint="eastAsia" w:ascii="宋体" w:hAnsi="宋体" w:eastAsia="宋体" w:cs="宋体"/>
          <w:color w:val="auto"/>
          <w:kern w:val="0"/>
          <w:sz w:val="24"/>
          <w:highlight w:val="none"/>
          <w:lang w:val="en-US" w:eastAsia="zh-CN"/>
        </w:rPr>
        <w:t>购方的具体项目负责人签名认定，作为该项目完成依据。</w:t>
      </w:r>
    </w:p>
    <w:p w14:paraId="79E32361">
      <w:pPr>
        <w:widowControl/>
        <w:autoSpaceDE w:val="0"/>
        <w:autoSpaceDN w:val="0"/>
        <w:adjustRightInd/>
        <w:spacing w:after="0" w:line="360" w:lineRule="auto"/>
        <w:jc w:val="left"/>
        <w:rPr>
          <w:rFonts w:hint="eastAsia" w:ascii="宋体" w:hAnsi="宋体" w:eastAsia="宋体" w:cs="宋体"/>
          <w:color w:val="auto"/>
          <w:kern w:val="0"/>
          <w:sz w:val="24"/>
          <w:highlight w:val="none"/>
          <w:lang w:val="en-US" w:eastAsia="zh-CN"/>
        </w:rPr>
      </w:pPr>
    </w:p>
    <w:p w14:paraId="1A9C013C">
      <w:pPr>
        <w:widowControl/>
        <w:autoSpaceDE w:val="0"/>
        <w:autoSpaceDN w:val="0"/>
        <w:adjustRightInd/>
        <w:spacing w:after="0" w:line="360" w:lineRule="auto"/>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（二）商务需求</w:t>
      </w:r>
    </w:p>
    <w:p w14:paraId="143352F8">
      <w:pPr>
        <w:widowControl/>
        <w:autoSpaceDE w:val="0"/>
        <w:autoSpaceDN w:val="0"/>
        <w:adjustRightInd/>
        <w:spacing w:after="0" w:line="360" w:lineRule="auto"/>
        <w:ind w:firstLine="482" w:firstLineChars="200"/>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▲1、项目实施期限：</w:t>
      </w:r>
    </w:p>
    <w:p w14:paraId="62E68147">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合同签订后4个月内完成项目实施。</w:t>
      </w:r>
    </w:p>
    <w:p w14:paraId="06D0D0FE">
      <w:pPr>
        <w:widowControl/>
        <w:autoSpaceDE w:val="0"/>
        <w:autoSpaceDN w:val="0"/>
        <w:adjustRightInd/>
        <w:spacing w:after="0" w:line="360" w:lineRule="auto"/>
        <w:ind w:firstLine="482" w:firstLineChars="200"/>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▲2、支付方式：</w:t>
      </w:r>
    </w:p>
    <w:p w14:paraId="3CF3BDD7">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（1）合同签订后档案交接进场，设备到位，签订进场确认书后，支付成交价的40%的预付款；交易发起人自收到发票后15个工作日内将资金支付到合同约定的乙方账户；</w:t>
      </w:r>
    </w:p>
    <w:p w14:paraId="5DF6D3BF">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（2）整个项目验收通过后，按照实际数量支付剩余款项。交易发起人自收到发票后15个工作日内将资金支付到合同约定的乙方账户。</w:t>
      </w:r>
    </w:p>
    <w:p w14:paraId="22746B35">
      <w:pPr>
        <w:widowControl/>
        <w:autoSpaceDE w:val="0"/>
        <w:autoSpaceDN w:val="0"/>
        <w:adjustRightInd/>
        <w:spacing w:after="0"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（3）因区财政预算下达客观原因导致拨付时间超过交易文件规定时间的，支付时间相应顺延，该等延迟付款不属于交易发起人违约，不得以此要求交易发起人承担违约责任。</w:t>
      </w:r>
    </w:p>
    <w:p w14:paraId="5CB200C6">
      <w:pPr>
        <w:pStyle w:val="775"/>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default" w:ascii="宋体" w:hAnsi="宋体" w:cs="宋体"/>
          <w:color w:val="auto"/>
          <w:kern w:val="2"/>
          <w:sz w:val="24"/>
          <w:szCs w:val="20"/>
          <w:highlight w:val="none"/>
          <w:lang w:val="en-US" w:eastAsia="zh-CN" w:bidi="ar-SA"/>
        </w:rPr>
      </w:pPr>
    </w:p>
    <w:p w14:paraId="6138367A">
      <w:pPr>
        <w:pStyle w:val="775"/>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注：1、打▲内容为实质性要求，不允许有负偏离，否则将以涉及无效交易条款作无效交易。</w:t>
      </w:r>
    </w:p>
    <w:p w14:paraId="117E029D">
      <w:pPr>
        <w:pStyle w:val="775"/>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auto"/>
          <w:kern w:val="2"/>
          <w:sz w:val="24"/>
          <w:szCs w:val="20"/>
          <w:highlight w:val="none"/>
          <w:lang w:val="en-US" w:eastAsia="zh-CN" w:bidi="ar-SA"/>
        </w:rPr>
        <w:sectPr>
          <w:footerReference r:id="rId8" w:type="first"/>
          <w:footerReference r:id="rId7" w:type="default"/>
          <w:pgSz w:w="11906" w:h="16838"/>
          <w:pgMar w:top="1276" w:right="1418" w:bottom="1247" w:left="1418" w:header="851" w:footer="992" w:gutter="0"/>
          <w:pgNumType w:start="2"/>
          <w:cols w:space="720" w:num="1"/>
          <w:docGrid w:linePitch="312" w:charSpace="0"/>
        </w:sectPr>
      </w:pPr>
      <w:r>
        <w:rPr>
          <w:rFonts w:hint="eastAsia" w:ascii="宋体" w:hAnsi="宋体" w:eastAsia="宋体" w:cs="宋体"/>
          <w:color w:val="auto"/>
          <w:kern w:val="2"/>
          <w:sz w:val="24"/>
          <w:szCs w:val="20"/>
          <w:highlight w:val="none"/>
          <w:lang w:val="en-US" w:eastAsia="zh-CN" w:bidi="ar-SA"/>
        </w:rPr>
        <w:t>2、成交人所提供的货物、服务须与响应承诺一致，不得以次充好、偷工减料，若在项目验收中发现有上述情况，将向有关部门举报，根据相关规定进行处理。</w:t>
      </w:r>
    </w:p>
    <w:p w14:paraId="7BCD5836">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7" w:name="_Toc184312088"/>
      <w:bookmarkEnd w:id="17"/>
      <w:bookmarkStart w:id="18" w:name="_Toc184314414"/>
      <w:bookmarkEnd w:id="18"/>
      <w:bookmarkStart w:id="19" w:name="_Toc184312092"/>
      <w:bookmarkEnd w:id="19"/>
      <w:bookmarkStart w:id="20" w:name="_Toc184312104"/>
      <w:bookmarkEnd w:id="20"/>
      <w:bookmarkStart w:id="21" w:name="_Toc184308082"/>
      <w:bookmarkEnd w:id="21"/>
      <w:bookmarkStart w:id="22" w:name="_Toc184312124"/>
      <w:bookmarkEnd w:id="22"/>
      <w:bookmarkStart w:id="23" w:name="_Toc184310337"/>
      <w:bookmarkEnd w:id="23"/>
      <w:bookmarkStart w:id="24" w:name="_Toc184312118"/>
      <w:bookmarkEnd w:id="24"/>
      <w:bookmarkStart w:id="25" w:name="_Toc184310336"/>
      <w:bookmarkEnd w:id="25"/>
      <w:bookmarkStart w:id="26" w:name="_Toc184314452"/>
      <w:bookmarkEnd w:id="26"/>
      <w:bookmarkStart w:id="27" w:name="_Toc184310291"/>
      <w:bookmarkEnd w:id="27"/>
      <w:bookmarkStart w:id="28" w:name="_Toc184313241"/>
      <w:bookmarkEnd w:id="28"/>
      <w:bookmarkStart w:id="29" w:name="_Toc184312135"/>
      <w:bookmarkEnd w:id="29"/>
      <w:bookmarkStart w:id="30" w:name="_Toc184312073"/>
      <w:bookmarkEnd w:id="30"/>
      <w:bookmarkStart w:id="31" w:name="_Toc184313300"/>
      <w:bookmarkEnd w:id="31"/>
      <w:bookmarkStart w:id="32" w:name="_Toc184310292"/>
      <w:bookmarkEnd w:id="32"/>
      <w:bookmarkStart w:id="33" w:name="_Toc184314425"/>
      <w:bookmarkEnd w:id="33"/>
      <w:bookmarkStart w:id="34" w:name="_Toc184314426"/>
      <w:bookmarkEnd w:id="34"/>
      <w:bookmarkStart w:id="35" w:name="_Toc184313290"/>
      <w:bookmarkEnd w:id="35"/>
      <w:bookmarkStart w:id="36" w:name="_Toc184314423"/>
      <w:bookmarkEnd w:id="36"/>
      <w:bookmarkStart w:id="37" w:name="_Toc184314434"/>
      <w:bookmarkEnd w:id="37"/>
      <w:bookmarkStart w:id="38" w:name="_Toc184308100"/>
      <w:bookmarkEnd w:id="38"/>
      <w:bookmarkStart w:id="39" w:name="_Toc184312123"/>
      <w:bookmarkEnd w:id="39"/>
      <w:bookmarkStart w:id="40" w:name="_Toc184308055"/>
      <w:bookmarkEnd w:id="40"/>
      <w:bookmarkStart w:id="41" w:name="_Toc184313281"/>
      <w:bookmarkEnd w:id="41"/>
      <w:bookmarkStart w:id="42" w:name="_Toc184313282"/>
      <w:bookmarkEnd w:id="42"/>
      <w:bookmarkStart w:id="43" w:name="_Toc184310280"/>
      <w:bookmarkEnd w:id="43"/>
      <w:bookmarkStart w:id="44" w:name="_Toc184310311"/>
      <w:bookmarkEnd w:id="44"/>
      <w:bookmarkStart w:id="45" w:name="_Toc184308091"/>
      <w:bookmarkEnd w:id="45"/>
      <w:bookmarkStart w:id="46" w:name="_Toc184310298"/>
      <w:bookmarkEnd w:id="46"/>
      <w:bookmarkStart w:id="47" w:name="_Toc184312071"/>
      <w:bookmarkEnd w:id="47"/>
      <w:bookmarkStart w:id="48" w:name="_Toc184313247"/>
      <w:bookmarkEnd w:id="48"/>
      <w:bookmarkStart w:id="49" w:name="_Toc184310296"/>
      <w:bookmarkEnd w:id="49"/>
      <w:bookmarkStart w:id="50" w:name="_Toc184310308"/>
      <w:bookmarkEnd w:id="50"/>
      <w:bookmarkStart w:id="51" w:name="_Toc184308069"/>
      <w:bookmarkEnd w:id="51"/>
      <w:bookmarkStart w:id="52" w:name="_Toc184314459"/>
      <w:bookmarkEnd w:id="52"/>
      <w:bookmarkStart w:id="53" w:name="_Toc184314436"/>
      <w:bookmarkEnd w:id="53"/>
      <w:bookmarkStart w:id="54" w:name="_Toc184314432"/>
      <w:bookmarkEnd w:id="54"/>
      <w:bookmarkStart w:id="55" w:name="_Toc184314413"/>
      <w:bookmarkEnd w:id="55"/>
      <w:bookmarkStart w:id="56" w:name="_Toc184314480"/>
      <w:bookmarkEnd w:id="56"/>
      <w:bookmarkStart w:id="57" w:name="_Toc184313260"/>
      <w:bookmarkEnd w:id="57"/>
      <w:bookmarkStart w:id="58" w:name="_Toc184310323"/>
      <w:bookmarkEnd w:id="58"/>
      <w:bookmarkStart w:id="59" w:name="_Toc184310329"/>
      <w:bookmarkEnd w:id="59"/>
      <w:bookmarkStart w:id="60" w:name="_Toc184312105"/>
      <w:bookmarkEnd w:id="60"/>
      <w:bookmarkStart w:id="61" w:name="_Toc184313274"/>
      <w:bookmarkEnd w:id="61"/>
      <w:bookmarkStart w:id="62" w:name="_Toc184313263"/>
      <w:bookmarkEnd w:id="62"/>
      <w:bookmarkStart w:id="63" w:name="_Toc184308056"/>
      <w:bookmarkEnd w:id="63"/>
      <w:bookmarkStart w:id="64" w:name="_Toc184310333"/>
      <w:bookmarkEnd w:id="64"/>
      <w:bookmarkStart w:id="65" w:name="_Toc184310277"/>
      <w:bookmarkEnd w:id="65"/>
      <w:bookmarkStart w:id="66" w:name="_Toc184308037"/>
      <w:bookmarkEnd w:id="66"/>
      <w:bookmarkStart w:id="67" w:name="_Toc184308094"/>
      <w:bookmarkEnd w:id="67"/>
      <w:bookmarkStart w:id="68" w:name="_Toc184308046"/>
      <w:bookmarkEnd w:id="68"/>
      <w:bookmarkStart w:id="69" w:name="_Toc184308043"/>
      <w:bookmarkEnd w:id="69"/>
      <w:bookmarkStart w:id="70" w:name="_Toc184308059"/>
      <w:bookmarkEnd w:id="70"/>
      <w:bookmarkStart w:id="71" w:name="_Toc184314430"/>
      <w:bookmarkEnd w:id="71"/>
      <w:bookmarkStart w:id="72" w:name="_Toc184308092"/>
      <w:bookmarkEnd w:id="72"/>
      <w:bookmarkStart w:id="73" w:name="_Toc184314416"/>
      <w:bookmarkEnd w:id="73"/>
      <w:bookmarkStart w:id="74" w:name="_Toc184308088"/>
      <w:bookmarkEnd w:id="74"/>
      <w:bookmarkStart w:id="75" w:name="_Toc184310295"/>
      <w:bookmarkEnd w:id="75"/>
      <w:bookmarkStart w:id="76" w:name="_Toc184313308"/>
      <w:bookmarkEnd w:id="76"/>
      <w:bookmarkStart w:id="77" w:name="_Toc184310327"/>
      <w:bookmarkEnd w:id="77"/>
      <w:bookmarkStart w:id="78" w:name="_Toc184313269"/>
      <w:bookmarkEnd w:id="78"/>
      <w:bookmarkStart w:id="79" w:name="_Toc184312119"/>
      <w:bookmarkEnd w:id="79"/>
      <w:bookmarkStart w:id="80" w:name="_Toc184313283"/>
      <w:bookmarkEnd w:id="80"/>
      <w:bookmarkStart w:id="81" w:name="_Toc184314454"/>
      <w:bookmarkEnd w:id="81"/>
      <w:bookmarkStart w:id="82" w:name="_Toc184314458"/>
      <w:bookmarkEnd w:id="82"/>
      <w:bookmarkStart w:id="83" w:name="_Toc184314466"/>
      <w:bookmarkEnd w:id="83"/>
      <w:bookmarkStart w:id="84" w:name="_Toc184312136"/>
      <w:bookmarkEnd w:id="84"/>
      <w:bookmarkStart w:id="85" w:name="_Toc184308072"/>
      <w:bookmarkEnd w:id="85"/>
      <w:bookmarkStart w:id="86" w:name="_Toc184312086"/>
      <w:bookmarkEnd w:id="86"/>
      <w:bookmarkStart w:id="87" w:name="_Toc184313245"/>
      <w:bookmarkEnd w:id="87"/>
      <w:bookmarkStart w:id="88" w:name="_Toc184313288"/>
      <w:bookmarkEnd w:id="88"/>
      <w:bookmarkStart w:id="89" w:name="_Toc184308067"/>
      <w:bookmarkEnd w:id="89"/>
      <w:bookmarkStart w:id="90" w:name="_Toc184310305"/>
      <w:bookmarkEnd w:id="90"/>
      <w:bookmarkStart w:id="91" w:name="_Toc184313304"/>
      <w:bookmarkEnd w:id="91"/>
      <w:bookmarkStart w:id="92" w:name="_Toc184312096"/>
      <w:bookmarkEnd w:id="92"/>
      <w:bookmarkStart w:id="93" w:name="_Toc184312084"/>
      <w:bookmarkEnd w:id="93"/>
      <w:bookmarkStart w:id="94" w:name="_Toc184314431"/>
      <w:bookmarkEnd w:id="94"/>
      <w:bookmarkStart w:id="95" w:name="_Toc184312083"/>
      <w:bookmarkEnd w:id="95"/>
      <w:bookmarkStart w:id="96" w:name="_Toc184308063"/>
      <w:bookmarkEnd w:id="96"/>
      <w:bookmarkStart w:id="97" w:name="_Toc184312129"/>
      <w:bookmarkEnd w:id="97"/>
      <w:bookmarkStart w:id="98" w:name="_Toc184314429"/>
      <w:bookmarkEnd w:id="98"/>
      <w:bookmarkStart w:id="99" w:name="_Toc184313271"/>
      <w:bookmarkEnd w:id="99"/>
      <w:bookmarkStart w:id="100" w:name="_Toc184312082"/>
      <w:bookmarkEnd w:id="100"/>
      <w:bookmarkStart w:id="101" w:name="_Toc184314460"/>
      <w:bookmarkEnd w:id="101"/>
      <w:bookmarkStart w:id="102" w:name="_Toc184314474"/>
      <w:bookmarkEnd w:id="102"/>
      <w:bookmarkStart w:id="103" w:name="_Toc184314463"/>
      <w:bookmarkEnd w:id="103"/>
      <w:bookmarkStart w:id="104" w:name="_Toc184310288"/>
      <w:bookmarkEnd w:id="104"/>
      <w:bookmarkStart w:id="105" w:name="_Toc184313297"/>
      <w:bookmarkEnd w:id="105"/>
      <w:bookmarkStart w:id="106" w:name="_Toc184308053"/>
      <w:bookmarkEnd w:id="106"/>
      <w:bookmarkStart w:id="107" w:name="_Toc184314442"/>
      <w:bookmarkEnd w:id="107"/>
      <w:bookmarkStart w:id="108" w:name="_Toc184314418"/>
      <w:bookmarkEnd w:id="108"/>
      <w:bookmarkStart w:id="109" w:name="_Toc184310304"/>
      <w:bookmarkEnd w:id="109"/>
      <w:bookmarkStart w:id="110" w:name="_Toc184310338"/>
      <w:bookmarkEnd w:id="110"/>
      <w:bookmarkStart w:id="111" w:name="_Toc184310278"/>
      <w:bookmarkEnd w:id="111"/>
      <w:bookmarkStart w:id="112" w:name="_Toc184310273"/>
      <w:bookmarkEnd w:id="112"/>
      <w:bookmarkStart w:id="113" w:name="_Toc184313276"/>
      <w:bookmarkEnd w:id="113"/>
      <w:bookmarkStart w:id="114" w:name="_Toc184312069"/>
      <w:bookmarkEnd w:id="114"/>
      <w:bookmarkStart w:id="115" w:name="_Toc184310331"/>
      <w:bookmarkEnd w:id="115"/>
      <w:bookmarkStart w:id="116" w:name="_Toc184310299"/>
      <w:bookmarkEnd w:id="116"/>
      <w:bookmarkStart w:id="117" w:name="_Toc184312068"/>
      <w:bookmarkEnd w:id="117"/>
      <w:bookmarkStart w:id="118" w:name="_Toc184312114"/>
      <w:bookmarkEnd w:id="118"/>
      <w:bookmarkStart w:id="119" w:name="_Toc184312108"/>
      <w:bookmarkEnd w:id="119"/>
      <w:bookmarkStart w:id="120" w:name="_Toc184308039"/>
      <w:bookmarkEnd w:id="120"/>
      <w:bookmarkStart w:id="121" w:name="_Toc184312133"/>
      <w:bookmarkEnd w:id="121"/>
      <w:bookmarkStart w:id="122" w:name="_Toc184310334"/>
      <w:bookmarkEnd w:id="122"/>
      <w:bookmarkStart w:id="123" w:name="_Toc184310297"/>
      <w:bookmarkEnd w:id="123"/>
      <w:bookmarkStart w:id="124" w:name="_Toc184308060"/>
      <w:bookmarkEnd w:id="124"/>
      <w:bookmarkStart w:id="125" w:name="_Toc184310306"/>
      <w:bookmarkEnd w:id="125"/>
      <w:bookmarkStart w:id="126" w:name="_Toc184308062"/>
      <w:bookmarkEnd w:id="126"/>
      <w:bookmarkStart w:id="127" w:name="_Toc184310284"/>
      <w:bookmarkEnd w:id="127"/>
      <w:bookmarkStart w:id="128" w:name="_Toc184312081"/>
      <w:bookmarkEnd w:id="128"/>
      <w:bookmarkStart w:id="129" w:name="_Toc184313252"/>
      <w:bookmarkEnd w:id="129"/>
      <w:bookmarkStart w:id="130" w:name="_Toc184314472"/>
      <w:bookmarkEnd w:id="130"/>
      <w:bookmarkStart w:id="131" w:name="_Toc184313270"/>
      <w:bookmarkEnd w:id="131"/>
      <w:bookmarkStart w:id="132" w:name="_Toc184314448"/>
      <w:bookmarkEnd w:id="132"/>
      <w:bookmarkStart w:id="133" w:name="_Toc184314470"/>
      <w:bookmarkEnd w:id="133"/>
      <w:bookmarkStart w:id="134" w:name="_Toc184314415"/>
      <w:bookmarkEnd w:id="134"/>
      <w:bookmarkStart w:id="135" w:name="_Toc184312111"/>
      <w:bookmarkEnd w:id="135"/>
      <w:bookmarkStart w:id="136" w:name="_Toc184308038"/>
      <w:bookmarkEnd w:id="136"/>
      <w:bookmarkStart w:id="137" w:name="_Toc184313272"/>
      <w:bookmarkEnd w:id="137"/>
      <w:bookmarkStart w:id="138" w:name="_Toc184312100"/>
      <w:bookmarkEnd w:id="138"/>
      <w:bookmarkStart w:id="139" w:name="_Toc184308106"/>
      <w:bookmarkEnd w:id="139"/>
      <w:bookmarkStart w:id="140" w:name="_Toc184310339"/>
      <w:bookmarkEnd w:id="140"/>
      <w:bookmarkStart w:id="141" w:name="_Toc184308079"/>
      <w:bookmarkEnd w:id="141"/>
      <w:bookmarkStart w:id="142" w:name="_Toc184313238"/>
      <w:bookmarkEnd w:id="142"/>
      <w:bookmarkStart w:id="143" w:name="_Toc184312070"/>
      <w:bookmarkEnd w:id="143"/>
      <w:bookmarkStart w:id="144" w:name="_Toc184310322"/>
      <w:bookmarkEnd w:id="144"/>
      <w:bookmarkStart w:id="145" w:name="_Toc184310302"/>
      <w:bookmarkEnd w:id="145"/>
      <w:bookmarkStart w:id="146" w:name="_Toc184308047"/>
      <w:bookmarkEnd w:id="146"/>
      <w:bookmarkStart w:id="147" w:name="_Toc184312091"/>
      <w:bookmarkEnd w:id="147"/>
      <w:bookmarkStart w:id="148" w:name="_Toc184312112"/>
      <w:bookmarkEnd w:id="148"/>
      <w:bookmarkStart w:id="149" w:name="_Toc184314440"/>
      <w:bookmarkEnd w:id="149"/>
      <w:bookmarkStart w:id="150" w:name="_Toc184308093"/>
      <w:bookmarkEnd w:id="150"/>
      <w:bookmarkStart w:id="151" w:name="_Toc184308103"/>
      <w:bookmarkEnd w:id="151"/>
      <w:bookmarkStart w:id="152" w:name="_Toc184312072"/>
      <w:bookmarkEnd w:id="152"/>
      <w:bookmarkStart w:id="153" w:name="_Toc184314435"/>
      <w:bookmarkEnd w:id="153"/>
      <w:bookmarkStart w:id="154" w:name="_Toc184312075"/>
      <w:bookmarkEnd w:id="154"/>
      <w:bookmarkStart w:id="155" w:name="_Toc184310301"/>
      <w:bookmarkEnd w:id="155"/>
      <w:bookmarkStart w:id="156" w:name="_Toc184314478"/>
      <w:bookmarkEnd w:id="156"/>
      <w:bookmarkStart w:id="157" w:name="_Toc184313267"/>
      <w:bookmarkEnd w:id="157"/>
      <w:bookmarkStart w:id="158" w:name="_Toc184313284"/>
      <w:bookmarkEnd w:id="158"/>
      <w:bookmarkStart w:id="159" w:name="_Toc184313293"/>
      <w:bookmarkEnd w:id="159"/>
      <w:bookmarkStart w:id="160" w:name="_Toc184312102"/>
      <w:bookmarkEnd w:id="160"/>
      <w:bookmarkStart w:id="161" w:name="_Toc184308090"/>
      <w:bookmarkEnd w:id="161"/>
      <w:bookmarkStart w:id="162" w:name="_Toc184314464"/>
      <w:bookmarkEnd w:id="162"/>
      <w:bookmarkStart w:id="163" w:name="_Toc184310318"/>
      <w:bookmarkEnd w:id="163"/>
      <w:bookmarkStart w:id="164" w:name="_Toc184313296"/>
      <w:bookmarkEnd w:id="164"/>
      <w:bookmarkStart w:id="165" w:name="_Toc184313277"/>
      <w:bookmarkEnd w:id="165"/>
      <w:bookmarkStart w:id="166" w:name="_Toc184312080"/>
      <w:bookmarkEnd w:id="166"/>
      <w:bookmarkStart w:id="167" w:name="_Toc184314456"/>
      <w:bookmarkEnd w:id="167"/>
      <w:bookmarkStart w:id="168" w:name="_Toc184312115"/>
      <w:bookmarkEnd w:id="168"/>
      <w:bookmarkStart w:id="169" w:name="_Toc184310343"/>
      <w:bookmarkEnd w:id="169"/>
      <w:bookmarkStart w:id="170" w:name="_Toc184308089"/>
      <w:bookmarkEnd w:id="170"/>
      <w:bookmarkStart w:id="171" w:name="_Toc184313285"/>
      <w:bookmarkEnd w:id="171"/>
      <w:bookmarkStart w:id="172" w:name="_Toc184313239"/>
      <w:bookmarkEnd w:id="172"/>
      <w:bookmarkStart w:id="173" w:name="_Toc184310279"/>
      <w:bookmarkEnd w:id="173"/>
      <w:bookmarkStart w:id="174" w:name="_Toc184312113"/>
      <w:bookmarkEnd w:id="174"/>
      <w:bookmarkStart w:id="175" w:name="_Toc184313294"/>
      <w:bookmarkEnd w:id="175"/>
      <w:bookmarkStart w:id="176" w:name="_Toc184310320"/>
      <w:bookmarkEnd w:id="176"/>
      <w:bookmarkStart w:id="177" w:name="_Toc184314422"/>
      <w:bookmarkEnd w:id="177"/>
      <w:bookmarkStart w:id="178" w:name="_Toc184314482"/>
      <w:bookmarkEnd w:id="178"/>
      <w:bookmarkStart w:id="179" w:name="_Toc184312067"/>
      <w:bookmarkEnd w:id="179"/>
      <w:bookmarkStart w:id="180" w:name="_Toc184312132"/>
      <w:bookmarkEnd w:id="180"/>
      <w:bookmarkStart w:id="181" w:name="_Toc184308078"/>
      <w:bookmarkEnd w:id="181"/>
      <w:bookmarkStart w:id="182" w:name="_Toc184313287"/>
      <w:bookmarkEnd w:id="182"/>
      <w:bookmarkStart w:id="183" w:name="_Toc184308071"/>
      <w:bookmarkEnd w:id="183"/>
      <w:bookmarkStart w:id="184" w:name="_Toc184313243"/>
      <w:bookmarkEnd w:id="184"/>
      <w:bookmarkStart w:id="185" w:name="_Toc184312109"/>
      <w:bookmarkEnd w:id="185"/>
      <w:bookmarkStart w:id="186" w:name="_Toc184312130"/>
      <w:bookmarkEnd w:id="186"/>
      <w:bookmarkStart w:id="187" w:name="_Toc184308086"/>
      <w:bookmarkEnd w:id="187"/>
      <w:bookmarkStart w:id="188" w:name="_Toc184310321"/>
      <w:bookmarkEnd w:id="188"/>
      <w:bookmarkStart w:id="189" w:name="_Toc184310283"/>
      <w:bookmarkEnd w:id="189"/>
      <w:bookmarkStart w:id="190" w:name="_Toc184313251"/>
      <w:bookmarkEnd w:id="190"/>
      <w:bookmarkStart w:id="191" w:name="_Toc184313261"/>
      <w:bookmarkEnd w:id="191"/>
      <w:bookmarkStart w:id="192" w:name="_Toc184308075"/>
      <w:bookmarkEnd w:id="192"/>
      <w:bookmarkStart w:id="193" w:name="_Toc184312090"/>
      <w:bookmarkEnd w:id="193"/>
      <w:bookmarkStart w:id="194" w:name="_Toc184313256"/>
      <w:bookmarkEnd w:id="194"/>
      <w:bookmarkStart w:id="195" w:name="_Toc184314461"/>
      <w:bookmarkEnd w:id="195"/>
      <w:bookmarkStart w:id="196" w:name="_Toc184308040"/>
      <w:bookmarkEnd w:id="196"/>
      <w:bookmarkStart w:id="197" w:name="_Toc184313265"/>
      <w:bookmarkEnd w:id="197"/>
      <w:bookmarkStart w:id="198" w:name="_Toc184313286"/>
      <w:bookmarkEnd w:id="198"/>
      <w:bookmarkStart w:id="199" w:name="_Toc184310335"/>
      <w:bookmarkEnd w:id="199"/>
      <w:bookmarkStart w:id="200" w:name="_Toc184314420"/>
      <w:bookmarkEnd w:id="200"/>
      <w:bookmarkStart w:id="201" w:name="_Toc184312087"/>
      <w:bookmarkEnd w:id="201"/>
      <w:bookmarkStart w:id="202" w:name="_Toc184310344"/>
      <w:bookmarkEnd w:id="202"/>
      <w:bookmarkStart w:id="203" w:name="_Toc184314476"/>
      <w:bookmarkEnd w:id="203"/>
      <w:bookmarkStart w:id="204" w:name="_Toc184314438"/>
      <w:bookmarkEnd w:id="204"/>
      <w:bookmarkStart w:id="205" w:name="_Toc184314453"/>
      <w:bookmarkEnd w:id="205"/>
      <w:bookmarkStart w:id="206" w:name="_Toc184314457"/>
      <w:bookmarkEnd w:id="206"/>
      <w:bookmarkStart w:id="207" w:name="_Toc184310276"/>
      <w:bookmarkEnd w:id="207"/>
      <w:bookmarkStart w:id="208" w:name="_Toc184308102"/>
      <w:bookmarkEnd w:id="208"/>
      <w:bookmarkStart w:id="209" w:name="_Toc184314473"/>
      <w:bookmarkEnd w:id="209"/>
      <w:bookmarkStart w:id="210" w:name="_Toc184312117"/>
      <w:bookmarkEnd w:id="210"/>
      <w:bookmarkStart w:id="211" w:name="_Toc184312077"/>
      <w:bookmarkEnd w:id="211"/>
      <w:bookmarkStart w:id="212" w:name="_Toc184314469"/>
      <w:bookmarkEnd w:id="212"/>
      <w:bookmarkStart w:id="213" w:name="_Toc184313255"/>
      <w:bookmarkEnd w:id="213"/>
      <w:bookmarkStart w:id="214" w:name="_Toc184314447"/>
      <w:bookmarkEnd w:id="214"/>
      <w:bookmarkStart w:id="215" w:name="_Toc184313266"/>
      <w:bookmarkEnd w:id="215"/>
      <w:bookmarkStart w:id="216" w:name="_Toc184312101"/>
      <w:bookmarkEnd w:id="216"/>
      <w:bookmarkStart w:id="217" w:name="_Toc184314465"/>
      <w:bookmarkEnd w:id="217"/>
      <w:bookmarkStart w:id="218" w:name="_Toc184314433"/>
      <w:bookmarkEnd w:id="218"/>
      <w:bookmarkStart w:id="219" w:name="_Toc184310286"/>
      <w:bookmarkEnd w:id="219"/>
      <w:bookmarkStart w:id="220" w:name="_Toc184308095"/>
      <w:bookmarkEnd w:id="220"/>
      <w:bookmarkStart w:id="221" w:name="_Toc184314468"/>
      <w:bookmarkEnd w:id="221"/>
      <w:bookmarkStart w:id="222" w:name="_Toc184314467"/>
      <w:bookmarkEnd w:id="222"/>
      <w:bookmarkStart w:id="223" w:name="_Toc184313299"/>
      <w:bookmarkEnd w:id="223"/>
      <w:bookmarkStart w:id="224" w:name="_Toc184310326"/>
      <w:bookmarkEnd w:id="224"/>
      <w:bookmarkStart w:id="225" w:name="_Toc184310282"/>
      <w:bookmarkEnd w:id="225"/>
      <w:bookmarkStart w:id="226" w:name="_Toc184310289"/>
      <w:bookmarkEnd w:id="226"/>
      <w:bookmarkStart w:id="227" w:name="_Toc184312127"/>
      <w:bookmarkEnd w:id="227"/>
      <w:bookmarkStart w:id="228" w:name="_Toc184314439"/>
      <w:bookmarkEnd w:id="228"/>
      <w:bookmarkStart w:id="229" w:name="_Toc184308074"/>
      <w:bookmarkEnd w:id="229"/>
      <w:bookmarkStart w:id="230" w:name="_Toc184310317"/>
      <w:bookmarkEnd w:id="230"/>
      <w:bookmarkStart w:id="231" w:name="_Toc184308104"/>
      <w:bookmarkEnd w:id="231"/>
      <w:bookmarkStart w:id="232" w:name="_Toc184310328"/>
      <w:bookmarkEnd w:id="232"/>
      <w:bookmarkStart w:id="233" w:name="_Toc184312128"/>
      <w:bookmarkEnd w:id="233"/>
      <w:bookmarkStart w:id="234" w:name="_Toc184308036"/>
      <w:bookmarkEnd w:id="234"/>
      <w:bookmarkStart w:id="235" w:name="_Toc184314428"/>
      <w:bookmarkEnd w:id="235"/>
      <w:bookmarkStart w:id="236" w:name="_Toc184308058"/>
      <w:bookmarkEnd w:id="236"/>
      <w:bookmarkStart w:id="237" w:name="_Toc184314417"/>
      <w:bookmarkEnd w:id="237"/>
      <w:bookmarkStart w:id="238" w:name="_Toc184313253"/>
      <w:bookmarkEnd w:id="238"/>
      <w:bookmarkStart w:id="239" w:name="_Toc184314446"/>
      <w:bookmarkEnd w:id="239"/>
      <w:bookmarkStart w:id="240" w:name="_Toc184314412"/>
      <w:bookmarkEnd w:id="240"/>
      <w:bookmarkStart w:id="241" w:name="_Toc184312106"/>
      <w:bookmarkEnd w:id="241"/>
      <w:bookmarkStart w:id="242" w:name="_Toc184314471"/>
      <w:bookmarkEnd w:id="242"/>
      <w:bookmarkStart w:id="243" w:name="_Toc184312139"/>
      <w:bookmarkEnd w:id="243"/>
      <w:bookmarkStart w:id="244" w:name="_Toc184308097"/>
      <w:bookmarkEnd w:id="244"/>
      <w:bookmarkStart w:id="245" w:name="_Toc184314421"/>
      <w:bookmarkEnd w:id="245"/>
      <w:bookmarkStart w:id="246" w:name="_Toc184313246"/>
      <w:bookmarkEnd w:id="246"/>
      <w:bookmarkStart w:id="247" w:name="_Toc184310300"/>
      <w:bookmarkEnd w:id="247"/>
      <w:bookmarkStart w:id="248" w:name="_Toc184310290"/>
      <w:bookmarkEnd w:id="248"/>
      <w:bookmarkStart w:id="249" w:name="_Toc184314410"/>
      <w:bookmarkEnd w:id="249"/>
      <w:bookmarkStart w:id="250" w:name="_Toc184308101"/>
      <w:bookmarkEnd w:id="250"/>
      <w:bookmarkStart w:id="251" w:name="_Toc184313292"/>
      <w:bookmarkEnd w:id="251"/>
      <w:bookmarkStart w:id="252" w:name="_Toc184308057"/>
      <w:bookmarkEnd w:id="252"/>
      <w:bookmarkStart w:id="253" w:name="_Toc184310330"/>
      <w:bookmarkEnd w:id="253"/>
      <w:bookmarkStart w:id="254" w:name="_Toc184310314"/>
      <w:bookmarkEnd w:id="254"/>
      <w:bookmarkStart w:id="255" w:name="_Toc184310319"/>
      <w:bookmarkEnd w:id="255"/>
      <w:bookmarkStart w:id="256" w:name="_Toc184314411"/>
      <w:bookmarkEnd w:id="256"/>
      <w:bookmarkStart w:id="257" w:name="_Toc184308076"/>
      <w:bookmarkEnd w:id="257"/>
      <w:bookmarkStart w:id="258" w:name="_Toc184312076"/>
      <w:bookmarkEnd w:id="258"/>
      <w:bookmarkStart w:id="259" w:name="_Toc184313309"/>
      <w:bookmarkEnd w:id="259"/>
      <w:bookmarkStart w:id="260" w:name="_Toc184310340"/>
      <w:bookmarkEnd w:id="260"/>
      <w:bookmarkStart w:id="261" w:name="_Toc184314443"/>
      <w:bookmarkEnd w:id="261"/>
      <w:bookmarkStart w:id="262" w:name="_Toc184308107"/>
      <w:bookmarkEnd w:id="262"/>
      <w:bookmarkStart w:id="263" w:name="_Toc184312134"/>
      <w:bookmarkEnd w:id="263"/>
      <w:bookmarkStart w:id="264" w:name="_Toc184312079"/>
      <w:bookmarkEnd w:id="264"/>
      <w:bookmarkStart w:id="265" w:name="_Toc184312094"/>
      <w:bookmarkEnd w:id="265"/>
      <w:bookmarkStart w:id="266" w:name="_Toc184313289"/>
      <w:bookmarkEnd w:id="266"/>
      <w:bookmarkStart w:id="267" w:name="_Toc184314449"/>
      <w:bookmarkEnd w:id="267"/>
      <w:bookmarkStart w:id="268" w:name="_Toc184314481"/>
      <w:bookmarkEnd w:id="268"/>
      <w:bookmarkStart w:id="269" w:name="_Toc184312097"/>
      <w:bookmarkEnd w:id="269"/>
      <w:bookmarkStart w:id="270" w:name="_Toc184310341"/>
      <w:bookmarkEnd w:id="270"/>
      <w:bookmarkStart w:id="271" w:name="_Toc184310342"/>
      <w:bookmarkEnd w:id="271"/>
      <w:bookmarkStart w:id="272" w:name="_Toc184310294"/>
      <w:bookmarkEnd w:id="272"/>
      <w:bookmarkStart w:id="273" w:name="_Toc184312074"/>
      <w:bookmarkEnd w:id="273"/>
      <w:bookmarkStart w:id="274" w:name="_Toc184313306"/>
      <w:bookmarkEnd w:id="274"/>
      <w:bookmarkStart w:id="275" w:name="_Toc184308080"/>
      <w:bookmarkEnd w:id="275"/>
      <w:bookmarkStart w:id="276" w:name="_Toc184313248"/>
      <w:bookmarkEnd w:id="276"/>
      <w:bookmarkStart w:id="277" w:name="_Toc184308066"/>
      <w:bookmarkEnd w:id="277"/>
      <w:bookmarkStart w:id="278" w:name="_Toc184312138"/>
      <w:bookmarkEnd w:id="278"/>
      <w:bookmarkStart w:id="279" w:name="_Toc184312098"/>
      <w:bookmarkEnd w:id="279"/>
      <w:bookmarkStart w:id="280" w:name="_Toc184310316"/>
      <w:bookmarkEnd w:id="280"/>
      <w:bookmarkStart w:id="281" w:name="_Toc184313254"/>
      <w:bookmarkEnd w:id="281"/>
      <w:bookmarkStart w:id="282" w:name="_Toc184314444"/>
      <w:bookmarkEnd w:id="282"/>
      <w:bookmarkStart w:id="283" w:name="_Toc184314419"/>
      <w:bookmarkEnd w:id="283"/>
      <w:bookmarkStart w:id="284" w:name="_Toc184312093"/>
      <w:bookmarkEnd w:id="284"/>
      <w:bookmarkStart w:id="285" w:name="_Toc184313258"/>
      <w:bookmarkEnd w:id="285"/>
      <w:bookmarkStart w:id="286" w:name="_Toc184313279"/>
      <w:bookmarkEnd w:id="286"/>
      <w:bookmarkStart w:id="287" w:name="_Toc184314475"/>
      <w:bookmarkEnd w:id="287"/>
      <w:bookmarkStart w:id="288" w:name="_Toc184313303"/>
      <w:bookmarkEnd w:id="288"/>
      <w:bookmarkStart w:id="289" w:name="_Toc184312125"/>
      <w:bookmarkEnd w:id="289"/>
      <w:bookmarkStart w:id="290" w:name="_Toc184308042"/>
      <w:bookmarkEnd w:id="290"/>
      <w:bookmarkStart w:id="291" w:name="_Toc184310309"/>
      <w:bookmarkEnd w:id="291"/>
      <w:bookmarkStart w:id="292" w:name="_Toc184310325"/>
      <w:bookmarkEnd w:id="292"/>
      <w:bookmarkStart w:id="293" w:name="_Toc184310332"/>
      <w:bookmarkEnd w:id="293"/>
      <w:bookmarkStart w:id="294" w:name="_Toc184312120"/>
      <w:bookmarkEnd w:id="294"/>
      <w:bookmarkStart w:id="295" w:name="_Toc184313275"/>
      <w:bookmarkEnd w:id="295"/>
      <w:bookmarkStart w:id="296" w:name="_Toc184312137"/>
      <w:bookmarkEnd w:id="296"/>
      <w:bookmarkStart w:id="297" w:name="_Toc184310307"/>
      <w:bookmarkEnd w:id="297"/>
      <w:bookmarkStart w:id="298" w:name="_Toc184313259"/>
      <w:bookmarkEnd w:id="298"/>
      <w:bookmarkStart w:id="299" w:name="_Toc184313301"/>
      <w:bookmarkEnd w:id="299"/>
      <w:bookmarkStart w:id="300" w:name="_Toc184308049"/>
      <w:bookmarkEnd w:id="300"/>
      <w:bookmarkStart w:id="301" w:name="_Toc184312110"/>
      <w:bookmarkEnd w:id="301"/>
      <w:bookmarkStart w:id="302" w:name="_Toc184308105"/>
      <w:bookmarkEnd w:id="302"/>
      <w:bookmarkStart w:id="303" w:name="_Toc184308048"/>
      <w:bookmarkEnd w:id="303"/>
      <w:bookmarkStart w:id="304" w:name="_Toc184313257"/>
      <w:bookmarkEnd w:id="304"/>
      <w:bookmarkStart w:id="305" w:name="_Toc184314455"/>
      <w:bookmarkEnd w:id="305"/>
      <w:bookmarkStart w:id="306" w:name="_Toc184310293"/>
      <w:bookmarkEnd w:id="306"/>
      <w:bookmarkStart w:id="307" w:name="_Toc184308098"/>
      <w:bookmarkEnd w:id="307"/>
      <w:bookmarkStart w:id="308" w:name="_Toc184313302"/>
      <w:bookmarkEnd w:id="308"/>
      <w:bookmarkStart w:id="309" w:name="_Toc184310281"/>
      <w:bookmarkEnd w:id="309"/>
      <w:bookmarkStart w:id="310" w:name="_Toc184308064"/>
      <w:bookmarkEnd w:id="310"/>
      <w:bookmarkStart w:id="311" w:name="_Toc184308081"/>
      <w:bookmarkEnd w:id="311"/>
      <w:bookmarkStart w:id="312" w:name="_Toc184308050"/>
      <w:bookmarkEnd w:id="312"/>
      <w:bookmarkStart w:id="313" w:name="_Toc184310275"/>
      <w:bookmarkEnd w:id="313"/>
      <w:bookmarkStart w:id="314" w:name="_Toc184314424"/>
      <w:bookmarkEnd w:id="314"/>
      <w:bookmarkStart w:id="315" w:name="_Toc184308061"/>
      <w:bookmarkEnd w:id="315"/>
      <w:bookmarkStart w:id="316" w:name="_Toc184308070"/>
      <w:bookmarkEnd w:id="316"/>
      <w:bookmarkStart w:id="317" w:name="_Toc184310315"/>
      <w:bookmarkEnd w:id="317"/>
      <w:bookmarkStart w:id="318" w:name="_Toc184314451"/>
      <w:bookmarkEnd w:id="318"/>
      <w:bookmarkStart w:id="319" w:name="_Toc184310285"/>
      <w:bookmarkEnd w:id="319"/>
      <w:bookmarkStart w:id="320" w:name="_Toc184313273"/>
      <w:bookmarkEnd w:id="320"/>
      <w:bookmarkStart w:id="321" w:name="_Toc184312095"/>
      <w:bookmarkEnd w:id="321"/>
      <w:bookmarkStart w:id="322" w:name="_Toc184308108"/>
      <w:bookmarkEnd w:id="322"/>
      <w:bookmarkStart w:id="323" w:name="_Toc184308073"/>
      <w:bookmarkEnd w:id="323"/>
      <w:bookmarkStart w:id="324" w:name="_Toc184308054"/>
      <w:bookmarkEnd w:id="324"/>
      <w:bookmarkStart w:id="325" w:name="_Toc184308068"/>
      <w:bookmarkEnd w:id="325"/>
      <w:bookmarkStart w:id="326" w:name="_Toc184308085"/>
      <w:bookmarkEnd w:id="326"/>
      <w:bookmarkStart w:id="327" w:name="_Toc184312121"/>
      <w:bookmarkEnd w:id="327"/>
      <w:bookmarkStart w:id="328" w:name="_Toc184313295"/>
      <w:bookmarkEnd w:id="328"/>
      <w:bookmarkStart w:id="329" w:name="_Toc184313280"/>
      <w:bookmarkEnd w:id="329"/>
      <w:bookmarkStart w:id="330" w:name="_Toc184314445"/>
      <w:bookmarkEnd w:id="330"/>
      <w:bookmarkStart w:id="331" w:name="_Toc184313244"/>
      <w:bookmarkEnd w:id="331"/>
      <w:bookmarkStart w:id="332" w:name="_Toc184314479"/>
      <w:bookmarkEnd w:id="332"/>
      <w:bookmarkStart w:id="333" w:name="_Toc184310312"/>
      <w:bookmarkEnd w:id="333"/>
      <w:bookmarkStart w:id="334" w:name="_Toc184314462"/>
      <w:bookmarkEnd w:id="334"/>
      <w:bookmarkStart w:id="335" w:name="_Toc184313240"/>
      <w:bookmarkEnd w:id="335"/>
      <w:bookmarkStart w:id="336" w:name="_Toc184313291"/>
      <w:bookmarkEnd w:id="336"/>
      <w:bookmarkStart w:id="337" w:name="_Toc184308044"/>
      <w:bookmarkEnd w:id="337"/>
      <w:bookmarkStart w:id="338" w:name="_Toc184310313"/>
      <w:bookmarkEnd w:id="338"/>
      <w:bookmarkStart w:id="339" w:name="_Toc184308087"/>
      <w:bookmarkEnd w:id="339"/>
      <w:bookmarkStart w:id="340" w:name="_Toc184308096"/>
      <w:bookmarkEnd w:id="340"/>
      <w:bookmarkStart w:id="341" w:name="_Toc184314427"/>
      <w:bookmarkEnd w:id="341"/>
      <w:bookmarkStart w:id="342" w:name="_Toc184308051"/>
      <w:bookmarkEnd w:id="342"/>
      <w:bookmarkStart w:id="343" w:name="_Toc184314450"/>
      <w:bookmarkEnd w:id="343"/>
      <w:bookmarkStart w:id="344" w:name="_Toc184313249"/>
      <w:bookmarkEnd w:id="344"/>
      <w:bookmarkStart w:id="345" w:name="_Toc184312131"/>
      <w:bookmarkEnd w:id="345"/>
      <w:bookmarkStart w:id="346" w:name="_Toc184314477"/>
      <w:bookmarkEnd w:id="346"/>
      <w:bookmarkStart w:id="347" w:name="_Toc184313305"/>
      <w:bookmarkEnd w:id="347"/>
      <w:bookmarkStart w:id="348" w:name="_Toc184308077"/>
      <w:bookmarkEnd w:id="348"/>
      <w:bookmarkStart w:id="349" w:name="_Toc184310303"/>
      <w:bookmarkEnd w:id="349"/>
      <w:bookmarkStart w:id="350" w:name="_Toc184310272"/>
      <w:bookmarkEnd w:id="350"/>
      <w:bookmarkStart w:id="351" w:name="_Toc184308052"/>
      <w:bookmarkEnd w:id="351"/>
      <w:bookmarkStart w:id="352" w:name="_Toc184310274"/>
      <w:bookmarkEnd w:id="352"/>
      <w:bookmarkStart w:id="353" w:name="_Toc184313310"/>
      <w:bookmarkEnd w:id="353"/>
      <w:bookmarkStart w:id="354" w:name="_Toc184313278"/>
      <w:bookmarkEnd w:id="354"/>
      <w:bookmarkStart w:id="355" w:name="_Toc184308084"/>
      <w:bookmarkEnd w:id="355"/>
      <w:bookmarkStart w:id="356" w:name="_Toc184308041"/>
      <w:bookmarkEnd w:id="356"/>
      <w:bookmarkStart w:id="357" w:name="_Toc184310287"/>
      <w:bookmarkEnd w:id="357"/>
      <w:bookmarkStart w:id="358" w:name="_Toc184313298"/>
      <w:bookmarkEnd w:id="358"/>
      <w:bookmarkStart w:id="359" w:name="_Toc184312085"/>
      <w:bookmarkEnd w:id="359"/>
      <w:bookmarkStart w:id="360" w:name="_Toc184308099"/>
      <w:bookmarkEnd w:id="360"/>
      <w:bookmarkStart w:id="361" w:name="_Toc184310324"/>
      <w:bookmarkEnd w:id="361"/>
      <w:bookmarkStart w:id="362" w:name="_Toc184312126"/>
      <w:bookmarkEnd w:id="362"/>
      <w:bookmarkStart w:id="363" w:name="_Toc184310310"/>
      <w:bookmarkEnd w:id="363"/>
      <w:bookmarkStart w:id="364" w:name="_Toc184312099"/>
      <w:bookmarkEnd w:id="364"/>
      <w:bookmarkStart w:id="365" w:name="_Toc184314441"/>
      <w:bookmarkEnd w:id="365"/>
      <w:bookmarkStart w:id="366" w:name="_Toc184312122"/>
      <w:bookmarkEnd w:id="366"/>
      <w:bookmarkStart w:id="367" w:name="_Toc184312116"/>
      <w:bookmarkEnd w:id="367"/>
      <w:bookmarkStart w:id="368" w:name="_Toc184313242"/>
      <w:bookmarkEnd w:id="368"/>
      <w:bookmarkStart w:id="369" w:name="_Toc184308065"/>
      <w:bookmarkEnd w:id="369"/>
      <w:bookmarkStart w:id="370" w:name="_Toc184308045"/>
      <w:bookmarkEnd w:id="370"/>
      <w:bookmarkStart w:id="371" w:name="_Toc184314437"/>
      <w:bookmarkEnd w:id="371"/>
      <w:bookmarkStart w:id="372" w:name="_Toc184312103"/>
      <w:bookmarkEnd w:id="372"/>
      <w:bookmarkStart w:id="373" w:name="_Toc184308083"/>
      <w:bookmarkEnd w:id="373"/>
      <w:bookmarkStart w:id="374" w:name="_Toc184313262"/>
      <w:bookmarkEnd w:id="374"/>
      <w:bookmarkStart w:id="375" w:name="_Toc184312107"/>
      <w:bookmarkEnd w:id="375"/>
      <w:bookmarkStart w:id="376" w:name="_Toc184313250"/>
      <w:bookmarkEnd w:id="376"/>
      <w:bookmarkStart w:id="377" w:name="_Toc184313264"/>
      <w:bookmarkEnd w:id="377"/>
      <w:bookmarkStart w:id="378" w:name="_Toc184313268"/>
      <w:bookmarkEnd w:id="378"/>
      <w:bookmarkStart w:id="379" w:name="_Toc184312078"/>
      <w:bookmarkEnd w:id="379"/>
      <w:bookmarkStart w:id="380" w:name="_Toc184313307"/>
      <w:bookmarkEnd w:id="380"/>
      <w:bookmarkStart w:id="381" w:name="_Toc184312089"/>
      <w:bookmarkEnd w:id="381"/>
      <w:r>
        <w:rPr>
          <w:rFonts w:hint="eastAsia" w:ascii="宋体" w:hAnsi="宋体" w:eastAsia="宋体" w:cs="宋体"/>
          <w:b/>
          <w:color w:val="auto"/>
          <w:sz w:val="36"/>
          <w:szCs w:val="36"/>
          <w:highlight w:val="none"/>
        </w:rPr>
        <w:t>交易办法</w:t>
      </w:r>
    </w:p>
    <w:p w14:paraId="4EE5CC0F">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交易办法前附表</w:t>
      </w:r>
    </w:p>
    <w:p w14:paraId="2B3EED91">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p>
    <w:tbl>
      <w:tblPr>
        <w:tblStyle w:val="64"/>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70"/>
        <w:gridCol w:w="1277"/>
        <w:gridCol w:w="5047"/>
        <w:gridCol w:w="757"/>
        <w:gridCol w:w="1009"/>
      </w:tblGrid>
      <w:tr w14:paraId="1381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97" w:type="dxa"/>
            <w:noWrap/>
            <w:vAlign w:val="center"/>
          </w:tcPr>
          <w:p w14:paraId="0B4E2B2E">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p>
        </w:tc>
        <w:tc>
          <w:tcPr>
            <w:tcW w:w="470" w:type="dxa"/>
            <w:noWrap/>
            <w:vAlign w:val="center"/>
          </w:tcPr>
          <w:p w14:paraId="6DDCD2AB">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324" w:type="dxa"/>
            <w:gridSpan w:val="2"/>
            <w:noWrap/>
            <w:vAlign w:val="center"/>
          </w:tcPr>
          <w:p w14:paraId="1E694396">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评分内容和标准</w:t>
            </w:r>
          </w:p>
        </w:tc>
        <w:tc>
          <w:tcPr>
            <w:tcW w:w="757" w:type="dxa"/>
            <w:noWrap/>
            <w:vAlign w:val="center"/>
          </w:tcPr>
          <w:p w14:paraId="0753C880">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分值区间</w:t>
            </w:r>
          </w:p>
        </w:tc>
        <w:tc>
          <w:tcPr>
            <w:tcW w:w="1009" w:type="dxa"/>
            <w:noWrap/>
            <w:vAlign w:val="center"/>
          </w:tcPr>
          <w:p w14:paraId="780AB1D5">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主观/客观分</w:t>
            </w:r>
          </w:p>
        </w:tc>
      </w:tr>
      <w:tr w14:paraId="655B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7" w:type="dxa"/>
            <w:vMerge w:val="restart"/>
            <w:noWrap/>
            <w:vAlign w:val="center"/>
          </w:tcPr>
          <w:p w14:paraId="0857E659">
            <w:pPr>
              <w:keepNext w:val="0"/>
              <w:keepLines w:val="0"/>
              <w:pageBreakBefore w:val="0"/>
              <w:widowControl/>
              <w:kinsoku/>
              <w:wordWrap/>
              <w:overflowPunct/>
              <w:topLinePunct w:val="0"/>
              <w:autoSpaceDE/>
              <w:autoSpaceDN/>
              <w:bidi w:val="0"/>
              <w:snapToGrid/>
              <w:spacing w:after="0" w:line="400" w:lineRule="exact"/>
              <w:ind w:right="-13" w:rightChars="-6"/>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商务资信分(</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w:t>
            </w:r>
          </w:p>
        </w:tc>
        <w:tc>
          <w:tcPr>
            <w:tcW w:w="470" w:type="dxa"/>
            <w:noWrap/>
            <w:vAlign w:val="center"/>
          </w:tcPr>
          <w:p w14:paraId="6BD27BF9">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p>
        </w:tc>
        <w:tc>
          <w:tcPr>
            <w:tcW w:w="6324" w:type="dxa"/>
            <w:gridSpan w:val="2"/>
            <w:noWrap/>
            <w:vAlign w:val="center"/>
          </w:tcPr>
          <w:p w14:paraId="48029688">
            <w:pPr>
              <w:snapToGrid w:val="0"/>
              <w:spacing w:after="0" w:line="400" w:lineRule="exac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具有质量管理体系认证证书、隐私管理体系认证证书、职业健康安全管理体系认证证书、风险管理体系认证证书、</w:t>
            </w:r>
            <w:r>
              <w:rPr>
                <w:rFonts w:hint="eastAsia" w:ascii="宋体" w:hAnsi="宋体" w:eastAsia="宋体" w:cs="宋体"/>
                <w:color w:val="auto"/>
                <w:sz w:val="24"/>
                <w:highlight w:val="none"/>
              </w:rPr>
              <w:t>环境管理体系认证证书</w:t>
            </w:r>
            <w:r>
              <w:rPr>
                <w:rFonts w:hint="eastAsia" w:ascii="宋体" w:hAnsi="宋体" w:eastAsia="宋体" w:cs="宋体"/>
                <w:color w:val="auto"/>
                <w:sz w:val="24"/>
                <w:szCs w:val="24"/>
                <w:highlight w:val="none"/>
              </w:rPr>
              <w:t>且在有效期内的，认证范围需包含档案整理</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rPr>
              <w:t>数字化服务，每个得1分，本项最高得5分。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有效证明材料：提供认证证书</w:t>
            </w:r>
            <w:r>
              <w:rPr>
                <w:rFonts w:hint="eastAsia" w:ascii="宋体" w:hAnsi="宋体" w:eastAsia="宋体" w:cs="宋体"/>
                <w:color w:val="auto"/>
                <w:sz w:val="24"/>
                <w:szCs w:val="24"/>
                <w:highlight w:val="none"/>
                <w:lang w:eastAsia="zh-CN"/>
              </w:rPr>
              <w:t>）</w:t>
            </w:r>
          </w:p>
        </w:tc>
        <w:tc>
          <w:tcPr>
            <w:tcW w:w="757" w:type="dxa"/>
            <w:noWrap/>
            <w:vAlign w:val="center"/>
          </w:tcPr>
          <w:p w14:paraId="57C65DF2">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szCs w:val="24"/>
                <w:highlight w:val="none"/>
              </w:rPr>
              <w:t>0-5</w:t>
            </w:r>
          </w:p>
        </w:tc>
        <w:tc>
          <w:tcPr>
            <w:tcW w:w="1009" w:type="dxa"/>
            <w:noWrap/>
            <w:vAlign w:val="center"/>
          </w:tcPr>
          <w:p w14:paraId="55A21934">
            <w:pPr>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客观分</w:t>
            </w:r>
          </w:p>
        </w:tc>
      </w:tr>
      <w:tr w14:paraId="3AF0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7" w:type="dxa"/>
            <w:vMerge w:val="continue"/>
            <w:noWrap/>
            <w:vAlign w:val="center"/>
          </w:tcPr>
          <w:p w14:paraId="4D050CBB">
            <w:pPr>
              <w:keepNext w:val="0"/>
              <w:keepLines w:val="0"/>
              <w:pageBreakBefore w:val="0"/>
              <w:widowControl/>
              <w:kinsoku/>
              <w:wordWrap/>
              <w:overflowPunct/>
              <w:topLinePunct w:val="0"/>
              <w:autoSpaceDE/>
              <w:autoSpaceDN/>
              <w:bidi w:val="0"/>
              <w:snapToGrid/>
              <w:spacing w:after="0" w:line="400" w:lineRule="exact"/>
              <w:ind w:right="-13" w:rightChars="-6"/>
              <w:jc w:val="center"/>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16F86198">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324" w:type="dxa"/>
            <w:gridSpan w:val="2"/>
            <w:noWrap/>
            <w:vAlign w:val="center"/>
          </w:tcPr>
          <w:p w14:paraId="6DAD19F9">
            <w:pPr>
              <w:snapToGrid w:val="0"/>
              <w:spacing w:after="0" w:line="400" w:lineRule="exact"/>
              <w:rPr>
                <w:rFonts w:hint="default" w:eastAsia="宋体" w:asciiTheme="minorEastAsia" w:hAnsiTheme="minorEastAsia" w:cstheme="minor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具有国家秘密载体印制资质证书（资质类别：涉密档案数字化加工）</w:t>
            </w:r>
            <w:r>
              <w:rPr>
                <w:rFonts w:hint="eastAsia" w:ascii="宋体" w:hAnsi="宋体" w:cs="宋体"/>
                <w:color w:val="auto"/>
                <w:sz w:val="24"/>
                <w:szCs w:val="24"/>
                <w:highlight w:val="none"/>
                <w:lang w:val="en-US" w:eastAsia="zh-CN"/>
              </w:rPr>
              <w:t>乙级及以上得3分。</w:t>
            </w:r>
          </w:p>
        </w:tc>
        <w:tc>
          <w:tcPr>
            <w:tcW w:w="757" w:type="dxa"/>
            <w:noWrap/>
            <w:vAlign w:val="center"/>
          </w:tcPr>
          <w:p w14:paraId="66DCA0EB">
            <w:pPr>
              <w:jc w:val="center"/>
              <w:rPr>
                <w:rFonts w:hint="eastAsia" w:eastAsia="宋体" w:asciiTheme="minorEastAsia" w:hAnsiTheme="minorEastAsia" w:cstheme="minorEastAsia"/>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p>
        </w:tc>
        <w:tc>
          <w:tcPr>
            <w:tcW w:w="1009" w:type="dxa"/>
            <w:noWrap/>
            <w:vAlign w:val="center"/>
          </w:tcPr>
          <w:p w14:paraId="6CA03BA8">
            <w:pPr>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客观分</w:t>
            </w:r>
          </w:p>
        </w:tc>
      </w:tr>
      <w:tr w14:paraId="0F7F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7" w:type="dxa"/>
            <w:vMerge w:val="continue"/>
            <w:noWrap/>
            <w:vAlign w:val="center"/>
          </w:tcPr>
          <w:p w14:paraId="745A49C1">
            <w:pPr>
              <w:keepNext w:val="0"/>
              <w:keepLines w:val="0"/>
              <w:pageBreakBefore w:val="0"/>
              <w:widowControl/>
              <w:kinsoku/>
              <w:wordWrap/>
              <w:overflowPunct/>
              <w:topLinePunct w:val="0"/>
              <w:autoSpaceDE/>
              <w:autoSpaceDN/>
              <w:bidi w:val="0"/>
              <w:snapToGrid/>
              <w:spacing w:after="0" w:line="400" w:lineRule="exact"/>
              <w:ind w:right="-13" w:rightChars="-6"/>
              <w:jc w:val="center"/>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48196457">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6324" w:type="dxa"/>
            <w:gridSpan w:val="2"/>
            <w:noWrap/>
            <w:vAlign w:val="center"/>
          </w:tcPr>
          <w:p w14:paraId="53B6FA60">
            <w:pPr>
              <w:snapToGrid w:val="0"/>
              <w:spacing w:after="0" w:line="400" w:lineRule="exac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具有中国信息安全测评中心颁发的信息安全服务资质证书的得3分。（提供证书扫描件加盖公章）</w:t>
            </w:r>
          </w:p>
        </w:tc>
        <w:tc>
          <w:tcPr>
            <w:tcW w:w="757" w:type="dxa"/>
            <w:noWrap/>
            <w:vAlign w:val="center"/>
          </w:tcPr>
          <w:p w14:paraId="32CB5067">
            <w:pPr>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0-3</w:t>
            </w:r>
          </w:p>
        </w:tc>
        <w:tc>
          <w:tcPr>
            <w:tcW w:w="1009" w:type="dxa"/>
            <w:noWrap/>
            <w:vAlign w:val="center"/>
          </w:tcPr>
          <w:p w14:paraId="0A0DAB0B">
            <w:pPr>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客观分</w:t>
            </w:r>
          </w:p>
        </w:tc>
      </w:tr>
      <w:tr w14:paraId="423E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7" w:type="dxa"/>
            <w:vMerge w:val="continue"/>
            <w:noWrap/>
            <w:vAlign w:val="center"/>
          </w:tcPr>
          <w:p w14:paraId="65A79BC0">
            <w:pPr>
              <w:keepNext w:val="0"/>
              <w:keepLines w:val="0"/>
              <w:pageBreakBefore w:val="0"/>
              <w:widowControl/>
              <w:kinsoku/>
              <w:wordWrap/>
              <w:overflowPunct/>
              <w:topLinePunct w:val="0"/>
              <w:autoSpaceDE/>
              <w:autoSpaceDN/>
              <w:bidi w:val="0"/>
              <w:snapToGrid/>
              <w:spacing w:after="0" w:line="400" w:lineRule="exact"/>
              <w:ind w:right="-13" w:rightChars="-6"/>
              <w:jc w:val="center"/>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44B19557">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6324" w:type="dxa"/>
            <w:gridSpan w:val="2"/>
            <w:noWrap/>
            <w:vAlign w:val="center"/>
          </w:tcPr>
          <w:p w14:paraId="1DA23FD8">
            <w:pPr>
              <w:spacing w:after="0" w:line="400" w:lineRule="exac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年1月1日以来（时间以合同签订为准）承担过档案资料整理及数字化项目的成功案例，每个得0.5分，最高得1分。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有效证明材料：提供合同</w:t>
            </w:r>
            <w:r>
              <w:rPr>
                <w:rFonts w:hint="eastAsia" w:ascii="宋体" w:hAnsi="宋体" w:eastAsia="宋体" w:cs="宋体"/>
                <w:color w:val="auto"/>
                <w:sz w:val="24"/>
                <w:szCs w:val="24"/>
                <w:highlight w:val="none"/>
                <w:lang w:eastAsia="zh-CN"/>
              </w:rPr>
              <w:t>）</w:t>
            </w:r>
          </w:p>
        </w:tc>
        <w:tc>
          <w:tcPr>
            <w:tcW w:w="757" w:type="dxa"/>
            <w:noWrap/>
            <w:vAlign w:val="center"/>
          </w:tcPr>
          <w:p w14:paraId="21B82F45">
            <w:pPr>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0-1</w:t>
            </w:r>
          </w:p>
        </w:tc>
        <w:tc>
          <w:tcPr>
            <w:tcW w:w="1009" w:type="dxa"/>
            <w:noWrap/>
            <w:vAlign w:val="center"/>
          </w:tcPr>
          <w:p w14:paraId="79C7DD35">
            <w:pPr>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客观分</w:t>
            </w:r>
          </w:p>
        </w:tc>
      </w:tr>
      <w:tr w14:paraId="5A3C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97" w:type="dxa"/>
            <w:vMerge w:val="restart"/>
            <w:noWrap/>
            <w:vAlign w:val="center"/>
          </w:tcPr>
          <w:p w14:paraId="3CAB8201">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技术分（</w:t>
            </w:r>
            <w:r>
              <w:rPr>
                <w:rFonts w:hint="eastAsia" w:asciiTheme="minorEastAsia" w:hAnsiTheme="minorEastAsia" w:eastAsiaTheme="minorEastAsia" w:cstheme="minorEastAsia"/>
                <w:color w:val="auto"/>
                <w:sz w:val="24"/>
                <w:szCs w:val="24"/>
                <w:highlight w:val="none"/>
                <w:lang w:val="en-US" w:eastAsia="zh-CN"/>
              </w:rPr>
              <w:t>78</w:t>
            </w:r>
            <w:r>
              <w:rPr>
                <w:rFonts w:hint="eastAsia" w:asciiTheme="minorEastAsia" w:hAnsiTheme="minorEastAsia" w:eastAsiaTheme="minorEastAsia" w:cstheme="minorEastAsia"/>
                <w:color w:val="auto"/>
                <w:sz w:val="24"/>
                <w:szCs w:val="24"/>
                <w:highlight w:val="none"/>
              </w:rPr>
              <w:t>分）</w:t>
            </w:r>
          </w:p>
        </w:tc>
        <w:tc>
          <w:tcPr>
            <w:tcW w:w="470" w:type="dxa"/>
            <w:noWrap/>
            <w:vAlign w:val="center"/>
          </w:tcPr>
          <w:p w14:paraId="0E97CDF9">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77" w:type="dxa"/>
            <w:noWrap/>
            <w:vAlign w:val="center"/>
          </w:tcPr>
          <w:p w14:paraId="6762F863">
            <w:pPr>
              <w:spacing w:after="0"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zh-CN"/>
              </w:rPr>
              <w:t>响应方案的合理性、科学性、全面性</w:t>
            </w:r>
          </w:p>
        </w:tc>
        <w:tc>
          <w:tcPr>
            <w:tcW w:w="5047" w:type="dxa"/>
            <w:noWrap/>
            <w:vAlign w:val="center"/>
          </w:tcPr>
          <w:p w14:paraId="208F01B9">
            <w:pPr>
              <w:spacing w:after="0" w:line="400" w:lineRule="exact"/>
              <w:rPr>
                <w:rFonts w:hint="default" w:eastAsia="宋体" w:asciiTheme="minorEastAsia" w:hAnsiTheme="minorEastAsia" w:cstheme="minorEastAsia"/>
                <w:color w:val="auto"/>
                <w:sz w:val="24"/>
                <w:szCs w:val="24"/>
                <w:highlight w:val="none"/>
                <w:lang w:val="en-US" w:eastAsia="zh-CN"/>
              </w:rPr>
            </w:pPr>
            <w:r>
              <w:rPr>
                <w:rFonts w:hint="eastAsia" w:ascii="宋体" w:hAnsi="宋体" w:eastAsia="宋体" w:cs="宋体"/>
                <w:color w:val="auto"/>
                <w:sz w:val="24"/>
                <w:szCs w:val="24"/>
                <w:highlight w:val="none"/>
              </w:rPr>
              <w:t>有详细的加工流程整体设计方案，主要包括档案交接、扫描前处理、档案扫描、影像处理、目录建库、质检流程、数据挂接、装订还原等；本项目实施技术方案是否符合</w:t>
            </w:r>
            <w:r>
              <w:rPr>
                <w:rFonts w:hint="eastAsia" w:ascii="宋体" w:hAnsi="宋体" w:eastAsia="宋体" w:cs="宋体"/>
                <w:color w:val="auto"/>
                <w:kern w:val="0"/>
                <w:sz w:val="24"/>
                <w:highlight w:val="none"/>
                <w:lang w:val="en-US" w:eastAsia="zh-CN"/>
              </w:rPr>
              <w:t>交易发起人</w:t>
            </w:r>
            <w:r>
              <w:rPr>
                <w:rFonts w:hint="eastAsia" w:ascii="宋体" w:hAnsi="宋体" w:eastAsia="宋体" w:cs="宋体"/>
                <w:color w:val="auto"/>
                <w:sz w:val="24"/>
                <w:szCs w:val="24"/>
                <w:highlight w:val="none"/>
              </w:rPr>
              <w:t>实际及方案的科学性、规范性和可操作性综合评定。</w:t>
            </w:r>
            <w:r>
              <w:rPr>
                <w:rFonts w:hint="eastAsia" w:ascii="宋体" w:hAnsi="宋体" w:cs="宋体"/>
                <w:color w:val="auto"/>
                <w:sz w:val="24"/>
                <w:szCs w:val="24"/>
                <w:highlight w:val="none"/>
                <w:lang w:val="en-US" w:eastAsia="zh-CN"/>
              </w:rPr>
              <w:t>分值：6-5-4-3-2-1-0</w:t>
            </w:r>
          </w:p>
        </w:tc>
        <w:tc>
          <w:tcPr>
            <w:tcW w:w="757" w:type="dxa"/>
            <w:noWrap/>
            <w:vAlign w:val="center"/>
          </w:tcPr>
          <w:p w14:paraId="040E04EF">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-6</w:t>
            </w:r>
          </w:p>
        </w:tc>
        <w:tc>
          <w:tcPr>
            <w:tcW w:w="1009" w:type="dxa"/>
            <w:noWrap/>
            <w:vAlign w:val="center"/>
          </w:tcPr>
          <w:p w14:paraId="6F29FAAD">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主观分</w:t>
            </w:r>
          </w:p>
        </w:tc>
      </w:tr>
      <w:tr w14:paraId="0DCD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7" w:type="dxa"/>
            <w:vMerge w:val="continue"/>
            <w:noWrap/>
            <w:vAlign w:val="center"/>
          </w:tcPr>
          <w:p w14:paraId="479423EA">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0A7A0D88">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277" w:type="dxa"/>
            <w:vMerge w:val="restart"/>
            <w:noWrap/>
            <w:vAlign w:val="center"/>
          </w:tcPr>
          <w:p w14:paraId="01C92A3B">
            <w:pPr>
              <w:spacing w:after="0"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color w:val="auto"/>
                <w:sz w:val="24"/>
                <w:szCs w:val="24"/>
                <w:highlight w:val="none"/>
                <w:lang w:val="zh-CN"/>
              </w:rPr>
              <w:t>响应方案中提供或使用主要设备的优劣等</w:t>
            </w:r>
          </w:p>
        </w:tc>
        <w:tc>
          <w:tcPr>
            <w:tcW w:w="5047" w:type="dxa"/>
            <w:noWrap/>
            <w:vAlign w:val="center"/>
          </w:tcPr>
          <w:p w14:paraId="30CB6D7E">
            <w:pPr>
              <w:spacing w:after="0" w:line="400" w:lineRule="exact"/>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须在响应方案中明确作业场地规划，所配备的硬件数量及规格，软件和网络环境配备情况等综合评定(主要硬件配置提供证明材料）</w:t>
            </w:r>
            <w:r>
              <w:rPr>
                <w:rFonts w:hint="eastAsia" w:ascii="宋体" w:hAnsi="宋体" w:cs="宋体"/>
                <w:color w:val="auto"/>
                <w:sz w:val="24"/>
                <w:szCs w:val="24"/>
                <w:highlight w:val="none"/>
                <w:lang w:val="en-US" w:eastAsia="zh-CN"/>
              </w:rPr>
              <w:t>分值：6-5-4-3-2-1-0</w:t>
            </w:r>
          </w:p>
        </w:tc>
        <w:tc>
          <w:tcPr>
            <w:tcW w:w="757" w:type="dxa"/>
            <w:noWrap/>
            <w:vAlign w:val="center"/>
          </w:tcPr>
          <w:p w14:paraId="3AB305B5">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-6</w:t>
            </w:r>
          </w:p>
        </w:tc>
        <w:tc>
          <w:tcPr>
            <w:tcW w:w="1009" w:type="dxa"/>
            <w:noWrap/>
            <w:vAlign w:val="center"/>
          </w:tcPr>
          <w:p w14:paraId="0B561341">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主观分</w:t>
            </w:r>
          </w:p>
        </w:tc>
      </w:tr>
      <w:tr w14:paraId="5E6F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97" w:type="dxa"/>
            <w:vMerge w:val="continue"/>
            <w:noWrap/>
            <w:vAlign w:val="center"/>
          </w:tcPr>
          <w:p w14:paraId="175F3F60">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6D8F2E23">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1277" w:type="dxa"/>
            <w:vMerge w:val="continue"/>
            <w:noWrap/>
            <w:vAlign w:val="center"/>
          </w:tcPr>
          <w:p w14:paraId="762AF4F8">
            <w:pPr>
              <w:spacing w:after="0" w:line="400" w:lineRule="exact"/>
              <w:jc w:val="center"/>
              <w:rPr>
                <w:rFonts w:hint="eastAsia" w:asciiTheme="minorEastAsia" w:hAnsiTheme="minorEastAsia" w:eastAsiaTheme="minorEastAsia" w:cstheme="minorEastAsia"/>
                <w:color w:val="auto"/>
                <w:sz w:val="24"/>
                <w:szCs w:val="24"/>
                <w:highlight w:val="none"/>
                <w:lang w:eastAsia="zh-CN"/>
              </w:rPr>
            </w:pPr>
          </w:p>
        </w:tc>
        <w:tc>
          <w:tcPr>
            <w:tcW w:w="5047" w:type="dxa"/>
            <w:noWrap/>
            <w:vAlign w:val="center"/>
          </w:tcPr>
          <w:p w14:paraId="7D9ED480">
            <w:pPr>
              <w:spacing w:after="0" w:line="400" w:lineRule="exact"/>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配备的软件中，具有自主知识产权的数字档案管理类软件著作权证书、数字化加工类软件著作权证书、数据质量检测类软件著作权证书、数字化加工安全管理类软件著作权证书，每具有一个得1分，最高得4分。【有效证明材料：提供相关软件著作权证书】</w:t>
            </w:r>
          </w:p>
        </w:tc>
        <w:tc>
          <w:tcPr>
            <w:tcW w:w="757" w:type="dxa"/>
            <w:noWrap/>
            <w:vAlign w:val="center"/>
          </w:tcPr>
          <w:p w14:paraId="261BE06D">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0-4</w:t>
            </w:r>
          </w:p>
        </w:tc>
        <w:tc>
          <w:tcPr>
            <w:tcW w:w="1009" w:type="dxa"/>
            <w:noWrap/>
            <w:vAlign w:val="center"/>
          </w:tcPr>
          <w:p w14:paraId="1F2FB1CF">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客观分</w:t>
            </w:r>
          </w:p>
        </w:tc>
      </w:tr>
      <w:tr w14:paraId="0577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97" w:type="dxa"/>
            <w:vMerge w:val="continue"/>
            <w:noWrap/>
            <w:vAlign w:val="center"/>
          </w:tcPr>
          <w:p w14:paraId="08A99FE9">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4168D255">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277" w:type="dxa"/>
            <w:noWrap/>
            <w:vAlign w:val="center"/>
          </w:tcPr>
          <w:p w14:paraId="6C437B5F">
            <w:pPr>
              <w:spacing w:after="0"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zh-CN"/>
              </w:rPr>
              <w:t>保证进度和项目完成的方案和措施等</w:t>
            </w:r>
          </w:p>
        </w:tc>
        <w:tc>
          <w:tcPr>
            <w:tcW w:w="5047" w:type="dxa"/>
            <w:noWrap/>
            <w:vAlign w:val="center"/>
          </w:tcPr>
          <w:p w14:paraId="47CB466A">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项目实施进度计划安排、项目管理情况、工作流程、质量控制及差错防范的科学性、合理性、规范性和可操作性等综合评定。</w:t>
            </w:r>
          </w:p>
          <w:p w14:paraId="74F15049">
            <w:pPr>
              <w:spacing w:after="0" w:line="4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分值：6-5-4-3-2-1-0</w:t>
            </w:r>
          </w:p>
        </w:tc>
        <w:tc>
          <w:tcPr>
            <w:tcW w:w="757" w:type="dxa"/>
            <w:noWrap/>
            <w:vAlign w:val="center"/>
          </w:tcPr>
          <w:p w14:paraId="03B8BD35">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-6</w:t>
            </w:r>
          </w:p>
        </w:tc>
        <w:tc>
          <w:tcPr>
            <w:tcW w:w="1009" w:type="dxa"/>
            <w:noWrap/>
            <w:vAlign w:val="center"/>
          </w:tcPr>
          <w:p w14:paraId="7752B384">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主观分</w:t>
            </w:r>
          </w:p>
        </w:tc>
      </w:tr>
      <w:tr w14:paraId="6B21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97" w:type="dxa"/>
            <w:vMerge w:val="continue"/>
            <w:noWrap/>
            <w:vAlign w:val="center"/>
          </w:tcPr>
          <w:p w14:paraId="73CCC7F7">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04389D57">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277" w:type="dxa"/>
            <w:vMerge w:val="restart"/>
            <w:noWrap/>
            <w:vAlign w:val="center"/>
          </w:tcPr>
          <w:p w14:paraId="647BC397">
            <w:pPr>
              <w:spacing w:after="0"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color w:val="auto"/>
                <w:sz w:val="24"/>
                <w:szCs w:val="24"/>
                <w:highlight w:val="none"/>
              </w:rPr>
              <w:t>项目负责人及技术力量安排等</w:t>
            </w:r>
          </w:p>
        </w:tc>
        <w:tc>
          <w:tcPr>
            <w:tcW w:w="5047" w:type="dxa"/>
            <w:noWrap/>
            <w:vAlign w:val="center"/>
          </w:tcPr>
          <w:p w14:paraId="52388883">
            <w:pPr>
              <w:spacing w:after="0"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拟派项目负责人具有</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年以上从事档案数字化项目服务经验并承诺常驻项目组的（需出具承诺书），得2分，没有不得分。</w:t>
            </w:r>
          </w:p>
          <w:p w14:paraId="2C277C39">
            <w:pPr>
              <w:spacing w:after="0"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【有效证明材料：提供相关承诺书】</w:t>
            </w:r>
          </w:p>
        </w:tc>
        <w:tc>
          <w:tcPr>
            <w:tcW w:w="757" w:type="dxa"/>
            <w:noWrap/>
            <w:vAlign w:val="center"/>
          </w:tcPr>
          <w:p w14:paraId="49F45B79">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0-2</w:t>
            </w:r>
          </w:p>
        </w:tc>
        <w:tc>
          <w:tcPr>
            <w:tcW w:w="1009" w:type="dxa"/>
            <w:noWrap/>
            <w:vAlign w:val="center"/>
          </w:tcPr>
          <w:p w14:paraId="5787075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客观分</w:t>
            </w:r>
          </w:p>
        </w:tc>
      </w:tr>
      <w:tr w14:paraId="5624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7" w:type="dxa"/>
            <w:vMerge w:val="continue"/>
            <w:noWrap/>
            <w:vAlign w:val="center"/>
          </w:tcPr>
          <w:p w14:paraId="783810AA">
            <w:pPr>
              <w:keepNext w:val="0"/>
              <w:keepLines w:val="0"/>
              <w:pageBreakBefore w:val="0"/>
              <w:widowControl/>
              <w:kinsoku/>
              <w:wordWrap/>
              <w:overflowPunct/>
              <w:topLinePunct w:val="0"/>
              <w:autoSpaceDE/>
              <w:autoSpaceDN/>
              <w:bidi w:val="0"/>
              <w:snapToGrid/>
              <w:spacing w:after="0" w:line="400" w:lineRule="exact"/>
              <w:jc w:val="center"/>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39E5BC2B">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277" w:type="dxa"/>
            <w:vMerge w:val="continue"/>
            <w:noWrap/>
            <w:vAlign w:val="center"/>
          </w:tcPr>
          <w:p w14:paraId="528C9C97">
            <w:pPr>
              <w:spacing w:after="0" w:line="400" w:lineRule="exact"/>
              <w:jc w:val="center"/>
              <w:rPr>
                <w:rFonts w:hint="eastAsia" w:asciiTheme="minorEastAsia" w:hAnsiTheme="minorEastAsia" w:eastAsiaTheme="minorEastAsia" w:cstheme="minorEastAsia"/>
                <w:color w:val="auto"/>
                <w:sz w:val="24"/>
                <w:szCs w:val="24"/>
                <w:highlight w:val="none"/>
              </w:rPr>
            </w:pPr>
          </w:p>
        </w:tc>
        <w:tc>
          <w:tcPr>
            <w:tcW w:w="5047" w:type="dxa"/>
            <w:noWrap/>
            <w:vAlign w:val="center"/>
          </w:tcPr>
          <w:p w14:paraId="7538FD3D">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项目负责人具有人社部门颁发的档案专业</w:t>
            </w:r>
            <w:r>
              <w:rPr>
                <w:rFonts w:hint="eastAsia" w:ascii="宋体" w:hAnsi="宋体" w:cs="宋体"/>
                <w:color w:val="auto"/>
                <w:sz w:val="24"/>
                <w:szCs w:val="24"/>
                <w:highlight w:val="none"/>
                <w:lang w:val="en-US" w:eastAsia="zh-CN"/>
              </w:rPr>
              <w:t>中级及以上</w:t>
            </w:r>
            <w:r>
              <w:rPr>
                <w:rFonts w:hint="eastAsia" w:ascii="宋体" w:hAnsi="宋体" w:eastAsia="宋体" w:cs="宋体"/>
                <w:color w:val="auto"/>
                <w:sz w:val="24"/>
                <w:szCs w:val="24"/>
                <w:highlight w:val="none"/>
              </w:rPr>
              <w:t>职称证书、</w:t>
            </w:r>
            <w:r>
              <w:rPr>
                <w:rFonts w:hint="eastAsia" w:ascii="宋体" w:hAnsi="宋体" w:cs="宋体"/>
                <w:color w:val="auto"/>
                <w:sz w:val="24"/>
                <w:szCs w:val="24"/>
                <w:highlight w:val="none"/>
                <w:lang w:val="en-US" w:eastAsia="zh-CN"/>
              </w:rPr>
              <w:t>人社部门颁发的信息系统项目管理师证书、</w:t>
            </w:r>
            <w:r>
              <w:rPr>
                <w:rFonts w:hint="eastAsia" w:ascii="宋体" w:hAnsi="宋体" w:eastAsia="宋体" w:cs="宋体"/>
                <w:color w:val="auto"/>
                <w:sz w:val="24"/>
                <w:szCs w:val="24"/>
                <w:highlight w:val="none"/>
              </w:rPr>
              <w:t>省级及以上档案相关部门颁发的</w:t>
            </w:r>
            <w:r>
              <w:rPr>
                <w:rFonts w:hint="eastAsia" w:ascii="宋体" w:hAnsi="宋体" w:cs="宋体"/>
                <w:color w:val="auto"/>
                <w:sz w:val="24"/>
                <w:szCs w:val="24"/>
                <w:highlight w:val="none"/>
                <w:lang w:val="en-US" w:eastAsia="zh-CN"/>
              </w:rPr>
              <w:t>档案专业人员岗位培训</w:t>
            </w:r>
            <w:r>
              <w:rPr>
                <w:rFonts w:hint="eastAsia" w:ascii="宋体" w:hAnsi="宋体" w:eastAsia="宋体" w:cs="宋体"/>
                <w:color w:val="auto"/>
                <w:sz w:val="24"/>
                <w:szCs w:val="24"/>
                <w:highlight w:val="none"/>
              </w:rPr>
              <w:t>证书，每个得2分，最高得6分。</w:t>
            </w:r>
          </w:p>
          <w:p w14:paraId="3BB921BD">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【有效证明材料：提供相关证书并提供在本企业缴纳的有效社会保险证明。社会保险证明：应由社保部门出具且需满足最近三个月</w:t>
            </w:r>
            <w:r>
              <w:rPr>
                <w:rFonts w:hint="eastAsia" w:ascii="宋体" w:hAnsi="宋体" w:cs="宋体"/>
                <w:color w:val="auto"/>
                <w:sz w:val="24"/>
                <w:szCs w:val="24"/>
                <w:highlight w:val="none"/>
                <w:lang w:val="en-US" w:eastAsia="zh-CN"/>
              </w:rPr>
              <w:t>中任意一个月</w:t>
            </w:r>
            <w:r>
              <w:rPr>
                <w:rFonts w:hint="eastAsia" w:ascii="宋体" w:hAnsi="宋体" w:eastAsia="宋体" w:cs="宋体"/>
                <w:color w:val="auto"/>
                <w:sz w:val="24"/>
                <w:szCs w:val="24"/>
                <w:highlight w:val="none"/>
              </w:rPr>
              <w:t>在本企业缴纳的时间要求。】</w:t>
            </w:r>
          </w:p>
        </w:tc>
        <w:tc>
          <w:tcPr>
            <w:tcW w:w="757" w:type="dxa"/>
            <w:noWrap/>
            <w:vAlign w:val="center"/>
          </w:tcPr>
          <w:p w14:paraId="5260A539">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0-6</w:t>
            </w:r>
          </w:p>
        </w:tc>
        <w:tc>
          <w:tcPr>
            <w:tcW w:w="1009" w:type="dxa"/>
            <w:noWrap/>
            <w:vAlign w:val="center"/>
          </w:tcPr>
          <w:p w14:paraId="6DD1A614">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客观分</w:t>
            </w:r>
          </w:p>
        </w:tc>
      </w:tr>
      <w:tr w14:paraId="6CD6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97" w:type="dxa"/>
            <w:vMerge w:val="continue"/>
            <w:noWrap/>
            <w:vAlign w:val="center"/>
          </w:tcPr>
          <w:p w14:paraId="59B40C3E">
            <w:pPr>
              <w:keepNext w:val="0"/>
              <w:keepLines w:val="0"/>
              <w:pageBreakBefore w:val="0"/>
              <w:widowControl/>
              <w:kinsoku/>
              <w:wordWrap/>
              <w:overflowPunct/>
              <w:topLinePunct w:val="0"/>
              <w:autoSpaceDE/>
              <w:autoSpaceDN/>
              <w:bidi w:val="0"/>
              <w:snapToGrid/>
              <w:spacing w:after="0" w:line="400" w:lineRule="exact"/>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7F74708E">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1277" w:type="dxa"/>
            <w:vMerge w:val="continue"/>
            <w:noWrap/>
            <w:vAlign w:val="center"/>
          </w:tcPr>
          <w:p w14:paraId="28727388">
            <w:pPr>
              <w:spacing w:after="0" w:line="400" w:lineRule="exact"/>
              <w:jc w:val="center"/>
              <w:rPr>
                <w:rFonts w:hint="eastAsia" w:asciiTheme="minorEastAsia" w:hAnsiTheme="minorEastAsia" w:eastAsiaTheme="minorEastAsia" w:cstheme="minorEastAsia"/>
                <w:color w:val="auto"/>
                <w:sz w:val="24"/>
                <w:szCs w:val="24"/>
                <w:highlight w:val="none"/>
              </w:rPr>
            </w:pPr>
          </w:p>
        </w:tc>
        <w:tc>
          <w:tcPr>
            <w:tcW w:w="5047" w:type="dxa"/>
            <w:noWrap/>
            <w:vAlign w:val="center"/>
          </w:tcPr>
          <w:p w14:paraId="2B4BA8CE">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项目技术负责人具有人社部门颁发的</w:t>
            </w:r>
            <w:r>
              <w:rPr>
                <w:rFonts w:hint="eastAsia" w:ascii="宋体" w:hAnsi="宋体" w:cs="宋体"/>
                <w:color w:val="auto"/>
                <w:sz w:val="24"/>
                <w:szCs w:val="24"/>
                <w:highlight w:val="none"/>
                <w:lang w:val="en-US" w:eastAsia="zh-CN"/>
              </w:rPr>
              <w:t>高级工程师证书</w:t>
            </w:r>
            <w:r>
              <w:rPr>
                <w:rFonts w:hint="eastAsia" w:ascii="宋体" w:hAnsi="宋体" w:eastAsia="宋体" w:cs="宋体"/>
                <w:color w:val="auto"/>
                <w:sz w:val="24"/>
                <w:szCs w:val="24"/>
                <w:highlight w:val="none"/>
              </w:rPr>
              <w:t>、省级及以上档案相关部门颁发的档案</w:t>
            </w:r>
            <w:r>
              <w:rPr>
                <w:rFonts w:hint="eastAsia" w:ascii="宋体" w:hAnsi="宋体" w:cs="宋体"/>
                <w:color w:val="auto"/>
                <w:sz w:val="24"/>
                <w:szCs w:val="24"/>
                <w:highlight w:val="none"/>
                <w:lang w:val="en-US" w:eastAsia="zh-CN"/>
              </w:rPr>
              <w:t>信息安全保密培训证书、</w:t>
            </w:r>
            <w:r>
              <w:rPr>
                <w:rFonts w:hint="eastAsia" w:ascii="宋体" w:hAnsi="宋体" w:eastAsia="宋体" w:cs="宋体"/>
                <w:color w:val="auto"/>
                <w:sz w:val="24"/>
                <w:szCs w:val="24"/>
                <w:highlight w:val="none"/>
              </w:rPr>
              <w:t>省级及以上档案相关部门颁发的</w:t>
            </w:r>
            <w:r>
              <w:rPr>
                <w:rFonts w:hint="eastAsia" w:ascii="宋体" w:hAnsi="宋体" w:cs="宋体"/>
                <w:color w:val="auto"/>
                <w:sz w:val="24"/>
                <w:szCs w:val="24"/>
                <w:highlight w:val="none"/>
                <w:lang w:val="en-US" w:eastAsia="zh-CN"/>
              </w:rPr>
              <w:t>档案外包服务规范化管理培训</w:t>
            </w:r>
            <w:r>
              <w:rPr>
                <w:rFonts w:hint="eastAsia" w:ascii="宋体" w:hAnsi="宋体" w:eastAsia="宋体" w:cs="宋体"/>
                <w:color w:val="auto"/>
                <w:sz w:val="24"/>
                <w:szCs w:val="24"/>
                <w:highlight w:val="none"/>
              </w:rPr>
              <w:t>证书的，每个得1分，最高得3分。</w:t>
            </w:r>
          </w:p>
          <w:p w14:paraId="71EFF7B5">
            <w:pPr>
              <w:spacing w:after="0" w:line="400" w:lineRule="exac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【有效证明材料：提供相关证书并提供在本企业缴纳的有效社会保险证明。社会保险证明：应由社保部门出具且需满足最近三个月</w:t>
            </w:r>
            <w:r>
              <w:rPr>
                <w:rFonts w:hint="eastAsia" w:ascii="宋体" w:hAnsi="宋体" w:cs="宋体"/>
                <w:color w:val="auto"/>
                <w:sz w:val="24"/>
                <w:szCs w:val="24"/>
                <w:highlight w:val="none"/>
                <w:lang w:val="en-US" w:eastAsia="zh-CN"/>
              </w:rPr>
              <w:t>中任意一个月</w:t>
            </w:r>
            <w:r>
              <w:rPr>
                <w:rFonts w:hint="eastAsia" w:ascii="宋体" w:hAnsi="宋体" w:eastAsia="宋体" w:cs="宋体"/>
                <w:color w:val="auto"/>
                <w:sz w:val="24"/>
                <w:szCs w:val="24"/>
                <w:highlight w:val="none"/>
              </w:rPr>
              <w:t>在本企业缴纳的时间要求。】</w:t>
            </w:r>
          </w:p>
        </w:tc>
        <w:tc>
          <w:tcPr>
            <w:tcW w:w="757" w:type="dxa"/>
            <w:noWrap/>
            <w:vAlign w:val="center"/>
          </w:tcPr>
          <w:p w14:paraId="3B38E0EB">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0-3</w:t>
            </w:r>
          </w:p>
        </w:tc>
        <w:tc>
          <w:tcPr>
            <w:tcW w:w="1009" w:type="dxa"/>
            <w:noWrap/>
            <w:vAlign w:val="center"/>
          </w:tcPr>
          <w:p w14:paraId="0F008FD5">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客观分</w:t>
            </w:r>
          </w:p>
        </w:tc>
      </w:tr>
      <w:tr w14:paraId="6DFA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97" w:type="dxa"/>
            <w:vMerge w:val="continue"/>
            <w:noWrap/>
            <w:vAlign w:val="center"/>
          </w:tcPr>
          <w:p w14:paraId="1605A8E9">
            <w:pPr>
              <w:keepNext w:val="0"/>
              <w:keepLines w:val="0"/>
              <w:pageBreakBefore w:val="0"/>
              <w:widowControl/>
              <w:kinsoku/>
              <w:wordWrap/>
              <w:overflowPunct/>
              <w:topLinePunct w:val="0"/>
              <w:autoSpaceDE/>
              <w:autoSpaceDN/>
              <w:bidi w:val="0"/>
              <w:snapToGrid/>
              <w:spacing w:after="0" w:line="400" w:lineRule="exact"/>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446EFEFE">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1277" w:type="dxa"/>
            <w:vMerge w:val="continue"/>
            <w:noWrap/>
            <w:vAlign w:val="center"/>
          </w:tcPr>
          <w:p w14:paraId="0F80D13A">
            <w:pPr>
              <w:spacing w:after="0" w:line="400" w:lineRule="exact"/>
              <w:jc w:val="center"/>
              <w:rPr>
                <w:rFonts w:hint="eastAsia" w:asciiTheme="minorEastAsia" w:hAnsiTheme="minorEastAsia" w:eastAsiaTheme="minorEastAsia" w:cstheme="minorEastAsia"/>
                <w:color w:val="auto"/>
                <w:sz w:val="24"/>
                <w:szCs w:val="24"/>
                <w:highlight w:val="none"/>
              </w:rPr>
            </w:pPr>
          </w:p>
        </w:tc>
        <w:tc>
          <w:tcPr>
            <w:tcW w:w="5047" w:type="dxa"/>
            <w:noWrap/>
            <w:vAlign w:val="center"/>
          </w:tcPr>
          <w:p w14:paraId="366B5C5F">
            <w:pPr>
              <w:pStyle w:val="24"/>
              <w:spacing w:after="0" w:line="400" w:lineRule="exac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项目组成员</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除项目负责人和技术负责人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中同时具有人社部门颁发的档案中级及以上职称证书和档案管理岗位培训证书的，每人得1分，最高得6分。【有效证明材料：提供相关证书并提供在本企业缴纳的有效社会保险证明。社会保险证明：应由社保部门出具且需满足最近三个月</w:t>
            </w:r>
            <w:r>
              <w:rPr>
                <w:rFonts w:hint="eastAsia" w:ascii="宋体" w:hAnsi="宋体" w:cs="宋体"/>
                <w:color w:val="auto"/>
                <w:sz w:val="24"/>
                <w:szCs w:val="24"/>
                <w:highlight w:val="none"/>
                <w:lang w:val="en-US" w:eastAsia="zh-CN"/>
              </w:rPr>
              <w:t>中任意一个月</w:t>
            </w:r>
            <w:r>
              <w:rPr>
                <w:rFonts w:hint="eastAsia" w:ascii="宋体" w:hAnsi="宋体" w:eastAsia="宋体" w:cs="宋体"/>
                <w:color w:val="auto"/>
                <w:sz w:val="24"/>
                <w:szCs w:val="24"/>
                <w:highlight w:val="none"/>
              </w:rPr>
              <w:t>在本企业缴纳的时间要求。】</w:t>
            </w:r>
          </w:p>
        </w:tc>
        <w:tc>
          <w:tcPr>
            <w:tcW w:w="757" w:type="dxa"/>
            <w:noWrap/>
            <w:vAlign w:val="center"/>
          </w:tcPr>
          <w:p w14:paraId="7735EE1D">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0-6</w:t>
            </w:r>
          </w:p>
        </w:tc>
        <w:tc>
          <w:tcPr>
            <w:tcW w:w="1009" w:type="dxa"/>
            <w:noWrap/>
            <w:vAlign w:val="center"/>
          </w:tcPr>
          <w:p w14:paraId="32E13E5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客观分</w:t>
            </w:r>
          </w:p>
        </w:tc>
      </w:tr>
      <w:tr w14:paraId="6B8F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7" w:type="dxa"/>
            <w:vMerge w:val="continue"/>
            <w:noWrap/>
            <w:vAlign w:val="center"/>
          </w:tcPr>
          <w:p w14:paraId="550A03B0">
            <w:pPr>
              <w:keepNext w:val="0"/>
              <w:keepLines w:val="0"/>
              <w:pageBreakBefore w:val="0"/>
              <w:widowControl/>
              <w:kinsoku/>
              <w:wordWrap/>
              <w:overflowPunct/>
              <w:topLinePunct w:val="0"/>
              <w:autoSpaceDE/>
              <w:autoSpaceDN/>
              <w:bidi w:val="0"/>
              <w:snapToGrid/>
              <w:spacing w:after="0" w:line="400" w:lineRule="exact"/>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11F96A7F">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1277" w:type="dxa"/>
            <w:vMerge w:val="continue"/>
            <w:noWrap/>
            <w:vAlign w:val="center"/>
          </w:tcPr>
          <w:p w14:paraId="47A29665">
            <w:pPr>
              <w:pStyle w:val="25"/>
              <w:ind w:firstLine="420" w:firstLineChars="0"/>
              <w:rPr>
                <w:rFonts w:hint="eastAsia" w:asciiTheme="minorEastAsia" w:hAnsiTheme="minorEastAsia" w:eastAsiaTheme="minorEastAsia" w:cstheme="minorEastAsia"/>
                <w:color w:val="auto"/>
                <w:sz w:val="24"/>
                <w:szCs w:val="24"/>
                <w:highlight w:val="none"/>
              </w:rPr>
            </w:pPr>
          </w:p>
        </w:tc>
        <w:tc>
          <w:tcPr>
            <w:tcW w:w="5047" w:type="dxa"/>
            <w:noWrap/>
            <w:vAlign w:val="center"/>
          </w:tcPr>
          <w:p w14:paraId="35CAB794">
            <w:pPr>
              <w:pStyle w:val="25"/>
              <w:spacing w:after="0"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根据项目组成员获得的相关证书、荣誉、经验情况等进行综合评定。</w:t>
            </w:r>
          </w:p>
          <w:p w14:paraId="113DAB16">
            <w:pPr>
              <w:pStyle w:val="25"/>
              <w:spacing w:after="0" w:line="40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lang w:val="en-US" w:eastAsia="zh-CN"/>
              </w:rPr>
              <w:t>分值：5-4-3-2-1-0</w:t>
            </w:r>
          </w:p>
        </w:tc>
        <w:tc>
          <w:tcPr>
            <w:tcW w:w="757" w:type="dxa"/>
            <w:noWrap/>
            <w:vAlign w:val="center"/>
          </w:tcPr>
          <w:p w14:paraId="01E3525C">
            <w:pPr>
              <w:pStyle w:val="25"/>
              <w:ind w:firstLine="0" w:firstLineChars="0"/>
              <w:jc w:val="center"/>
              <w:rPr>
                <w:rFonts w:hint="eastAsia" w:eastAsia="宋体" w:asciiTheme="minorEastAsia" w:hAnsiTheme="minorEastAsia" w:cstheme="minorEastAsia"/>
                <w:color w:val="auto"/>
                <w:sz w:val="24"/>
                <w:szCs w:val="24"/>
                <w:highlight w:val="none"/>
                <w:lang w:eastAsia="zh-CN"/>
              </w:rPr>
            </w:pP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w:t>
            </w:r>
            <w:r>
              <w:rPr>
                <w:rFonts w:hint="eastAsia" w:hAnsi="宋体" w:cs="宋体"/>
                <w:color w:val="auto"/>
                <w:sz w:val="24"/>
                <w:szCs w:val="24"/>
                <w:highlight w:val="none"/>
                <w:lang w:val="en-US" w:eastAsia="zh-CN"/>
              </w:rPr>
              <w:t>5</w:t>
            </w:r>
          </w:p>
        </w:tc>
        <w:tc>
          <w:tcPr>
            <w:tcW w:w="1009" w:type="dxa"/>
            <w:noWrap/>
            <w:vAlign w:val="center"/>
          </w:tcPr>
          <w:p w14:paraId="42C38BD4">
            <w:pPr>
              <w:pStyle w:val="25"/>
              <w:ind w:firstLine="0" w:firstLineChars="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主观分</w:t>
            </w:r>
          </w:p>
        </w:tc>
      </w:tr>
      <w:tr w14:paraId="68F2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7" w:type="dxa"/>
            <w:vMerge w:val="continue"/>
            <w:noWrap/>
            <w:vAlign w:val="center"/>
          </w:tcPr>
          <w:p w14:paraId="2266CD71">
            <w:pPr>
              <w:keepNext w:val="0"/>
              <w:keepLines w:val="0"/>
              <w:pageBreakBefore w:val="0"/>
              <w:widowControl/>
              <w:kinsoku/>
              <w:wordWrap/>
              <w:overflowPunct/>
              <w:topLinePunct w:val="0"/>
              <w:autoSpaceDE/>
              <w:autoSpaceDN/>
              <w:bidi w:val="0"/>
              <w:snapToGrid/>
              <w:spacing w:after="0" w:line="400" w:lineRule="exact"/>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1FCC6518">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1277" w:type="dxa"/>
            <w:noWrap/>
            <w:vAlign w:val="center"/>
          </w:tcPr>
          <w:p w14:paraId="0AB3FD51">
            <w:pPr>
              <w:spacing w:after="0"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zh-CN"/>
              </w:rPr>
              <w:t>对本项目的合理化建议（综合评定）</w:t>
            </w:r>
          </w:p>
        </w:tc>
        <w:tc>
          <w:tcPr>
            <w:tcW w:w="5047" w:type="dxa"/>
            <w:noWrap/>
            <w:vAlign w:val="center"/>
          </w:tcPr>
          <w:p w14:paraId="09A24D93">
            <w:pPr>
              <w:spacing w:after="0" w:line="400" w:lineRule="exac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有切实可行的其它合理化建议和优化建议的。</w:t>
            </w:r>
            <w:r>
              <w:rPr>
                <w:rFonts w:hint="eastAsia" w:ascii="宋体" w:hAnsi="宋体" w:cs="宋体"/>
                <w:color w:val="auto"/>
                <w:sz w:val="24"/>
                <w:szCs w:val="24"/>
                <w:highlight w:val="none"/>
                <w:lang w:val="en-US" w:eastAsia="zh-CN"/>
              </w:rPr>
              <w:t>分值：5-4-3-2-1-0</w:t>
            </w:r>
          </w:p>
        </w:tc>
        <w:tc>
          <w:tcPr>
            <w:tcW w:w="757" w:type="dxa"/>
            <w:noWrap/>
            <w:vAlign w:val="center"/>
          </w:tcPr>
          <w:p w14:paraId="4E21CE38">
            <w:pPr>
              <w:spacing w:line="400" w:lineRule="exact"/>
              <w:jc w:val="center"/>
              <w:rPr>
                <w:rFonts w:hint="eastAsia" w:eastAsia="宋体" w:asciiTheme="minorEastAsia" w:hAnsiTheme="minorEastAsia" w:cstheme="minorEastAsia"/>
                <w:color w:val="auto"/>
                <w:sz w:val="24"/>
                <w:szCs w:val="24"/>
                <w:highlight w:val="none"/>
                <w:lang w:eastAsia="zh-CN"/>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p>
        </w:tc>
        <w:tc>
          <w:tcPr>
            <w:tcW w:w="1009" w:type="dxa"/>
            <w:noWrap/>
            <w:vAlign w:val="center"/>
          </w:tcPr>
          <w:p w14:paraId="407B2BDC">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主观分</w:t>
            </w:r>
          </w:p>
        </w:tc>
      </w:tr>
      <w:tr w14:paraId="0D9A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7" w:type="dxa"/>
            <w:vMerge w:val="continue"/>
            <w:noWrap/>
            <w:vAlign w:val="center"/>
          </w:tcPr>
          <w:p w14:paraId="3F936E78">
            <w:pPr>
              <w:keepNext w:val="0"/>
              <w:keepLines w:val="0"/>
              <w:pageBreakBefore w:val="0"/>
              <w:widowControl/>
              <w:kinsoku/>
              <w:wordWrap/>
              <w:overflowPunct/>
              <w:topLinePunct w:val="0"/>
              <w:autoSpaceDE/>
              <w:autoSpaceDN/>
              <w:bidi w:val="0"/>
              <w:snapToGrid/>
              <w:spacing w:after="0" w:line="400" w:lineRule="exact"/>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72F8B90A">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1277" w:type="dxa"/>
            <w:noWrap/>
            <w:vAlign w:val="center"/>
          </w:tcPr>
          <w:p w14:paraId="644B6049">
            <w:pPr>
              <w:spacing w:after="0"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安全保密管理</w:t>
            </w:r>
          </w:p>
        </w:tc>
        <w:tc>
          <w:tcPr>
            <w:tcW w:w="5047" w:type="dxa"/>
            <w:noWrap/>
            <w:vAlign w:val="center"/>
          </w:tcPr>
          <w:p w14:paraId="5C4E9C4D">
            <w:pPr>
              <w:spacing w:after="0" w:line="400" w:lineRule="exac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项目安全保密措施的严密性、可靠性、可操作性。从制度、措施（包括人员、设备、数据及档案安全管理措施）、流程和规范（如何控制和表单管理）等方面进行综合评定。</w:t>
            </w:r>
            <w:r>
              <w:rPr>
                <w:rFonts w:hint="eastAsia" w:ascii="宋体" w:hAnsi="宋体" w:cs="宋体"/>
                <w:color w:val="auto"/>
                <w:sz w:val="24"/>
                <w:szCs w:val="24"/>
                <w:highlight w:val="none"/>
                <w:lang w:val="en-US" w:eastAsia="zh-CN"/>
              </w:rPr>
              <w:t>分值：6-5-4-3-2-1-0</w:t>
            </w:r>
          </w:p>
        </w:tc>
        <w:tc>
          <w:tcPr>
            <w:tcW w:w="757" w:type="dxa"/>
            <w:noWrap/>
            <w:vAlign w:val="center"/>
          </w:tcPr>
          <w:p w14:paraId="5EB3D77A">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-6</w:t>
            </w:r>
          </w:p>
        </w:tc>
        <w:tc>
          <w:tcPr>
            <w:tcW w:w="1009" w:type="dxa"/>
            <w:noWrap/>
            <w:vAlign w:val="center"/>
          </w:tcPr>
          <w:p w14:paraId="5BE6045F">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主观分</w:t>
            </w:r>
          </w:p>
        </w:tc>
      </w:tr>
      <w:tr w14:paraId="59D1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797" w:type="dxa"/>
            <w:vMerge w:val="continue"/>
            <w:noWrap/>
            <w:vAlign w:val="center"/>
          </w:tcPr>
          <w:p w14:paraId="4651D866">
            <w:pPr>
              <w:keepNext w:val="0"/>
              <w:keepLines w:val="0"/>
              <w:pageBreakBefore w:val="0"/>
              <w:widowControl/>
              <w:kinsoku/>
              <w:wordWrap/>
              <w:overflowPunct/>
              <w:topLinePunct w:val="0"/>
              <w:autoSpaceDE/>
              <w:autoSpaceDN/>
              <w:bidi w:val="0"/>
              <w:snapToGrid/>
              <w:spacing w:after="0" w:line="400" w:lineRule="exact"/>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0E8A9E52">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1277" w:type="dxa"/>
            <w:vMerge w:val="restart"/>
            <w:noWrap/>
            <w:vAlign w:val="center"/>
          </w:tcPr>
          <w:p w14:paraId="64355C3B">
            <w:pPr>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tc>
        <w:tc>
          <w:tcPr>
            <w:tcW w:w="5047" w:type="dxa"/>
            <w:noWrap/>
            <w:vAlign w:val="center"/>
          </w:tcPr>
          <w:p w14:paraId="0C7E11C7">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服务人员的稳定性、人员数量等；服务方案及承诺（包括但不仅限于维护期、服务响应时间、服务质量等）的完整性、可行性，对用户的档案管理水平提升实际有操作意义的相关承诺等综合评定。服务方案及承诺（包括但不仅限于维护期、服务质量等）。</w:t>
            </w:r>
          </w:p>
          <w:p w14:paraId="79427B57">
            <w:pPr>
              <w:spacing w:after="0" w:line="4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分值：6-5-4-3-2-1-0</w:t>
            </w:r>
          </w:p>
        </w:tc>
        <w:tc>
          <w:tcPr>
            <w:tcW w:w="757" w:type="dxa"/>
            <w:noWrap/>
            <w:vAlign w:val="center"/>
          </w:tcPr>
          <w:p w14:paraId="1A3CF9A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-6</w:t>
            </w:r>
          </w:p>
        </w:tc>
        <w:tc>
          <w:tcPr>
            <w:tcW w:w="1009" w:type="dxa"/>
            <w:noWrap/>
            <w:vAlign w:val="center"/>
          </w:tcPr>
          <w:p w14:paraId="3E78FCE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98D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7" w:type="dxa"/>
            <w:vMerge w:val="continue"/>
            <w:noWrap/>
            <w:vAlign w:val="center"/>
          </w:tcPr>
          <w:p w14:paraId="305A009C">
            <w:pPr>
              <w:keepNext w:val="0"/>
              <w:keepLines w:val="0"/>
              <w:pageBreakBefore w:val="0"/>
              <w:widowControl/>
              <w:kinsoku/>
              <w:wordWrap/>
              <w:overflowPunct/>
              <w:topLinePunct w:val="0"/>
              <w:autoSpaceDE/>
              <w:autoSpaceDN/>
              <w:bidi w:val="0"/>
              <w:snapToGrid/>
              <w:spacing w:after="0" w:line="400" w:lineRule="exact"/>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5B051260">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1277" w:type="dxa"/>
            <w:vMerge w:val="restart"/>
            <w:noWrap/>
            <w:vAlign w:val="center"/>
          </w:tcPr>
          <w:p w14:paraId="4A043B04">
            <w:pPr>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质保措施</w:t>
            </w:r>
          </w:p>
        </w:tc>
        <w:tc>
          <w:tcPr>
            <w:tcW w:w="5047" w:type="dxa"/>
            <w:noWrap/>
            <w:vAlign w:val="center"/>
          </w:tcPr>
          <w:p w14:paraId="65A7788B">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有明确的质量保证目标，质量保证措施和体系具有详细的实施内容等进行综合评定。</w:t>
            </w:r>
            <w:r>
              <w:rPr>
                <w:rFonts w:hint="eastAsia" w:ascii="宋体" w:hAnsi="宋体" w:cs="宋体"/>
                <w:color w:val="auto"/>
                <w:sz w:val="24"/>
                <w:szCs w:val="24"/>
                <w:highlight w:val="none"/>
                <w:lang w:val="en-US" w:eastAsia="zh-CN"/>
              </w:rPr>
              <w:t>分值：6-5-4-3-2-1-0</w:t>
            </w:r>
          </w:p>
        </w:tc>
        <w:tc>
          <w:tcPr>
            <w:tcW w:w="757" w:type="dxa"/>
            <w:noWrap/>
            <w:vAlign w:val="center"/>
          </w:tcPr>
          <w:p w14:paraId="172B018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-6</w:t>
            </w:r>
          </w:p>
        </w:tc>
        <w:tc>
          <w:tcPr>
            <w:tcW w:w="1009" w:type="dxa"/>
            <w:noWrap/>
            <w:vAlign w:val="center"/>
          </w:tcPr>
          <w:p w14:paraId="432A2B1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5C9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7" w:type="dxa"/>
            <w:vMerge w:val="continue"/>
            <w:noWrap/>
            <w:vAlign w:val="center"/>
          </w:tcPr>
          <w:p w14:paraId="09047A97">
            <w:pPr>
              <w:keepNext w:val="0"/>
              <w:keepLines w:val="0"/>
              <w:pageBreakBefore w:val="0"/>
              <w:widowControl/>
              <w:kinsoku/>
              <w:wordWrap/>
              <w:overflowPunct/>
              <w:topLinePunct w:val="0"/>
              <w:autoSpaceDE/>
              <w:autoSpaceDN/>
              <w:bidi w:val="0"/>
              <w:snapToGrid/>
              <w:spacing w:after="0" w:line="400" w:lineRule="exact"/>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05274F58">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1277" w:type="dxa"/>
            <w:vMerge w:val="continue"/>
            <w:noWrap/>
            <w:vAlign w:val="center"/>
          </w:tcPr>
          <w:p w14:paraId="5993737E">
            <w:pPr>
              <w:spacing w:after="0" w:line="400" w:lineRule="exact"/>
              <w:jc w:val="center"/>
              <w:rPr>
                <w:rFonts w:hint="eastAsia" w:ascii="宋体" w:hAnsi="宋体" w:eastAsia="宋体" w:cs="宋体"/>
                <w:color w:val="auto"/>
                <w:sz w:val="24"/>
                <w:szCs w:val="24"/>
                <w:highlight w:val="none"/>
              </w:rPr>
            </w:pPr>
          </w:p>
        </w:tc>
        <w:tc>
          <w:tcPr>
            <w:tcW w:w="5047" w:type="dxa"/>
            <w:noWrap/>
            <w:vAlign w:val="center"/>
          </w:tcPr>
          <w:p w14:paraId="62C19DBA">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承诺成交后，提供2年质保服务。质量保证期内发现缺失、遗漏、错误等现象的，由</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无偿修改完善或补正。提供承诺书满足的得1分，不满足不得分。【有效证明材料：提供承诺书，承诺书格式自拟】</w:t>
            </w:r>
          </w:p>
        </w:tc>
        <w:tc>
          <w:tcPr>
            <w:tcW w:w="757" w:type="dxa"/>
            <w:noWrap/>
            <w:vAlign w:val="center"/>
          </w:tcPr>
          <w:p w14:paraId="664BF84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1009" w:type="dxa"/>
            <w:noWrap/>
            <w:vAlign w:val="center"/>
          </w:tcPr>
          <w:p w14:paraId="25CCF05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E59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7" w:type="dxa"/>
            <w:vMerge w:val="continue"/>
            <w:noWrap/>
            <w:vAlign w:val="center"/>
          </w:tcPr>
          <w:p w14:paraId="442F1176">
            <w:pPr>
              <w:keepNext w:val="0"/>
              <w:keepLines w:val="0"/>
              <w:pageBreakBefore w:val="0"/>
              <w:widowControl/>
              <w:kinsoku/>
              <w:wordWrap/>
              <w:overflowPunct/>
              <w:topLinePunct w:val="0"/>
              <w:autoSpaceDE/>
              <w:autoSpaceDN/>
              <w:bidi w:val="0"/>
              <w:snapToGrid/>
              <w:spacing w:after="0" w:line="400" w:lineRule="exact"/>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406CBB6B">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1277" w:type="dxa"/>
            <w:vMerge w:val="continue"/>
            <w:noWrap/>
            <w:vAlign w:val="center"/>
          </w:tcPr>
          <w:p w14:paraId="1D99096C">
            <w:pPr>
              <w:spacing w:after="0" w:line="400" w:lineRule="exact"/>
              <w:jc w:val="center"/>
              <w:rPr>
                <w:rFonts w:hint="eastAsia" w:ascii="宋体" w:hAnsi="宋体" w:eastAsia="宋体" w:cs="宋体"/>
                <w:color w:val="auto"/>
                <w:sz w:val="24"/>
                <w:szCs w:val="24"/>
                <w:highlight w:val="none"/>
              </w:rPr>
            </w:pPr>
          </w:p>
        </w:tc>
        <w:tc>
          <w:tcPr>
            <w:tcW w:w="5047" w:type="dxa"/>
            <w:noWrap/>
            <w:vAlign w:val="center"/>
          </w:tcPr>
          <w:p w14:paraId="2E97FF14">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承诺成交后，接到</w:t>
            </w:r>
            <w:r>
              <w:rPr>
                <w:rFonts w:hint="eastAsia" w:ascii="宋体" w:hAnsi="宋体" w:eastAsia="宋体" w:cs="宋体"/>
                <w:color w:val="auto"/>
                <w:sz w:val="24"/>
                <w:szCs w:val="24"/>
                <w:highlight w:val="none"/>
                <w:lang w:val="en-US" w:eastAsia="zh-CN"/>
              </w:rPr>
              <w:t>交易发起</w:t>
            </w:r>
            <w:r>
              <w:rPr>
                <w:rFonts w:hint="eastAsia" w:ascii="宋体" w:hAnsi="宋体" w:eastAsia="宋体" w:cs="宋体"/>
                <w:color w:val="auto"/>
                <w:sz w:val="24"/>
                <w:szCs w:val="24"/>
                <w:highlight w:val="none"/>
              </w:rPr>
              <w:t>人提出故障申请，</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须在2小时内给予响应，并最迟在1个工作日内进行上门服务，并解决问题。提供承诺书满足的得2分，不满足的不得分。【有效证明材料：提供承诺书，承诺书格式自拟】</w:t>
            </w:r>
          </w:p>
        </w:tc>
        <w:tc>
          <w:tcPr>
            <w:tcW w:w="757" w:type="dxa"/>
            <w:noWrap/>
            <w:vAlign w:val="center"/>
          </w:tcPr>
          <w:p w14:paraId="01B2DE8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c>
          <w:tcPr>
            <w:tcW w:w="1009" w:type="dxa"/>
            <w:noWrap/>
            <w:vAlign w:val="center"/>
          </w:tcPr>
          <w:p w14:paraId="3A0CCF1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057C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7" w:type="dxa"/>
            <w:vMerge w:val="continue"/>
            <w:noWrap/>
            <w:vAlign w:val="center"/>
          </w:tcPr>
          <w:p w14:paraId="5AEB1CDE">
            <w:pPr>
              <w:keepNext w:val="0"/>
              <w:keepLines w:val="0"/>
              <w:pageBreakBefore w:val="0"/>
              <w:widowControl/>
              <w:kinsoku/>
              <w:wordWrap/>
              <w:overflowPunct/>
              <w:topLinePunct w:val="0"/>
              <w:autoSpaceDE/>
              <w:autoSpaceDN/>
              <w:bidi w:val="0"/>
              <w:snapToGrid/>
              <w:spacing w:after="0" w:line="400" w:lineRule="exact"/>
              <w:textAlignment w:val="auto"/>
              <w:rPr>
                <w:rFonts w:hint="eastAsia" w:asciiTheme="minorEastAsia" w:hAnsiTheme="minorEastAsia" w:eastAsiaTheme="minorEastAsia" w:cstheme="minorEastAsia"/>
                <w:color w:val="auto"/>
                <w:sz w:val="24"/>
                <w:szCs w:val="24"/>
                <w:highlight w:val="none"/>
              </w:rPr>
            </w:pPr>
          </w:p>
        </w:tc>
        <w:tc>
          <w:tcPr>
            <w:tcW w:w="470" w:type="dxa"/>
            <w:noWrap/>
            <w:vAlign w:val="center"/>
          </w:tcPr>
          <w:p w14:paraId="26262FE7">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1277" w:type="dxa"/>
            <w:vMerge w:val="continue"/>
            <w:noWrap/>
            <w:vAlign w:val="center"/>
          </w:tcPr>
          <w:p w14:paraId="7EC64739">
            <w:pPr>
              <w:spacing w:after="0" w:line="400" w:lineRule="exact"/>
              <w:jc w:val="center"/>
              <w:rPr>
                <w:rFonts w:hint="eastAsia" w:ascii="宋体" w:hAnsi="宋体" w:eastAsia="宋体" w:cs="宋体"/>
                <w:color w:val="auto"/>
                <w:sz w:val="24"/>
                <w:szCs w:val="24"/>
                <w:highlight w:val="none"/>
              </w:rPr>
            </w:pPr>
          </w:p>
        </w:tc>
        <w:tc>
          <w:tcPr>
            <w:tcW w:w="5047" w:type="dxa"/>
            <w:noWrap/>
            <w:vAlign w:val="center"/>
          </w:tcPr>
          <w:p w14:paraId="5D3D52B6">
            <w:pPr>
              <w:spacing w:after="0"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具有区县级及以上政府部门颁发的政府质量奖的得2分</w:t>
            </w:r>
            <w:r>
              <w:rPr>
                <w:rFonts w:hint="eastAsia" w:ascii="宋体" w:hAnsi="宋体" w:eastAsia="宋体" w:cs="宋体"/>
                <w:color w:val="auto"/>
                <w:sz w:val="24"/>
                <w:szCs w:val="24"/>
                <w:highlight w:val="none"/>
                <w:lang w:eastAsia="zh-CN"/>
              </w:rPr>
              <w:t>。</w:t>
            </w:r>
          </w:p>
        </w:tc>
        <w:tc>
          <w:tcPr>
            <w:tcW w:w="757" w:type="dxa"/>
            <w:noWrap/>
            <w:vAlign w:val="center"/>
          </w:tcPr>
          <w:p w14:paraId="699B6CF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c>
          <w:tcPr>
            <w:tcW w:w="1009" w:type="dxa"/>
            <w:noWrap/>
            <w:vAlign w:val="center"/>
          </w:tcPr>
          <w:p w14:paraId="0EA2D79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7161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7" w:type="dxa"/>
            <w:vMerge w:val="continue"/>
            <w:noWrap/>
            <w:vAlign w:val="center"/>
          </w:tcPr>
          <w:p w14:paraId="67C05CD7">
            <w:pPr>
              <w:keepNext w:val="0"/>
              <w:keepLines w:val="0"/>
              <w:pageBreakBefore w:val="0"/>
              <w:widowControl/>
              <w:kinsoku/>
              <w:wordWrap/>
              <w:overflowPunct/>
              <w:topLinePunct w:val="0"/>
              <w:autoSpaceDE/>
              <w:autoSpaceDN/>
              <w:bidi w:val="0"/>
              <w:snapToGrid/>
              <w:spacing w:after="0" w:line="400" w:lineRule="exact"/>
              <w:textAlignment w:val="auto"/>
              <w:rPr>
                <w:rFonts w:hint="eastAsia" w:asciiTheme="minorEastAsia" w:hAnsiTheme="minorEastAsia" w:eastAsiaTheme="minorEastAsia" w:cstheme="minorEastAsia"/>
                <w:color w:val="auto"/>
                <w:sz w:val="24"/>
                <w:szCs w:val="24"/>
                <w:highlight w:val="none"/>
              </w:rPr>
            </w:pPr>
            <w:bookmarkStart w:id="384" w:name="_GoBack" w:colFirst="2" w:colLast="3"/>
          </w:p>
        </w:tc>
        <w:tc>
          <w:tcPr>
            <w:tcW w:w="470" w:type="dxa"/>
            <w:noWrap/>
            <w:vAlign w:val="center"/>
          </w:tcPr>
          <w:p w14:paraId="1AA331CF">
            <w:pPr>
              <w:keepNext w:val="0"/>
              <w:keepLines w:val="0"/>
              <w:pageBreakBefore w:val="0"/>
              <w:widowControl/>
              <w:kinsoku/>
              <w:wordWrap/>
              <w:overflowPunct/>
              <w:topLinePunct w:val="0"/>
              <w:autoSpaceDE/>
              <w:autoSpaceDN/>
              <w:bidi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1277" w:type="dxa"/>
            <w:noWrap/>
            <w:vAlign w:val="center"/>
          </w:tcPr>
          <w:p w14:paraId="6411E331">
            <w:pPr>
              <w:spacing w:after="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w:t>
            </w:r>
          </w:p>
        </w:tc>
        <w:tc>
          <w:tcPr>
            <w:tcW w:w="5047" w:type="dxa"/>
            <w:noWrap/>
            <w:vAlign w:val="center"/>
          </w:tcPr>
          <w:p w14:paraId="0C2893A5">
            <w:pPr>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提供的应急预案措施、突发情况应对、后续处理方案等综合评定。</w:t>
            </w:r>
          </w:p>
          <w:p w14:paraId="2DED0119">
            <w:pPr>
              <w:spacing w:after="0" w:line="4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分值：6-5-4-3-2-1-0</w:t>
            </w:r>
          </w:p>
        </w:tc>
        <w:tc>
          <w:tcPr>
            <w:tcW w:w="757" w:type="dxa"/>
            <w:noWrap/>
            <w:vAlign w:val="center"/>
          </w:tcPr>
          <w:p w14:paraId="041989F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-6</w:t>
            </w:r>
          </w:p>
        </w:tc>
        <w:tc>
          <w:tcPr>
            <w:tcW w:w="1009" w:type="dxa"/>
            <w:noWrap/>
            <w:vAlign w:val="center"/>
          </w:tcPr>
          <w:p w14:paraId="5DE82E8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bookmarkEnd w:id="384"/>
    </w:tbl>
    <w:p w14:paraId="0F457B97">
      <w:pPr>
        <w:widowControl/>
        <w:spacing w:line="360" w:lineRule="auto"/>
        <w:rPr>
          <w:rFonts w:hint="eastAsia" w:ascii="宋体" w:hAnsi="宋体" w:eastAsia="宋体" w:cs="宋体"/>
          <w:b/>
          <w:bCs/>
          <w:color w:val="auto"/>
          <w:sz w:val="24"/>
          <w:highlight w:val="none"/>
        </w:rPr>
      </w:pPr>
    </w:p>
    <w:p w14:paraId="1D4E98ED">
      <w:pPr>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 w:val="24"/>
          <w:highlight w:val="none"/>
        </w:rPr>
        <w:t>1.2价格部分（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1121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6A30D66B">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5292BDC8">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计算方法</w:t>
            </w:r>
          </w:p>
        </w:tc>
      </w:tr>
      <w:tr w14:paraId="7F7C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47045FB0">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价格权值=0.</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w:t>
            </w:r>
          </w:p>
        </w:tc>
        <w:tc>
          <w:tcPr>
            <w:tcW w:w="6599" w:type="dxa"/>
            <w:tcBorders>
              <w:top w:val="single" w:color="auto" w:sz="4" w:space="0"/>
              <w:left w:val="single" w:color="auto" w:sz="4" w:space="0"/>
              <w:bottom w:val="single" w:color="auto" w:sz="4" w:space="0"/>
              <w:right w:val="single" w:color="auto" w:sz="4" w:space="0"/>
            </w:tcBorders>
            <w:noWrap/>
            <w:vAlign w:val="center"/>
          </w:tcPr>
          <w:p w14:paraId="470B641D">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最低有效</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价格为评</w:t>
            </w:r>
            <w:r>
              <w:rPr>
                <w:rFonts w:hint="eastAsia" w:asciiTheme="minorEastAsia" w:hAnsiTheme="minorEastAsia" w:eastAsiaTheme="minorEastAsia" w:cstheme="minorEastAsia"/>
                <w:color w:val="auto"/>
                <w:sz w:val="24"/>
                <w:szCs w:val="24"/>
                <w:highlight w:val="none"/>
                <w:lang w:val="en-US" w:eastAsia="zh-CN"/>
              </w:rPr>
              <w:t>审</w:t>
            </w:r>
            <w:r>
              <w:rPr>
                <w:rFonts w:hint="eastAsia" w:asciiTheme="minorEastAsia" w:hAnsiTheme="minorEastAsia" w:eastAsiaTheme="minorEastAsia" w:cstheme="minorEastAsia"/>
                <w:color w:val="auto"/>
                <w:sz w:val="24"/>
                <w:szCs w:val="24"/>
                <w:highlight w:val="none"/>
              </w:rPr>
              <w:t>基准价</w:t>
            </w:r>
          </w:p>
          <w:p w14:paraId="7291F8A3">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报价得分=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w:t>
            </w:r>
            <w:r>
              <w:rPr>
                <w:rFonts w:hint="eastAsia" w:asciiTheme="minorEastAsia" w:hAnsiTheme="minorEastAsia" w:eastAsiaTheme="minorEastAsia" w:cstheme="minorEastAsia"/>
                <w:color w:val="auto"/>
                <w:sz w:val="24"/>
                <w:szCs w:val="24"/>
                <w:highlight w:val="none"/>
                <w:lang w:val="en-US" w:eastAsia="zh-CN"/>
              </w:rPr>
              <w:t>审</w:t>
            </w:r>
            <w:r>
              <w:rPr>
                <w:rFonts w:hint="eastAsia" w:asciiTheme="minorEastAsia" w:hAnsiTheme="minorEastAsia" w:eastAsiaTheme="minorEastAsia" w:cstheme="minorEastAsia"/>
                <w:color w:val="auto"/>
                <w:sz w:val="24"/>
                <w:szCs w:val="24"/>
                <w:highlight w:val="none"/>
              </w:rPr>
              <w:t>基准价／</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×价格权值×100 </w:t>
            </w:r>
          </w:p>
          <w:p w14:paraId="1881AF87">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（计算得分保留小数点后2位）</w:t>
            </w:r>
          </w:p>
        </w:tc>
      </w:tr>
    </w:tbl>
    <w:p w14:paraId="6B52790E">
      <w:pPr>
        <w:spacing w:line="360" w:lineRule="auto"/>
        <w:rPr>
          <w:rFonts w:hint="eastAsia" w:ascii="宋体" w:hAnsi="宋体" w:eastAsia="宋体" w:cs="宋体"/>
          <w:b/>
          <w:color w:val="auto"/>
          <w:szCs w:val="21"/>
          <w:highlight w:val="none"/>
        </w:rPr>
      </w:pPr>
    </w:p>
    <w:p w14:paraId="598E965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p w14:paraId="7387AF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1、评分条款中涉及的业绩、荣誉、人员、社保等分公司均有效。</w:t>
      </w:r>
    </w:p>
    <w:p w14:paraId="04AE31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文件中如附有外文资料，必须逐一对应翻译成中文并加盖响应人公章后附在相关外文资料后面，否则外文资料不予认可。翻译的中文资料与外文资料不符的，均不予认可。翻译严重错误的，将视同提供虚假资料。</w:t>
      </w:r>
    </w:p>
    <w:p w14:paraId="1A0A31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3、响应人编制</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文件（商务技术文件部分）时，建议按此目录（序号和内容）提供评标标准相应的商务技术资料。</w:t>
      </w:r>
    </w:p>
    <w:p w14:paraId="3993B89C">
      <w:pPr>
        <w:snapToGrid w:val="0"/>
        <w:spacing w:line="570" w:lineRule="exact"/>
        <w:rPr>
          <w:rFonts w:hint="eastAsia" w:ascii="宋体" w:hAnsi="宋体" w:eastAsia="宋体" w:cs="宋体"/>
          <w:b/>
          <w:color w:val="auto"/>
          <w:sz w:val="28"/>
          <w:szCs w:val="28"/>
          <w:highlight w:val="none"/>
        </w:rPr>
        <w:sectPr>
          <w:pgSz w:w="11906" w:h="16838"/>
          <w:pgMar w:top="1276" w:right="1418" w:bottom="1247" w:left="1418" w:header="851" w:footer="992" w:gutter="0"/>
          <w:cols w:space="720" w:num="1"/>
          <w:titlePg/>
          <w:docGrid w:linePitch="312" w:charSpace="0"/>
        </w:sectPr>
      </w:pPr>
    </w:p>
    <w:p w14:paraId="22495794">
      <w:pPr>
        <w:snapToGrid w:val="0"/>
        <w:spacing w:line="57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14:paraId="13DBA1F9">
      <w:pPr>
        <w:adjustRightInd/>
        <w:spacing w:line="570" w:lineRule="exact"/>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1.本项目采用综合评估法。</w:t>
      </w:r>
      <w:r>
        <w:rPr>
          <w:rFonts w:hint="eastAsia" w:ascii="宋体" w:hAnsi="宋体" w:eastAsia="宋体" w:cs="宋体"/>
          <w:color w:val="auto"/>
          <w:kern w:val="0"/>
          <w:sz w:val="24"/>
          <w:highlight w:val="none"/>
        </w:rPr>
        <w:t>综合评估法，是指响应文件满足公开竞争文件全部实质性要求，且按照评审因素的量化指标评审得分最高的响应人为成交候选人的</w:t>
      </w:r>
      <w:r>
        <w:rPr>
          <w:rFonts w:hint="eastAsia" w:asciiTheme="minorEastAsia" w:hAnsiTheme="minorEastAsia" w:eastAsiaTheme="minorEastAsia" w:cstheme="minorEastAsia"/>
          <w:color w:val="auto"/>
          <w:sz w:val="24"/>
          <w:szCs w:val="24"/>
          <w:highlight w:val="none"/>
        </w:rPr>
        <w:t>评</w:t>
      </w:r>
      <w:r>
        <w:rPr>
          <w:rFonts w:hint="eastAsia" w:asciiTheme="minorEastAsia" w:hAnsiTheme="minorEastAsia" w:eastAsiaTheme="minorEastAsia" w:cstheme="minorEastAsia"/>
          <w:color w:val="auto"/>
          <w:sz w:val="24"/>
          <w:szCs w:val="24"/>
          <w:highlight w:val="none"/>
          <w:lang w:val="en-US" w:eastAsia="zh-CN"/>
        </w:rPr>
        <w:t>审</w:t>
      </w:r>
      <w:r>
        <w:rPr>
          <w:rFonts w:hint="eastAsia" w:ascii="宋体" w:hAnsi="宋体" w:eastAsia="宋体" w:cs="宋体"/>
          <w:color w:val="auto"/>
          <w:kern w:val="0"/>
          <w:sz w:val="24"/>
          <w:highlight w:val="none"/>
        </w:rPr>
        <w:t>方法。</w:t>
      </w:r>
    </w:p>
    <w:p w14:paraId="5671C88D">
      <w:pPr>
        <w:snapToGrid w:val="0"/>
        <w:spacing w:line="57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14:paraId="1A5B15BB">
      <w:pPr>
        <w:spacing w:line="570" w:lineRule="exact"/>
        <w:ind w:left="0" w:lef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283199C4">
      <w:pPr>
        <w:snapToGrid w:val="0"/>
        <w:spacing w:line="57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bookmarkEnd w:id="15"/>
    <w:p w14:paraId="6E8315D2">
      <w:pPr>
        <w:spacing w:line="570" w:lineRule="exact"/>
        <w:ind w:left="0" w:leftChars="0" w:firstLine="422" w:firstLineChars="175"/>
        <w:rPr>
          <w:rFonts w:hint="eastAsia" w:ascii="宋体" w:hAnsi="宋体" w:eastAsia="宋体" w:cs="宋体"/>
          <w:color w:val="auto"/>
          <w:kern w:val="0"/>
          <w:sz w:val="24"/>
          <w:highlight w:val="none"/>
        </w:rPr>
      </w:pPr>
      <w:bookmarkStart w:id="382" w:name="第五部分"/>
      <w:bookmarkStart w:id="383"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313C94AE">
      <w:pPr>
        <w:spacing w:line="570" w:lineRule="exact"/>
        <w:ind w:left="0" w:leftChars="0" w:firstLine="422" w:firstLineChars="175"/>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14:paraId="7DE79ABD">
      <w:pPr>
        <w:spacing w:line="570" w:lineRule="exact"/>
        <w:ind w:left="0" w:leftChars="0" w:firstLine="422" w:firstLineChars="175"/>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14:paraId="286DAF93">
      <w:pPr>
        <w:spacing w:line="570" w:lineRule="exact"/>
        <w:ind w:left="0" w:leftChars="0"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C67D1D2">
      <w:pPr>
        <w:pStyle w:val="137"/>
        <w:spacing w:before="0" w:line="570" w:lineRule="exact"/>
        <w:ind w:left="0" w:leftChars="0" w:firstLine="840" w:firstLineChars="350"/>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7F442CC6">
      <w:pPr>
        <w:pStyle w:val="137"/>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5EBFEFCA">
      <w:pPr>
        <w:pStyle w:val="137"/>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E4C7B3F">
      <w:pPr>
        <w:pStyle w:val="137"/>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1E46F296">
      <w:pPr>
        <w:pStyle w:val="137"/>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E67F6FE">
      <w:pPr>
        <w:pStyle w:val="137"/>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208CD595">
      <w:pPr>
        <w:snapToGrid w:val="0"/>
        <w:spacing w:line="570" w:lineRule="exact"/>
        <w:ind w:left="0" w:leftChars="0" w:firstLine="840" w:firstLineChars="3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7FB30B73">
      <w:pPr>
        <w:snapToGrid w:val="0"/>
        <w:spacing w:line="570" w:lineRule="exact"/>
        <w:ind w:left="0" w:leftChars="0" w:firstLine="840" w:firstLineChars="35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.4.3交易报价超过公开竞争文件中规定的预算金额或者最高限价的，交易无效。</w:t>
      </w:r>
    </w:p>
    <w:p w14:paraId="6C17342D">
      <w:pPr>
        <w:pStyle w:val="137"/>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w:t>
      </w:r>
      <w:r>
        <w:rPr>
          <w:rFonts w:hint="eastAsia" w:ascii="宋体" w:hAnsi="宋体" w:cs="宋体"/>
          <w:color w:val="auto"/>
          <w:kern w:val="0"/>
          <w:szCs w:val="24"/>
          <w:highlight w:val="none"/>
          <w:lang w:val="en-US" w:eastAsia="zh-CN"/>
        </w:rPr>
        <w:t>交易</w:t>
      </w:r>
      <w:r>
        <w:rPr>
          <w:rFonts w:hint="eastAsia" w:ascii="宋体" w:hAnsi="宋体" w:eastAsia="宋体" w:cs="宋体"/>
          <w:color w:val="auto"/>
          <w:kern w:val="0"/>
          <w:szCs w:val="24"/>
          <w:highlight w:val="none"/>
        </w:rPr>
        <w:t>处理。</w:t>
      </w:r>
    </w:p>
    <w:p w14:paraId="66125F32">
      <w:pPr>
        <w:spacing w:line="570" w:lineRule="exact"/>
        <w:ind w:left="0" w:leftChars="0" w:firstLine="422" w:firstLineChars="175"/>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6E49982A">
      <w:pPr>
        <w:spacing w:line="570" w:lineRule="exact"/>
        <w:ind w:left="0" w:leftChars="0" w:firstLine="422" w:firstLineChars="175"/>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76FC3301">
      <w:pPr>
        <w:snapToGrid w:val="0"/>
        <w:spacing w:line="57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四、评审中的其他事项</w:t>
      </w:r>
    </w:p>
    <w:p w14:paraId="726E79F8">
      <w:pPr>
        <w:pStyle w:val="137"/>
        <w:spacing w:before="0" w:line="570" w:lineRule="exact"/>
        <w:ind w:left="0" w:leftChars="0" w:firstLine="422" w:firstLineChars="175"/>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51F45586">
      <w:pPr>
        <w:pStyle w:val="26"/>
        <w:spacing w:line="570" w:lineRule="exact"/>
        <w:ind w:left="0" w:leftChars="0" w:firstLine="422" w:firstLineChars="175"/>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12376670">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14:paraId="252DFD07">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14:paraId="548A1BF0">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14:paraId="31672AA6">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14:paraId="3ADCF112">
      <w:pPr>
        <w:snapToGrid w:val="0"/>
        <w:spacing w:line="570" w:lineRule="exact"/>
        <w:ind w:left="0" w:leftChars="0" w:firstLine="840" w:firstLineChars="3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4.2.5响应文件出现不是唯一的、有选择性交易报价的；</w:t>
      </w:r>
    </w:p>
    <w:p w14:paraId="751BF409">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14:paraId="4C2AA477">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1474B080">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14:paraId="641E390C">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rPr>
        <w:t>的；</w:t>
      </w:r>
    </w:p>
    <w:p w14:paraId="26945997">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4.2.10响应人有恶意串通、妨碍其他响应人的竞争行为、损害交易发起人或者其他响应人的合法权益情形的；</w:t>
      </w:r>
    </w:p>
    <w:p w14:paraId="714BA0E0">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14:paraId="07C83AF3">
      <w:pPr>
        <w:tabs>
          <w:tab w:val="left" w:pos="432"/>
        </w:tabs>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4.2.12响应文件不满足公开竞争文件的其它实质性要求的；</w:t>
      </w:r>
    </w:p>
    <w:p w14:paraId="606F01EE">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14:paraId="3A2680BE">
      <w:pPr>
        <w:pStyle w:val="26"/>
        <w:snapToGrid w:val="0"/>
        <w:spacing w:line="570" w:lineRule="exact"/>
        <w:ind w:left="0" w:leftChars="0" w:firstLine="0" w:firstLineChars="0"/>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14:paraId="276C3E35">
      <w:pPr>
        <w:pStyle w:val="26"/>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14:paraId="434F8072">
      <w:pPr>
        <w:pStyle w:val="26"/>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8891C8E">
      <w:pPr>
        <w:pStyle w:val="26"/>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14:paraId="1D4E4A71">
      <w:pPr>
        <w:pStyle w:val="26"/>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BCDFAAF">
      <w:pPr>
        <w:pStyle w:val="26"/>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14:paraId="69B21A55">
      <w:pPr>
        <w:pStyle w:val="26"/>
        <w:snapToGrid w:val="0"/>
        <w:spacing w:line="570" w:lineRule="exact"/>
        <w:ind w:left="0" w:leftChars="0" w:firstLine="0" w:firstLineChars="0"/>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489963C">
      <w:pPr>
        <w:pStyle w:val="26"/>
        <w:snapToGrid w:val="0"/>
        <w:spacing w:line="570" w:lineRule="exact"/>
        <w:ind w:left="0" w:leftChars="0" w:firstLine="0" w:firstLineChars="0"/>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38F7CD1D">
      <w:pPr>
        <w:pStyle w:val="26"/>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220AB65E">
      <w:pPr>
        <w:pStyle w:val="26"/>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42D646FD">
      <w:pPr>
        <w:pStyle w:val="26"/>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02515AE1">
      <w:pPr>
        <w:pStyle w:val="26"/>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14:paraId="4C612BAA">
      <w:pPr>
        <w:pStyle w:val="26"/>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07BCF90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C1AE34C">
      <w:pPr>
        <w:rPr>
          <w:rFonts w:hint="eastAsia" w:ascii="宋体" w:hAnsi="宋体" w:eastAsia="宋体" w:cs="宋体"/>
          <w:b/>
          <w:color w:val="auto"/>
          <w:sz w:val="36"/>
          <w:szCs w:val="36"/>
          <w:highlight w:val="none"/>
        </w:rPr>
      </w:pPr>
    </w:p>
    <w:p w14:paraId="3B98334E">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A4F0348">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7516155">
      <w:pPr>
        <w:pStyle w:val="26"/>
        <w:snapToGrid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（以最终签订版本为准）</w:t>
      </w:r>
    </w:p>
    <w:p w14:paraId="1A36D39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0B57748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签订地点：                          </w:t>
      </w:r>
      <w:r>
        <w:rPr>
          <w:rFonts w:hint="eastAsia" w:cs="宋体"/>
          <w:color w:val="auto"/>
          <w:highlight w:val="none"/>
          <w:lang w:val="en-US" w:eastAsia="zh-CN"/>
        </w:rPr>
        <w:t xml:space="preserve">  </w:t>
      </w:r>
      <w:r>
        <w:rPr>
          <w:rFonts w:hint="eastAsia" w:ascii="宋体" w:hAnsi="宋体" w:eastAsia="宋体" w:cs="宋体"/>
          <w:color w:val="auto"/>
          <w:highlight w:val="none"/>
        </w:rPr>
        <w:t>签订时间：202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54D3FC5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cs="宋体"/>
          <w:color w:val="auto"/>
          <w:sz w:val="24"/>
          <w:szCs w:val="20"/>
          <w:highlight w:val="none"/>
          <w:lang w:eastAsia="zh-CN"/>
        </w:rPr>
        <w:t>杭州市医疗保障局萧山分局202</w:t>
      </w:r>
      <w:r>
        <w:rPr>
          <w:rFonts w:hint="eastAsia" w:cs="宋体"/>
          <w:color w:val="auto"/>
          <w:sz w:val="24"/>
          <w:szCs w:val="20"/>
          <w:highlight w:val="none"/>
          <w:lang w:val="en-US" w:eastAsia="zh-CN"/>
        </w:rPr>
        <w:t>5</w:t>
      </w:r>
      <w:r>
        <w:rPr>
          <w:rFonts w:hint="eastAsia" w:cs="宋体"/>
          <w:color w:val="auto"/>
          <w:sz w:val="24"/>
          <w:szCs w:val="20"/>
          <w:highlight w:val="none"/>
          <w:lang w:eastAsia="zh-CN"/>
        </w:rPr>
        <w:t>年档案规范化整理与数字化加工采购项目</w:t>
      </w:r>
    </w:p>
    <w:p w14:paraId="5300F62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0BABF1C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094FFB3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供、需双方根据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采购项目（交易编号  -  -   ）</w:t>
      </w:r>
      <w:r>
        <w:rPr>
          <w:rFonts w:hint="eastAsia" w:cs="宋体"/>
          <w:color w:val="auto"/>
          <w:highlight w:val="none"/>
          <w:lang w:val="en-US" w:eastAsia="zh-CN"/>
        </w:rPr>
        <w:t>交易</w:t>
      </w:r>
      <w:r>
        <w:rPr>
          <w:rFonts w:hint="eastAsia" w:ascii="宋体" w:hAnsi="宋体" w:eastAsia="宋体" w:cs="宋体"/>
          <w:color w:val="auto"/>
          <w:highlight w:val="none"/>
        </w:rPr>
        <w:t>结果和交易文件的要求，并经双方协调一致，订立本采购合同。</w:t>
      </w:r>
    </w:p>
    <w:p w14:paraId="75C7C2C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1A11764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69CBED8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509B59C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3、交易文件。</w:t>
      </w:r>
    </w:p>
    <w:p w14:paraId="7A049C3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0A91C08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14:paraId="4678437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688D1A0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14:paraId="61630E2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3DE26F7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cs="宋体"/>
          <w:color w:val="auto"/>
          <w:highlight w:val="none"/>
          <w:lang w:val="en-US" w:eastAsia="zh-CN"/>
        </w:rPr>
        <w:t>交易</w:t>
      </w:r>
      <w:r>
        <w:rPr>
          <w:rFonts w:hint="eastAsia" w:ascii="宋体" w:hAnsi="宋体" w:eastAsia="宋体" w:cs="宋体"/>
          <w:color w:val="auto"/>
          <w:highlight w:val="none"/>
        </w:rPr>
        <w:t>文件规定的时间向甲方提供有关技术资料</w:t>
      </w:r>
      <w:r>
        <w:rPr>
          <w:rFonts w:hint="eastAsia" w:cs="宋体"/>
          <w:color w:val="auto"/>
          <w:highlight w:val="none"/>
        </w:rPr>
        <w:t>并配备服务人员</w:t>
      </w:r>
      <w:r>
        <w:rPr>
          <w:rFonts w:hint="eastAsia" w:ascii="宋体" w:hAnsi="宋体" w:eastAsia="宋体" w:cs="宋体"/>
          <w:color w:val="auto"/>
          <w:highlight w:val="none"/>
        </w:rPr>
        <w:t>。</w:t>
      </w:r>
    </w:p>
    <w:p w14:paraId="2D432A0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42AF543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14:paraId="6681B39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14:paraId="7A53239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14:paraId="076354C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14:paraId="5216625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14:paraId="6BA399A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14:paraId="2D7B931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5B8D14C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14:paraId="5567F72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14:paraId="71BB71B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七、款项支付</w:t>
      </w:r>
    </w:p>
    <w:p w14:paraId="2F210187">
      <w:pPr>
        <w:pStyle w:val="26"/>
        <w:snapToGrid w:val="0"/>
        <w:spacing w:line="360" w:lineRule="auto"/>
        <w:rPr>
          <w:rFonts w:hint="eastAsia" w:ascii="宋体" w:hAnsi="宋体" w:eastAsia="宋体" w:cs="宋体"/>
          <w:color w:val="auto"/>
          <w:highlight w:val="none"/>
        </w:rPr>
      </w:pPr>
    </w:p>
    <w:p w14:paraId="6938C16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八、税费</w:t>
      </w:r>
    </w:p>
    <w:p w14:paraId="6F08751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6F93356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九、质量保证及后续服务</w:t>
      </w:r>
    </w:p>
    <w:p w14:paraId="22F4036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cs="宋体"/>
          <w:color w:val="auto"/>
          <w:highlight w:val="none"/>
          <w:lang w:val="en-US" w:eastAsia="zh-CN"/>
        </w:rPr>
        <w:t>交易</w:t>
      </w:r>
      <w:r>
        <w:rPr>
          <w:rFonts w:hint="eastAsia" w:ascii="宋体" w:hAnsi="宋体" w:eastAsia="宋体" w:cs="宋体"/>
          <w:color w:val="auto"/>
          <w:highlight w:val="none"/>
        </w:rPr>
        <w:t>文件规定向甲方提供服务。</w:t>
      </w:r>
    </w:p>
    <w:p w14:paraId="2729030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乙方提供的服务发生问题或产出重大不良影响的，除按结算条款扣除结算金额外，乙方应负责免费提供后续善后服务，同时承担相应责任。</w:t>
      </w:r>
    </w:p>
    <w:p w14:paraId="6CF0BAF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十、违约责任</w:t>
      </w:r>
    </w:p>
    <w:p w14:paraId="42EED33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108E061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2.乙方未能如期提供服务的，每日向甲方支付合同款项的千分之六作为违约金。乙方超过约定日期10个工作日仍不能提供服务的，甲方可解除本合同，追究乙赔偿责任。</w:t>
      </w:r>
    </w:p>
    <w:p w14:paraId="438F72C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3.如发现乙方违反</w:t>
      </w:r>
      <w:r>
        <w:rPr>
          <w:rFonts w:hint="eastAsia" w:cs="宋体"/>
          <w:color w:val="auto"/>
          <w:highlight w:val="none"/>
          <w:lang w:val="en-US" w:eastAsia="zh-CN"/>
        </w:rPr>
        <w:t>公开竞争</w:t>
      </w:r>
      <w:r>
        <w:rPr>
          <w:rFonts w:hint="eastAsia" w:ascii="宋体" w:hAnsi="宋体" w:eastAsia="宋体" w:cs="宋体"/>
          <w:color w:val="auto"/>
          <w:highlight w:val="none"/>
        </w:rPr>
        <w:t>文件和合同的有关规定，甲方有权根据约定和《杭州市政府采购供应商合同履行和售后服务考核暂行办法》，对乙方进行处罚，并有权提前终止合同。</w:t>
      </w:r>
    </w:p>
    <w:p w14:paraId="2CC4525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十一、争议的解决</w:t>
      </w:r>
    </w:p>
    <w:p w14:paraId="2789C0C7">
      <w:pPr>
        <w:pStyle w:val="26"/>
        <w:snapToGrid w:val="0"/>
        <w:spacing w:line="360" w:lineRule="auto"/>
        <w:rPr>
          <w:rFonts w:hint="eastAsia" w:cs="宋体"/>
          <w:color w:val="auto"/>
          <w:highlight w:val="none"/>
        </w:rPr>
      </w:pPr>
      <w:r>
        <w:rPr>
          <w:rFonts w:hint="eastAsia" w:cs="宋体"/>
          <w:color w:val="auto"/>
          <w:highlight w:val="none"/>
        </w:rPr>
        <w:t>因本合同引起的或与本合同有关的任何争议，合同双方应首先通过协商解决，达成书面协议，如协商不成，可向甲方所在地有管辖权的人民法院提起诉讼。</w:t>
      </w:r>
    </w:p>
    <w:p w14:paraId="7E62C37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十二、合同生效</w:t>
      </w:r>
    </w:p>
    <w:p w14:paraId="4D28000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14:paraId="4F3EA12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2.本合同经需、供双方法定代表人（符合浙财采监【2013】24号第六条规定的为负责人）或其授权委托人签字并加盖单位公章后生效。</w:t>
      </w:r>
    </w:p>
    <w:p w14:paraId="0F4E8026">
      <w:pPr>
        <w:pStyle w:val="26"/>
        <w:snapToGrid w:val="0"/>
        <w:spacing w:line="360" w:lineRule="auto"/>
        <w:rPr>
          <w:rFonts w:hint="eastAsia" w:ascii="宋体" w:hAnsi="宋体" w:eastAsia="宋体" w:cs="宋体"/>
          <w:color w:val="auto"/>
          <w:highlight w:val="none"/>
        </w:rPr>
      </w:pPr>
    </w:p>
    <w:p w14:paraId="004BC5D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6378561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0295931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0FB1C68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3D9A802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7D852E2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39356A8C">
      <w:pPr>
        <w:pStyle w:val="26"/>
        <w:snapToGrid w:val="0"/>
        <w:spacing w:line="360" w:lineRule="auto"/>
        <w:rPr>
          <w:rFonts w:hint="eastAsia" w:ascii="宋体" w:hAnsi="宋体" w:eastAsia="宋体" w:cs="宋体"/>
          <w:color w:val="auto"/>
          <w:highlight w:val="none"/>
        </w:rPr>
      </w:pPr>
      <w:r>
        <w:rPr>
          <w:rFonts w:hint="eastAsia" w:cs="宋体"/>
          <w:color w:val="auto"/>
          <w:highlight w:val="none"/>
        </w:rPr>
        <w:t>账号：</w:t>
      </w:r>
      <w:r>
        <w:rPr>
          <w:rFonts w:hint="eastAsia" w:ascii="宋体" w:hAnsi="宋体" w:eastAsia="宋体" w:cs="宋体"/>
          <w:color w:val="auto"/>
          <w:highlight w:val="none"/>
        </w:rPr>
        <w:t xml:space="preserve">                             </w:t>
      </w:r>
      <w:r>
        <w:rPr>
          <w:rFonts w:hint="eastAsia" w:cs="宋体"/>
          <w:color w:val="auto"/>
          <w:highlight w:val="none"/>
        </w:rPr>
        <w:t>账号</w:t>
      </w:r>
      <w:r>
        <w:rPr>
          <w:rFonts w:hint="eastAsia" w:ascii="宋体" w:hAnsi="宋体" w:eastAsia="宋体" w:cs="宋体"/>
          <w:color w:val="auto"/>
          <w:highlight w:val="none"/>
        </w:rPr>
        <w:t>：</w:t>
      </w:r>
    </w:p>
    <w:p w14:paraId="34064A4A">
      <w:pPr>
        <w:pStyle w:val="26"/>
        <w:snapToGrid w:val="0"/>
        <w:spacing w:line="360" w:lineRule="auto"/>
        <w:rPr>
          <w:rFonts w:hint="eastAsia" w:ascii="宋体" w:hAnsi="宋体" w:eastAsia="宋体" w:cs="宋体"/>
          <w:color w:val="auto"/>
          <w:highlight w:val="none"/>
        </w:rPr>
      </w:pPr>
    </w:p>
    <w:p w14:paraId="527B240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7C58373">
      <w:pPr>
        <w:rPr>
          <w:rFonts w:hint="eastAsia" w:ascii="宋体" w:hAnsi="宋体" w:eastAsia="宋体" w:cs="宋体"/>
          <w:color w:val="auto"/>
          <w:highlight w:val="none"/>
        </w:rPr>
      </w:pPr>
    </w:p>
    <w:p w14:paraId="58CEFE0E">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2"/>
      <w:r>
        <w:rPr>
          <w:rFonts w:hint="eastAsia" w:ascii="宋体" w:hAnsi="宋体" w:eastAsia="宋体" w:cs="宋体"/>
          <w:b/>
          <w:color w:val="auto"/>
          <w:sz w:val="36"/>
          <w:szCs w:val="20"/>
          <w:highlight w:val="none"/>
        </w:rPr>
        <w:t xml:space="preserve"> </w:t>
      </w:r>
      <w:bookmarkEnd w:id="383"/>
      <w:r>
        <w:rPr>
          <w:rFonts w:hint="eastAsia" w:ascii="宋体" w:hAnsi="宋体" w:eastAsia="宋体" w:cs="宋体"/>
          <w:b/>
          <w:color w:val="auto"/>
          <w:sz w:val="36"/>
          <w:szCs w:val="20"/>
          <w:highlight w:val="none"/>
        </w:rPr>
        <w:t>应提交的有关格式范例</w:t>
      </w:r>
    </w:p>
    <w:p w14:paraId="3C6C01CC">
      <w:pPr>
        <w:spacing w:line="360" w:lineRule="auto"/>
        <w:jc w:val="center"/>
        <w:outlineLvl w:val="0"/>
        <w:rPr>
          <w:rFonts w:hint="eastAsia" w:ascii="宋体" w:hAnsi="宋体" w:eastAsia="宋体" w:cs="宋体"/>
          <w:b/>
          <w:color w:val="auto"/>
          <w:kern w:val="0"/>
          <w:sz w:val="36"/>
          <w:szCs w:val="36"/>
          <w:highlight w:val="none"/>
        </w:rPr>
      </w:pPr>
    </w:p>
    <w:p w14:paraId="67106FD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BCF451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C294B60">
      <w:pPr>
        <w:spacing w:line="360" w:lineRule="auto"/>
        <w:jc w:val="center"/>
        <w:outlineLvl w:val="0"/>
        <w:rPr>
          <w:rFonts w:hint="eastAsia" w:ascii="宋体" w:hAnsi="宋体" w:eastAsia="宋体" w:cs="宋体"/>
          <w:b/>
          <w:color w:val="auto"/>
          <w:kern w:val="0"/>
          <w:sz w:val="36"/>
          <w:szCs w:val="36"/>
          <w:highlight w:val="none"/>
        </w:rPr>
      </w:pPr>
    </w:p>
    <w:p w14:paraId="44FF6BB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14:paraId="20EFE43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212938E6">
      <w:pPr>
        <w:snapToGrid w:val="0"/>
        <w:spacing w:line="360" w:lineRule="auto"/>
        <w:ind w:firstLine="480" w:firstLineChars="200"/>
        <w:rPr>
          <w:rFonts w:hint="eastAsia" w:ascii="宋体" w:hAnsi="宋体" w:eastAsia="宋体" w:cs="宋体"/>
          <w:color w:val="auto"/>
          <w:sz w:val="24"/>
          <w:highlight w:val="none"/>
        </w:rPr>
      </w:pPr>
    </w:p>
    <w:p w14:paraId="31D2A5A0">
      <w:pPr>
        <w:spacing w:line="360" w:lineRule="auto"/>
        <w:ind w:firstLine="480" w:firstLineChars="200"/>
        <w:rPr>
          <w:rFonts w:hint="eastAsia" w:ascii="宋体" w:hAnsi="宋体" w:eastAsia="宋体" w:cs="宋体"/>
          <w:color w:val="auto"/>
          <w:sz w:val="24"/>
          <w:highlight w:val="none"/>
        </w:rPr>
      </w:pPr>
    </w:p>
    <w:p w14:paraId="701ADA8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一、符合参加交易活动应当具备的一般条件的承诺函</w:t>
      </w:r>
    </w:p>
    <w:p w14:paraId="2946C43B">
      <w:pPr>
        <w:snapToGrid w:val="0"/>
        <w:spacing w:line="360" w:lineRule="auto"/>
        <w:rPr>
          <w:rFonts w:hint="eastAsia" w:ascii="宋体" w:hAnsi="宋体" w:eastAsia="宋体" w:cs="宋体"/>
          <w:color w:val="auto"/>
          <w:sz w:val="24"/>
          <w:highlight w:val="none"/>
        </w:rPr>
      </w:pPr>
    </w:p>
    <w:p w14:paraId="119F0DAD">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19781B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交易活动，郑重承诺：</w:t>
      </w:r>
    </w:p>
    <w:p w14:paraId="7F9329A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39D662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58B85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2D2F9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76C04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C20F2E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1EA0C94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D1E2CED">
      <w:pPr>
        <w:snapToGrid w:val="0"/>
        <w:spacing w:line="360" w:lineRule="auto"/>
        <w:ind w:firstLine="5520" w:firstLineChars="2300"/>
        <w:rPr>
          <w:rFonts w:hint="eastAsia" w:ascii="宋体" w:hAnsi="宋体" w:eastAsia="宋体" w:cs="宋体"/>
          <w:color w:val="auto"/>
          <w:kern w:val="0"/>
          <w:sz w:val="24"/>
          <w:highlight w:val="none"/>
          <w:lang w:val="zh-CN"/>
        </w:rPr>
      </w:pPr>
    </w:p>
    <w:p w14:paraId="34BB7AD7">
      <w:pPr>
        <w:snapToGrid w:val="0"/>
        <w:spacing w:line="360" w:lineRule="auto"/>
        <w:ind w:firstLine="5520" w:firstLineChars="2300"/>
        <w:rPr>
          <w:rFonts w:hint="eastAsia" w:ascii="宋体" w:hAnsi="宋体" w:eastAsia="宋体" w:cs="宋体"/>
          <w:color w:val="auto"/>
          <w:kern w:val="0"/>
          <w:sz w:val="24"/>
          <w:highlight w:val="none"/>
          <w:lang w:val="zh-CN"/>
        </w:rPr>
      </w:pPr>
    </w:p>
    <w:p w14:paraId="7897D7DA">
      <w:pPr>
        <w:snapToGrid w:val="0"/>
        <w:spacing w:line="360" w:lineRule="auto"/>
        <w:ind w:firstLine="5520" w:firstLineChars="2300"/>
        <w:rPr>
          <w:rFonts w:hint="eastAsia" w:ascii="宋体" w:hAnsi="宋体" w:eastAsia="宋体" w:cs="宋体"/>
          <w:color w:val="auto"/>
          <w:kern w:val="0"/>
          <w:sz w:val="24"/>
          <w:highlight w:val="none"/>
          <w:lang w:val="zh-CN"/>
        </w:rPr>
      </w:pPr>
    </w:p>
    <w:p w14:paraId="72F4C2EB">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14:paraId="4FE2EE9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0832918">
      <w:pPr>
        <w:snapToGrid w:val="0"/>
        <w:spacing w:line="360" w:lineRule="auto"/>
        <w:ind w:right="480"/>
        <w:jc w:val="center"/>
        <w:rPr>
          <w:rFonts w:hint="eastAsia" w:ascii="宋体" w:hAnsi="宋体" w:eastAsia="宋体" w:cs="宋体"/>
          <w:b/>
          <w:color w:val="auto"/>
          <w:kern w:val="0"/>
          <w:sz w:val="32"/>
          <w:szCs w:val="32"/>
          <w:highlight w:val="none"/>
        </w:rPr>
      </w:pPr>
    </w:p>
    <w:p w14:paraId="0162D660">
      <w:pPr>
        <w:snapToGrid w:val="0"/>
        <w:spacing w:line="360" w:lineRule="auto"/>
        <w:ind w:right="480"/>
        <w:jc w:val="center"/>
        <w:rPr>
          <w:rFonts w:hint="eastAsia" w:ascii="宋体" w:hAnsi="宋体" w:eastAsia="宋体" w:cs="宋体"/>
          <w:b/>
          <w:color w:val="auto"/>
          <w:kern w:val="0"/>
          <w:sz w:val="32"/>
          <w:szCs w:val="32"/>
          <w:highlight w:val="none"/>
        </w:rPr>
      </w:pPr>
    </w:p>
    <w:p w14:paraId="3543C1CF">
      <w:pPr>
        <w:snapToGrid w:val="0"/>
        <w:spacing w:line="360" w:lineRule="auto"/>
        <w:ind w:right="480"/>
        <w:jc w:val="center"/>
        <w:rPr>
          <w:rFonts w:hint="eastAsia" w:ascii="宋体" w:hAnsi="宋体" w:eastAsia="宋体" w:cs="宋体"/>
          <w:b/>
          <w:color w:val="auto"/>
          <w:kern w:val="0"/>
          <w:sz w:val="32"/>
          <w:szCs w:val="32"/>
          <w:highlight w:val="none"/>
        </w:rPr>
      </w:pPr>
    </w:p>
    <w:p w14:paraId="0FE41E98">
      <w:pPr>
        <w:rPr>
          <w:rFonts w:hint="eastAsia" w:ascii="宋体" w:hAnsi="宋体" w:eastAsia="宋体" w:cs="宋体"/>
          <w:color w:val="auto"/>
          <w:highlight w:val="none"/>
        </w:rPr>
      </w:pPr>
    </w:p>
    <w:p w14:paraId="33230169">
      <w:pPr>
        <w:snapToGrid w:val="0"/>
        <w:spacing w:line="360" w:lineRule="auto"/>
        <w:ind w:right="480"/>
        <w:jc w:val="center"/>
        <w:rPr>
          <w:rFonts w:hint="eastAsia" w:ascii="宋体" w:hAnsi="宋体" w:eastAsia="宋体" w:cs="宋体"/>
          <w:b/>
          <w:color w:val="auto"/>
          <w:kern w:val="0"/>
          <w:sz w:val="32"/>
          <w:szCs w:val="32"/>
          <w:highlight w:val="none"/>
        </w:rPr>
      </w:pPr>
    </w:p>
    <w:p w14:paraId="42B141FC">
      <w:pPr>
        <w:snapToGrid w:val="0"/>
        <w:spacing w:line="360" w:lineRule="auto"/>
        <w:ind w:right="480"/>
        <w:jc w:val="center"/>
        <w:rPr>
          <w:rFonts w:hint="eastAsia" w:ascii="宋体" w:hAnsi="宋体" w:eastAsia="宋体" w:cs="宋体"/>
          <w:b/>
          <w:color w:val="auto"/>
          <w:kern w:val="0"/>
          <w:sz w:val="32"/>
          <w:szCs w:val="32"/>
          <w:highlight w:val="none"/>
        </w:rPr>
      </w:pPr>
    </w:p>
    <w:p w14:paraId="64E87110">
      <w:pPr>
        <w:snapToGrid w:val="0"/>
        <w:spacing w:line="360" w:lineRule="auto"/>
        <w:ind w:right="480"/>
        <w:jc w:val="center"/>
        <w:rPr>
          <w:rFonts w:hint="eastAsia" w:ascii="宋体" w:hAnsi="宋体" w:eastAsia="宋体" w:cs="宋体"/>
          <w:b/>
          <w:color w:val="auto"/>
          <w:kern w:val="0"/>
          <w:sz w:val="32"/>
          <w:szCs w:val="32"/>
          <w:highlight w:val="none"/>
        </w:rPr>
      </w:pPr>
    </w:p>
    <w:p w14:paraId="2A9CED5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C15AA4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2BD5D5E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074D9537">
      <w:pPr>
        <w:spacing w:line="360" w:lineRule="auto"/>
        <w:jc w:val="center"/>
        <w:rPr>
          <w:rFonts w:hint="eastAsia" w:ascii="宋体" w:hAnsi="宋体" w:eastAsia="宋体" w:cs="宋体"/>
          <w:color w:val="auto"/>
          <w:kern w:val="0"/>
          <w:sz w:val="24"/>
          <w:highlight w:val="none"/>
          <w:lang w:val="zh-CN"/>
        </w:rPr>
      </w:pPr>
    </w:p>
    <w:p w14:paraId="0CFEF6A3">
      <w:pPr>
        <w:widowControl/>
        <w:spacing w:line="360" w:lineRule="auto"/>
        <w:ind w:left="150"/>
        <w:jc w:val="center"/>
        <w:rPr>
          <w:rFonts w:hint="eastAsia" w:ascii="宋体" w:hAnsi="宋体" w:eastAsia="宋体" w:cs="宋体"/>
          <w:b/>
          <w:color w:val="auto"/>
          <w:kern w:val="0"/>
          <w:sz w:val="32"/>
          <w:szCs w:val="32"/>
          <w:highlight w:val="none"/>
        </w:rPr>
      </w:pPr>
    </w:p>
    <w:p w14:paraId="3078B291">
      <w:pPr>
        <w:rPr>
          <w:rFonts w:hint="eastAsia" w:ascii="宋体" w:hAnsi="宋体" w:eastAsia="宋体" w:cs="宋体"/>
          <w:color w:val="auto"/>
          <w:highlight w:val="none"/>
        </w:rPr>
      </w:pPr>
    </w:p>
    <w:p w14:paraId="2E40C742">
      <w:pPr>
        <w:snapToGrid w:val="0"/>
        <w:spacing w:line="360" w:lineRule="auto"/>
        <w:ind w:right="480"/>
        <w:jc w:val="center"/>
        <w:rPr>
          <w:rFonts w:hint="eastAsia" w:ascii="宋体" w:hAnsi="宋体" w:eastAsia="宋体" w:cs="宋体"/>
          <w:b/>
          <w:color w:val="auto"/>
          <w:kern w:val="0"/>
          <w:sz w:val="32"/>
          <w:szCs w:val="32"/>
          <w:highlight w:val="none"/>
        </w:rPr>
      </w:pPr>
    </w:p>
    <w:p w14:paraId="67EBF040">
      <w:pPr>
        <w:snapToGrid w:val="0"/>
        <w:spacing w:line="360" w:lineRule="auto"/>
        <w:ind w:right="480"/>
        <w:jc w:val="center"/>
        <w:rPr>
          <w:rFonts w:hint="eastAsia" w:ascii="宋体" w:hAnsi="宋体" w:eastAsia="宋体" w:cs="宋体"/>
          <w:b/>
          <w:color w:val="auto"/>
          <w:kern w:val="0"/>
          <w:sz w:val="32"/>
          <w:szCs w:val="32"/>
          <w:highlight w:val="none"/>
        </w:rPr>
      </w:pPr>
    </w:p>
    <w:p w14:paraId="6CC9FA82">
      <w:pPr>
        <w:snapToGrid w:val="0"/>
        <w:spacing w:line="360" w:lineRule="auto"/>
        <w:ind w:right="480"/>
        <w:jc w:val="center"/>
        <w:rPr>
          <w:rFonts w:hint="eastAsia" w:ascii="宋体" w:hAnsi="宋体" w:eastAsia="宋体" w:cs="宋体"/>
          <w:b/>
          <w:color w:val="auto"/>
          <w:kern w:val="0"/>
          <w:sz w:val="32"/>
          <w:szCs w:val="32"/>
          <w:highlight w:val="none"/>
        </w:rPr>
      </w:pPr>
    </w:p>
    <w:p w14:paraId="44559517">
      <w:pPr>
        <w:snapToGrid w:val="0"/>
        <w:spacing w:line="360" w:lineRule="auto"/>
        <w:ind w:right="480"/>
        <w:jc w:val="center"/>
        <w:rPr>
          <w:rFonts w:hint="eastAsia" w:ascii="宋体" w:hAnsi="宋体" w:eastAsia="宋体" w:cs="宋体"/>
          <w:b/>
          <w:color w:val="auto"/>
          <w:kern w:val="0"/>
          <w:sz w:val="32"/>
          <w:szCs w:val="32"/>
          <w:highlight w:val="none"/>
        </w:rPr>
      </w:pPr>
    </w:p>
    <w:p w14:paraId="57E70483">
      <w:pPr>
        <w:snapToGrid w:val="0"/>
        <w:spacing w:line="360" w:lineRule="auto"/>
        <w:ind w:right="480"/>
        <w:jc w:val="center"/>
        <w:rPr>
          <w:rFonts w:hint="eastAsia" w:ascii="宋体" w:hAnsi="宋体" w:eastAsia="宋体" w:cs="宋体"/>
          <w:b/>
          <w:color w:val="auto"/>
          <w:kern w:val="0"/>
          <w:sz w:val="32"/>
          <w:szCs w:val="32"/>
          <w:highlight w:val="none"/>
        </w:rPr>
      </w:pPr>
    </w:p>
    <w:p w14:paraId="1682068C">
      <w:pPr>
        <w:snapToGrid w:val="0"/>
        <w:spacing w:line="360" w:lineRule="auto"/>
        <w:ind w:right="480"/>
        <w:jc w:val="center"/>
        <w:rPr>
          <w:rFonts w:hint="eastAsia" w:ascii="宋体" w:hAnsi="宋体" w:eastAsia="宋体" w:cs="宋体"/>
          <w:b/>
          <w:color w:val="auto"/>
          <w:kern w:val="0"/>
          <w:sz w:val="32"/>
          <w:szCs w:val="32"/>
          <w:highlight w:val="none"/>
        </w:rPr>
      </w:pPr>
    </w:p>
    <w:p w14:paraId="2A05D31F">
      <w:pPr>
        <w:spacing w:line="360" w:lineRule="auto"/>
        <w:jc w:val="center"/>
        <w:outlineLvl w:val="0"/>
        <w:rPr>
          <w:rFonts w:hint="eastAsia" w:ascii="宋体" w:hAnsi="宋体" w:eastAsia="宋体" w:cs="宋体"/>
          <w:b/>
          <w:color w:val="auto"/>
          <w:kern w:val="0"/>
          <w:sz w:val="36"/>
          <w:szCs w:val="36"/>
          <w:highlight w:val="none"/>
        </w:rPr>
      </w:pPr>
    </w:p>
    <w:p w14:paraId="2087E276">
      <w:pPr>
        <w:snapToGrid w:val="0"/>
        <w:spacing w:line="360" w:lineRule="auto"/>
        <w:ind w:right="480"/>
        <w:jc w:val="center"/>
        <w:rPr>
          <w:rFonts w:hint="eastAsia" w:ascii="宋体" w:hAnsi="宋体" w:eastAsia="宋体" w:cs="宋体"/>
          <w:b/>
          <w:color w:val="auto"/>
          <w:kern w:val="0"/>
          <w:sz w:val="32"/>
          <w:szCs w:val="32"/>
          <w:highlight w:val="none"/>
        </w:rPr>
      </w:pPr>
    </w:p>
    <w:p w14:paraId="43CDE3A6">
      <w:pPr>
        <w:spacing w:line="360" w:lineRule="auto"/>
        <w:jc w:val="center"/>
        <w:outlineLvl w:val="0"/>
        <w:rPr>
          <w:rFonts w:hint="eastAsia" w:ascii="宋体" w:hAnsi="宋体" w:eastAsia="宋体" w:cs="宋体"/>
          <w:b/>
          <w:color w:val="auto"/>
          <w:kern w:val="0"/>
          <w:sz w:val="36"/>
          <w:szCs w:val="36"/>
          <w:highlight w:val="none"/>
        </w:rPr>
      </w:pPr>
    </w:p>
    <w:p w14:paraId="40C6E211">
      <w:pPr>
        <w:snapToGrid w:val="0"/>
        <w:spacing w:line="360" w:lineRule="auto"/>
        <w:ind w:right="480"/>
        <w:jc w:val="center"/>
        <w:rPr>
          <w:rFonts w:hint="eastAsia" w:ascii="宋体" w:hAnsi="宋体" w:eastAsia="宋体" w:cs="宋体"/>
          <w:b/>
          <w:color w:val="auto"/>
          <w:kern w:val="0"/>
          <w:sz w:val="32"/>
          <w:szCs w:val="32"/>
          <w:highlight w:val="none"/>
        </w:rPr>
      </w:pPr>
    </w:p>
    <w:p w14:paraId="341E4CE5">
      <w:pPr>
        <w:spacing w:line="360" w:lineRule="auto"/>
        <w:jc w:val="center"/>
        <w:outlineLvl w:val="0"/>
        <w:rPr>
          <w:rFonts w:hint="eastAsia" w:ascii="宋体" w:hAnsi="宋体" w:eastAsia="宋体" w:cs="宋体"/>
          <w:b/>
          <w:color w:val="auto"/>
          <w:kern w:val="0"/>
          <w:sz w:val="36"/>
          <w:szCs w:val="36"/>
          <w:highlight w:val="none"/>
        </w:rPr>
      </w:pPr>
    </w:p>
    <w:p w14:paraId="0600D437">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4731889A">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ECE6722">
      <w:pPr>
        <w:spacing w:line="360" w:lineRule="auto"/>
        <w:jc w:val="center"/>
        <w:outlineLvl w:val="0"/>
        <w:rPr>
          <w:rFonts w:hint="eastAsia" w:ascii="宋体" w:hAnsi="宋体" w:eastAsia="宋体" w:cs="宋体"/>
          <w:b/>
          <w:color w:val="auto"/>
          <w:kern w:val="0"/>
          <w:sz w:val="24"/>
          <w:highlight w:val="none"/>
        </w:rPr>
      </w:pPr>
    </w:p>
    <w:p w14:paraId="2D8DBE59">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A289787">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8F8E46B">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14:paraId="6795157F">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617A4EB">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14:paraId="789F52F9">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02A87E5D">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45368802">
      <w:pPr>
        <w:snapToGrid w:val="0"/>
        <w:spacing w:line="360" w:lineRule="auto"/>
        <w:jc w:val="center"/>
        <w:rPr>
          <w:rFonts w:hint="eastAsia" w:ascii="宋体" w:hAnsi="宋体" w:eastAsia="宋体" w:cs="宋体"/>
          <w:b/>
          <w:color w:val="auto"/>
          <w:kern w:val="0"/>
          <w:sz w:val="32"/>
          <w:szCs w:val="32"/>
          <w:highlight w:val="none"/>
          <w:lang w:val="zh-CN"/>
        </w:rPr>
      </w:pPr>
    </w:p>
    <w:p w14:paraId="6C7A5FF0">
      <w:pPr>
        <w:snapToGrid w:val="0"/>
        <w:spacing w:line="360" w:lineRule="auto"/>
        <w:jc w:val="center"/>
        <w:rPr>
          <w:rFonts w:hint="eastAsia" w:ascii="宋体" w:hAnsi="宋体" w:eastAsia="宋体" w:cs="宋体"/>
          <w:b/>
          <w:color w:val="auto"/>
          <w:kern w:val="0"/>
          <w:sz w:val="32"/>
          <w:szCs w:val="32"/>
          <w:highlight w:val="none"/>
          <w:lang w:val="zh-CN"/>
        </w:rPr>
      </w:pPr>
    </w:p>
    <w:p w14:paraId="2BA576E3">
      <w:pPr>
        <w:snapToGrid w:val="0"/>
        <w:spacing w:line="360" w:lineRule="auto"/>
        <w:jc w:val="center"/>
        <w:rPr>
          <w:rFonts w:hint="eastAsia" w:ascii="宋体" w:hAnsi="宋体" w:eastAsia="宋体" w:cs="宋体"/>
          <w:b/>
          <w:color w:val="auto"/>
          <w:kern w:val="0"/>
          <w:sz w:val="32"/>
          <w:szCs w:val="32"/>
          <w:highlight w:val="none"/>
          <w:lang w:val="zh-CN"/>
        </w:rPr>
      </w:pPr>
    </w:p>
    <w:p w14:paraId="601B6134">
      <w:pPr>
        <w:snapToGrid w:val="0"/>
        <w:spacing w:line="360" w:lineRule="auto"/>
        <w:jc w:val="center"/>
        <w:rPr>
          <w:rFonts w:hint="eastAsia" w:ascii="宋体" w:hAnsi="宋体" w:eastAsia="宋体" w:cs="宋体"/>
          <w:b/>
          <w:color w:val="auto"/>
          <w:kern w:val="0"/>
          <w:sz w:val="32"/>
          <w:szCs w:val="32"/>
          <w:highlight w:val="none"/>
          <w:lang w:val="zh-CN"/>
        </w:rPr>
      </w:pPr>
    </w:p>
    <w:p w14:paraId="6E11D4DB">
      <w:pPr>
        <w:snapToGrid w:val="0"/>
        <w:spacing w:line="360" w:lineRule="auto"/>
        <w:jc w:val="center"/>
        <w:rPr>
          <w:rFonts w:hint="eastAsia" w:ascii="宋体" w:hAnsi="宋体" w:eastAsia="宋体" w:cs="宋体"/>
          <w:b/>
          <w:color w:val="auto"/>
          <w:kern w:val="0"/>
          <w:sz w:val="32"/>
          <w:szCs w:val="32"/>
          <w:highlight w:val="none"/>
          <w:lang w:val="zh-CN"/>
        </w:rPr>
      </w:pPr>
    </w:p>
    <w:p w14:paraId="38C1C8EB">
      <w:pPr>
        <w:snapToGrid w:val="0"/>
        <w:spacing w:line="360" w:lineRule="auto"/>
        <w:jc w:val="center"/>
        <w:outlineLvl w:val="0"/>
        <w:rPr>
          <w:rFonts w:hint="eastAsia" w:ascii="宋体" w:hAnsi="宋体" w:eastAsia="宋体" w:cs="宋体"/>
          <w:b/>
          <w:color w:val="auto"/>
          <w:kern w:val="0"/>
          <w:sz w:val="32"/>
          <w:szCs w:val="32"/>
          <w:highlight w:val="none"/>
        </w:rPr>
      </w:pPr>
    </w:p>
    <w:p w14:paraId="07530470">
      <w:pPr>
        <w:snapToGrid w:val="0"/>
        <w:spacing w:line="360" w:lineRule="auto"/>
        <w:jc w:val="center"/>
        <w:outlineLvl w:val="0"/>
        <w:rPr>
          <w:rFonts w:hint="eastAsia" w:ascii="宋体" w:hAnsi="宋体" w:eastAsia="宋体" w:cs="宋体"/>
          <w:b/>
          <w:color w:val="auto"/>
          <w:kern w:val="0"/>
          <w:sz w:val="32"/>
          <w:szCs w:val="32"/>
          <w:highlight w:val="none"/>
        </w:rPr>
      </w:pPr>
    </w:p>
    <w:p w14:paraId="3D6DE062">
      <w:pPr>
        <w:rPr>
          <w:rFonts w:hint="eastAsia" w:ascii="宋体" w:hAnsi="宋体" w:eastAsia="宋体" w:cs="宋体"/>
          <w:color w:val="auto"/>
          <w:highlight w:val="none"/>
        </w:rPr>
      </w:pPr>
    </w:p>
    <w:p w14:paraId="5E16EAEC">
      <w:pPr>
        <w:snapToGrid w:val="0"/>
        <w:spacing w:line="360" w:lineRule="auto"/>
        <w:jc w:val="center"/>
        <w:outlineLvl w:val="0"/>
        <w:rPr>
          <w:rFonts w:hint="eastAsia" w:ascii="宋体" w:hAnsi="宋体" w:eastAsia="宋体" w:cs="宋体"/>
          <w:b/>
          <w:color w:val="auto"/>
          <w:kern w:val="0"/>
          <w:sz w:val="32"/>
          <w:szCs w:val="32"/>
          <w:highlight w:val="none"/>
        </w:rPr>
      </w:pPr>
    </w:p>
    <w:p w14:paraId="591F734A">
      <w:pPr>
        <w:snapToGrid w:val="0"/>
        <w:spacing w:line="360" w:lineRule="auto"/>
        <w:jc w:val="center"/>
        <w:outlineLvl w:val="0"/>
        <w:rPr>
          <w:rFonts w:hint="eastAsia" w:ascii="宋体" w:hAnsi="宋体" w:eastAsia="宋体" w:cs="宋体"/>
          <w:b/>
          <w:color w:val="auto"/>
          <w:kern w:val="0"/>
          <w:sz w:val="32"/>
          <w:szCs w:val="32"/>
          <w:highlight w:val="none"/>
        </w:rPr>
      </w:pPr>
    </w:p>
    <w:p w14:paraId="13818817">
      <w:pPr>
        <w:snapToGrid w:val="0"/>
        <w:spacing w:line="360" w:lineRule="auto"/>
        <w:jc w:val="center"/>
        <w:outlineLvl w:val="0"/>
        <w:rPr>
          <w:rFonts w:hint="eastAsia" w:ascii="宋体" w:hAnsi="宋体" w:eastAsia="宋体" w:cs="宋体"/>
          <w:b/>
          <w:color w:val="auto"/>
          <w:kern w:val="0"/>
          <w:sz w:val="32"/>
          <w:szCs w:val="32"/>
          <w:highlight w:val="none"/>
        </w:rPr>
      </w:pPr>
    </w:p>
    <w:p w14:paraId="641B69CF">
      <w:pPr>
        <w:snapToGrid w:val="0"/>
        <w:spacing w:line="360" w:lineRule="auto"/>
        <w:jc w:val="center"/>
        <w:outlineLvl w:val="0"/>
        <w:rPr>
          <w:rFonts w:hint="eastAsia" w:ascii="宋体" w:hAnsi="宋体" w:eastAsia="宋体" w:cs="宋体"/>
          <w:b/>
          <w:color w:val="auto"/>
          <w:kern w:val="0"/>
          <w:sz w:val="32"/>
          <w:szCs w:val="32"/>
          <w:highlight w:val="none"/>
        </w:rPr>
      </w:pPr>
    </w:p>
    <w:p w14:paraId="15DB60FA">
      <w:pPr>
        <w:snapToGrid w:val="0"/>
        <w:spacing w:line="360" w:lineRule="auto"/>
        <w:jc w:val="center"/>
        <w:outlineLvl w:val="0"/>
        <w:rPr>
          <w:rFonts w:hint="eastAsia" w:ascii="宋体" w:hAnsi="宋体" w:eastAsia="宋体" w:cs="宋体"/>
          <w:b/>
          <w:color w:val="auto"/>
          <w:kern w:val="0"/>
          <w:sz w:val="32"/>
          <w:szCs w:val="32"/>
          <w:highlight w:val="none"/>
        </w:rPr>
      </w:pPr>
    </w:p>
    <w:p w14:paraId="624E5DE4">
      <w:pPr>
        <w:snapToGrid w:val="0"/>
        <w:spacing w:line="360" w:lineRule="auto"/>
        <w:jc w:val="center"/>
        <w:outlineLvl w:val="0"/>
        <w:rPr>
          <w:rFonts w:hint="eastAsia" w:ascii="宋体" w:hAnsi="宋体" w:eastAsia="宋体" w:cs="宋体"/>
          <w:b/>
          <w:color w:val="auto"/>
          <w:kern w:val="0"/>
          <w:sz w:val="32"/>
          <w:szCs w:val="32"/>
          <w:highlight w:val="none"/>
        </w:rPr>
      </w:pPr>
    </w:p>
    <w:p w14:paraId="5316120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47B5A0D">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157CF025">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26700DF1">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的有关活动，并对此项目进行</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。为此：</w:t>
      </w:r>
    </w:p>
    <w:p w14:paraId="75943F7A">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03378886">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2FE7A7EF">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1DED819">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AE4EDB0">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55EFECBA">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4AA57C1">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r>
        <w:rPr>
          <w:rFonts w:hint="eastAsia" w:ascii="宋体" w:hAnsi="宋体" w:eastAsia="宋体" w:cs="宋体"/>
          <w:color w:val="auto"/>
          <w:sz w:val="24"/>
          <w:highlight w:val="none"/>
          <w:lang w:val="zh-CN"/>
        </w:rPr>
        <w:t xml:space="preserve"> </w:t>
      </w:r>
    </w:p>
    <w:p w14:paraId="30854F9B">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334C618">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14:paraId="789D0DAF">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5E59957">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14:paraId="219E4040">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66EBCC2A">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6E1A1F34">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EA2F105">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38E1760C">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14:paraId="5D732464">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7071A57B">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02372F59">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D020873">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14:paraId="0E535055">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30D4C59">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29809B4">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14:paraId="753AF63C">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2F6FCB65">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EA28189">
      <w:pPr>
        <w:pStyle w:val="24"/>
        <w:rPr>
          <w:rFonts w:hint="eastAsia" w:ascii="宋体" w:hAnsi="宋体" w:eastAsia="宋体" w:cs="宋体"/>
          <w:color w:val="auto"/>
          <w:highlight w:val="none"/>
          <w:lang w:val="en-US"/>
        </w:rPr>
      </w:pPr>
    </w:p>
    <w:p w14:paraId="196FDA64">
      <w:pPr>
        <w:jc w:val="center"/>
        <w:rPr>
          <w:rFonts w:hint="eastAsia" w:ascii="宋体" w:hAnsi="宋体" w:eastAsia="宋体" w:cs="宋体"/>
          <w:b/>
          <w:color w:val="auto"/>
          <w:kern w:val="0"/>
          <w:sz w:val="32"/>
          <w:szCs w:val="32"/>
          <w:highlight w:val="none"/>
        </w:rPr>
      </w:pPr>
    </w:p>
    <w:p w14:paraId="2BF28217">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EFCE25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19234ED">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14:paraId="3E091F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39D43C8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kern w:val="0"/>
          <w:sz w:val="24"/>
          <w:highlight w:val="none"/>
          <w:lang w:val="zh-CN"/>
        </w:rPr>
        <w:t>交易项目的一切事项，其法律后果由我方承担。</w:t>
      </w:r>
    </w:p>
    <w:p w14:paraId="34C47F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F7768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719858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319C371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CBCEF59">
      <w:pPr>
        <w:snapToGrid w:val="0"/>
        <w:spacing w:line="360" w:lineRule="auto"/>
        <w:rPr>
          <w:rFonts w:hint="eastAsia" w:ascii="宋体" w:hAnsi="宋体" w:eastAsia="宋体" w:cs="宋体"/>
          <w:color w:val="auto"/>
          <w:sz w:val="24"/>
          <w:highlight w:val="none"/>
        </w:rPr>
      </w:pPr>
    </w:p>
    <w:p w14:paraId="037B4B7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14:paraId="6FD36DA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w:t>
      </w:r>
      <w:r>
        <w:rPr>
          <w:rFonts w:hint="eastAsia" w:ascii="宋体" w:hAnsi="宋体" w:cs="宋体"/>
          <w:b/>
          <w:color w:val="auto"/>
          <w:sz w:val="30"/>
          <w:szCs w:val="30"/>
          <w:highlight w:val="none"/>
          <w:lang w:val="en-US" w:eastAsia="zh-CN"/>
        </w:rPr>
        <w:t>交易</w:t>
      </w:r>
      <w:r>
        <w:rPr>
          <w:rFonts w:hint="eastAsia" w:ascii="宋体" w:hAnsi="宋体" w:eastAsia="宋体" w:cs="宋体"/>
          <w:b/>
          <w:color w:val="auto"/>
          <w:sz w:val="30"/>
          <w:szCs w:val="30"/>
          <w:highlight w:val="none"/>
        </w:rPr>
        <w:t>）</w:t>
      </w:r>
    </w:p>
    <w:p w14:paraId="4E556D2C">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9D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7F32D65">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F34F26B">
            <w:pPr>
              <w:pStyle w:val="155"/>
              <w:adjustRightInd w:val="0"/>
              <w:spacing w:line="360" w:lineRule="auto"/>
              <w:rPr>
                <w:rFonts w:hint="eastAsia" w:ascii="宋体" w:hAnsi="宋体" w:eastAsia="宋体" w:cs="宋体"/>
                <w:bCs/>
                <w:color w:val="auto"/>
                <w:sz w:val="24"/>
                <w:highlight w:val="none"/>
              </w:rPr>
            </w:pPr>
          </w:p>
        </w:tc>
      </w:tr>
    </w:tbl>
    <w:p w14:paraId="7BB94D9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1B3614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4DCC3319">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DC699ED">
      <w:pPr>
        <w:jc w:val="center"/>
        <w:rPr>
          <w:rFonts w:hint="eastAsia" w:ascii="宋体" w:hAnsi="宋体" w:eastAsia="宋体" w:cs="宋体"/>
          <w:b/>
          <w:color w:val="auto"/>
          <w:kern w:val="0"/>
          <w:sz w:val="32"/>
          <w:szCs w:val="32"/>
          <w:highlight w:val="none"/>
        </w:rPr>
      </w:pPr>
    </w:p>
    <w:p w14:paraId="71F2515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5B78DFF9">
      <w:pPr>
        <w:jc w:val="center"/>
        <w:rPr>
          <w:rFonts w:hint="eastAsia" w:ascii="宋体" w:hAnsi="宋体" w:eastAsia="宋体" w:cs="宋体"/>
          <w:b/>
          <w:color w:val="auto"/>
          <w:kern w:val="0"/>
          <w:sz w:val="32"/>
          <w:szCs w:val="32"/>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84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1329B5F">
            <w:pPr>
              <w:pStyle w:val="155"/>
              <w:adjustRightInd w:val="0"/>
              <w:spacing w:line="360" w:lineRule="auto"/>
              <w:rPr>
                <w:rFonts w:hint="eastAsia" w:ascii="宋体" w:hAnsi="宋体" w:eastAsia="宋体" w:cs="宋体"/>
                <w:bCs/>
                <w:color w:val="auto"/>
                <w:sz w:val="24"/>
                <w:highlight w:val="none"/>
              </w:rPr>
            </w:pPr>
          </w:p>
        </w:tc>
      </w:tr>
    </w:tbl>
    <w:p w14:paraId="7B3EA5FC">
      <w:pPr>
        <w:snapToGrid w:val="0"/>
        <w:spacing w:line="360" w:lineRule="auto"/>
        <w:ind w:firstLine="576"/>
        <w:jc w:val="center"/>
        <w:rPr>
          <w:rFonts w:hint="eastAsia" w:ascii="宋体" w:hAnsi="宋体" w:eastAsia="宋体" w:cs="宋体"/>
          <w:color w:val="auto"/>
          <w:kern w:val="0"/>
          <w:sz w:val="24"/>
          <w:highlight w:val="none"/>
          <w:lang w:val="zh-CN"/>
        </w:rPr>
      </w:pPr>
    </w:p>
    <w:p w14:paraId="5EB8ED81">
      <w:pPr>
        <w:snapToGrid w:val="0"/>
        <w:spacing w:line="360" w:lineRule="auto"/>
        <w:ind w:firstLine="576"/>
        <w:jc w:val="center"/>
        <w:rPr>
          <w:rFonts w:hint="eastAsia" w:ascii="宋体" w:hAnsi="宋体" w:eastAsia="宋体" w:cs="宋体"/>
          <w:color w:val="auto"/>
          <w:kern w:val="0"/>
          <w:sz w:val="24"/>
          <w:highlight w:val="none"/>
          <w:lang w:val="zh-CN"/>
        </w:rPr>
      </w:pPr>
    </w:p>
    <w:p w14:paraId="3BE464E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3E692F8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055471FD">
      <w:pPr>
        <w:jc w:val="center"/>
        <w:rPr>
          <w:rFonts w:hint="eastAsia" w:ascii="宋体" w:hAnsi="宋体" w:eastAsia="宋体" w:cs="宋体"/>
          <w:b/>
          <w:color w:val="auto"/>
          <w:kern w:val="0"/>
          <w:sz w:val="32"/>
          <w:szCs w:val="32"/>
          <w:highlight w:val="none"/>
        </w:rPr>
      </w:pPr>
    </w:p>
    <w:p w14:paraId="288CC9E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7102622">
      <w:pPr>
        <w:jc w:val="center"/>
        <w:rPr>
          <w:rFonts w:hint="eastAsia" w:ascii="宋体" w:hAnsi="宋体" w:eastAsia="宋体" w:cs="宋体"/>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16C5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684048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467D426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450479D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1C77549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7F0B74F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EDB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2E815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24B55B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14:paraId="140B8CE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692A3864">
            <w:pPr>
              <w:jc w:val="center"/>
              <w:rPr>
                <w:rFonts w:hint="eastAsia" w:ascii="宋体" w:hAnsi="宋体" w:eastAsia="宋体" w:cs="宋体"/>
                <w:color w:val="auto"/>
                <w:sz w:val="24"/>
                <w:highlight w:val="none"/>
              </w:rPr>
            </w:pPr>
          </w:p>
          <w:p w14:paraId="160D291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7FA63C2C">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CB9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3B0AD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2687DE9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14:paraId="7FBA3DE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0DF0A7B8">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FEC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BBC597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25B4ACF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14:paraId="4CFE7241">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271DD955">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BD31B5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C4F8CF8">
      <w:pPr>
        <w:jc w:val="center"/>
        <w:rPr>
          <w:rFonts w:hint="eastAsia" w:ascii="宋体" w:hAnsi="宋体" w:eastAsia="宋体" w:cs="宋体"/>
          <w:b/>
          <w:color w:val="auto"/>
          <w:kern w:val="0"/>
          <w:sz w:val="32"/>
          <w:szCs w:val="32"/>
          <w:highlight w:val="none"/>
        </w:rPr>
      </w:pPr>
    </w:p>
    <w:p w14:paraId="516C0EF5">
      <w:pPr>
        <w:jc w:val="center"/>
        <w:rPr>
          <w:rFonts w:hint="eastAsia" w:ascii="宋体" w:hAnsi="宋体" w:eastAsia="宋体" w:cs="宋体"/>
          <w:b/>
          <w:color w:val="auto"/>
          <w:kern w:val="0"/>
          <w:sz w:val="32"/>
          <w:szCs w:val="32"/>
          <w:highlight w:val="none"/>
        </w:rPr>
      </w:pPr>
    </w:p>
    <w:p w14:paraId="51B096FB">
      <w:pPr>
        <w:rPr>
          <w:rFonts w:hint="eastAsia" w:ascii="宋体" w:hAnsi="宋体" w:eastAsia="宋体" w:cs="宋体"/>
          <w:b/>
          <w:color w:val="auto"/>
          <w:kern w:val="0"/>
          <w:sz w:val="32"/>
          <w:szCs w:val="32"/>
          <w:highlight w:val="none"/>
        </w:rPr>
      </w:pPr>
    </w:p>
    <w:p w14:paraId="3824E170">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14:paraId="57F41F05">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14:paraId="2DDEE0DB">
      <w:pPr>
        <w:jc w:val="center"/>
        <w:rPr>
          <w:rFonts w:hint="eastAsia" w:ascii="宋体" w:hAnsi="宋体" w:eastAsia="宋体" w:cs="宋体"/>
          <w:b/>
          <w:color w:val="auto"/>
          <w:kern w:val="0"/>
          <w:sz w:val="32"/>
          <w:szCs w:val="32"/>
          <w:highlight w:val="none"/>
        </w:rPr>
      </w:pPr>
    </w:p>
    <w:p w14:paraId="2DB18FB2">
      <w:pPr>
        <w:jc w:val="center"/>
        <w:rPr>
          <w:rFonts w:hint="eastAsia" w:ascii="宋体" w:hAnsi="宋体" w:eastAsia="宋体" w:cs="宋体"/>
          <w:b/>
          <w:color w:val="auto"/>
          <w:kern w:val="0"/>
          <w:sz w:val="32"/>
          <w:szCs w:val="32"/>
          <w:highlight w:val="none"/>
        </w:rPr>
      </w:pPr>
    </w:p>
    <w:p w14:paraId="19D1C169">
      <w:pPr>
        <w:jc w:val="center"/>
        <w:rPr>
          <w:rFonts w:hint="eastAsia" w:ascii="宋体" w:hAnsi="宋体" w:eastAsia="宋体" w:cs="宋体"/>
          <w:b/>
          <w:color w:val="auto"/>
          <w:kern w:val="0"/>
          <w:sz w:val="32"/>
          <w:szCs w:val="32"/>
          <w:highlight w:val="none"/>
        </w:rPr>
      </w:pPr>
    </w:p>
    <w:p w14:paraId="133AA6CA">
      <w:pPr>
        <w:jc w:val="center"/>
        <w:rPr>
          <w:rFonts w:hint="eastAsia" w:ascii="宋体" w:hAnsi="宋体" w:eastAsia="宋体" w:cs="宋体"/>
          <w:b/>
          <w:color w:val="auto"/>
          <w:kern w:val="0"/>
          <w:sz w:val="32"/>
          <w:szCs w:val="32"/>
          <w:highlight w:val="none"/>
        </w:rPr>
      </w:pPr>
    </w:p>
    <w:p w14:paraId="4E6EDE71">
      <w:pPr>
        <w:jc w:val="center"/>
        <w:rPr>
          <w:rFonts w:hint="eastAsia" w:ascii="宋体" w:hAnsi="宋体" w:eastAsia="宋体" w:cs="宋体"/>
          <w:b/>
          <w:color w:val="auto"/>
          <w:kern w:val="0"/>
          <w:sz w:val="32"/>
          <w:szCs w:val="32"/>
          <w:highlight w:val="none"/>
        </w:rPr>
      </w:pPr>
    </w:p>
    <w:p w14:paraId="48A5E7E9">
      <w:pPr>
        <w:pStyle w:val="25"/>
        <w:rPr>
          <w:rFonts w:hint="eastAsia" w:ascii="宋体" w:hAnsi="宋体" w:eastAsia="宋体" w:cs="宋体"/>
          <w:b/>
          <w:color w:val="auto"/>
          <w:kern w:val="0"/>
          <w:sz w:val="32"/>
          <w:szCs w:val="32"/>
          <w:highlight w:val="none"/>
        </w:rPr>
      </w:pPr>
    </w:p>
    <w:p w14:paraId="6FF046DA">
      <w:pPr>
        <w:pStyle w:val="53"/>
        <w:rPr>
          <w:rFonts w:hint="eastAsia" w:ascii="宋体" w:hAnsi="宋体" w:eastAsia="宋体" w:cs="宋体"/>
          <w:color w:val="auto"/>
          <w:highlight w:val="none"/>
        </w:rPr>
      </w:pPr>
    </w:p>
    <w:p w14:paraId="333EE86B">
      <w:pPr>
        <w:jc w:val="center"/>
        <w:rPr>
          <w:rFonts w:hint="eastAsia" w:ascii="宋体" w:hAnsi="宋体" w:eastAsia="宋体" w:cs="宋体"/>
          <w:b/>
          <w:color w:val="auto"/>
          <w:kern w:val="0"/>
          <w:sz w:val="32"/>
          <w:szCs w:val="32"/>
          <w:highlight w:val="none"/>
        </w:rPr>
      </w:pPr>
    </w:p>
    <w:p w14:paraId="4BC04D5C">
      <w:pPr>
        <w:jc w:val="center"/>
        <w:rPr>
          <w:rFonts w:hint="eastAsia" w:ascii="宋体" w:hAnsi="宋体" w:eastAsia="宋体" w:cs="宋体"/>
          <w:b/>
          <w:color w:val="auto"/>
          <w:kern w:val="0"/>
          <w:sz w:val="32"/>
          <w:szCs w:val="32"/>
          <w:highlight w:val="none"/>
        </w:rPr>
      </w:pPr>
    </w:p>
    <w:p w14:paraId="0832860E">
      <w:pPr>
        <w:jc w:val="center"/>
        <w:rPr>
          <w:rFonts w:hint="eastAsia" w:ascii="宋体" w:hAnsi="宋体" w:eastAsia="宋体" w:cs="宋体"/>
          <w:b/>
          <w:color w:val="auto"/>
          <w:kern w:val="0"/>
          <w:sz w:val="32"/>
          <w:szCs w:val="32"/>
          <w:highlight w:val="none"/>
        </w:rPr>
      </w:pPr>
    </w:p>
    <w:p w14:paraId="5D21324E">
      <w:pPr>
        <w:jc w:val="center"/>
        <w:rPr>
          <w:rFonts w:hint="eastAsia" w:ascii="宋体" w:hAnsi="宋体" w:eastAsia="宋体" w:cs="宋体"/>
          <w:b/>
          <w:color w:val="auto"/>
          <w:kern w:val="0"/>
          <w:sz w:val="32"/>
          <w:szCs w:val="32"/>
          <w:highlight w:val="none"/>
        </w:rPr>
      </w:pPr>
    </w:p>
    <w:p w14:paraId="6E59DD51">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370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839C87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76C1165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14:paraId="0A617B2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12CA87A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822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D66E8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74901FC5">
            <w:pPr>
              <w:jc w:val="center"/>
              <w:rPr>
                <w:rFonts w:hint="eastAsia" w:ascii="宋体" w:hAnsi="宋体" w:eastAsia="宋体" w:cs="宋体"/>
                <w:b/>
                <w:color w:val="auto"/>
                <w:kern w:val="0"/>
                <w:sz w:val="32"/>
                <w:szCs w:val="32"/>
                <w:highlight w:val="none"/>
              </w:rPr>
            </w:pPr>
          </w:p>
        </w:tc>
        <w:tc>
          <w:tcPr>
            <w:tcW w:w="3546" w:type="dxa"/>
          </w:tcPr>
          <w:p w14:paraId="73CA287D">
            <w:pPr>
              <w:jc w:val="center"/>
              <w:rPr>
                <w:rFonts w:hint="eastAsia" w:ascii="宋体" w:hAnsi="宋体" w:eastAsia="宋体" w:cs="宋体"/>
                <w:b/>
                <w:color w:val="auto"/>
                <w:kern w:val="0"/>
                <w:sz w:val="32"/>
                <w:szCs w:val="32"/>
                <w:highlight w:val="none"/>
              </w:rPr>
            </w:pPr>
          </w:p>
        </w:tc>
        <w:tc>
          <w:tcPr>
            <w:tcW w:w="1276" w:type="dxa"/>
          </w:tcPr>
          <w:p w14:paraId="1E4F4312">
            <w:pPr>
              <w:jc w:val="center"/>
              <w:rPr>
                <w:rFonts w:hint="eastAsia" w:ascii="宋体" w:hAnsi="宋体" w:eastAsia="宋体" w:cs="宋体"/>
                <w:b/>
                <w:color w:val="auto"/>
                <w:kern w:val="0"/>
                <w:sz w:val="32"/>
                <w:szCs w:val="32"/>
                <w:highlight w:val="none"/>
              </w:rPr>
            </w:pPr>
          </w:p>
        </w:tc>
      </w:tr>
      <w:tr w14:paraId="6E42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8F1B6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EED9898">
            <w:pPr>
              <w:jc w:val="center"/>
              <w:rPr>
                <w:rFonts w:hint="eastAsia" w:ascii="宋体" w:hAnsi="宋体" w:eastAsia="宋体" w:cs="宋体"/>
                <w:b/>
                <w:color w:val="auto"/>
                <w:kern w:val="0"/>
                <w:sz w:val="32"/>
                <w:szCs w:val="32"/>
                <w:highlight w:val="none"/>
              </w:rPr>
            </w:pPr>
          </w:p>
        </w:tc>
        <w:tc>
          <w:tcPr>
            <w:tcW w:w="3546" w:type="dxa"/>
          </w:tcPr>
          <w:p w14:paraId="4D4D8EDC">
            <w:pPr>
              <w:jc w:val="center"/>
              <w:rPr>
                <w:rFonts w:hint="eastAsia" w:ascii="宋体" w:hAnsi="宋体" w:eastAsia="宋体" w:cs="宋体"/>
                <w:b/>
                <w:color w:val="auto"/>
                <w:kern w:val="0"/>
                <w:sz w:val="32"/>
                <w:szCs w:val="32"/>
                <w:highlight w:val="none"/>
              </w:rPr>
            </w:pPr>
          </w:p>
        </w:tc>
        <w:tc>
          <w:tcPr>
            <w:tcW w:w="1276" w:type="dxa"/>
          </w:tcPr>
          <w:p w14:paraId="444D9FCB">
            <w:pPr>
              <w:jc w:val="center"/>
              <w:rPr>
                <w:rFonts w:hint="eastAsia" w:ascii="宋体" w:hAnsi="宋体" w:eastAsia="宋体" w:cs="宋体"/>
                <w:b/>
                <w:color w:val="auto"/>
                <w:kern w:val="0"/>
                <w:sz w:val="32"/>
                <w:szCs w:val="32"/>
                <w:highlight w:val="none"/>
              </w:rPr>
            </w:pPr>
          </w:p>
        </w:tc>
      </w:tr>
      <w:tr w14:paraId="4D58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FF3BF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6A0B6699">
            <w:pPr>
              <w:jc w:val="center"/>
              <w:rPr>
                <w:rFonts w:hint="eastAsia" w:ascii="宋体" w:hAnsi="宋体" w:eastAsia="宋体" w:cs="宋体"/>
                <w:b/>
                <w:color w:val="auto"/>
                <w:kern w:val="0"/>
                <w:sz w:val="32"/>
                <w:szCs w:val="32"/>
                <w:highlight w:val="none"/>
              </w:rPr>
            </w:pPr>
          </w:p>
        </w:tc>
        <w:tc>
          <w:tcPr>
            <w:tcW w:w="3546" w:type="dxa"/>
          </w:tcPr>
          <w:p w14:paraId="4ABCCA3D">
            <w:pPr>
              <w:jc w:val="center"/>
              <w:rPr>
                <w:rFonts w:hint="eastAsia" w:ascii="宋体" w:hAnsi="宋体" w:eastAsia="宋体" w:cs="宋体"/>
                <w:b/>
                <w:color w:val="auto"/>
                <w:kern w:val="0"/>
                <w:sz w:val="32"/>
                <w:szCs w:val="32"/>
                <w:highlight w:val="none"/>
              </w:rPr>
            </w:pPr>
          </w:p>
        </w:tc>
        <w:tc>
          <w:tcPr>
            <w:tcW w:w="1276" w:type="dxa"/>
          </w:tcPr>
          <w:p w14:paraId="44F44D0B">
            <w:pPr>
              <w:jc w:val="center"/>
              <w:rPr>
                <w:rFonts w:hint="eastAsia" w:ascii="宋体" w:hAnsi="宋体" w:eastAsia="宋体" w:cs="宋体"/>
                <w:b/>
                <w:color w:val="auto"/>
                <w:kern w:val="0"/>
                <w:sz w:val="32"/>
                <w:szCs w:val="32"/>
                <w:highlight w:val="none"/>
              </w:rPr>
            </w:pPr>
          </w:p>
        </w:tc>
      </w:tr>
    </w:tbl>
    <w:p w14:paraId="00099D7F">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14:paraId="762C73A8">
      <w:pPr>
        <w:jc w:val="center"/>
        <w:rPr>
          <w:rFonts w:hint="eastAsia" w:ascii="宋体" w:hAnsi="宋体" w:eastAsia="宋体" w:cs="宋体"/>
          <w:b/>
          <w:color w:val="auto"/>
          <w:kern w:val="0"/>
          <w:sz w:val="32"/>
          <w:szCs w:val="32"/>
          <w:highlight w:val="none"/>
        </w:rPr>
      </w:pPr>
    </w:p>
    <w:p w14:paraId="62FFE11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3C78CDF">
      <w:pPr>
        <w:jc w:val="center"/>
        <w:rPr>
          <w:rFonts w:hint="eastAsia" w:ascii="宋体" w:hAnsi="宋体" w:eastAsia="宋体" w:cs="宋体"/>
          <w:b/>
          <w:color w:val="auto"/>
          <w:kern w:val="0"/>
          <w:sz w:val="32"/>
          <w:szCs w:val="32"/>
          <w:highlight w:val="none"/>
        </w:rPr>
      </w:pPr>
    </w:p>
    <w:p w14:paraId="2209EB27">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240781D">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23F3DEB3">
      <w:pPr>
        <w:snapToGrid w:val="0"/>
        <w:spacing w:line="360" w:lineRule="auto"/>
        <w:rPr>
          <w:rFonts w:hint="eastAsia" w:ascii="宋体" w:hAnsi="宋体" w:eastAsia="宋体" w:cs="宋体"/>
          <w:color w:val="auto"/>
          <w:sz w:val="24"/>
          <w:highlight w:val="none"/>
        </w:rPr>
      </w:pPr>
    </w:p>
    <w:p w14:paraId="651949E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5A5D74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要求参加</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。在这次</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7245D76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269FF7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542AFE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D658A8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57A30EA">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CB6E1C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E0DB86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649AB29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CC31A6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D09FED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B6B32C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BFBC0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C8223E8">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F86DB3E">
      <w:pPr>
        <w:spacing w:line="360" w:lineRule="auto"/>
        <w:jc w:val="center"/>
        <w:rPr>
          <w:rFonts w:hint="eastAsia" w:ascii="宋体" w:hAnsi="宋体" w:eastAsia="宋体" w:cs="宋体"/>
          <w:b/>
          <w:bCs/>
          <w:color w:val="auto"/>
          <w:sz w:val="24"/>
          <w:highlight w:val="none"/>
        </w:rPr>
      </w:pPr>
    </w:p>
    <w:p w14:paraId="469EEBD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EAD8BE7">
      <w:pPr>
        <w:spacing w:line="360" w:lineRule="auto"/>
        <w:jc w:val="center"/>
        <w:rPr>
          <w:rFonts w:hint="eastAsia" w:ascii="宋体" w:hAnsi="宋体" w:eastAsia="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37C54B1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AB161F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3EA3B78">
      <w:pPr>
        <w:spacing w:line="360" w:lineRule="auto"/>
        <w:jc w:val="center"/>
        <w:outlineLvl w:val="0"/>
        <w:rPr>
          <w:rFonts w:hint="eastAsia" w:ascii="宋体" w:hAnsi="宋体" w:eastAsia="宋体" w:cs="宋体"/>
          <w:b/>
          <w:color w:val="auto"/>
          <w:kern w:val="0"/>
          <w:sz w:val="36"/>
          <w:szCs w:val="36"/>
          <w:highlight w:val="none"/>
        </w:rPr>
      </w:pPr>
    </w:p>
    <w:p w14:paraId="12D1151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（1）交易一览表（报价表）………………………………………………………（页码）</w:t>
      </w:r>
    </w:p>
    <w:p w14:paraId="0906853F">
      <w:pPr>
        <w:snapToGrid w:val="0"/>
        <w:spacing w:line="360" w:lineRule="auto"/>
        <w:ind w:right="480"/>
        <w:jc w:val="center"/>
        <w:rPr>
          <w:rFonts w:hint="eastAsia" w:ascii="宋体" w:hAnsi="宋体" w:eastAsia="宋体" w:cs="宋体"/>
          <w:b/>
          <w:color w:val="auto"/>
          <w:kern w:val="0"/>
          <w:sz w:val="32"/>
          <w:szCs w:val="32"/>
          <w:highlight w:val="none"/>
        </w:rPr>
      </w:pPr>
    </w:p>
    <w:p w14:paraId="5787AC59">
      <w:pPr>
        <w:snapToGrid w:val="0"/>
        <w:spacing w:line="360" w:lineRule="auto"/>
        <w:ind w:right="480"/>
        <w:jc w:val="center"/>
        <w:rPr>
          <w:rFonts w:hint="eastAsia" w:ascii="宋体" w:hAnsi="宋体" w:eastAsia="宋体" w:cs="宋体"/>
          <w:b/>
          <w:color w:val="auto"/>
          <w:kern w:val="0"/>
          <w:sz w:val="32"/>
          <w:szCs w:val="32"/>
          <w:highlight w:val="none"/>
        </w:rPr>
      </w:pPr>
    </w:p>
    <w:p w14:paraId="69A14A3F">
      <w:pPr>
        <w:snapToGrid w:val="0"/>
        <w:spacing w:line="360" w:lineRule="auto"/>
        <w:ind w:right="480"/>
        <w:jc w:val="center"/>
        <w:rPr>
          <w:rFonts w:hint="eastAsia" w:ascii="宋体" w:hAnsi="宋体" w:eastAsia="宋体" w:cs="宋体"/>
          <w:b/>
          <w:color w:val="auto"/>
          <w:kern w:val="0"/>
          <w:sz w:val="32"/>
          <w:szCs w:val="32"/>
          <w:highlight w:val="none"/>
        </w:rPr>
      </w:pPr>
    </w:p>
    <w:p w14:paraId="391D78AE">
      <w:pPr>
        <w:snapToGrid w:val="0"/>
        <w:spacing w:line="360" w:lineRule="auto"/>
        <w:ind w:right="480"/>
        <w:jc w:val="center"/>
        <w:rPr>
          <w:rFonts w:hint="eastAsia" w:ascii="宋体" w:hAnsi="宋体" w:eastAsia="宋体" w:cs="宋体"/>
          <w:b/>
          <w:color w:val="auto"/>
          <w:kern w:val="0"/>
          <w:sz w:val="32"/>
          <w:szCs w:val="32"/>
          <w:highlight w:val="none"/>
        </w:rPr>
      </w:pPr>
    </w:p>
    <w:p w14:paraId="491F54AE">
      <w:pPr>
        <w:snapToGrid w:val="0"/>
        <w:spacing w:line="360" w:lineRule="auto"/>
        <w:ind w:right="480"/>
        <w:jc w:val="center"/>
        <w:rPr>
          <w:rFonts w:hint="eastAsia" w:ascii="宋体" w:hAnsi="宋体" w:eastAsia="宋体" w:cs="宋体"/>
          <w:b/>
          <w:color w:val="auto"/>
          <w:kern w:val="0"/>
          <w:sz w:val="32"/>
          <w:szCs w:val="32"/>
          <w:highlight w:val="none"/>
        </w:rPr>
      </w:pPr>
    </w:p>
    <w:p w14:paraId="2EC60973">
      <w:pPr>
        <w:snapToGrid w:val="0"/>
        <w:spacing w:line="360" w:lineRule="auto"/>
        <w:ind w:right="480"/>
        <w:jc w:val="center"/>
        <w:rPr>
          <w:rFonts w:hint="eastAsia" w:ascii="宋体" w:hAnsi="宋体" w:eastAsia="宋体" w:cs="宋体"/>
          <w:b/>
          <w:color w:val="auto"/>
          <w:kern w:val="0"/>
          <w:sz w:val="32"/>
          <w:szCs w:val="32"/>
          <w:highlight w:val="none"/>
        </w:rPr>
      </w:pPr>
    </w:p>
    <w:p w14:paraId="66A3ED05">
      <w:pPr>
        <w:snapToGrid w:val="0"/>
        <w:spacing w:line="360" w:lineRule="auto"/>
        <w:ind w:right="480"/>
        <w:jc w:val="center"/>
        <w:rPr>
          <w:rFonts w:hint="eastAsia" w:ascii="宋体" w:hAnsi="宋体" w:eastAsia="宋体" w:cs="宋体"/>
          <w:b/>
          <w:color w:val="auto"/>
          <w:kern w:val="0"/>
          <w:sz w:val="32"/>
          <w:szCs w:val="32"/>
          <w:highlight w:val="none"/>
        </w:rPr>
      </w:pPr>
    </w:p>
    <w:p w14:paraId="51A1008D">
      <w:pPr>
        <w:snapToGrid w:val="0"/>
        <w:spacing w:line="360" w:lineRule="auto"/>
        <w:ind w:right="480"/>
        <w:jc w:val="center"/>
        <w:rPr>
          <w:rFonts w:hint="eastAsia" w:ascii="宋体" w:hAnsi="宋体" w:eastAsia="宋体" w:cs="宋体"/>
          <w:b/>
          <w:color w:val="auto"/>
          <w:kern w:val="0"/>
          <w:sz w:val="32"/>
          <w:szCs w:val="32"/>
          <w:highlight w:val="none"/>
        </w:rPr>
      </w:pPr>
    </w:p>
    <w:p w14:paraId="5498B126">
      <w:pPr>
        <w:snapToGrid w:val="0"/>
        <w:spacing w:line="360" w:lineRule="auto"/>
        <w:ind w:right="480"/>
        <w:jc w:val="center"/>
        <w:rPr>
          <w:rFonts w:hint="eastAsia" w:ascii="宋体" w:hAnsi="宋体" w:eastAsia="宋体" w:cs="宋体"/>
          <w:b/>
          <w:color w:val="auto"/>
          <w:kern w:val="0"/>
          <w:sz w:val="32"/>
          <w:szCs w:val="32"/>
          <w:highlight w:val="none"/>
        </w:rPr>
      </w:pPr>
    </w:p>
    <w:p w14:paraId="63E00B30">
      <w:pPr>
        <w:snapToGrid w:val="0"/>
        <w:spacing w:line="360" w:lineRule="auto"/>
        <w:ind w:right="480"/>
        <w:jc w:val="center"/>
        <w:rPr>
          <w:rFonts w:hint="eastAsia" w:ascii="宋体" w:hAnsi="宋体" w:eastAsia="宋体" w:cs="宋体"/>
          <w:b/>
          <w:color w:val="auto"/>
          <w:kern w:val="0"/>
          <w:sz w:val="32"/>
          <w:szCs w:val="32"/>
          <w:highlight w:val="none"/>
        </w:rPr>
      </w:pPr>
    </w:p>
    <w:p w14:paraId="76B3A77B">
      <w:pPr>
        <w:snapToGrid w:val="0"/>
        <w:spacing w:line="360" w:lineRule="auto"/>
        <w:ind w:right="480"/>
        <w:jc w:val="center"/>
        <w:rPr>
          <w:rFonts w:hint="eastAsia" w:ascii="宋体" w:hAnsi="宋体" w:eastAsia="宋体" w:cs="宋体"/>
          <w:b/>
          <w:color w:val="auto"/>
          <w:kern w:val="0"/>
          <w:sz w:val="32"/>
          <w:szCs w:val="32"/>
          <w:highlight w:val="none"/>
        </w:rPr>
      </w:pPr>
    </w:p>
    <w:p w14:paraId="45172BCF">
      <w:pPr>
        <w:snapToGrid w:val="0"/>
        <w:spacing w:line="360" w:lineRule="auto"/>
        <w:ind w:right="480"/>
        <w:jc w:val="center"/>
        <w:rPr>
          <w:rFonts w:hint="eastAsia" w:ascii="宋体" w:hAnsi="宋体" w:eastAsia="宋体" w:cs="宋体"/>
          <w:b/>
          <w:color w:val="auto"/>
          <w:kern w:val="0"/>
          <w:sz w:val="32"/>
          <w:szCs w:val="32"/>
          <w:highlight w:val="none"/>
        </w:rPr>
      </w:pPr>
    </w:p>
    <w:p w14:paraId="35C0A55B">
      <w:pPr>
        <w:snapToGrid w:val="0"/>
        <w:spacing w:line="360" w:lineRule="auto"/>
        <w:ind w:right="480"/>
        <w:jc w:val="center"/>
        <w:rPr>
          <w:rFonts w:hint="eastAsia" w:ascii="宋体" w:hAnsi="宋体" w:eastAsia="宋体" w:cs="宋体"/>
          <w:b/>
          <w:color w:val="auto"/>
          <w:kern w:val="0"/>
          <w:sz w:val="32"/>
          <w:szCs w:val="32"/>
          <w:highlight w:val="none"/>
        </w:rPr>
      </w:pPr>
    </w:p>
    <w:p w14:paraId="51FA84C3">
      <w:pPr>
        <w:snapToGrid w:val="0"/>
        <w:spacing w:line="360" w:lineRule="auto"/>
        <w:ind w:right="480"/>
        <w:jc w:val="center"/>
        <w:rPr>
          <w:rFonts w:hint="eastAsia" w:ascii="宋体" w:hAnsi="宋体" w:eastAsia="宋体" w:cs="宋体"/>
          <w:b/>
          <w:color w:val="auto"/>
          <w:kern w:val="0"/>
          <w:sz w:val="32"/>
          <w:szCs w:val="32"/>
          <w:highlight w:val="none"/>
        </w:rPr>
      </w:pPr>
    </w:p>
    <w:p w14:paraId="1B39DF45">
      <w:pPr>
        <w:snapToGrid w:val="0"/>
        <w:spacing w:line="360" w:lineRule="auto"/>
        <w:ind w:right="480"/>
        <w:jc w:val="center"/>
        <w:rPr>
          <w:rFonts w:hint="eastAsia" w:ascii="宋体" w:hAnsi="宋体" w:eastAsia="宋体" w:cs="宋体"/>
          <w:b/>
          <w:color w:val="auto"/>
          <w:kern w:val="0"/>
          <w:sz w:val="32"/>
          <w:szCs w:val="32"/>
          <w:highlight w:val="none"/>
        </w:rPr>
      </w:pPr>
    </w:p>
    <w:p w14:paraId="42228713">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5D5D22F">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5F0F977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17F0010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F5D1B08">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w:t>
      </w:r>
      <w:r>
        <w:rPr>
          <w:rFonts w:hint="eastAsia" w:ascii="宋体" w:hAnsi="宋体" w:cs="宋体"/>
          <w:b/>
          <w:color w:val="auto"/>
          <w:kern w:val="0"/>
          <w:sz w:val="24"/>
          <w:highlight w:val="none"/>
          <w:lang w:val="en-US" w:eastAsia="zh-CN"/>
        </w:rPr>
        <w:t>元</w:t>
      </w:r>
      <w:r>
        <w:rPr>
          <w:rFonts w:hint="eastAsia" w:ascii="宋体" w:hAnsi="宋体" w:eastAsia="宋体" w:cs="宋体"/>
          <w:b/>
          <w:color w:val="auto"/>
          <w:kern w:val="0"/>
          <w:sz w:val="24"/>
          <w:highlight w:val="none"/>
          <w:lang w:val="zh-CN"/>
        </w:rPr>
        <w:t>)</w:t>
      </w:r>
    </w:p>
    <w:tbl>
      <w:tblPr>
        <w:tblStyle w:val="64"/>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016"/>
        <w:gridCol w:w="3925"/>
        <w:gridCol w:w="1439"/>
        <w:gridCol w:w="1803"/>
        <w:gridCol w:w="1803"/>
        <w:gridCol w:w="1834"/>
        <w:gridCol w:w="1518"/>
      </w:tblGrid>
      <w:tr w14:paraId="2699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00E9AF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016" w:type="dxa"/>
            <w:tcBorders>
              <w:top w:val="single" w:color="auto" w:sz="4" w:space="0"/>
              <w:left w:val="single" w:color="auto" w:sz="4" w:space="0"/>
              <w:bottom w:val="single" w:color="auto" w:sz="4" w:space="0"/>
              <w:right w:val="single" w:color="auto" w:sz="4" w:space="0"/>
            </w:tcBorders>
            <w:vAlign w:val="center"/>
          </w:tcPr>
          <w:p w14:paraId="7069DC31">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3925" w:type="dxa"/>
            <w:tcBorders>
              <w:top w:val="single" w:color="auto" w:sz="4" w:space="0"/>
              <w:left w:val="single" w:color="auto" w:sz="4" w:space="0"/>
              <w:bottom w:val="single" w:color="auto" w:sz="4" w:space="0"/>
              <w:right w:val="single" w:color="auto" w:sz="4" w:space="0"/>
            </w:tcBorders>
            <w:vAlign w:val="center"/>
          </w:tcPr>
          <w:p w14:paraId="0A32CF51">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具体</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lang w:eastAsia="zh-CN"/>
              </w:rPr>
              <w:t>内容</w:t>
            </w:r>
          </w:p>
        </w:tc>
        <w:tc>
          <w:tcPr>
            <w:tcW w:w="1439" w:type="dxa"/>
            <w:tcBorders>
              <w:top w:val="single" w:color="auto" w:sz="4" w:space="0"/>
              <w:left w:val="single" w:color="auto" w:sz="4" w:space="0"/>
              <w:bottom w:val="single" w:color="auto" w:sz="4" w:space="0"/>
              <w:right w:val="single" w:color="auto" w:sz="4" w:space="0"/>
            </w:tcBorders>
            <w:vAlign w:val="center"/>
          </w:tcPr>
          <w:p w14:paraId="3AFFC936">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服务时间</w:t>
            </w:r>
          </w:p>
        </w:tc>
        <w:tc>
          <w:tcPr>
            <w:tcW w:w="1803" w:type="dxa"/>
            <w:tcBorders>
              <w:top w:val="single" w:color="auto" w:sz="4" w:space="0"/>
              <w:left w:val="single" w:color="auto" w:sz="4" w:space="0"/>
              <w:bottom w:val="single" w:color="auto" w:sz="4" w:space="0"/>
              <w:right w:val="single" w:color="auto" w:sz="4" w:space="0"/>
            </w:tcBorders>
            <w:vAlign w:val="center"/>
          </w:tcPr>
          <w:p w14:paraId="423C8E9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暂定</w:t>
            </w:r>
            <w:r>
              <w:rPr>
                <w:rFonts w:hint="eastAsia" w:ascii="宋体" w:hAnsi="宋体" w:eastAsia="宋体" w:cs="宋体"/>
                <w:b/>
                <w:color w:val="auto"/>
                <w:sz w:val="24"/>
                <w:highlight w:val="none"/>
              </w:rPr>
              <w:t>数量</w:t>
            </w:r>
          </w:p>
        </w:tc>
        <w:tc>
          <w:tcPr>
            <w:tcW w:w="1803" w:type="dxa"/>
            <w:tcBorders>
              <w:top w:val="single" w:color="auto" w:sz="4" w:space="0"/>
              <w:left w:val="single" w:color="auto" w:sz="4" w:space="0"/>
              <w:bottom w:val="single" w:color="auto" w:sz="4" w:space="0"/>
              <w:right w:val="single" w:color="auto" w:sz="4" w:space="0"/>
            </w:tcBorders>
            <w:vAlign w:val="center"/>
          </w:tcPr>
          <w:p w14:paraId="1C0F2C4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834" w:type="dxa"/>
            <w:tcBorders>
              <w:top w:val="single" w:color="auto" w:sz="4" w:space="0"/>
              <w:left w:val="single" w:color="auto" w:sz="4" w:space="0"/>
              <w:bottom w:val="single" w:color="auto" w:sz="4" w:space="0"/>
              <w:right w:val="single" w:color="auto" w:sz="4" w:space="0"/>
            </w:tcBorders>
            <w:vAlign w:val="center"/>
          </w:tcPr>
          <w:p w14:paraId="29C9A0F1">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518" w:type="dxa"/>
            <w:tcBorders>
              <w:top w:val="single" w:color="auto" w:sz="4" w:space="0"/>
              <w:left w:val="single" w:color="auto" w:sz="4" w:space="0"/>
              <w:bottom w:val="single" w:color="auto" w:sz="4" w:space="0"/>
              <w:right w:val="single" w:color="auto" w:sz="4" w:space="0"/>
            </w:tcBorders>
            <w:vAlign w:val="center"/>
          </w:tcPr>
          <w:p w14:paraId="70E4EFF6">
            <w:pPr>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备注</w:t>
            </w:r>
          </w:p>
        </w:tc>
      </w:tr>
      <w:tr w14:paraId="33FF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722AE8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16" w:type="dxa"/>
            <w:tcBorders>
              <w:top w:val="single" w:color="auto" w:sz="4" w:space="0"/>
              <w:left w:val="single" w:color="auto" w:sz="4" w:space="0"/>
              <w:bottom w:val="single" w:color="auto" w:sz="4" w:space="0"/>
              <w:right w:val="single" w:color="auto" w:sz="4" w:space="0"/>
            </w:tcBorders>
            <w:vAlign w:val="center"/>
          </w:tcPr>
          <w:p w14:paraId="210212BE">
            <w:pPr>
              <w:pStyle w:val="16"/>
              <w:ind w:firstLine="0" w:firstLineChars="0"/>
              <w:jc w:val="center"/>
              <w:rPr>
                <w:rFonts w:hint="eastAsia" w:ascii="宋体" w:hAnsi="宋体" w:eastAsia="宋体" w:cs="宋体"/>
                <w:color w:val="auto"/>
                <w:sz w:val="24"/>
                <w:highlight w:val="none"/>
              </w:rPr>
            </w:pPr>
            <w:r>
              <w:rPr>
                <w:rFonts w:hint="eastAsia" w:hAnsi="宋体" w:cs="宋体"/>
                <w:color w:val="auto"/>
                <w:sz w:val="24"/>
                <w:szCs w:val="24"/>
                <w:highlight w:val="none"/>
              </w:rPr>
              <w:t>业务档案规范化整理（包括条目）</w:t>
            </w:r>
          </w:p>
        </w:tc>
        <w:tc>
          <w:tcPr>
            <w:tcW w:w="3925" w:type="dxa"/>
            <w:tcBorders>
              <w:top w:val="single" w:color="auto" w:sz="4" w:space="0"/>
              <w:left w:val="single" w:color="auto" w:sz="4" w:space="0"/>
              <w:bottom w:val="single" w:color="auto" w:sz="4" w:space="0"/>
              <w:right w:val="single" w:color="auto" w:sz="4" w:space="0"/>
            </w:tcBorders>
            <w:vAlign w:val="center"/>
          </w:tcPr>
          <w:p w14:paraId="0659E6EA">
            <w:pPr>
              <w:snapToGrid w:val="0"/>
              <w:spacing w:line="240" w:lineRule="auto"/>
              <w:jc w:val="center"/>
              <w:rPr>
                <w:rFonts w:hint="eastAsia" w:ascii="宋体" w:hAnsi="宋体" w:eastAsia="宋体" w:cs="宋体"/>
                <w:color w:val="auto"/>
                <w:sz w:val="24"/>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19E6E66E">
            <w:pPr>
              <w:snapToGrid w:val="0"/>
              <w:spacing w:line="240" w:lineRule="auto"/>
              <w:jc w:val="center"/>
              <w:rPr>
                <w:rFonts w:hint="eastAsia" w:ascii="宋体" w:hAnsi="宋体" w:eastAsia="宋体" w:cs="宋体"/>
                <w:color w:val="auto"/>
                <w:sz w:val="24"/>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14:paraId="2511E875">
            <w:pPr>
              <w:keepNext w:val="0"/>
              <w:keepLines w:val="0"/>
              <w:pageBreakBefore w:val="0"/>
              <w:kinsoku/>
              <w:wordWrap/>
              <w:overflowPunct/>
              <w:topLinePunct w:val="0"/>
              <w:autoSpaceDE/>
              <w:autoSpaceDN/>
              <w:bidi w:val="0"/>
              <w:adjustRightInd w:val="0"/>
              <w:spacing w:after="0" w:line="440" w:lineRule="exact"/>
              <w:jc w:val="center"/>
              <w:textAlignment w:val="auto"/>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rPr>
              <w:t>25</w:t>
            </w:r>
            <w:r>
              <w:rPr>
                <w:rFonts w:hint="eastAsia" w:ascii="宋体" w:hAnsi="宋体" w:cs="宋体"/>
                <w:color w:val="auto"/>
                <w:sz w:val="24"/>
                <w:szCs w:val="24"/>
                <w:highlight w:val="none"/>
                <w:lang w:val="en-US" w:eastAsia="zh-CN"/>
              </w:rPr>
              <w:t>0000</w:t>
            </w:r>
          </w:p>
        </w:tc>
        <w:tc>
          <w:tcPr>
            <w:tcW w:w="1803" w:type="dxa"/>
            <w:tcBorders>
              <w:top w:val="single" w:color="auto" w:sz="4" w:space="0"/>
              <w:left w:val="single" w:color="auto" w:sz="4" w:space="0"/>
              <w:bottom w:val="single" w:color="auto" w:sz="4" w:space="0"/>
              <w:right w:val="single" w:color="auto" w:sz="4" w:space="0"/>
            </w:tcBorders>
            <w:vAlign w:val="center"/>
          </w:tcPr>
          <w:p w14:paraId="7EADE771">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592778AF">
            <w:pPr>
              <w:spacing w:line="240" w:lineRule="auto"/>
              <w:jc w:val="center"/>
              <w:rPr>
                <w:rFonts w:hint="eastAsia" w:ascii="宋体" w:hAnsi="宋体" w:eastAsia="宋体" w:cs="宋体"/>
                <w:color w:val="auto"/>
                <w:sz w:val="24"/>
                <w:highlight w:val="none"/>
              </w:rPr>
            </w:pPr>
          </w:p>
        </w:tc>
        <w:tc>
          <w:tcPr>
            <w:tcW w:w="1518" w:type="dxa"/>
            <w:tcBorders>
              <w:top w:val="single" w:color="auto" w:sz="4" w:space="0"/>
              <w:left w:val="single" w:color="auto" w:sz="4" w:space="0"/>
              <w:bottom w:val="single" w:color="auto" w:sz="4" w:space="0"/>
              <w:right w:val="single" w:color="auto" w:sz="4" w:space="0"/>
            </w:tcBorders>
            <w:vAlign w:val="center"/>
          </w:tcPr>
          <w:p w14:paraId="4CF64442">
            <w:pPr>
              <w:spacing w:line="240" w:lineRule="auto"/>
              <w:jc w:val="center"/>
              <w:rPr>
                <w:rFonts w:hint="default" w:ascii="宋体" w:hAnsi="宋体" w:eastAsia="宋体" w:cs="宋体"/>
                <w:color w:val="auto"/>
                <w:sz w:val="24"/>
                <w:highlight w:val="none"/>
                <w:lang w:val="en-US" w:eastAsia="zh-CN"/>
              </w:rPr>
            </w:pPr>
          </w:p>
        </w:tc>
      </w:tr>
      <w:tr w14:paraId="02DF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D5A994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016" w:type="dxa"/>
            <w:tcBorders>
              <w:top w:val="single" w:color="auto" w:sz="4" w:space="0"/>
              <w:left w:val="single" w:color="auto" w:sz="4" w:space="0"/>
              <w:bottom w:val="single" w:color="auto" w:sz="4" w:space="0"/>
              <w:right w:val="single" w:color="auto" w:sz="4" w:space="0"/>
            </w:tcBorders>
            <w:vAlign w:val="center"/>
          </w:tcPr>
          <w:p w14:paraId="1DFEE006">
            <w:pPr>
              <w:pStyle w:val="16"/>
              <w:ind w:firstLine="0" w:firstLineChars="0"/>
              <w:jc w:val="center"/>
              <w:rPr>
                <w:rFonts w:hint="eastAsia" w:ascii="宋体" w:hAnsi="宋体" w:eastAsia="宋体" w:cs="宋体"/>
                <w:color w:val="auto"/>
                <w:sz w:val="24"/>
                <w:highlight w:val="none"/>
                <w:lang w:eastAsia="zh-CN"/>
              </w:rPr>
            </w:pPr>
            <w:r>
              <w:rPr>
                <w:rFonts w:hint="eastAsia" w:hAnsi="宋体" w:cs="宋体"/>
                <w:color w:val="auto"/>
                <w:sz w:val="24"/>
                <w:szCs w:val="24"/>
                <w:highlight w:val="none"/>
              </w:rPr>
              <w:t>档案纸质数字化（A4幅面）</w:t>
            </w:r>
          </w:p>
        </w:tc>
        <w:tc>
          <w:tcPr>
            <w:tcW w:w="3925" w:type="dxa"/>
            <w:tcBorders>
              <w:top w:val="single" w:color="auto" w:sz="4" w:space="0"/>
              <w:left w:val="single" w:color="auto" w:sz="4" w:space="0"/>
              <w:bottom w:val="single" w:color="auto" w:sz="4" w:space="0"/>
              <w:right w:val="single" w:color="auto" w:sz="4" w:space="0"/>
            </w:tcBorders>
            <w:vAlign w:val="center"/>
          </w:tcPr>
          <w:p w14:paraId="0757AD45">
            <w:pPr>
              <w:snapToGrid w:val="0"/>
              <w:spacing w:line="240" w:lineRule="auto"/>
              <w:jc w:val="center"/>
              <w:rPr>
                <w:rFonts w:hint="eastAsia" w:ascii="宋体" w:hAnsi="宋体" w:eastAsia="宋体" w:cs="宋体"/>
                <w:color w:val="auto"/>
                <w:sz w:val="24"/>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27DB1D30">
            <w:pPr>
              <w:snapToGrid w:val="0"/>
              <w:spacing w:line="240" w:lineRule="auto"/>
              <w:jc w:val="center"/>
              <w:rPr>
                <w:rFonts w:hint="eastAsia" w:ascii="宋体" w:hAnsi="宋体" w:eastAsia="宋体" w:cs="宋体"/>
                <w:color w:val="auto"/>
                <w:sz w:val="24"/>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14:paraId="7097127A">
            <w:pPr>
              <w:keepNext w:val="0"/>
              <w:keepLines w:val="0"/>
              <w:pageBreakBefore w:val="0"/>
              <w:kinsoku/>
              <w:wordWrap/>
              <w:overflowPunct/>
              <w:topLinePunct w:val="0"/>
              <w:autoSpaceDE/>
              <w:autoSpaceDN/>
              <w:bidi w:val="0"/>
              <w:adjustRightInd w:val="0"/>
              <w:spacing w:after="0" w:line="440" w:lineRule="exact"/>
              <w:jc w:val="center"/>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rPr>
              <w:t>25</w:t>
            </w:r>
            <w:r>
              <w:rPr>
                <w:rFonts w:hint="eastAsia" w:ascii="宋体" w:hAnsi="宋体" w:cs="宋体"/>
                <w:color w:val="auto"/>
                <w:sz w:val="24"/>
                <w:szCs w:val="24"/>
                <w:highlight w:val="none"/>
                <w:lang w:val="en-US" w:eastAsia="zh-CN"/>
              </w:rPr>
              <w:t>0000</w:t>
            </w:r>
          </w:p>
        </w:tc>
        <w:tc>
          <w:tcPr>
            <w:tcW w:w="1803" w:type="dxa"/>
            <w:tcBorders>
              <w:top w:val="single" w:color="auto" w:sz="4" w:space="0"/>
              <w:left w:val="single" w:color="auto" w:sz="4" w:space="0"/>
              <w:bottom w:val="single" w:color="auto" w:sz="4" w:space="0"/>
              <w:right w:val="single" w:color="auto" w:sz="4" w:space="0"/>
            </w:tcBorders>
            <w:vAlign w:val="center"/>
          </w:tcPr>
          <w:p w14:paraId="6DB3F1FA">
            <w:pPr>
              <w:spacing w:line="240" w:lineRule="auto"/>
              <w:jc w:val="center"/>
              <w:rPr>
                <w:rFonts w:hint="eastAsia" w:ascii="宋体" w:hAnsi="宋体" w:eastAsia="宋体" w:cs="宋体"/>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5BCA0AC1">
            <w:pPr>
              <w:spacing w:line="240" w:lineRule="auto"/>
              <w:jc w:val="center"/>
              <w:rPr>
                <w:rFonts w:hint="eastAsia" w:ascii="宋体" w:hAnsi="宋体" w:eastAsia="宋体" w:cs="宋体"/>
                <w:color w:val="auto"/>
                <w:sz w:val="24"/>
                <w:highlight w:val="none"/>
                <w:lang w:val="en-US" w:eastAsia="zh-CN"/>
              </w:rPr>
            </w:pPr>
          </w:p>
        </w:tc>
        <w:tc>
          <w:tcPr>
            <w:tcW w:w="1518" w:type="dxa"/>
            <w:tcBorders>
              <w:top w:val="single" w:color="auto" w:sz="4" w:space="0"/>
              <w:left w:val="single" w:color="auto" w:sz="4" w:space="0"/>
              <w:bottom w:val="single" w:color="auto" w:sz="4" w:space="0"/>
              <w:right w:val="single" w:color="auto" w:sz="4" w:space="0"/>
            </w:tcBorders>
            <w:vAlign w:val="center"/>
          </w:tcPr>
          <w:p w14:paraId="788C7605">
            <w:pPr>
              <w:spacing w:line="240" w:lineRule="auto"/>
              <w:jc w:val="center"/>
              <w:rPr>
                <w:rFonts w:hint="default" w:ascii="宋体" w:hAnsi="宋体" w:eastAsia="宋体" w:cs="宋体"/>
                <w:color w:val="auto"/>
                <w:sz w:val="24"/>
                <w:highlight w:val="none"/>
                <w:lang w:val="en-US" w:eastAsia="zh-CN"/>
              </w:rPr>
            </w:pPr>
          </w:p>
        </w:tc>
      </w:tr>
      <w:tr w14:paraId="25E9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13" w:type="dxa"/>
            <w:gridSpan w:val="4"/>
            <w:tcBorders>
              <w:top w:val="single" w:color="auto" w:sz="4" w:space="0"/>
              <w:left w:val="single" w:color="auto" w:sz="4" w:space="0"/>
              <w:bottom w:val="single" w:color="auto" w:sz="4" w:space="0"/>
              <w:right w:val="single" w:color="auto" w:sz="4" w:space="0"/>
            </w:tcBorders>
            <w:vAlign w:val="center"/>
          </w:tcPr>
          <w:p w14:paraId="0FD974C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报价（小写）</w:t>
            </w:r>
          </w:p>
        </w:tc>
        <w:tc>
          <w:tcPr>
            <w:tcW w:w="6958" w:type="dxa"/>
            <w:gridSpan w:val="4"/>
            <w:tcBorders>
              <w:top w:val="single" w:color="auto" w:sz="4" w:space="0"/>
              <w:left w:val="single" w:color="auto" w:sz="4" w:space="0"/>
              <w:bottom w:val="single" w:color="auto" w:sz="4" w:space="0"/>
              <w:right w:val="single" w:color="auto" w:sz="4" w:space="0"/>
            </w:tcBorders>
            <w:vAlign w:val="center"/>
          </w:tcPr>
          <w:p w14:paraId="557635D4">
            <w:pPr>
              <w:spacing w:line="240" w:lineRule="auto"/>
              <w:jc w:val="center"/>
              <w:rPr>
                <w:rFonts w:hint="default" w:ascii="宋体" w:hAnsi="宋体" w:eastAsia="宋体" w:cs="宋体"/>
                <w:color w:val="auto"/>
                <w:sz w:val="24"/>
                <w:highlight w:val="none"/>
                <w:lang w:val="en-US" w:eastAsia="zh-CN"/>
              </w:rPr>
            </w:pPr>
          </w:p>
        </w:tc>
      </w:tr>
      <w:tr w14:paraId="014F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13" w:type="dxa"/>
            <w:gridSpan w:val="4"/>
            <w:tcBorders>
              <w:top w:val="single" w:color="auto" w:sz="4" w:space="0"/>
              <w:left w:val="single" w:color="auto" w:sz="4" w:space="0"/>
              <w:bottom w:val="single" w:color="auto" w:sz="4" w:space="0"/>
              <w:right w:val="single" w:color="auto" w:sz="4" w:space="0"/>
            </w:tcBorders>
            <w:vAlign w:val="center"/>
          </w:tcPr>
          <w:p w14:paraId="5C54CF9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响应</w:t>
            </w:r>
            <w:r>
              <w:rPr>
                <w:rFonts w:hint="eastAsia" w:ascii="宋体" w:hAnsi="宋体" w:eastAsia="宋体" w:cs="宋体"/>
                <w:b/>
                <w:color w:val="auto"/>
                <w:sz w:val="24"/>
                <w:highlight w:val="none"/>
              </w:rPr>
              <w:t>报价（大写）</w:t>
            </w:r>
          </w:p>
        </w:tc>
        <w:tc>
          <w:tcPr>
            <w:tcW w:w="6958" w:type="dxa"/>
            <w:gridSpan w:val="4"/>
            <w:tcBorders>
              <w:top w:val="single" w:color="auto" w:sz="4" w:space="0"/>
              <w:left w:val="single" w:color="auto" w:sz="4" w:space="0"/>
              <w:bottom w:val="single" w:color="auto" w:sz="4" w:space="0"/>
              <w:right w:val="single" w:color="auto" w:sz="4" w:space="0"/>
            </w:tcBorders>
            <w:vAlign w:val="center"/>
          </w:tcPr>
          <w:p w14:paraId="1F8769B5">
            <w:pPr>
              <w:spacing w:line="240" w:lineRule="auto"/>
              <w:jc w:val="center"/>
              <w:rPr>
                <w:rFonts w:hint="eastAsia" w:ascii="宋体" w:hAnsi="宋体" w:eastAsia="宋体" w:cs="宋体"/>
                <w:color w:val="auto"/>
                <w:sz w:val="24"/>
                <w:highlight w:val="none"/>
              </w:rPr>
            </w:pPr>
          </w:p>
        </w:tc>
      </w:tr>
    </w:tbl>
    <w:p w14:paraId="79CA94F8">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1、响应人需按本表格式填写，不得自行更改。</w:t>
      </w:r>
    </w:p>
    <w:p w14:paraId="3CBFB76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14:paraId="40D97B9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23922E4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14:paraId="40501C16">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189B4BA2">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CEBE41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14:paraId="68C2572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14:paraId="76C86EE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14:paraId="376EE3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r>
        <w:rPr>
          <w:rFonts w:hint="eastAsia" w:ascii="宋体" w:hAnsi="宋体" w:eastAsia="宋体" w:cs="宋体"/>
          <w:color w:val="auto"/>
          <w:sz w:val="24"/>
          <w:highlight w:val="none"/>
          <w:u w:val="dotted"/>
        </w:rPr>
        <w:t xml:space="preserve">                                        </w:t>
      </w:r>
    </w:p>
    <w:p w14:paraId="4E2E6DB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29029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7BC07D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E6EFFB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49E68D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21E10C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14:paraId="639BC5D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r>
        <w:rPr>
          <w:rFonts w:hint="eastAsia" w:ascii="宋体" w:hAnsi="宋体" w:eastAsia="宋体" w:cs="宋体"/>
          <w:color w:val="auto"/>
          <w:sz w:val="24"/>
          <w:highlight w:val="none"/>
          <w:u w:val="dotted"/>
        </w:rPr>
        <w:t xml:space="preserve">                                      </w:t>
      </w:r>
    </w:p>
    <w:p w14:paraId="0C64D0E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569CF3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p>
    <w:p w14:paraId="4B65D8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r>
        <w:rPr>
          <w:rFonts w:hint="eastAsia" w:ascii="宋体" w:hAnsi="宋体" w:eastAsia="宋体" w:cs="宋体"/>
          <w:color w:val="auto"/>
          <w:sz w:val="24"/>
          <w:highlight w:val="none"/>
          <w:u w:val="dotted"/>
        </w:rPr>
        <w:t xml:space="preserve">                                           </w:t>
      </w:r>
    </w:p>
    <w:p w14:paraId="3F3CD6B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14:paraId="577A4D0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r>
        <w:rPr>
          <w:rFonts w:hint="eastAsia" w:ascii="宋体" w:hAnsi="宋体" w:eastAsia="宋体" w:cs="宋体"/>
          <w:color w:val="auto"/>
          <w:sz w:val="24"/>
          <w:highlight w:val="none"/>
          <w:u w:val="dotted"/>
        </w:rPr>
        <w:t xml:space="preserve">                                         </w:t>
      </w:r>
    </w:p>
    <w:p w14:paraId="433D86D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1C05E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4E489E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7A0640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87D24B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14:paraId="402801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6A5DAD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14:paraId="072F07E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DF923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91ED1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C9CE937">
      <w:pPr>
        <w:spacing w:line="360" w:lineRule="auto"/>
        <w:jc w:val="center"/>
        <w:rPr>
          <w:rFonts w:hint="eastAsia" w:ascii="宋体" w:hAnsi="宋体" w:eastAsia="宋体" w:cs="宋体"/>
          <w:b/>
          <w:bCs/>
          <w:color w:val="auto"/>
          <w:sz w:val="24"/>
          <w:highlight w:val="none"/>
        </w:rPr>
      </w:pPr>
    </w:p>
    <w:p w14:paraId="7C20CB6E">
      <w:pPr>
        <w:spacing w:line="360" w:lineRule="auto"/>
        <w:rPr>
          <w:rFonts w:hint="eastAsia" w:ascii="宋体" w:hAnsi="宋体" w:eastAsia="宋体" w:cs="宋体"/>
          <w:b/>
          <w:color w:val="auto"/>
          <w:sz w:val="24"/>
          <w:highlight w:val="none"/>
        </w:rPr>
      </w:pPr>
    </w:p>
    <w:p w14:paraId="57C67A44">
      <w:pPr>
        <w:spacing w:line="360" w:lineRule="auto"/>
        <w:rPr>
          <w:rFonts w:hint="eastAsia" w:ascii="宋体" w:hAnsi="宋体" w:eastAsia="宋体" w:cs="宋体"/>
          <w:b/>
          <w:color w:val="auto"/>
          <w:sz w:val="24"/>
          <w:highlight w:val="none"/>
        </w:rPr>
      </w:pPr>
    </w:p>
    <w:p w14:paraId="0E4BFCDA">
      <w:pPr>
        <w:spacing w:line="360" w:lineRule="auto"/>
        <w:rPr>
          <w:rFonts w:hint="eastAsia" w:ascii="宋体" w:hAnsi="宋体" w:eastAsia="宋体" w:cs="宋体"/>
          <w:b/>
          <w:color w:val="auto"/>
          <w:sz w:val="24"/>
          <w:highlight w:val="none"/>
        </w:rPr>
      </w:pPr>
    </w:p>
    <w:p w14:paraId="7B34E23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14:paraId="08AB78E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14:paraId="7B4BDE3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14:paraId="2EE1CE2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14:paraId="7108A07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14:paraId="1E9E7EB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14:paraId="3F47274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4C495E8D">
      <w:pPr>
        <w:widowControl/>
        <w:spacing w:line="360" w:lineRule="auto"/>
        <w:ind w:firstLine="600" w:firstLineChars="200"/>
        <w:jc w:val="left"/>
        <w:rPr>
          <w:rFonts w:hint="eastAsia" w:ascii="宋体" w:hAnsi="宋体" w:eastAsia="宋体" w:cs="宋体"/>
          <w:color w:val="auto"/>
          <w:sz w:val="30"/>
          <w:szCs w:val="30"/>
          <w:highlight w:val="none"/>
        </w:rPr>
      </w:pPr>
    </w:p>
    <w:p w14:paraId="1FC6F12A">
      <w:pPr>
        <w:spacing w:line="360" w:lineRule="auto"/>
        <w:jc w:val="center"/>
        <w:rPr>
          <w:rFonts w:hint="eastAsia" w:ascii="宋体" w:hAnsi="宋体" w:eastAsia="宋体" w:cs="宋体"/>
          <w:b/>
          <w:color w:val="auto"/>
          <w:spacing w:val="6"/>
          <w:sz w:val="32"/>
          <w:szCs w:val="32"/>
          <w:highlight w:val="none"/>
        </w:rPr>
      </w:pPr>
    </w:p>
    <w:p w14:paraId="68F11204">
      <w:pPr>
        <w:spacing w:line="360" w:lineRule="auto"/>
        <w:jc w:val="center"/>
        <w:rPr>
          <w:rFonts w:hint="eastAsia" w:ascii="宋体" w:hAnsi="宋体" w:eastAsia="宋体" w:cs="宋体"/>
          <w:b/>
          <w:color w:val="auto"/>
          <w:spacing w:val="6"/>
          <w:sz w:val="32"/>
          <w:szCs w:val="32"/>
          <w:highlight w:val="none"/>
        </w:rPr>
      </w:pPr>
    </w:p>
    <w:p w14:paraId="2C1B1AB8">
      <w:pPr>
        <w:spacing w:line="360" w:lineRule="auto"/>
        <w:jc w:val="center"/>
        <w:rPr>
          <w:rFonts w:hint="eastAsia" w:ascii="宋体" w:hAnsi="宋体" w:eastAsia="宋体" w:cs="宋体"/>
          <w:b/>
          <w:color w:val="auto"/>
          <w:spacing w:val="6"/>
          <w:sz w:val="32"/>
          <w:szCs w:val="32"/>
          <w:highlight w:val="none"/>
        </w:rPr>
      </w:pPr>
    </w:p>
    <w:p w14:paraId="1EF90F38">
      <w:pPr>
        <w:spacing w:line="360" w:lineRule="auto"/>
        <w:jc w:val="center"/>
        <w:rPr>
          <w:rFonts w:hint="eastAsia" w:ascii="宋体" w:hAnsi="宋体" w:eastAsia="宋体" w:cs="宋体"/>
          <w:b/>
          <w:color w:val="auto"/>
          <w:spacing w:val="6"/>
          <w:sz w:val="32"/>
          <w:szCs w:val="32"/>
          <w:highlight w:val="none"/>
        </w:rPr>
      </w:pPr>
    </w:p>
    <w:p w14:paraId="52488E2A">
      <w:pPr>
        <w:spacing w:line="360" w:lineRule="auto"/>
        <w:jc w:val="center"/>
        <w:rPr>
          <w:rFonts w:hint="eastAsia" w:ascii="宋体" w:hAnsi="宋体" w:eastAsia="宋体" w:cs="宋体"/>
          <w:b/>
          <w:color w:val="auto"/>
          <w:spacing w:val="6"/>
          <w:sz w:val="32"/>
          <w:szCs w:val="32"/>
          <w:highlight w:val="none"/>
        </w:rPr>
      </w:pPr>
    </w:p>
    <w:p w14:paraId="6181F7F0">
      <w:pPr>
        <w:spacing w:line="360" w:lineRule="auto"/>
        <w:jc w:val="center"/>
        <w:rPr>
          <w:rFonts w:hint="eastAsia" w:ascii="宋体" w:hAnsi="宋体" w:eastAsia="宋体" w:cs="宋体"/>
          <w:b/>
          <w:color w:val="auto"/>
          <w:spacing w:val="6"/>
          <w:sz w:val="32"/>
          <w:szCs w:val="32"/>
          <w:highlight w:val="none"/>
        </w:rPr>
      </w:pPr>
    </w:p>
    <w:p w14:paraId="31C407F0">
      <w:pPr>
        <w:spacing w:line="360" w:lineRule="auto"/>
        <w:jc w:val="center"/>
        <w:rPr>
          <w:rFonts w:hint="eastAsia" w:ascii="宋体" w:hAnsi="宋体" w:eastAsia="宋体" w:cs="宋体"/>
          <w:b/>
          <w:color w:val="auto"/>
          <w:spacing w:val="6"/>
          <w:sz w:val="32"/>
          <w:szCs w:val="32"/>
          <w:highlight w:val="none"/>
        </w:rPr>
      </w:pPr>
    </w:p>
    <w:p w14:paraId="109211D2">
      <w:pPr>
        <w:spacing w:line="360" w:lineRule="auto"/>
        <w:jc w:val="center"/>
        <w:rPr>
          <w:rFonts w:hint="eastAsia" w:ascii="宋体" w:hAnsi="宋体" w:eastAsia="宋体" w:cs="宋体"/>
          <w:b/>
          <w:color w:val="auto"/>
          <w:spacing w:val="6"/>
          <w:sz w:val="32"/>
          <w:szCs w:val="32"/>
          <w:highlight w:val="none"/>
        </w:rPr>
      </w:pPr>
    </w:p>
    <w:p w14:paraId="41AA5960">
      <w:pPr>
        <w:spacing w:line="360" w:lineRule="auto"/>
        <w:jc w:val="center"/>
        <w:rPr>
          <w:rFonts w:hint="eastAsia" w:ascii="宋体" w:hAnsi="宋体" w:eastAsia="宋体" w:cs="宋体"/>
          <w:b/>
          <w:color w:val="auto"/>
          <w:spacing w:val="6"/>
          <w:sz w:val="32"/>
          <w:szCs w:val="32"/>
          <w:highlight w:val="none"/>
        </w:rPr>
      </w:pPr>
    </w:p>
    <w:p w14:paraId="23F12720">
      <w:pPr>
        <w:spacing w:line="360" w:lineRule="auto"/>
        <w:jc w:val="center"/>
        <w:rPr>
          <w:rFonts w:hint="eastAsia" w:ascii="宋体" w:hAnsi="宋体" w:eastAsia="宋体" w:cs="宋体"/>
          <w:b/>
          <w:color w:val="auto"/>
          <w:spacing w:val="6"/>
          <w:sz w:val="32"/>
          <w:szCs w:val="32"/>
          <w:highlight w:val="none"/>
        </w:rPr>
      </w:pPr>
    </w:p>
    <w:p w14:paraId="4400CC98">
      <w:pPr>
        <w:spacing w:line="360" w:lineRule="auto"/>
        <w:jc w:val="center"/>
        <w:rPr>
          <w:rFonts w:hint="eastAsia" w:ascii="宋体" w:hAnsi="宋体" w:eastAsia="宋体" w:cs="宋体"/>
          <w:b/>
          <w:color w:val="auto"/>
          <w:spacing w:val="6"/>
          <w:sz w:val="32"/>
          <w:szCs w:val="32"/>
          <w:highlight w:val="none"/>
        </w:rPr>
      </w:pPr>
    </w:p>
    <w:p w14:paraId="599E62DB">
      <w:pPr>
        <w:spacing w:line="360" w:lineRule="auto"/>
        <w:jc w:val="center"/>
        <w:rPr>
          <w:rFonts w:hint="eastAsia" w:ascii="宋体" w:hAnsi="宋体" w:eastAsia="宋体" w:cs="宋体"/>
          <w:b/>
          <w:color w:val="auto"/>
          <w:spacing w:val="6"/>
          <w:sz w:val="32"/>
          <w:szCs w:val="32"/>
          <w:highlight w:val="none"/>
        </w:rPr>
      </w:pPr>
    </w:p>
    <w:p w14:paraId="65B4C665">
      <w:pPr>
        <w:spacing w:line="360" w:lineRule="auto"/>
        <w:jc w:val="left"/>
        <w:rPr>
          <w:rFonts w:hint="eastAsia" w:ascii="宋体" w:hAnsi="宋体" w:eastAsia="宋体" w:cs="宋体"/>
          <w:b/>
          <w:color w:val="auto"/>
          <w:spacing w:val="6"/>
          <w:sz w:val="32"/>
          <w:szCs w:val="32"/>
          <w:highlight w:val="none"/>
        </w:rPr>
      </w:pPr>
    </w:p>
    <w:p w14:paraId="59A8C8F5">
      <w:pPr>
        <w:spacing w:line="360" w:lineRule="auto"/>
        <w:jc w:val="left"/>
        <w:rPr>
          <w:rFonts w:hint="eastAsia" w:ascii="宋体" w:hAnsi="宋体" w:eastAsia="宋体" w:cs="宋体"/>
          <w:b/>
          <w:color w:val="auto"/>
          <w:spacing w:val="6"/>
          <w:sz w:val="32"/>
          <w:szCs w:val="32"/>
          <w:highlight w:val="none"/>
        </w:rPr>
      </w:pPr>
    </w:p>
    <w:p w14:paraId="44DAF10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7AE05D2E">
      <w:pPr>
        <w:spacing w:line="360" w:lineRule="auto"/>
        <w:jc w:val="center"/>
        <w:rPr>
          <w:rFonts w:hint="eastAsia" w:ascii="宋体" w:hAnsi="宋体" w:eastAsia="宋体" w:cs="宋体"/>
          <w:b/>
          <w:color w:val="auto"/>
          <w:sz w:val="24"/>
          <w:highlight w:val="none"/>
        </w:rPr>
      </w:pPr>
    </w:p>
    <w:p w14:paraId="5D0ECEB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D6927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A1BB07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EB0DEC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402B62">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5D91AB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47CD8C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36B925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83ACF6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8553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5AC7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C073B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F16660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BA0BC2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6D2C8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39602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651C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C47104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r>
        <w:rPr>
          <w:rFonts w:hint="eastAsia" w:ascii="宋体" w:hAnsi="宋体" w:eastAsia="宋体" w:cs="宋体"/>
          <w:color w:val="auto"/>
          <w:sz w:val="24"/>
          <w:highlight w:val="none"/>
          <w:u w:val="dotted"/>
        </w:rPr>
        <w:t xml:space="preserve">                                        </w:t>
      </w:r>
    </w:p>
    <w:p w14:paraId="66BF4CD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C2C48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9191DE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C3C3C1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63C991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73D4C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14:paraId="00C48AB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提出异议，异议事项为：</w:t>
      </w:r>
      <w:r>
        <w:rPr>
          <w:rFonts w:hint="eastAsia" w:ascii="宋体" w:hAnsi="宋体" w:eastAsia="宋体" w:cs="宋体"/>
          <w:color w:val="auto"/>
          <w:sz w:val="24"/>
          <w:highlight w:val="none"/>
          <w:u w:val="dotted"/>
        </w:rPr>
        <w:t xml:space="preserve">                                </w:t>
      </w:r>
    </w:p>
    <w:p w14:paraId="680312F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05A164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日,就异议事项作出了答复/没有在法定期限内作出答复。</w:t>
      </w:r>
    </w:p>
    <w:p w14:paraId="7A8535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3B554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64991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C400C6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7039D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CA9FDC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10542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28EB12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351D0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D61EA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96C26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30D16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BF497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1B430A6">
      <w:pPr>
        <w:spacing w:line="360" w:lineRule="auto"/>
        <w:rPr>
          <w:rFonts w:hint="eastAsia" w:ascii="宋体" w:hAnsi="宋体" w:eastAsia="宋体" w:cs="宋体"/>
          <w:b/>
          <w:color w:val="auto"/>
          <w:sz w:val="24"/>
          <w:highlight w:val="none"/>
        </w:rPr>
      </w:pPr>
    </w:p>
    <w:p w14:paraId="3D6DC157">
      <w:pPr>
        <w:spacing w:line="360" w:lineRule="auto"/>
        <w:rPr>
          <w:rFonts w:hint="eastAsia" w:ascii="宋体" w:hAnsi="宋体" w:eastAsia="宋体" w:cs="宋体"/>
          <w:b/>
          <w:color w:val="auto"/>
          <w:sz w:val="24"/>
          <w:highlight w:val="none"/>
        </w:rPr>
      </w:pPr>
    </w:p>
    <w:p w14:paraId="1E5BC4C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13A2223">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14:paraId="0C69D36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BDC993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6E08F3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14:paraId="516FAD2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384FDC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A46051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4557774">
      <w:pPr>
        <w:spacing w:line="360" w:lineRule="auto"/>
        <w:rPr>
          <w:rFonts w:hint="eastAsia" w:ascii="宋体" w:hAnsi="宋体" w:eastAsia="宋体" w:cs="宋体"/>
          <w:b/>
          <w:color w:val="auto"/>
          <w:sz w:val="24"/>
          <w:highlight w:val="none"/>
        </w:rPr>
      </w:pPr>
    </w:p>
    <w:p w14:paraId="1D417975">
      <w:pPr>
        <w:autoSpaceDE w:val="0"/>
        <w:autoSpaceDN w:val="0"/>
        <w:jc w:val="center"/>
        <w:rPr>
          <w:rFonts w:hint="eastAsia" w:ascii="宋体" w:hAnsi="宋体" w:eastAsia="宋体" w:cs="宋体"/>
          <w:b/>
          <w:color w:val="auto"/>
          <w:spacing w:val="6"/>
          <w:sz w:val="32"/>
          <w:szCs w:val="32"/>
          <w:highlight w:val="none"/>
        </w:rPr>
      </w:pPr>
    </w:p>
    <w:p w14:paraId="7708766C">
      <w:pPr>
        <w:autoSpaceDE w:val="0"/>
        <w:autoSpaceDN w:val="0"/>
        <w:jc w:val="left"/>
        <w:rPr>
          <w:rFonts w:hint="eastAsia" w:ascii="宋体" w:hAnsi="宋体" w:eastAsia="宋体" w:cs="宋体"/>
          <w:b/>
          <w:color w:val="auto"/>
          <w:spacing w:val="6"/>
          <w:sz w:val="32"/>
          <w:szCs w:val="32"/>
          <w:highlight w:val="none"/>
        </w:rPr>
      </w:pPr>
    </w:p>
    <w:p w14:paraId="7A89BF14">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2B34B183">
      <w:pPr>
        <w:autoSpaceDE w:val="0"/>
        <w:autoSpaceDN w:val="0"/>
        <w:jc w:val="center"/>
        <w:rPr>
          <w:rFonts w:hint="eastAsia" w:ascii="宋体" w:hAnsi="宋体" w:eastAsia="宋体" w:cs="宋体"/>
          <w:b/>
          <w:bCs/>
          <w:color w:val="auto"/>
          <w:sz w:val="32"/>
          <w:szCs w:val="32"/>
          <w:highlight w:val="none"/>
        </w:rPr>
      </w:pPr>
    </w:p>
    <w:p w14:paraId="6F41C63A">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16ADEFBA">
      <w:pPr>
        <w:spacing w:line="360" w:lineRule="auto"/>
        <w:rPr>
          <w:rFonts w:hint="eastAsia" w:ascii="宋体" w:hAnsi="宋体" w:eastAsia="宋体" w:cs="宋体"/>
          <w:color w:val="auto"/>
          <w:sz w:val="24"/>
          <w:highlight w:val="none"/>
          <w:u w:val="single"/>
        </w:rPr>
      </w:pPr>
    </w:p>
    <w:p w14:paraId="78A9AC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14:paraId="0A43CC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      ）】</w:t>
      </w:r>
      <w:r>
        <w:rPr>
          <w:rFonts w:hint="eastAsia" w:ascii="宋体" w:hAnsi="宋体" w:cs="宋体"/>
          <w:bCs/>
          <w:color w:val="auto"/>
          <w:sz w:val="24"/>
          <w:highlight w:val="none"/>
          <w:lang w:val="en-US" w:eastAsia="zh-CN"/>
        </w:rPr>
        <w:t>交易</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A4E61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4DE1C56">
      <w:pPr>
        <w:spacing w:line="360" w:lineRule="auto"/>
        <w:ind w:firstLine="494"/>
        <w:rPr>
          <w:rFonts w:hint="eastAsia" w:ascii="宋体" w:hAnsi="宋体" w:eastAsia="宋体" w:cs="宋体"/>
          <w:color w:val="auto"/>
          <w:sz w:val="24"/>
          <w:highlight w:val="none"/>
        </w:rPr>
      </w:pPr>
    </w:p>
    <w:p w14:paraId="1D4E366A">
      <w:pPr>
        <w:spacing w:line="360" w:lineRule="auto"/>
        <w:ind w:firstLine="494"/>
        <w:rPr>
          <w:rFonts w:hint="eastAsia" w:ascii="宋体" w:hAnsi="宋体" w:eastAsia="宋体" w:cs="宋体"/>
          <w:color w:val="auto"/>
          <w:sz w:val="24"/>
          <w:highlight w:val="none"/>
        </w:rPr>
      </w:pPr>
    </w:p>
    <w:p w14:paraId="45AC724D">
      <w:pPr>
        <w:spacing w:line="360" w:lineRule="auto"/>
        <w:ind w:firstLine="494"/>
        <w:rPr>
          <w:rFonts w:hint="eastAsia" w:ascii="宋体" w:hAnsi="宋体" w:eastAsia="宋体" w:cs="宋体"/>
          <w:color w:val="auto"/>
          <w:sz w:val="24"/>
          <w:highlight w:val="none"/>
        </w:rPr>
      </w:pPr>
    </w:p>
    <w:p w14:paraId="17E91268">
      <w:pPr>
        <w:spacing w:line="360" w:lineRule="auto"/>
        <w:ind w:firstLine="494"/>
        <w:rPr>
          <w:rFonts w:hint="eastAsia" w:ascii="宋体" w:hAnsi="宋体" w:eastAsia="宋体" w:cs="宋体"/>
          <w:color w:val="auto"/>
          <w:sz w:val="24"/>
          <w:highlight w:val="none"/>
        </w:rPr>
      </w:pPr>
    </w:p>
    <w:p w14:paraId="1DF282A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单位（法定名称章）：</w:t>
      </w:r>
    </w:p>
    <w:p w14:paraId="547F841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D1064AC">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F5862F7">
      <w:pPr>
        <w:spacing w:line="360" w:lineRule="auto"/>
        <w:rPr>
          <w:rFonts w:hint="eastAsia" w:ascii="宋体" w:hAnsi="宋体" w:eastAsia="宋体" w:cs="宋体"/>
          <w:bCs/>
          <w:color w:val="auto"/>
          <w:sz w:val="24"/>
          <w:highlight w:val="none"/>
        </w:rPr>
      </w:pPr>
      <w:r>
        <w:rPr>
          <w:rFonts w:hint="default" w:ascii="宋体" w:hAnsi="宋体" w:eastAsia="宋体" w:cs="宋体"/>
          <w:b/>
          <w:bCs/>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eastAsia="宋体" w:cs="宋体"/>
          <w:b/>
          <w:bCs/>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424FC7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424FC7D">
                      <w:pPr>
                        <w:jc w:val="center"/>
                      </w:pPr>
                    </w:p>
                  </w:txbxContent>
                </v:textbox>
              </v:rect>
            </w:pict>
          </mc:Fallback>
        </mc:AlternateContent>
      </w:r>
      <w:r>
        <w:rPr>
          <w:rFonts w:hint="eastAsia" w:ascii="宋体" w:hAnsi="宋体" w:cs="宋体"/>
          <w:b/>
          <w:bCs/>
          <w:color w:val="auto"/>
          <w:sz w:val="24"/>
          <w:highlight w:val="none"/>
          <w:lang w:val="en-US" w:eastAsia="zh-CN"/>
        </w:rPr>
        <w:t>响应</w:t>
      </w:r>
      <w:r>
        <w:rPr>
          <w:rFonts w:hint="eastAsia" w:ascii="宋体" w:hAnsi="宋体" w:eastAsia="宋体" w:cs="宋体"/>
          <w:color w:val="auto"/>
          <w:sz w:val="24"/>
          <w:highlight w:val="none"/>
        </w:rPr>
        <w:t xml:space="preserve">单位法定名称章（印模）                </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单位“XX专用章”（印模）</w:t>
      </w:r>
    </w:p>
    <w:p w14:paraId="5CD91DCF">
      <w:pPr>
        <w:autoSpaceDE w:val="0"/>
        <w:autoSpaceDN w:val="0"/>
        <w:jc w:val="center"/>
        <w:rPr>
          <w:rFonts w:hint="eastAsia" w:ascii="宋体" w:hAnsi="宋体" w:eastAsia="宋体" w:cs="宋体"/>
          <w:b/>
          <w:color w:val="auto"/>
          <w:spacing w:val="6"/>
          <w:sz w:val="32"/>
          <w:szCs w:val="32"/>
          <w:highlight w:val="none"/>
        </w:rPr>
      </w:pPr>
    </w:p>
    <w:p w14:paraId="385D0F0E">
      <w:pPr>
        <w:autoSpaceDE w:val="0"/>
        <w:autoSpaceDN w:val="0"/>
        <w:jc w:val="center"/>
        <w:rPr>
          <w:rFonts w:hint="eastAsia" w:ascii="宋体" w:hAnsi="宋体" w:eastAsia="宋体" w:cs="宋体"/>
          <w:b/>
          <w:color w:val="auto"/>
          <w:spacing w:val="6"/>
          <w:sz w:val="32"/>
          <w:szCs w:val="32"/>
          <w:highlight w:val="none"/>
        </w:rPr>
      </w:pPr>
    </w:p>
    <w:p w14:paraId="3BD51522">
      <w:pPr>
        <w:autoSpaceDE w:val="0"/>
        <w:autoSpaceDN w:val="0"/>
        <w:jc w:val="center"/>
        <w:rPr>
          <w:rFonts w:hint="eastAsia" w:ascii="宋体" w:hAnsi="宋体" w:eastAsia="宋体" w:cs="宋体"/>
          <w:b/>
          <w:color w:val="auto"/>
          <w:spacing w:val="6"/>
          <w:sz w:val="32"/>
          <w:szCs w:val="32"/>
          <w:highlight w:val="none"/>
        </w:rPr>
      </w:pPr>
    </w:p>
    <w:p w14:paraId="71B68C9E">
      <w:pPr>
        <w:autoSpaceDE w:val="0"/>
        <w:autoSpaceDN w:val="0"/>
        <w:jc w:val="center"/>
        <w:rPr>
          <w:rFonts w:hint="eastAsia" w:ascii="宋体" w:hAnsi="宋体" w:eastAsia="宋体" w:cs="宋体"/>
          <w:b/>
          <w:color w:val="auto"/>
          <w:spacing w:val="6"/>
          <w:sz w:val="32"/>
          <w:szCs w:val="32"/>
          <w:highlight w:val="none"/>
        </w:rPr>
      </w:pPr>
    </w:p>
    <w:p w14:paraId="7CD248EA">
      <w:pPr>
        <w:autoSpaceDE w:val="0"/>
        <w:autoSpaceDN w:val="0"/>
        <w:jc w:val="center"/>
        <w:rPr>
          <w:rFonts w:hint="eastAsia" w:ascii="宋体" w:hAnsi="宋体" w:eastAsia="宋体" w:cs="宋体"/>
          <w:b/>
          <w:color w:val="auto"/>
          <w:spacing w:val="6"/>
          <w:sz w:val="32"/>
          <w:szCs w:val="32"/>
          <w:highlight w:val="none"/>
        </w:rPr>
      </w:pPr>
    </w:p>
    <w:p w14:paraId="348655A2">
      <w:pPr>
        <w:autoSpaceDE w:val="0"/>
        <w:autoSpaceDN w:val="0"/>
        <w:jc w:val="center"/>
        <w:rPr>
          <w:rFonts w:hint="eastAsia" w:ascii="宋体" w:hAnsi="宋体" w:eastAsia="宋体" w:cs="宋体"/>
          <w:b/>
          <w:color w:val="auto"/>
          <w:spacing w:val="6"/>
          <w:sz w:val="32"/>
          <w:szCs w:val="32"/>
          <w:highlight w:val="none"/>
        </w:rPr>
      </w:pPr>
    </w:p>
    <w:p w14:paraId="2CE90C8E">
      <w:pPr>
        <w:autoSpaceDE w:val="0"/>
        <w:autoSpaceDN w:val="0"/>
        <w:jc w:val="center"/>
        <w:rPr>
          <w:rFonts w:hint="eastAsia" w:ascii="宋体" w:hAnsi="宋体" w:eastAsia="宋体" w:cs="宋体"/>
          <w:b/>
          <w:color w:val="auto"/>
          <w:spacing w:val="6"/>
          <w:sz w:val="32"/>
          <w:szCs w:val="32"/>
          <w:highlight w:val="none"/>
        </w:rPr>
      </w:pPr>
    </w:p>
    <w:p w14:paraId="2A3AA4CE">
      <w:pPr>
        <w:autoSpaceDE w:val="0"/>
        <w:autoSpaceDN w:val="0"/>
        <w:jc w:val="center"/>
        <w:rPr>
          <w:rFonts w:hint="eastAsia" w:ascii="宋体" w:hAnsi="宋体" w:eastAsia="宋体" w:cs="宋体"/>
          <w:b/>
          <w:color w:val="auto"/>
          <w:spacing w:val="6"/>
          <w:sz w:val="32"/>
          <w:szCs w:val="32"/>
          <w:highlight w:val="none"/>
        </w:rPr>
      </w:pPr>
    </w:p>
    <w:p w14:paraId="241CF667">
      <w:pPr>
        <w:autoSpaceDE w:val="0"/>
        <w:autoSpaceDN w:val="0"/>
        <w:jc w:val="center"/>
        <w:rPr>
          <w:rFonts w:hint="eastAsia" w:ascii="宋体" w:hAnsi="宋体" w:eastAsia="宋体" w:cs="宋体"/>
          <w:b/>
          <w:color w:val="auto"/>
          <w:spacing w:val="6"/>
          <w:sz w:val="32"/>
          <w:szCs w:val="32"/>
          <w:highlight w:val="none"/>
        </w:rPr>
      </w:pPr>
    </w:p>
    <w:p w14:paraId="32DC42B3">
      <w:pPr>
        <w:autoSpaceDE w:val="0"/>
        <w:autoSpaceDN w:val="0"/>
        <w:jc w:val="center"/>
        <w:rPr>
          <w:rFonts w:hint="eastAsia" w:ascii="宋体" w:hAnsi="宋体" w:eastAsia="宋体" w:cs="宋体"/>
          <w:b/>
          <w:color w:val="auto"/>
          <w:spacing w:val="6"/>
          <w:sz w:val="32"/>
          <w:szCs w:val="32"/>
          <w:highlight w:val="none"/>
        </w:rPr>
      </w:pPr>
    </w:p>
    <w:p w14:paraId="1E523B96">
      <w:pPr>
        <w:autoSpaceDE w:val="0"/>
        <w:autoSpaceDN w:val="0"/>
        <w:jc w:val="center"/>
        <w:rPr>
          <w:rFonts w:hint="eastAsia" w:ascii="宋体" w:hAnsi="宋体" w:eastAsia="宋体" w:cs="宋体"/>
          <w:b/>
          <w:color w:val="auto"/>
          <w:spacing w:val="6"/>
          <w:sz w:val="32"/>
          <w:szCs w:val="32"/>
          <w:highlight w:val="none"/>
        </w:rPr>
      </w:pPr>
    </w:p>
    <w:p w14:paraId="75C4EE9D">
      <w:pPr>
        <w:autoSpaceDE w:val="0"/>
        <w:autoSpaceDN w:val="0"/>
        <w:jc w:val="center"/>
        <w:rPr>
          <w:rFonts w:hint="eastAsia" w:ascii="宋体" w:hAnsi="宋体" w:eastAsia="宋体" w:cs="宋体"/>
          <w:b/>
          <w:color w:val="auto"/>
          <w:spacing w:val="6"/>
          <w:sz w:val="32"/>
          <w:szCs w:val="32"/>
          <w:highlight w:val="none"/>
        </w:rPr>
      </w:pPr>
    </w:p>
    <w:p w14:paraId="325DB38A">
      <w:pPr>
        <w:autoSpaceDE w:val="0"/>
        <w:autoSpaceDN w:val="0"/>
        <w:jc w:val="center"/>
        <w:rPr>
          <w:rFonts w:hint="eastAsia" w:ascii="宋体" w:hAnsi="宋体" w:eastAsia="宋体" w:cs="宋体"/>
          <w:b/>
          <w:color w:val="auto"/>
          <w:spacing w:val="6"/>
          <w:sz w:val="32"/>
          <w:szCs w:val="32"/>
          <w:highlight w:val="none"/>
        </w:rPr>
      </w:pPr>
    </w:p>
    <w:p w14:paraId="05EC7842">
      <w:pPr>
        <w:autoSpaceDE w:val="0"/>
        <w:autoSpaceDN w:val="0"/>
        <w:jc w:val="center"/>
        <w:rPr>
          <w:rFonts w:hint="eastAsia" w:ascii="宋体" w:hAnsi="宋体" w:eastAsia="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281BE">
    <w:pPr>
      <w:pStyle w:val="41"/>
      <w:jc w:val="center"/>
      <w:rPr>
        <w:rFonts w:ascii="仿宋_GB2312" w:eastAsia="仿宋_GB2312"/>
      </w:rPr>
    </w:pPr>
  </w:p>
  <w:p w14:paraId="538898A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57E0">
    <w:pPr>
      <w:pStyle w:val="41"/>
      <w:jc w:val="center"/>
      <w:rPr>
        <w:rFonts w:ascii="仿宋_GB2312" w:eastAsia="仿宋_GB2312"/>
      </w:rPr>
    </w:pPr>
  </w:p>
  <w:p w14:paraId="5479E8D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775C9">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2D7FE">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C22D7FE">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14:paraId="6A777C5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004D4">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0CE50">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380CE50">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14:paraId="4227E86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C2499">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265BD">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44265BD">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165AB20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B556">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25FFE">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4425FFE">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4AE9F74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5F7A9">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3A77A">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103A77A">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6B56">
    <w:pPr>
      <w:pStyle w:val="41"/>
      <w:framePr w:wrap="around" w:vAnchor="text" w:hAnchor="margin" w:xAlign="right" w:y="1"/>
      <w:rPr>
        <w:rStyle w:val="74"/>
      </w:rPr>
    </w:pPr>
    <w:r>
      <w:fldChar w:fldCharType="begin"/>
    </w:r>
    <w:r>
      <w:rPr>
        <w:rStyle w:val="74"/>
      </w:rPr>
      <w:instrText xml:space="preserve">PAGE  </w:instrText>
    </w:r>
    <w:r>
      <w:fldChar w:fldCharType="end"/>
    </w:r>
  </w:p>
  <w:p w14:paraId="0A8F1F3F">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97D7">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DC9C9">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8FDC9C9">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53EB5">
    <w:pPr>
      <w:pStyle w:val="43"/>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A8CE">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C6DFC">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45D53">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1C1D">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8388D">
    <w:pPr>
      <w:pStyle w:val="43"/>
    </w:pPr>
    <w:r>
      <w:t></w:t>
    </w:r>
    <w:r>
      <w:rPr>
        <w:rFonts w:hint="eastAsia"/>
      </w:rPr>
      <w:t xml:space="preserve">                                                             公开竞争文件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OTZlMmVjYzVkN2QwOTJkOWYyZjg2Zjc5OWYzN2QifQ=="/>
    <w:docVar w:name="KSO_WPS_MARK_KEY" w:val="18371b7a-7c2f-46a2-8057-8cdeff8e57a7"/>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23D"/>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DDA"/>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1F8"/>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8DD"/>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6ED9"/>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3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552"/>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13"/>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3A4"/>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993"/>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0F5"/>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018"/>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2176"/>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2F4C6F"/>
    <w:rsid w:val="025F0711"/>
    <w:rsid w:val="02644317"/>
    <w:rsid w:val="026B2E25"/>
    <w:rsid w:val="02824D4D"/>
    <w:rsid w:val="02BE3979"/>
    <w:rsid w:val="02CD3CC1"/>
    <w:rsid w:val="02DC4B10"/>
    <w:rsid w:val="02DD76CE"/>
    <w:rsid w:val="02F36323"/>
    <w:rsid w:val="02F5619C"/>
    <w:rsid w:val="0326446A"/>
    <w:rsid w:val="032D5555"/>
    <w:rsid w:val="036634D2"/>
    <w:rsid w:val="038A68D9"/>
    <w:rsid w:val="03DD35E4"/>
    <w:rsid w:val="04076900"/>
    <w:rsid w:val="041A5A3B"/>
    <w:rsid w:val="042311BA"/>
    <w:rsid w:val="042B157A"/>
    <w:rsid w:val="048E5201"/>
    <w:rsid w:val="048F763B"/>
    <w:rsid w:val="049F330E"/>
    <w:rsid w:val="04AA775C"/>
    <w:rsid w:val="04AF1889"/>
    <w:rsid w:val="04B278A2"/>
    <w:rsid w:val="04B85F11"/>
    <w:rsid w:val="04EE3F9B"/>
    <w:rsid w:val="04F66F48"/>
    <w:rsid w:val="051E28A6"/>
    <w:rsid w:val="05251E14"/>
    <w:rsid w:val="052F519E"/>
    <w:rsid w:val="05507636"/>
    <w:rsid w:val="05770BD6"/>
    <w:rsid w:val="058806C7"/>
    <w:rsid w:val="05A16594"/>
    <w:rsid w:val="05A7762D"/>
    <w:rsid w:val="05BF4603"/>
    <w:rsid w:val="05C04DC2"/>
    <w:rsid w:val="060E5941"/>
    <w:rsid w:val="06110FAF"/>
    <w:rsid w:val="06493CA7"/>
    <w:rsid w:val="065A6178"/>
    <w:rsid w:val="066D3597"/>
    <w:rsid w:val="066F1CF3"/>
    <w:rsid w:val="068A1950"/>
    <w:rsid w:val="06930BB8"/>
    <w:rsid w:val="06956198"/>
    <w:rsid w:val="06C72CF1"/>
    <w:rsid w:val="070419DC"/>
    <w:rsid w:val="07245D42"/>
    <w:rsid w:val="07264C62"/>
    <w:rsid w:val="07290CF2"/>
    <w:rsid w:val="072F6604"/>
    <w:rsid w:val="074460BC"/>
    <w:rsid w:val="0779354C"/>
    <w:rsid w:val="077F0C95"/>
    <w:rsid w:val="078F5D5A"/>
    <w:rsid w:val="07C300BD"/>
    <w:rsid w:val="07FE18F3"/>
    <w:rsid w:val="08061376"/>
    <w:rsid w:val="08452D77"/>
    <w:rsid w:val="086401F8"/>
    <w:rsid w:val="08751CAA"/>
    <w:rsid w:val="0876556A"/>
    <w:rsid w:val="087E4C40"/>
    <w:rsid w:val="08A53637"/>
    <w:rsid w:val="08A871D0"/>
    <w:rsid w:val="08D66AD6"/>
    <w:rsid w:val="08DA33A3"/>
    <w:rsid w:val="08E80F13"/>
    <w:rsid w:val="09223DE3"/>
    <w:rsid w:val="092612F3"/>
    <w:rsid w:val="092748F4"/>
    <w:rsid w:val="09335624"/>
    <w:rsid w:val="093E11FE"/>
    <w:rsid w:val="0944690F"/>
    <w:rsid w:val="09535675"/>
    <w:rsid w:val="095F057D"/>
    <w:rsid w:val="09642282"/>
    <w:rsid w:val="09733572"/>
    <w:rsid w:val="09772C16"/>
    <w:rsid w:val="098353B5"/>
    <w:rsid w:val="09A92330"/>
    <w:rsid w:val="09B06B87"/>
    <w:rsid w:val="09C13146"/>
    <w:rsid w:val="09E04166"/>
    <w:rsid w:val="09F81448"/>
    <w:rsid w:val="0A1C0718"/>
    <w:rsid w:val="0A2C10A7"/>
    <w:rsid w:val="0A3C05D9"/>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C170175"/>
    <w:rsid w:val="0C41327A"/>
    <w:rsid w:val="0C4D69A3"/>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737161"/>
    <w:rsid w:val="0D827401"/>
    <w:rsid w:val="0D84094E"/>
    <w:rsid w:val="0D8A00E9"/>
    <w:rsid w:val="0D8D589E"/>
    <w:rsid w:val="0D95362E"/>
    <w:rsid w:val="0DA01C73"/>
    <w:rsid w:val="0DD63300"/>
    <w:rsid w:val="0DF50604"/>
    <w:rsid w:val="0DF702FE"/>
    <w:rsid w:val="0E060E51"/>
    <w:rsid w:val="0E22536A"/>
    <w:rsid w:val="0E24319C"/>
    <w:rsid w:val="0E373674"/>
    <w:rsid w:val="0E5604B2"/>
    <w:rsid w:val="0E5872E2"/>
    <w:rsid w:val="0E6D5D79"/>
    <w:rsid w:val="0E6F14E6"/>
    <w:rsid w:val="0E9D0089"/>
    <w:rsid w:val="0EB803EE"/>
    <w:rsid w:val="0EF94D4B"/>
    <w:rsid w:val="0F0B13B6"/>
    <w:rsid w:val="0F182768"/>
    <w:rsid w:val="0F4958DC"/>
    <w:rsid w:val="0F503CB0"/>
    <w:rsid w:val="0F515DF7"/>
    <w:rsid w:val="0F596BA8"/>
    <w:rsid w:val="0F6248D2"/>
    <w:rsid w:val="0F635421"/>
    <w:rsid w:val="0F693536"/>
    <w:rsid w:val="0F7B0511"/>
    <w:rsid w:val="0F7B76D9"/>
    <w:rsid w:val="0F7D6A6F"/>
    <w:rsid w:val="0F816ACD"/>
    <w:rsid w:val="0F976DA5"/>
    <w:rsid w:val="0F9832DB"/>
    <w:rsid w:val="0FBF3FD2"/>
    <w:rsid w:val="0FBF7FF3"/>
    <w:rsid w:val="0FCF1C32"/>
    <w:rsid w:val="0FDA406B"/>
    <w:rsid w:val="0FDC2332"/>
    <w:rsid w:val="0FFC3E38"/>
    <w:rsid w:val="10156805"/>
    <w:rsid w:val="10646583"/>
    <w:rsid w:val="107D4B15"/>
    <w:rsid w:val="10841832"/>
    <w:rsid w:val="108A3C80"/>
    <w:rsid w:val="10C26171"/>
    <w:rsid w:val="10DC700E"/>
    <w:rsid w:val="10DE34E4"/>
    <w:rsid w:val="10F33360"/>
    <w:rsid w:val="10F4083A"/>
    <w:rsid w:val="10FC16EA"/>
    <w:rsid w:val="110F1D40"/>
    <w:rsid w:val="11266F33"/>
    <w:rsid w:val="118963A1"/>
    <w:rsid w:val="119867D9"/>
    <w:rsid w:val="11C6522A"/>
    <w:rsid w:val="11E104CC"/>
    <w:rsid w:val="11E20309"/>
    <w:rsid w:val="12063111"/>
    <w:rsid w:val="12255233"/>
    <w:rsid w:val="12530213"/>
    <w:rsid w:val="127723A9"/>
    <w:rsid w:val="12862074"/>
    <w:rsid w:val="12883966"/>
    <w:rsid w:val="128A36C1"/>
    <w:rsid w:val="12940AFE"/>
    <w:rsid w:val="129E45B4"/>
    <w:rsid w:val="12D21374"/>
    <w:rsid w:val="12D81596"/>
    <w:rsid w:val="13072A44"/>
    <w:rsid w:val="131A1B7F"/>
    <w:rsid w:val="133A0728"/>
    <w:rsid w:val="13474EA5"/>
    <w:rsid w:val="135F4BE2"/>
    <w:rsid w:val="13913864"/>
    <w:rsid w:val="139B1A0A"/>
    <w:rsid w:val="139B5BDE"/>
    <w:rsid w:val="139D25C7"/>
    <w:rsid w:val="13B50881"/>
    <w:rsid w:val="13BF3CE4"/>
    <w:rsid w:val="140F0A5D"/>
    <w:rsid w:val="141008D8"/>
    <w:rsid w:val="14125FE6"/>
    <w:rsid w:val="142B70E5"/>
    <w:rsid w:val="144C52DC"/>
    <w:rsid w:val="14500381"/>
    <w:rsid w:val="146D271E"/>
    <w:rsid w:val="14982588"/>
    <w:rsid w:val="149A5AD9"/>
    <w:rsid w:val="14A7619D"/>
    <w:rsid w:val="14BF71E2"/>
    <w:rsid w:val="14ED706B"/>
    <w:rsid w:val="14F111E9"/>
    <w:rsid w:val="14F25B02"/>
    <w:rsid w:val="150536C3"/>
    <w:rsid w:val="150C1963"/>
    <w:rsid w:val="151447A0"/>
    <w:rsid w:val="15437E13"/>
    <w:rsid w:val="154A6454"/>
    <w:rsid w:val="154E1128"/>
    <w:rsid w:val="15762120"/>
    <w:rsid w:val="15833AAB"/>
    <w:rsid w:val="15844A86"/>
    <w:rsid w:val="15F56AC3"/>
    <w:rsid w:val="15FE2F77"/>
    <w:rsid w:val="1608540D"/>
    <w:rsid w:val="16163F3B"/>
    <w:rsid w:val="16204A74"/>
    <w:rsid w:val="166C515D"/>
    <w:rsid w:val="16995423"/>
    <w:rsid w:val="16A8729C"/>
    <w:rsid w:val="16B33777"/>
    <w:rsid w:val="16BC70A7"/>
    <w:rsid w:val="16C6339E"/>
    <w:rsid w:val="16C730F7"/>
    <w:rsid w:val="16D6012D"/>
    <w:rsid w:val="16FE2244"/>
    <w:rsid w:val="17071701"/>
    <w:rsid w:val="172F2D79"/>
    <w:rsid w:val="17557BEF"/>
    <w:rsid w:val="176331FE"/>
    <w:rsid w:val="176D1E2A"/>
    <w:rsid w:val="17852075"/>
    <w:rsid w:val="178B06F1"/>
    <w:rsid w:val="17A05FFC"/>
    <w:rsid w:val="17D349C1"/>
    <w:rsid w:val="17E066D8"/>
    <w:rsid w:val="1830729E"/>
    <w:rsid w:val="18394486"/>
    <w:rsid w:val="184556F3"/>
    <w:rsid w:val="185134E3"/>
    <w:rsid w:val="1870062C"/>
    <w:rsid w:val="18817102"/>
    <w:rsid w:val="18830A15"/>
    <w:rsid w:val="18852B28"/>
    <w:rsid w:val="188B5321"/>
    <w:rsid w:val="18C776A6"/>
    <w:rsid w:val="18CA21AC"/>
    <w:rsid w:val="18D64F20"/>
    <w:rsid w:val="18EE574D"/>
    <w:rsid w:val="19341F4D"/>
    <w:rsid w:val="197524E7"/>
    <w:rsid w:val="19761DA4"/>
    <w:rsid w:val="19932372"/>
    <w:rsid w:val="199716C3"/>
    <w:rsid w:val="19A07A88"/>
    <w:rsid w:val="19A20DD5"/>
    <w:rsid w:val="19AE03F1"/>
    <w:rsid w:val="19D16EBE"/>
    <w:rsid w:val="1A071A03"/>
    <w:rsid w:val="1A1A5A79"/>
    <w:rsid w:val="1A1A697E"/>
    <w:rsid w:val="1A1F16AE"/>
    <w:rsid w:val="1A2C03C8"/>
    <w:rsid w:val="1A3B5C77"/>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BE55E73"/>
    <w:rsid w:val="1C0459C2"/>
    <w:rsid w:val="1C1B0B24"/>
    <w:rsid w:val="1C1B3B4A"/>
    <w:rsid w:val="1C3E4BF9"/>
    <w:rsid w:val="1C537570"/>
    <w:rsid w:val="1C6B28A5"/>
    <w:rsid w:val="1C88086E"/>
    <w:rsid w:val="1CA045EE"/>
    <w:rsid w:val="1CC47A8B"/>
    <w:rsid w:val="1D266CE1"/>
    <w:rsid w:val="1D3963AF"/>
    <w:rsid w:val="1D68255C"/>
    <w:rsid w:val="1D6A673C"/>
    <w:rsid w:val="1D9247AE"/>
    <w:rsid w:val="1DB567EC"/>
    <w:rsid w:val="1DEC22C4"/>
    <w:rsid w:val="1DF51A98"/>
    <w:rsid w:val="1E0F11DA"/>
    <w:rsid w:val="1E3D060F"/>
    <w:rsid w:val="1E3F7D2E"/>
    <w:rsid w:val="1E4134E4"/>
    <w:rsid w:val="1E5062B3"/>
    <w:rsid w:val="1E523514"/>
    <w:rsid w:val="1E714A66"/>
    <w:rsid w:val="1E730E11"/>
    <w:rsid w:val="1E802593"/>
    <w:rsid w:val="1E8B6156"/>
    <w:rsid w:val="1EA703CC"/>
    <w:rsid w:val="1EB7330C"/>
    <w:rsid w:val="1F053A44"/>
    <w:rsid w:val="1F0A0FF3"/>
    <w:rsid w:val="1F253AE2"/>
    <w:rsid w:val="1F5771FF"/>
    <w:rsid w:val="1F7C3ECA"/>
    <w:rsid w:val="1FCE32F8"/>
    <w:rsid w:val="1FE868A9"/>
    <w:rsid w:val="1FF57BB6"/>
    <w:rsid w:val="20034907"/>
    <w:rsid w:val="20173E4B"/>
    <w:rsid w:val="202B1BD0"/>
    <w:rsid w:val="204E48BC"/>
    <w:rsid w:val="208921B3"/>
    <w:rsid w:val="2093370A"/>
    <w:rsid w:val="2093771D"/>
    <w:rsid w:val="20973DEB"/>
    <w:rsid w:val="20B26522"/>
    <w:rsid w:val="20B34C6B"/>
    <w:rsid w:val="20B44310"/>
    <w:rsid w:val="20DF1008"/>
    <w:rsid w:val="20EE2FE4"/>
    <w:rsid w:val="211116EB"/>
    <w:rsid w:val="211E01F0"/>
    <w:rsid w:val="212D6D8F"/>
    <w:rsid w:val="215C5D5B"/>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7C07EA"/>
    <w:rsid w:val="248B443A"/>
    <w:rsid w:val="2492728B"/>
    <w:rsid w:val="249307DC"/>
    <w:rsid w:val="24B22173"/>
    <w:rsid w:val="24B95AD9"/>
    <w:rsid w:val="24BE24DA"/>
    <w:rsid w:val="24CF5825"/>
    <w:rsid w:val="24D663E6"/>
    <w:rsid w:val="24D77F2B"/>
    <w:rsid w:val="254217B6"/>
    <w:rsid w:val="254F52B1"/>
    <w:rsid w:val="25630A13"/>
    <w:rsid w:val="258B00E2"/>
    <w:rsid w:val="25A34E23"/>
    <w:rsid w:val="25A917A6"/>
    <w:rsid w:val="25B97DD8"/>
    <w:rsid w:val="25BE27CC"/>
    <w:rsid w:val="25CE1A0B"/>
    <w:rsid w:val="25E92F53"/>
    <w:rsid w:val="25F74A5C"/>
    <w:rsid w:val="2628662C"/>
    <w:rsid w:val="262D45DE"/>
    <w:rsid w:val="266E6AE8"/>
    <w:rsid w:val="267E09C1"/>
    <w:rsid w:val="26871DC8"/>
    <w:rsid w:val="26931130"/>
    <w:rsid w:val="26A53EF9"/>
    <w:rsid w:val="26A56700"/>
    <w:rsid w:val="26A6481F"/>
    <w:rsid w:val="26A94201"/>
    <w:rsid w:val="26AC274F"/>
    <w:rsid w:val="270377E9"/>
    <w:rsid w:val="27044A29"/>
    <w:rsid w:val="2712566F"/>
    <w:rsid w:val="271D34C8"/>
    <w:rsid w:val="272F6449"/>
    <w:rsid w:val="274C4FBA"/>
    <w:rsid w:val="276142BF"/>
    <w:rsid w:val="27764AF8"/>
    <w:rsid w:val="27783712"/>
    <w:rsid w:val="27907362"/>
    <w:rsid w:val="279B7084"/>
    <w:rsid w:val="27A02A0E"/>
    <w:rsid w:val="27BC422F"/>
    <w:rsid w:val="282D0BDB"/>
    <w:rsid w:val="28333E1D"/>
    <w:rsid w:val="28454BD6"/>
    <w:rsid w:val="28455253"/>
    <w:rsid w:val="284C05F6"/>
    <w:rsid w:val="28551971"/>
    <w:rsid w:val="285B1C53"/>
    <w:rsid w:val="287700A8"/>
    <w:rsid w:val="289F7086"/>
    <w:rsid w:val="28C32028"/>
    <w:rsid w:val="28CC490F"/>
    <w:rsid w:val="28DE40AA"/>
    <w:rsid w:val="29331BE0"/>
    <w:rsid w:val="29345E77"/>
    <w:rsid w:val="29453CBE"/>
    <w:rsid w:val="294C65AD"/>
    <w:rsid w:val="294E3480"/>
    <w:rsid w:val="29592E9C"/>
    <w:rsid w:val="29806583"/>
    <w:rsid w:val="298B3C4C"/>
    <w:rsid w:val="299270AF"/>
    <w:rsid w:val="29F26D24"/>
    <w:rsid w:val="2A15033F"/>
    <w:rsid w:val="2A1662C1"/>
    <w:rsid w:val="2A1C7367"/>
    <w:rsid w:val="2A2815FA"/>
    <w:rsid w:val="2A6D6092"/>
    <w:rsid w:val="2A7D76B4"/>
    <w:rsid w:val="2A830ABD"/>
    <w:rsid w:val="2AA94454"/>
    <w:rsid w:val="2AD8021A"/>
    <w:rsid w:val="2AEE1B3B"/>
    <w:rsid w:val="2AF47F2E"/>
    <w:rsid w:val="2B437463"/>
    <w:rsid w:val="2B7807EE"/>
    <w:rsid w:val="2B8C47CE"/>
    <w:rsid w:val="2B9902A2"/>
    <w:rsid w:val="2BA50BF7"/>
    <w:rsid w:val="2BBF00EC"/>
    <w:rsid w:val="2BC37CFD"/>
    <w:rsid w:val="2BD5237F"/>
    <w:rsid w:val="2BE536CE"/>
    <w:rsid w:val="2BE758D9"/>
    <w:rsid w:val="2BEA7DD3"/>
    <w:rsid w:val="2C09049E"/>
    <w:rsid w:val="2C0A653C"/>
    <w:rsid w:val="2C191F85"/>
    <w:rsid w:val="2C8C4873"/>
    <w:rsid w:val="2C994A93"/>
    <w:rsid w:val="2CE82D6F"/>
    <w:rsid w:val="2D2216DE"/>
    <w:rsid w:val="2D274DF8"/>
    <w:rsid w:val="2D343236"/>
    <w:rsid w:val="2D4165E3"/>
    <w:rsid w:val="2D956040"/>
    <w:rsid w:val="2DC53663"/>
    <w:rsid w:val="2DD15014"/>
    <w:rsid w:val="2DF72DE4"/>
    <w:rsid w:val="2E0220AF"/>
    <w:rsid w:val="2E0E3D50"/>
    <w:rsid w:val="2E4B082A"/>
    <w:rsid w:val="2E5D4E86"/>
    <w:rsid w:val="2E5D790B"/>
    <w:rsid w:val="2E776A61"/>
    <w:rsid w:val="2E951288"/>
    <w:rsid w:val="2E9A143D"/>
    <w:rsid w:val="2E9A3C18"/>
    <w:rsid w:val="2EBB0FEE"/>
    <w:rsid w:val="2EC63002"/>
    <w:rsid w:val="2ECB46DA"/>
    <w:rsid w:val="2EF2376D"/>
    <w:rsid w:val="2F064D1A"/>
    <w:rsid w:val="2F0A6B38"/>
    <w:rsid w:val="2F0E78D3"/>
    <w:rsid w:val="2F923A19"/>
    <w:rsid w:val="2F946CCB"/>
    <w:rsid w:val="2F996B56"/>
    <w:rsid w:val="2FD25781"/>
    <w:rsid w:val="2FDE33BA"/>
    <w:rsid w:val="2FF346DE"/>
    <w:rsid w:val="2FFB7730"/>
    <w:rsid w:val="2FFD7934"/>
    <w:rsid w:val="30201A01"/>
    <w:rsid w:val="30733ACD"/>
    <w:rsid w:val="308C3862"/>
    <w:rsid w:val="309379D8"/>
    <w:rsid w:val="309B6899"/>
    <w:rsid w:val="30A270F7"/>
    <w:rsid w:val="30DF1478"/>
    <w:rsid w:val="30EA055D"/>
    <w:rsid w:val="30EC586F"/>
    <w:rsid w:val="319C6071"/>
    <w:rsid w:val="31AC537E"/>
    <w:rsid w:val="31B420C4"/>
    <w:rsid w:val="31B7714F"/>
    <w:rsid w:val="31B82C24"/>
    <w:rsid w:val="31C17BA9"/>
    <w:rsid w:val="31C549B6"/>
    <w:rsid w:val="31E3679B"/>
    <w:rsid w:val="31E732FD"/>
    <w:rsid w:val="323E1E51"/>
    <w:rsid w:val="324E1A4B"/>
    <w:rsid w:val="32517576"/>
    <w:rsid w:val="3262346C"/>
    <w:rsid w:val="32A64673"/>
    <w:rsid w:val="32BE5C2C"/>
    <w:rsid w:val="32E858A8"/>
    <w:rsid w:val="32FB6478"/>
    <w:rsid w:val="331E793D"/>
    <w:rsid w:val="332637C2"/>
    <w:rsid w:val="33263B3F"/>
    <w:rsid w:val="336963EB"/>
    <w:rsid w:val="33816EEB"/>
    <w:rsid w:val="338863E7"/>
    <w:rsid w:val="33AB7949"/>
    <w:rsid w:val="33EB55CD"/>
    <w:rsid w:val="33EC4C02"/>
    <w:rsid w:val="340D2360"/>
    <w:rsid w:val="3410665D"/>
    <w:rsid w:val="34211214"/>
    <w:rsid w:val="342E63AB"/>
    <w:rsid w:val="34433534"/>
    <w:rsid w:val="3460010E"/>
    <w:rsid w:val="3466782F"/>
    <w:rsid w:val="347B5D1E"/>
    <w:rsid w:val="34950E68"/>
    <w:rsid w:val="34986E94"/>
    <w:rsid w:val="34A60310"/>
    <w:rsid w:val="34AF62C9"/>
    <w:rsid w:val="34CB4388"/>
    <w:rsid w:val="34DC2C0A"/>
    <w:rsid w:val="34FA6E12"/>
    <w:rsid w:val="354D7158"/>
    <w:rsid w:val="356E45E1"/>
    <w:rsid w:val="358D5588"/>
    <w:rsid w:val="35AB4A15"/>
    <w:rsid w:val="36136070"/>
    <w:rsid w:val="363A3B40"/>
    <w:rsid w:val="365302AE"/>
    <w:rsid w:val="36607A0A"/>
    <w:rsid w:val="366E227C"/>
    <w:rsid w:val="366F2E0D"/>
    <w:rsid w:val="367B4C64"/>
    <w:rsid w:val="367B6A5C"/>
    <w:rsid w:val="36A74ADA"/>
    <w:rsid w:val="36AD60D5"/>
    <w:rsid w:val="36B224F9"/>
    <w:rsid w:val="36EC0CC9"/>
    <w:rsid w:val="37390A8E"/>
    <w:rsid w:val="373F410B"/>
    <w:rsid w:val="3756404C"/>
    <w:rsid w:val="376A0174"/>
    <w:rsid w:val="378C13F6"/>
    <w:rsid w:val="37BD1A5A"/>
    <w:rsid w:val="37E16E9C"/>
    <w:rsid w:val="37EE7094"/>
    <w:rsid w:val="38296C89"/>
    <w:rsid w:val="383002EB"/>
    <w:rsid w:val="38586797"/>
    <w:rsid w:val="388843DC"/>
    <w:rsid w:val="38BC0149"/>
    <w:rsid w:val="38D87D1C"/>
    <w:rsid w:val="38DE5502"/>
    <w:rsid w:val="38DE6D4B"/>
    <w:rsid w:val="391F535F"/>
    <w:rsid w:val="392E73EA"/>
    <w:rsid w:val="394B2E11"/>
    <w:rsid w:val="39636459"/>
    <w:rsid w:val="396B7F6C"/>
    <w:rsid w:val="399C14F7"/>
    <w:rsid w:val="39A56D61"/>
    <w:rsid w:val="39B417A9"/>
    <w:rsid w:val="39F5707E"/>
    <w:rsid w:val="39FC5695"/>
    <w:rsid w:val="3A006D8E"/>
    <w:rsid w:val="3A3651E5"/>
    <w:rsid w:val="3A4E2342"/>
    <w:rsid w:val="3A537670"/>
    <w:rsid w:val="3A744481"/>
    <w:rsid w:val="3A8C7BEF"/>
    <w:rsid w:val="3A906246"/>
    <w:rsid w:val="3AE27603"/>
    <w:rsid w:val="3B2349B7"/>
    <w:rsid w:val="3B4677B8"/>
    <w:rsid w:val="3B616CFF"/>
    <w:rsid w:val="3B6259F6"/>
    <w:rsid w:val="3B894B0B"/>
    <w:rsid w:val="3B9257F6"/>
    <w:rsid w:val="3B976654"/>
    <w:rsid w:val="3B9B68EE"/>
    <w:rsid w:val="3BBB7264"/>
    <w:rsid w:val="3BC01EFC"/>
    <w:rsid w:val="3BC52CC1"/>
    <w:rsid w:val="3BCA786A"/>
    <w:rsid w:val="3BD06659"/>
    <w:rsid w:val="3BD31E2F"/>
    <w:rsid w:val="3BF15831"/>
    <w:rsid w:val="3C105946"/>
    <w:rsid w:val="3C3A44D8"/>
    <w:rsid w:val="3C471448"/>
    <w:rsid w:val="3C556941"/>
    <w:rsid w:val="3C5F759A"/>
    <w:rsid w:val="3C616601"/>
    <w:rsid w:val="3C6C525A"/>
    <w:rsid w:val="3C8C1362"/>
    <w:rsid w:val="3CA60D3D"/>
    <w:rsid w:val="3CCB770C"/>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DF3DD8"/>
    <w:rsid w:val="3DE041CB"/>
    <w:rsid w:val="3DE5026D"/>
    <w:rsid w:val="3E0D48F6"/>
    <w:rsid w:val="3E1868B4"/>
    <w:rsid w:val="3E1B574C"/>
    <w:rsid w:val="3E1D2DF9"/>
    <w:rsid w:val="3E377251"/>
    <w:rsid w:val="3E42664B"/>
    <w:rsid w:val="3E5A7334"/>
    <w:rsid w:val="3E7B5D6B"/>
    <w:rsid w:val="3E843E66"/>
    <w:rsid w:val="3E8F51FE"/>
    <w:rsid w:val="3E926F87"/>
    <w:rsid w:val="3E94093F"/>
    <w:rsid w:val="3E94330A"/>
    <w:rsid w:val="3E992734"/>
    <w:rsid w:val="3E9A59DE"/>
    <w:rsid w:val="3EA95CBD"/>
    <w:rsid w:val="3EAF4836"/>
    <w:rsid w:val="3EC33DFA"/>
    <w:rsid w:val="3EDE2E31"/>
    <w:rsid w:val="3EF42B7C"/>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C31A53"/>
    <w:rsid w:val="40F33AA5"/>
    <w:rsid w:val="40F92A66"/>
    <w:rsid w:val="40FF545D"/>
    <w:rsid w:val="410067C8"/>
    <w:rsid w:val="41152B60"/>
    <w:rsid w:val="413C45E3"/>
    <w:rsid w:val="4147433B"/>
    <w:rsid w:val="418F0D2A"/>
    <w:rsid w:val="419500D6"/>
    <w:rsid w:val="41D01505"/>
    <w:rsid w:val="4238518B"/>
    <w:rsid w:val="42474939"/>
    <w:rsid w:val="424C3C57"/>
    <w:rsid w:val="42613FF3"/>
    <w:rsid w:val="42660D96"/>
    <w:rsid w:val="426C32B0"/>
    <w:rsid w:val="426D1F86"/>
    <w:rsid w:val="427C4BBB"/>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BB6F7E"/>
    <w:rsid w:val="44DE1391"/>
    <w:rsid w:val="44E72961"/>
    <w:rsid w:val="45144786"/>
    <w:rsid w:val="451B225C"/>
    <w:rsid w:val="452410C9"/>
    <w:rsid w:val="452B71EC"/>
    <w:rsid w:val="452E1696"/>
    <w:rsid w:val="45317DFB"/>
    <w:rsid w:val="456C28AA"/>
    <w:rsid w:val="456D3CE4"/>
    <w:rsid w:val="4579042C"/>
    <w:rsid w:val="457E4BFD"/>
    <w:rsid w:val="457F0571"/>
    <w:rsid w:val="45851176"/>
    <w:rsid w:val="45853C91"/>
    <w:rsid w:val="458A2D71"/>
    <w:rsid w:val="458E4BD4"/>
    <w:rsid w:val="45C63B94"/>
    <w:rsid w:val="45F134FD"/>
    <w:rsid w:val="460B35C1"/>
    <w:rsid w:val="460E7DA5"/>
    <w:rsid w:val="461B579A"/>
    <w:rsid w:val="46422483"/>
    <w:rsid w:val="4659254A"/>
    <w:rsid w:val="465B0637"/>
    <w:rsid w:val="465E3F0D"/>
    <w:rsid w:val="466A16E6"/>
    <w:rsid w:val="46791209"/>
    <w:rsid w:val="46893F2B"/>
    <w:rsid w:val="46C4686E"/>
    <w:rsid w:val="46D12A12"/>
    <w:rsid w:val="470300EA"/>
    <w:rsid w:val="472A3E43"/>
    <w:rsid w:val="47391126"/>
    <w:rsid w:val="473D0E4D"/>
    <w:rsid w:val="477B778F"/>
    <w:rsid w:val="478203EC"/>
    <w:rsid w:val="478464A5"/>
    <w:rsid w:val="47B025FA"/>
    <w:rsid w:val="47EC7057"/>
    <w:rsid w:val="48010DED"/>
    <w:rsid w:val="4809698F"/>
    <w:rsid w:val="48097DF4"/>
    <w:rsid w:val="480C2553"/>
    <w:rsid w:val="4811697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30E29"/>
    <w:rsid w:val="495F5B3E"/>
    <w:rsid w:val="496F77D7"/>
    <w:rsid w:val="497654FD"/>
    <w:rsid w:val="498F505D"/>
    <w:rsid w:val="49B64211"/>
    <w:rsid w:val="49C97480"/>
    <w:rsid w:val="49F6167F"/>
    <w:rsid w:val="4A064FA0"/>
    <w:rsid w:val="4A16615C"/>
    <w:rsid w:val="4A4424D7"/>
    <w:rsid w:val="4A493572"/>
    <w:rsid w:val="4A6E0CA4"/>
    <w:rsid w:val="4A83134F"/>
    <w:rsid w:val="4AB82D0F"/>
    <w:rsid w:val="4AEB7664"/>
    <w:rsid w:val="4AFD7C19"/>
    <w:rsid w:val="4AFE73BF"/>
    <w:rsid w:val="4B0567D1"/>
    <w:rsid w:val="4B236AAE"/>
    <w:rsid w:val="4B555D27"/>
    <w:rsid w:val="4B707271"/>
    <w:rsid w:val="4B9739F7"/>
    <w:rsid w:val="4B974368"/>
    <w:rsid w:val="4B9A6B21"/>
    <w:rsid w:val="4B9C1FA2"/>
    <w:rsid w:val="4BA207B5"/>
    <w:rsid w:val="4BE070FF"/>
    <w:rsid w:val="4BE96C25"/>
    <w:rsid w:val="4BEE2503"/>
    <w:rsid w:val="4C245A30"/>
    <w:rsid w:val="4C5D53ED"/>
    <w:rsid w:val="4C676029"/>
    <w:rsid w:val="4CAF7256"/>
    <w:rsid w:val="4CB6685F"/>
    <w:rsid w:val="4CC367FE"/>
    <w:rsid w:val="4CFF2296"/>
    <w:rsid w:val="4D077F3C"/>
    <w:rsid w:val="4D0B224C"/>
    <w:rsid w:val="4D123355"/>
    <w:rsid w:val="4D2A3B31"/>
    <w:rsid w:val="4D312C52"/>
    <w:rsid w:val="4D330192"/>
    <w:rsid w:val="4D4B0F25"/>
    <w:rsid w:val="4D905305"/>
    <w:rsid w:val="4D964A72"/>
    <w:rsid w:val="4D9C1254"/>
    <w:rsid w:val="4E0A6F44"/>
    <w:rsid w:val="4E0C137B"/>
    <w:rsid w:val="4E526455"/>
    <w:rsid w:val="4E54216E"/>
    <w:rsid w:val="4E5A0B37"/>
    <w:rsid w:val="4E5F2074"/>
    <w:rsid w:val="4E793892"/>
    <w:rsid w:val="4E800872"/>
    <w:rsid w:val="4E9532A8"/>
    <w:rsid w:val="4E9A20A5"/>
    <w:rsid w:val="4EBD5F65"/>
    <w:rsid w:val="4EC569ED"/>
    <w:rsid w:val="4ED50EA1"/>
    <w:rsid w:val="4EEC050C"/>
    <w:rsid w:val="4EF833C6"/>
    <w:rsid w:val="4F104EC3"/>
    <w:rsid w:val="4F22226C"/>
    <w:rsid w:val="4F47354A"/>
    <w:rsid w:val="4F911C54"/>
    <w:rsid w:val="4FE625E0"/>
    <w:rsid w:val="4FED5402"/>
    <w:rsid w:val="5021480F"/>
    <w:rsid w:val="505D15FC"/>
    <w:rsid w:val="505D38F2"/>
    <w:rsid w:val="50707CB0"/>
    <w:rsid w:val="50755E1B"/>
    <w:rsid w:val="50962ECB"/>
    <w:rsid w:val="50A42E38"/>
    <w:rsid w:val="50A4577F"/>
    <w:rsid w:val="50B73D1F"/>
    <w:rsid w:val="50BD5BC9"/>
    <w:rsid w:val="50C11EEE"/>
    <w:rsid w:val="50C25AB5"/>
    <w:rsid w:val="50D73351"/>
    <w:rsid w:val="50E97CFC"/>
    <w:rsid w:val="50F1399D"/>
    <w:rsid w:val="50FA4028"/>
    <w:rsid w:val="50FE434C"/>
    <w:rsid w:val="510D65B7"/>
    <w:rsid w:val="511157AB"/>
    <w:rsid w:val="5142540C"/>
    <w:rsid w:val="518832C8"/>
    <w:rsid w:val="51A0432A"/>
    <w:rsid w:val="51A86090"/>
    <w:rsid w:val="51B7396D"/>
    <w:rsid w:val="51F00DC5"/>
    <w:rsid w:val="51F4201E"/>
    <w:rsid w:val="51F4743E"/>
    <w:rsid w:val="522E4CC3"/>
    <w:rsid w:val="5244713B"/>
    <w:rsid w:val="52615633"/>
    <w:rsid w:val="526A04DD"/>
    <w:rsid w:val="52712D99"/>
    <w:rsid w:val="52977FD4"/>
    <w:rsid w:val="52A25790"/>
    <w:rsid w:val="52A96B6F"/>
    <w:rsid w:val="52B45975"/>
    <w:rsid w:val="52D94AA4"/>
    <w:rsid w:val="52E77A54"/>
    <w:rsid w:val="52E87579"/>
    <w:rsid w:val="52EA3A62"/>
    <w:rsid w:val="52F50BB8"/>
    <w:rsid w:val="53097272"/>
    <w:rsid w:val="53544462"/>
    <w:rsid w:val="53676980"/>
    <w:rsid w:val="53960CB2"/>
    <w:rsid w:val="5397158E"/>
    <w:rsid w:val="53C84E07"/>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248FC"/>
    <w:rsid w:val="555D4828"/>
    <w:rsid w:val="556A79B3"/>
    <w:rsid w:val="557A4C8B"/>
    <w:rsid w:val="558931E1"/>
    <w:rsid w:val="55923347"/>
    <w:rsid w:val="55925180"/>
    <w:rsid w:val="55983B1B"/>
    <w:rsid w:val="55A8376B"/>
    <w:rsid w:val="55C248FD"/>
    <w:rsid w:val="55D87B28"/>
    <w:rsid w:val="55DC29B6"/>
    <w:rsid w:val="55DD4241"/>
    <w:rsid w:val="55F16964"/>
    <w:rsid w:val="55FA20BB"/>
    <w:rsid w:val="561C1BE8"/>
    <w:rsid w:val="566B6D1E"/>
    <w:rsid w:val="569E129D"/>
    <w:rsid w:val="56C76EC1"/>
    <w:rsid w:val="56FC33A3"/>
    <w:rsid w:val="57032A2C"/>
    <w:rsid w:val="570F5219"/>
    <w:rsid w:val="575D12B5"/>
    <w:rsid w:val="57610A87"/>
    <w:rsid w:val="577B1140"/>
    <w:rsid w:val="577B7F21"/>
    <w:rsid w:val="577F181B"/>
    <w:rsid w:val="57831D16"/>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40F81"/>
    <w:rsid w:val="597E3DD8"/>
    <w:rsid w:val="59A33FA9"/>
    <w:rsid w:val="59AB1AC0"/>
    <w:rsid w:val="59B31026"/>
    <w:rsid w:val="59F80043"/>
    <w:rsid w:val="5A09252F"/>
    <w:rsid w:val="5A0B2778"/>
    <w:rsid w:val="5A2A7C7B"/>
    <w:rsid w:val="5A3E2560"/>
    <w:rsid w:val="5A4215CD"/>
    <w:rsid w:val="5A5D3B6E"/>
    <w:rsid w:val="5A637A76"/>
    <w:rsid w:val="5A686384"/>
    <w:rsid w:val="5A6D33BA"/>
    <w:rsid w:val="5A792B1F"/>
    <w:rsid w:val="5A874767"/>
    <w:rsid w:val="5AA85BE2"/>
    <w:rsid w:val="5AAD6F28"/>
    <w:rsid w:val="5AD63A24"/>
    <w:rsid w:val="5AE51FB6"/>
    <w:rsid w:val="5B2E1A1D"/>
    <w:rsid w:val="5B735BDB"/>
    <w:rsid w:val="5B785F50"/>
    <w:rsid w:val="5B843A1C"/>
    <w:rsid w:val="5B873E3F"/>
    <w:rsid w:val="5C02690E"/>
    <w:rsid w:val="5C196DA7"/>
    <w:rsid w:val="5C1E34B0"/>
    <w:rsid w:val="5C2A048C"/>
    <w:rsid w:val="5C35640B"/>
    <w:rsid w:val="5C7422AE"/>
    <w:rsid w:val="5C80234E"/>
    <w:rsid w:val="5C8A680C"/>
    <w:rsid w:val="5CE45C2B"/>
    <w:rsid w:val="5CEB387F"/>
    <w:rsid w:val="5D0C4701"/>
    <w:rsid w:val="5D0F0395"/>
    <w:rsid w:val="5D221076"/>
    <w:rsid w:val="5D346868"/>
    <w:rsid w:val="5D397964"/>
    <w:rsid w:val="5D551783"/>
    <w:rsid w:val="5D5A391C"/>
    <w:rsid w:val="5D5F10C0"/>
    <w:rsid w:val="5D891B7B"/>
    <w:rsid w:val="5D8A5E82"/>
    <w:rsid w:val="5D930F65"/>
    <w:rsid w:val="5D945FAA"/>
    <w:rsid w:val="5DAD38EE"/>
    <w:rsid w:val="5E00256A"/>
    <w:rsid w:val="5E006862"/>
    <w:rsid w:val="5E0207B9"/>
    <w:rsid w:val="5E093CEF"/>
    <w:rsid w:val="5E1834A1"/>
    <w:rsid w:val="5E261785"/>
    <w:rsid w:val="5E3746B3"/>
    <w:rsid w:val="5E4A7017"/>
    <w:rsid w:val="5E552BBA"/>
    <w:rsid w:val="5E611C10"/>
    <w:rsid w:val="5E626095"/>
    <w:rsid w:val="5E700AA7"/>
    <w:rsid w:val="5E74631F"/>
    <w:rsid w:val="5E765627"/>
    <w:rsid w:val="5E7A0F3F"/>
    <w:rsid w:val="5E866777"/>
    <w:rsid w:val="5EF50A1B"/>
    <w:rsid w:val="5EFC7377"/>
    <w:rsid w:val="5F012A1A"/>
    <w:rsid w:val="5F06174D"/>
    <w:rsid w:val="5F0B637C"/>
    <w:rsid w:val="5F381638"/>
    <w:rsid w:val="5F3A3602"/>
    <w:rsid w:val="5F45733B"/>
    <w:rsid w:val="5F5B211E"/>
    <w:rsid w:val="5F6277C6"/>
    <w:rsid w:val="5F6D0B1D"/>
    <w:rsid w:val="5F8D0B82"/>
    <w:rsid w:val="5FCC5339"/>
    <w:rsid w:val="5FE34A5B"/>
    <w:rsid w:val="5FFE1E36"/>
    <w:rsid w:val="60172C7B"/>
    <w:rsid w:val="60232584"/>
    <w:rsid w:val="60305BC5"/>
    <w:rsid w:val="605864BB"/>
    <w:rsid w:val="607330CE"/>
    <w:rsid w:val="60825176"/>
    <w:rsid w:val="60873AD9"/>
    <w:rsid w:val="609F2AC4"/>
    <w:rsid w:val="60C413D5"/>
    <w:rsid w:val="60D108D2"/>
    <w:rsid w:val="60D867CA"/>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F40B65"/>
    <w:rsid w:val="62FC2CFE"/>
    <w:rsid w:val="63024505"/>
    <w:rsid w:val="63361153"/>
    <w:rsid w:val="63540CCD"/>
    <w:rsid w:val="635B1DB5"/>
    <w:rsid w:val="63711FED"/>
    <w:rsid w:val="63880DDC"/>
    <w:rsid w:val="63885935"/>
    <w:rsid w:val="638D750D"/>
    <w:rsid w:val="63AC52D2"/>
    <w:rsid w:val="63AC6CC0"/>
    <w:rsid w:val="63B048E8"/>
    <w:rsid w:val="64043733"/>
    <w:rsid w:val="64055776"/>
    <w:rsid w:val="64175397"/>
    <w:rsid w:val="64240056"/>
    <w:rsid w:val="6437732D"/>
    <w:rsid w:val="643E143A"/>
    <w:rsid w:val="644A0C02"/>
    <w:rsid w:val="647D7581"/>
    <w:rsid w:val="648B6EEF"/>
    <w:rsid w:val="64C158BF"/>
    <w:rsid w:val="64CE2EAA"/>
    <w:rsid w:val="65092215"/>
    <w:rsid w:val="65203A20"/>
    <w:rsid w:val="65363CF3"/>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F3F24"/>
    <w:rsid w:val="673E055F"/>
    <w:rsid w:val="67551CE3"/>
    <w:rsid w:val="6762328A"/>
    <w:rsid w:val="67A22552"/>
    <w:rsid w:val="67A530AB"/>
    <w:rsid w:val="67B22DCC"/>
    <w:rsid w:val="67BE71AA"/>
    <w:rsid w:val="67D90273"/>
    <w:rsid w:val="67DE5875"/>
    <w:rsid w:val="67E55852"/>
    <w:rsid w:val="67EB1AB4"/>
    <w:rsid w:val="67FA1285"/>
    <w:rsid w:val="681D01B2"/>
    <w:rsid w:val="68551F4F"/>
    <w:rsid w:val="68647B92"/>
    <w:rsid w:val="686B7A87"/>
    <w:rsid w:val="687C10C9"/>
    <w:rsid w:val="68840C16"/>
    <w:rsid w:val="68876EFB"/>
    <w:rsid w:val="68884654"/>
    <w:rsid w:val="689F444F"/>
    <w:rsid w:val="68B96DBB"/>
    <w:rsid w:val="68CA2805"/>
    <w:rsid w:val="68E85AE5"/>
    <w:rsid w:val="68E937A3"/>
    <w:rsid w:val="693E15D3"/>
    <w:rsid w:val="69627681"/>
    <w:rsid w:val="69721F18"/>
    <w:rsid w:val="6977531D"/>
    <w:rsid w:val="69984F66"/>
    <w:rsid w:val="69997A8D"/>
    <w:rsid w:val="69B51747"/>
    <w:rsid w:val="69BD5BBB"/>
    <w:rsid w:val="69CC2BFF"/>
    <w:rsid w:val="69D327F2"/>
    <w:rsid w:val="69FD55B8"/>
    <w:rsid w:val="6A0B1C62"/>
    <w:rsid w:val="6A0C584D"/>
    <w:rsid w:val="6A0D3F4C"/>
    <w:rsid w:val="6A2406C8"/>
    <w:rsid w:val="6A4B328A"/>
    <w:rsid w:val="6A4B36BE"/>
    <w:rsid w:val="6A8F2B46"/>
    <w:rsid w:val="6A9D5E8D"/>
    <w:rsid w:val="6AB20DE6"/>
    <w:rsid w:val="6ABA3454"/>
    <w:rsid w:val="6ADC5EF8"/>
    <w:rsid w:val="6ADE0BD1"/>
    <w:rsid w:val="6AE96859"/>
    <w:rsid w:val="6B147746"/>
    <w:rsid w:val="6B24787C"/>
    <w:rsid w:val="6B573233"/>
    <w:rsid w:val="6B5B6274"/>
    <w:rsid w:val="6B694FD4"/>
    <w:rsid w:val="6B710BD6"/>
    <w:rsid w:val="6B935D53"/>
    <w:rsid w:val="6BAD2A66"/>
    <w:rsid w:val="6BAF67DF"/>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ED1766"/>
    <w:rsid w:val="6DF43C2E"/>
    <w:rsid w:val="6DF51CA3"/>
    <w:rsid w:val="6E8335BD"/>
    <w:rsid w:val="6E8E12EF"/>
    <w:rsid w:val="6E9045AA"/>
    <w:rsid w:val="6E972936"/>
    <w:rsid w:val="6EB74327"/>
    <w:rsid w:val="6EC91D52"/>
    <w:rsid w:val="6ED446C5"/>
    <w:rsid w:val="6F184A18"/>
    <w:rsid w:val="6F2A7D94"/>
    <w:rsid w:val="6F802313"/>
    <w:rsid w:val="6F8331F1"/>
    <w:rsid w:val="6FAE1A09"/>
    <w:rsid w:val="6FD75BF8"/>
    <w:rsid w:val="6FEF3B3E"/>
    <w:rsid w:val="707723D0"/>
    <w:rsid w:val="7092770D"/>
    <w:rsid w:val="70DB77AC"/>
    <w:rsid w:val="70F5661B"/>
    <w:rsid w:val="70F574E0"/>
    <w:rsid w:val="70FF0D7D"/>
    <w:rsid w:val="71360107"/>
    <w:rsid w:val="713B688E"/>
    <w:rsid w:val="7183561A"/>
    <w:rsid w:val="71BE6408"/>
    <w:rsid w:val="71D4019B"/>
    <w:rsid w:val="71D43752"/>
    <w:rsid w:val="71D7083C"/>
    <w:rsid w:val="71F1796A"/>
    <w:rsid w:val="720846CC"/>
    <w:rsid w:val="72154626"/>
    <w:rsid w:val="72202699"/>
    <w:rsid w:val="72262B5D"/>
    <w:rsid w:val="72283FF7"/>
    <w:rsid w:val="722E7212"/>
    <w:rsid w:val="723A0474"/>
    <w:rsid w:val="725923E4"/>
    <w:rsid w:val="72864BF7"/>
    <w:rsid w:val="729023FC"/>
    <w:rsid w:val="72CA6EE6"/>
    <w:rsid w:val="733470C6"/>
    <w:rsid w:val="73533CC2"/>
    <w:rsid w:val="735A0C72"/>
    <w:rsid w:val="73C0646E"/>
    <w:rsid w:val="73EA537B"/>
    <w:rsid w:val="742222F5"/>
    <w:rsid w:val="742348D0"/>
    <w:rsid w:val="74476126"/>
    <w:rsid w:val="74624977"/>
    <w:rsid w:val="74706664"/>
    <w:rsid w:val="7475702A"/>
    <w:rsid w:val="747F3682"/>
    <w:rsid w:val="74934EEE"/>
    <w:rsid w:val="749C4185"/>
    <w:rsid w:val="74A73931"/>
    <w:rsid w:val="74BE006A"/>
    <w:rsid w:val="75067759"/>
    <w:rsid w:val="752E6DCD"/>
    <w:rsid w:val="7551380D"/>
    <w:rsid w:val="75600BE5"/>
    <w:rsid w:val="7564475C"/>
    <w:rsid w:val="75834A5C"/>
    <w:rsid w:val="7583797F"/>
    <w:rsid w:val="75D20F1D"/>
    <w:rsid w:val="75D94CF2"/>
    <w:rsid w:val="75DA2C18"/>
    <w:rsid w:val="75F54412"/>
    <w:rsid w:val="761969BC"/>
    <w:rsid w:val="761D08E0"/>
    <w:rsid w:val="76400B70"/>
    <w:rsid w:val="765D347C"/>
    <w:rsid w:val="766C3B6A"/>
    <w:rsid w:val="76826699"/>
    <w:rsid w:val="768518AA"/>
    <w:rsid w:val="76C87133"/>
    <w:rsid w:val="76CD08D5"/>
    <w:rsid w:val="76DB4B92"/>
    <w:rsid w:val="76FF4961"/>
    <w:rsid w:val="77052AA4"/>
    <w:rsid w:val="77136511"/>
    <w:rsid w:val="77340A39"/>
    <w:rsid w:val="77351FD0"/>
    <w:rsid w:val="77472422"/>
    <w:rsid w:val="777F31F2"/>
    <w:rsid w:val="77BC4C63"/>
    <w:rsid w:val="77C8615C"/>
    <w:rsid w:val="77D1700D"/>
    <w:rsid w:val="77E4568D"/>
    <w:rsid w:val="77EC04CC"/>
    <w:rsid w:val="78006A23"/>
    <w:rsid w:val="78775729"/>
    <w:rsid w:val="78A42DB0"/>
    <w:rsid w:val="78A656AB"/>
    <w:rsid w:val="78B2245C"/>
    <w:rsid w:val="78E172CC"/>
    <w:rsid w:val="78EA1D1F"/>
    <w:rsid w:val="7904172F"/>
    <w:rsid w:val="79062AD2"/>
    <w:rsid w:val="790F7E27"/>
    <w:rsid w:val="79174C08"/>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9654B8"/>
    <w:rsid w:val="7AAB1D04"/>
    <w:rsid w:val="7ABA4368"/>
    <w:rsid w:val="7AD05746"/>
    <w:rsid w:val="7B226FCC"/>
    <w:rsid w:val="7B257FFD"/>
    <w:rsid w:val="7B343476"/>
    <w:rsid w:val="7B5A2978"/>
    <w:rsid w:val="7B5A7E4C"/>
    <w:rsid w:val="7B641C6A"/>
    <w:rsid w:val="7B667AF9"/>
    <w:rsid w:val="7B736F81"/>
    <w:rsid w:val="7B7432EC"/>
    <w:rsid w:val="7B7468F8"/>
    <w:rsid w:val="7BA11C9B"/>
    <w:rsid w:val="7BC80C46"/>
    <w:rsid w:val="7BE64CF7"/>
    <w:rsid w:val="7BEE0103"/>
    <w:rsid w:val="7C0A0FE4"/>
    <w:rsid w:val="7C254906"/>
    <w:rsid w:val="7C5022FF"/>
    <w:rsid w:val="7C590818"/>
    <w:rsid w:val="7C6E0182"/>
    <w:rsid w:val="7C7C10F6"/>
    <w:rsid w:val="7C853BEA"/>
    <w:rsid w:val="7C881368"/>
    <w:rsid w:val="7CDD251F"/>
    <w:rsid w:val="7CE27788"/>
    <w:rsid w:val="7D0357E5"/>
    <w:rsid w:val="7D0C32F1"/>
    <w:rsid w:val="7D0F408D"/>
    <w:rsid w:val="7D2307F5"/>
    <w:rsid w:val="7D491C6C"/>
    <w:rsid w:val="7D5429C0"/>
    <w:rsid w:val="7D6E6D43"/>
    <w:rsid w:val="7D7069D2"/>
    <w:rsid w:val="7D894AA5"/>
    <w:rsid w:val="7DAD6DD7"/>
    <w:rsid w:val="7DB57A34"/>
    <w:rsid w:val="7DDB10A1"/>
    <w:rsid w:val="7DE60973"/>
    <w:rsid w:val="7DEF0916"/>
    <w:rsid w:val="7E1E5218"/>
    <w:rsid w:val="7E7514D4"/>
    <w:rsid w:val="7E9A4E1F"/>
    <w:rsid w:val="7EA7723A"/>
    <w:rsid w:val="7EB659FE"/>
    <w:rsid w:val="7EBC6AFC"/>
    <w:rsid w:val="7EF56FBB"/>
    <w:rsid w:val="7EFC38CE"/>
    <w:rsid w:val="7F067E4D"/>
    <w:rsid w:val="7F0768EB"/>
    <w:rsid w:val="7F143BEC"/>
    <w:rsid w:val="7F6137FA"/>
    <w:rsid w:val="7F715AF2"/>
    <w:rsid w:val="7F793597"/>
    <w:rsid w:val="7F7F59BF"/>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6"/>
    <w:qFormat/>
    <w:uiPriority w:val="0"/>
    <w:pPr>
      <w:ind w:firstLine="420"/>
    </w:pPr>
    <w:rPr>
      <w:rFonts w:hAnsi="Calibri" w:cs="Times New Roman"/>
      <w:snapToGrid/>
      <w:szCs w:val="20"/>
    </w:rPr>
  </w:style>
  <w:style w:type="paragraph" w:styleId="26">
    <w:name w:val="Body Text Indent"/>
    <w:basedOn w:val="1"/>
    <w:next w:val="1"/>
    <w:link w:val="27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2"/>
    <w:qFormat/>
    <w:uiPriority w:val="0"/>
    <w:rPr>
      <w:b/>
      <w:bCs/>
    </w:rPr>
  </w:style>
  <w:style w:type="paragraph" w:styleId="63">
    <w:name w:val="Body Text First Indent 2"/>
    <w:basedOn w:val="26"/>
    <w:link w:val="127"/>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2">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5">
    <w:name w:val="[Normal]"/>
    <w:qFormat/>
    <w:uiPriority w:val="0"/>
    <w:rPr>
      <w:rFonts w:ascii="宋体" w:hAnsi="宋体" w:eastAsia="宋体" w:cs="Times New Roman"/>
      <w:sz w:val="24"/>
      <w:lang w:val="zh-CN" w:eastAsia="zh-CN" w:bidi="ar-SA"/>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paragraph" w:customStyle="1" w:styleId="87">
    <w:name w:val="正文文本首行缩进 21"/>
    <w:basedOn w:val="26"/>
    <w:qFormat/>
    <w:uiPriority w:val="99"/>
    <w:pPr>
      <w:spacing w:line="200" w:lineRule="atLeast"/>
      <w:ind w:firstLine="420"/>
    </w:pPr>
    <w:rPr>
      <w:rFonts w:hAnsi="Courier New"/>
      <w:spacing w:val="-4"/>
      <w:sz w:val="1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3"/>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1"/>
    <w:qFormat/>
    <w:uiPriority w:val="0"/>
    <w:rPr>
      <w:rFonts w:ascii="Arial" w:hAnsi="Arial" w:eastAsia="黑体" w:cs="Arial"/>
      <w:snapToGrid w:val="0"/>
      <w:kern w:val="0"/>
      <w:szCs w:val="21"/>
    </w:rPr>
  </w:style>
  <w:style w:type="character" w:customStyle="1" w:styleId="13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7"/>
    <w:qFormat/>
    <w:uiPriority w:val="0"/>
    <w:rPr>
      <w:rFonts w:ascii="宋体"/>
      <w:kern w:val="2"/>
      <w:sz w:val="24"/>
      <w:szCs w:val="21"/>
      <w:lang w:val="zh-CN"/>
    </w:rPr>
  </w:style>
  <w:style w:type="character" w:customStyle="1" w:styleId="188">
    <w:name w:val="标题 9 字符"/>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1"/>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2"/>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6"/>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9"/>
    <w:qFormat/>
    <w:uiPriority w:val="0"/>
    <w:rPr>
      <w:rFonts w:ascii="黑体" w:hAnsi="Courier New" w:eastAsia="黑体"/>
    </w:rPr>
  </w:style>
  <w:style w:type="character" w:customStyle="1" w:styleId="307">
    <w:name w:val="正文文本 2 字符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5"/>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0"/>
    <w:rPr>
      <w:kern w:val="2"/>
      <w:sz w:val="21"/>
      <w:szCs w:val="24"/>
    </w:rPr>
  </w:style>
  <w:style w:type="character" w:customStyle="1" w:styleId="350">
    <w:name w:val="签名 字符"/>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basedOn w:val="7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1"/>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1"/>
    <w:qFormat/>
    <w:uiPriority w:val="0"/>
    <w:rPr>
      <w:rFonts w:ascii="Arial" w:hAnsi="Arial" w:eastAsia="黑体" w:cs="Arial"/>
      <w:snapToGrid w:val="0"/>
      <w:kern w:val="0"/>
      <w:szCs w:val="21"/>
    </w:rPr>
  </w:style>
  <w:style w:type="character" w:customStyle="1" w:styleId="437">
    <w:name w:val="hui"/>
    <w:basedOn w:val="71"/>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2"/>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2"/>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2"/>
    <w:next w:val="82"/>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2"/>
    <w:next w:val="82"/>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2"/>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2"/>
    <w:next w:val="55"/>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39"/>
    <w:qFormat/>
    <w:uiPriority w:val="0"/>
    <w:rPr>
      <w:kern w:val="2"/>
      <w:sz w:val="21"/>
      <w:szCs w:val="24"/>
      <w:lang w:val="zh-CN"/>
    </w:rPr>
  </w:style>
  <w:style w:type="character" w:customStyle="1" w:styleId="937">
    <w:name w:val="无间隔 字符"/>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6"/>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basedOn w:val="7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1"/>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973">
    <w:name w:val="不明显强调1"/>
    <w:qFormat/>
    <w:uiPriority w:val="19"/>
    <w:rPr>
      <w:i/>
      <w:iCs/>
    </w:rPr>
  </w:style>
  <w:style w:type="paragraph" w:customStyle="1" w:styleId="974">
    <w:name w:val="招标正文"/>
    <w:basedOn w:val="1"/>
    <w:qFormat/>
    <w:uiPriority w:val="6"/>
    <w:pPr>
      <w:overflowPunct w:val="0"/>
      <w:snapToGrid w:val="0"/>
      <w:spacing w:line="360" w:lineRule="auto"/>
      <w:ind w:firstLine="560" w:firstLineChars="200"/>
    </w:pPr>
    <w:rPr>
      <w:rFonts w:cs="黑体"/>
      <w:color w:val="000000"/>
      <w:szCs w:val="32"/>
    </w:rPr>
  </w:style>
  <w:style w:type="paragraph" w:customStyle="1" w:styleId="97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96</Words>
  <Characters>117</Characters>
  <Lines>199</Lines>
  <Paragraphs>56</Paragraphs>
  <TotalTime>13</TotalTime>
  <ScaleCrop>false</ScaleCrop>
  <LinksUpToDate>false</LinksUpToDate>
  <CharactersWithSpaces>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CCL</dc:creator>
  <cp:lastModifiedBy>admin</cp:lastModifiedBy>
  <cp:lastPrinted>2021-12-27T03:06:00Z</cp:lastPrinted>
  <dcterms:modified xsi:type="dcterms:W3CDTF">2025-07-04T05:18:53Z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1A57CA9897B14EC686407B733A40F3D2_13</vt:lpwstr>
  </property>
  <property fmtid="{D5CDD505-2E9C-101B-9397-08002B2CF9AE}" pid="5" name="commondata">
    <vt:lpwstr>eyJoZGlkIjoiMzdkYTNjODAzOWEyZTBjZWI2OWE0Y2U2MTNhOGNiNmUifQ==</vt:lpwstr>
  </property>
  <property fmtid="{D5CDD505-2E9C-101B-9397-08002B2CF9AE}" pid="6" name="KSOTemplateDocerSaveRecord">
    <vt:lpwstr>eyJoZGlkIjoiMTA1MWMxZmY0MTVkNzVlZGRmNTcxNGM1NmNkZjhjYzQiLCJ1c2VySWQiOiIzNjMyMzU2MzYifQ==</vt:lpwstr>
  </property>
</Properties>
</file>