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E927B">
      <w:pPr>
        <w:spacing w:line="360" w:lineRule="auto"/>
        <w:jc w:val="center"/>
        <w:rPr>
          <w:rFonts w:hint="eastAsia" w:asciiTheme="minorEastAsia" w:hAnsiTheme="minorEastAsia" w:eastAsiaTheme="minorEastAsia" w:cstheme="minorEastAsia"/>
          <w:b/>
          <w:color w:val="auto"/>
          <w:sz w:val="24"/>
          <w:highlight w:val="none"/>
        </w:rPr>
      </w:pPr>
    </w:p>
    <w:p w14:paraId="69832D1E">
      <w:pPr>
        <w:pStyle w:val="972"/>
        <w:spacing w:line="760" w:lineRule="exact"/>
        <w:rPr>
          <w:rFonts w:hint="eastAsia" w:asciiTheme="minorEastAsia" w:hAnsiTheme="minorEastAsia" w:eastAsiaTheme="minorEastAsia" w:cstheme="minorEastAsia"/>
          <w:color w:val="auto"/>
          <w:sz w:val="72"/>
          <w:szCs w:val="72"/>
          <w:highlight w:val="none"/>
        </w:rPr>
      </w:pPr>
    </w:p>
    <w:p w14:paraId="602B1551">
      <w:pPr>
        <w:pStyle w:val="5"/>
        <w:jc w:val="center"/>
        <w:rPr>
          <w:rFonts w:hint="eastAsia" w:asciiTheme="minorEastAsia" w:hAnsiTheme="minorEastAsia" w:eastAsiaTheme="minorEastAsia" w:cstheme="minorEastAsia"/>
          <w:b/>
          <w:bCs/>
          <w:color w:val="auto"/>
          <w:spacing w:val="0"/>
          <w:sz w:val="48"/>
          <w:szCs w:val="48"/>
          <w:highlight w:val="none"/>
          <w:lang w:val="en-US" w:eastAsia="zh-CN"/>
        </w:rPr>
      </w:pPr>
      <w:r>
        <w:rPr>
          <w:rFonts w:hint="eastAsia" w:asciiTheme="minorEastAsia" w:hAnsiTheme="minorEastAsia" w:eastAsiaTheme="minorEastAsia" w:cstheme="minorEastAsia"/>
          <w:b/>
          <w:bCs/>
          <w:color w:val="auto"/>
          <w:spacing w:val="0"/>
          <w:sz w:val="48"/>
          <w:szCs w:val="48"/>
          <w:highlight w:val="none"/>
          <w:lang w:val="en-US" w:eastAsia="zh-CN"/>
        </w:rPr>
        <w:t>2025年宣传部部机关疗休养服务项目</w:t>
      </w:r>
    </w:p>
    <w:p w14:paraId="20CDBB61">
      <w:pPr>
        <w:pStyle w:val="85"/>
        <w:rPr>
          <w:rFonts w:hint="eastAsia" w:asciiTheme="minorEastAsia" w:hAnsiTheme="minorEastAsia" w:eastAsiaTheme="minorEastAsia" w:cstheme="minorEastAsia"/>
          <w:color w:val="auto"/>
          <w:highlight w:val="none"/>
          <w:lang w:eastAsia="zh-CN"/>
        </w:rPr>
      </w:pPr>
    </w:p>
    <w:p w14:paraId="6C84B602">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0108B783">
      <w:pPr>
        <w:pStyle w:val="5"/>
        <w:rPr>
          <w:rFonts w:hint="eastAsia"/>
          <w:color w:val="auto"/>
          <w:highlight w:val="none"/>
        </w:rPr>
      </w:pPr>
    </w:p>
    <w:p w14:paraId="6A5D9114">
      <w:pPr>
        <w:adjustRightInd/>
        <w:spacing w:line="360" w:lineRule="auto"/>
        <w:jc w:val="center"/>
        <w:rPr>
          <w:rFonts w:hint="eastAsia" w:asciiTheme="minorEastAsia" w:hAnsiTheme="minorEastAsia" w:eastAsiaTheme="minorEastAsia" w:cstheme="minorEastAsia"/>
          <w:b/>
          <w:bCs/>
          <w:color w:val="auto"/>
          <w:sz w:val="72"/>
          <w:szCs w:val="72"/>
          <w:highlight w:val="none"/>
          <w:lang w:val="en-US" w:eastAsia="zh-CN"/>
        </w:rPr>
      </w:pPr>
      <w:r>
        <w:rPr>
          <w:rFonts w:hint="eastAsia" w:asciiTheme="minorEastAsia" w:hAnsiTheme="minorEastAsia" w:eastAsiaTheme="minorEastAsia" w:cstheme="minorEastAsia"/>
          <w:b/>
          <w:bCs/>
          <w:color w:val="auto"/>
          <w:sz w:val="72"/>
          <w:szCs w:val="72"/>
          <w:highlight w:val="none"/>
        </w:rPr>
        <w:t>公开竞争</w:t>
      </w:r>
      <w:r>
        <w:rPr>
          <w:rFonts w:hint="eastAsia" w:asciiTheme="minorEastAsia" w:hAnsiTheme="minorEastAsia" w:eastAsiaTheme="minorEastAsia" w:cstheme="minorEastAsia"/>
          <w:b/>
          <w:bCs/>
          <w:color w:val="auto"/>
          <w:sz w:val="72"/>
          <w:szCs w:val="72"/>
          <w:highlight w:val="none"/>
          <w:lang w:val="en-US" w:eastAsia="zh-CN"/>
        </w:rPr>
        <w:t>文件</w:t>
      </w:r>
    </w:p>
    <w:p w14:paraId="691CA3B9">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w:t>
      </w:r>
    </w:p>
    <w:p w14:paraId="67789B9F">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6EBA49A9">
      <w:pPr>
        <w:snapToGrid w:val="0"/>
        <w:spacing w:line="360" w:lineRule="auto"/>
        <w:jc w:val="center"/>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w:t>
      </w:r>
      <w:r>
        <w:rPr>
          <w:rFonts w:hint="eastAsia" w:asciiTheme="minorEastAsia" w:hAnsiTheme="minorEastAsia" w:eastAsiaTheme="minorEastAsia" w:cstheme="minorEastAsia"/>
          <w:b/>
          <w:bCs/>
          <w:color w:val="auto"/>
          <w:sz w:val="30"/>
          <w:szCs w:val="30"/>
          <w:highlight w:val="none"/>
          <w:lang w:eastAsia="zh-CN"/>
        </w:rPr>
        <w:t>BWZBDL2025-133</w:t>
      </w:r>
    </w:p>
    <w:p w14:paraId="03863949">
      <w:pPr>
        <w:adjustRightInd/>
        <w:spacing w:line="360" w:lineRule="auto"/>
        <w:rPr>
          <w:rFonts w:hint="eastAsia" w:asciiTheme="minorEastAsia" w:hAnsiTheme="minorEastAsia" w:eastAsiaTheme="minorEastAsia" w:cstheme="minorEastAsia"/>
          <w:color w:val="auto"/>
          <w:sz w:val="28"/>
          <w:szCs w:val="20"/>
          <w:highlight w:val="none"/>
        </w:rPr>
      </w:pPr>
    </w:p>
    <w:p w14:paraId="2D90F5C2">
      <w:pPr>
        <w:spacing w:line="360" w:lineRule="auto"/>
        <w:jc w:val="center"/>
        <w:rPr>
          <w:rFonts w:hint="eastAsia" w:asciiTheme="minorEastAsia" w:hAnsiTheme="minorEastAsia" w:eastAsiaTheme="minorEastAsia" w:cstheme="minorEastAsia"/>
          <w:b/>
          <w:color w:val="auto"/>
          <w:sz w:val="44"/>
          <w:szCs w:val="44"/>
          <w:highlight w:val="none"/>
        </w:rPr>
      </w:pPr>
    </w:p>
    <w:p w14:paraId="0F9010F1">
      <w:pPr>
        <w:spacing w:line="360" w:lineRule="auto"/>
        <w:jc w:val="center"/>
        <w:rPr>
          <w:rFonts w:hint="eastAsia" w:asciiTheme="minorEastAsia" w:hAnsiTheme="minorEastAsia" w:eastAsiaTheme="minorEastAsia" w:cstheme="minorEastAsia"/>
          <w:b/>
          <w:color w:val="auto"/>
          <w:sz w:val="44"/>
          <w:szCs w:val="44"/>
          <w:highlight w:val="none"/>
        </w:rPr>
      </w:pPr>
    </w:p>
    <w:p w14:paraId="0C476E90">
      <w:pPr>
        <w:pStyle w:val="87"/>
        <w:rPr>
          <w:rFonts w:hint="eastAsia" w:asciiTheme="minorEastAsia" w:hAnsiTheme="minorEastAsia" w:eastAsiaTheme="minorEastAsia" w:cstheme="minorEastAsia"/>
          <w:color w:val="auto"/>
          <w:highlight w:val="none"/>
        </w:rPr>
      </w:pPr>
    </w:p>
    <w:p w14:paraId="3A0FAC9D">
      <w:pPr>
        <w:pStyle w:val="87"/>
        <w:rPr>
          <w:rFonts w:hint="eastAsia" w:asciiTheme="minorEastAsia" w:hAnsiTheme="minorEastAsia" w:eastAsiaTheme="minorEastAsia" w:cstheme="minorEastAsia"/>
          <w:color w:val="auto"/>
          <w:highlight w:val="none"/>
        </w:rPr>
      </w:pPr>
    </w:p>
    <w:p w14:paraId="622F108C">
      <w:pPr>
        <w:pStyle w:val="85"/>
        <w:ind w:firstLine="0"/>
        <w:rPr>
          <w:rFonts w:hint="eastAsia" w:asciiTheme="minorEastAsia" w:hAnsiTheme="minorEastAsia" w:eastAsiaTheme="minorEastAsia" w:cstheme="minorEastAsia"/>
          <w:color w:val="auto"/>
          <w:highlight w:val="none"/>
          <w:lang w:eastAsia="zh-CN"/>
        </w:rPr>
      </w:pPr>
    </w:p>
    <w:p w14:paraId="7AB51770">
      <w:pPr>
        <w:spacing w:line="360" w:lineRule="auto"/>
        <w:ind w:firstLine="964" w:firstLineChars="300"/>
        <w:rPr>
          <w:rFonts w:hint="eastAsia" w:asciiTheme="minorEastAsia" w:hAnsiTheme="minorEastAsia" w:eastAsiaTheme="minorEastAsia" w:cstheme="minorEastAsia"/>
          <w:b/>
          <w:color w:val="auto"/>
          <w:sz w:val="32"/>
          <w:szCs w:val="30"/>
          <w:highlight w:val="none"/>
          <w:lang w:eastAsia="zh-CN"/>
        </w:rPr>
      </w:pPr>
      <w:r>
        <w:rPr>
          <w:rFonts w:hint="eastAsia" w:asciiTheme="minorEastAsia" w:hAnsiTheme="minorEastAsia" w:eastAsiaTheme="minorEastAsia" w:cstheme="minorEastAsia"/>
          <w:b/>
          <w:color w:val="auto"/>
          <w:sz w:val="32"/>
          <w:szCs w:val="30"/>
          <w:highlight w:val="none"/>
        </w:rPr>
        <w:t>交易发起人：</w:t>
      </w:r>
      <w:r>
        <w:rPr>
          <w:rFonts w:hint="eastAsia" w:ascii="宋体" w:hAnsi="宋体" w:eastAsia="宋体" w:cs="宋体"/>
          <w:b/>
          <w:color w:val="auto"/>
          <w:sz w:val="32"/>
          <w:szCs w:val="30"/>
          <w:highlight w:val="none"/>
          <w:lang w:eastAsia="zh-CN"/>
        </w:rPr>
        <w:t>中共杭州市萧山区委宣传部</w:t>
      </w:r>
    </w:p>
    <w:p w14:paraId="20EF68DA">
      <w:pPr>
        <w:spacing w:line="36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代理机构：杭州博望建设工程招标投标代理有限公司</w:t>
      </w:r>
    </w:p>
    <w:p w14:paraId="57D8205B">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二</w:t>
      </w:r>
      <w:r>
        <w:rPr>
          <w:rFonts w:hint="eastAsia" w:asciiTheme="minorEastAsia" w:hAnsiTheme="minorEastAsia" w:eastAsiaTheme="minorEastAsia" w:cstheme="minorEastAsia"/>
          <w:b/>
          <w:color w:val="auto"/>
          <w:sz w:val="32"/>
          <w:szCs w:val="32"/>
          <w:highlight w:val="none"/>
        </w:rPr>
        <w:t>日</w:t>
      </w:r>
    </w:p>
    <w:p w14:paraId="2C1CC660">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67B405ED">
      <w:pPr>
        <w:jc w:val="center"/>
        <w:rPr>
          <w:rFonts w:hint="eastAsia" w:asciiTheme="minorEastAsia" w:hAnsiTheme="minorEastAsia" w:eastAsiaTheme="minorEastAsia" w:cstheme="minorEastAsia"/>
          <w:b/>
          <w:color w:val="auto"/>
          <w:sz w:val="48"/>
          <w:szCs w:val="48"/>
          <w:highlight w:val="none"/>
        </w:rPr>
      </w:pPr>
    </w:p>
    <w:p w14:paraId="08584BE6">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1DB8FCB0">
      <w:pPr>
        <w:spacing w:line="360" w:lineRule="auto"/>
        <w:rPr>
          <w:rFonts w:hint="eastAsia" w:asciiTheme="minorEastAsia" w:hAnsiTheme="minorEastAsia" w:eastAsiaTheme="minorEastAsia" w:cstheme="minorEastAsia"/>
          <w:color w:val="auto"/>
          <w:sz w:val="32"/>
          <w:szCs w:val="32"/>
          <w:highlight w:val="none"/>
        </w:rPr>
      </w:pPr>
    </w:p>
    <w:p w14:paraId="39318467">
      <w:pPr>
        <w:spacing w:line="360" w:lineRule="auto"/>
        <w:rPr>
          <w:rFonts w:hint="eastAsia" w:asciiTheme="minorEastAsia" w:hAnsiTheme="minorEastAsia" w:eastAsiaTheme="minorEastAsia" w:cstheme="minorEastAsia"/>
          <w:color w:val="auto"/>
          <w:sz w:val="32"/>
          <w:szCs w:val="32"/>
          <w:highlight w:val="none"/>
        </w:rPr>
      </w:pPr>
    </w:p>
    <w:p w14:paraId="64BAE570">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1A9258A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3B7017EB">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68EAA52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21B589CF">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2823016C">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6D9491FF">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1377DC4A">
      <w:pPr>
        <w:spacing w:line="360" w:lineRule="auto"/>
        <w:ind w:firstLine="549" w:firstLineChars="229"/>
        <w:rPr>
          <w:rFonts w:hint="eastAsia" w:asciiTheme="minorEastAsia" w:hAnsiTheme="minorEastAsia" w:eastAsiaTheme="minorEastAsia" w:cstheme="minorEastAsia"/>
          <w:color w:val="auto"/>
          <w:sz w:val="24"/>
          <w:highlight w:val="none"/>
        </w:rPr>
      </w:pPr>
    </w:p>
    <w:p w14:paraId="6CBA4E6C">
      <w:pPr>
        <w:spacing w:line="360" w:lineRule="auto"/>
        <w:ind w:firstLine="549" w:firstLineChars="229"/>
        <w:rPr>
          <w:rFonts w:hint="eastAsia" w:asciiTheme="minorEastAsia" w:hAnsiTheme="minorEastAsia" w:eastAsiaTheme="minorEastAsia" w:cstheme="minorEastAsia"/>
          <w:color w:val="auto"/>
          <w:sz w:val="24"/>
          <w:highlight w:val="none"/>
        </w:rPr>
      </w:pPr>
    </w:p>
    <w:p w14:paraId="45AC2C4D">
      <w:pPr>
        <w:spacing w:line="360" w:lineRule="auto"/>
        <w:ind w:firstLine="549" w:firstLineChars="229"/>
        <w:rPr>
          <w:rFonts w:hint="eastAsia" w:asciiTheme="minorEastAsia" w:hAnsiTheme="minorEastAsia" w:eastAsiaTheme="minorEastAsia" w:cstheme="minorEastAsia"/>
          <w:color w:val="auto"/>
          <w:sz w:val="24"/>
          <w:highlight w:val="none"/>
        </w:rPr>
      </w:pPr>
    </w:p>
    <w:p w14:paraId="65A47337">
      <w:pPr>
        <w:spacing w:line="360" w:lineRule="auto"/>
        <w:ind w:firstLine="549" w:firstLineChars="229"/>
        <w:rPr>
          <w:rFonts w:hint="eastAsia" w:asciiTheme="minorEastAsia" w:hAnsiTheme="minorEastAsia" w:eastAsiaTheme="minorEastAsia" w:cstheme="minorEastAsia"/>
          <w:color w:val="auto"/>
          <w:sz w:val="24"/>
          <w:highlight w:val="none"/>
        </w:rPr>
      </w:pPr>
    </w:p>
    <w:p w14:paraId="4B3D1653">
      <w:pPr>
        <w:spacing w:line="360" w:lineRule="auto"/>
        <w:ind w:firstLine="549" w:firstLineChars="229"/>
        <w:rPr>
          <w:rFonts w:hint="eastAsia" w:asciiTheme="minorEastAsia" w:hAnsiTheme="minorEastAsia" w:eastAsiaTheme="minorEastAsia" w:cstheme="minorEastAsia"/>
          <w:color w:val="auto"/>
          <w:sz w:val="24"/>
          <w:highlight w:val="none"/>
        </w:rPr>
      </w:pPr>
    </w:p>
    <w:p w14:paraId="29291658">
      <w:pPr>
        <w:spacing w:line="360" w:lineRule="auto"/>
        <w:ind w:firstLine="549" w:firstLineChars="229"/>
        <w:rPr>
          <w:rFonts w:hint="eastAsia" w:asciiTheme="minorEastAsia" w:hAnsiTheme="minorEastAsia" w:eastAsiaTheme="minorEastAsia" w:cstheme="minorEastAsia"/>
          <w:color w:val="auto"/>
          <w:sz w:val="24"/>
          <w:highlight w:val="none"/>
        </w:rPr>
      </w:pPr>
    </w:p>
    <w:p w14:paraId="54AD2D1F">
      <w:pPr>
        <w:spacing w:line="360" w:lineRule="auto"/>
        <w:ind w:firstLine="549" w:firstLineChars="229"/>
        <w:rPr>
          <w:rFonts w:hint="eastAsia" w:asciiTheme="minorEastAsia" w:hAnsiTheme="minorEastAsia" w:eastAsiaTheme="minorEastAsia" w:cstheme="minorEastAsia"/>
          <w:color w:val="auto"/>
          <w:sz w:val="24"/>
          <w:highlight w:val="none"/>
        </w:rPr>
      </w:pPr>
    </w:p>
    <w:p w14:paraId="79EED8D1">
      <w:pPr>
        <w:spacing w:line="360" w:lineRule="auto"/>
        <w:ind w:firstLine="549" w:firstLineChars="229"/>
        <w:rPr>
          <w:rFonts w:hint="eastAsia" w:asciiTheme="minorEastAsia" w:hAnsiTheme="minorEastAsia" w:eastAsiaTheme="minorEastAsia" w:cstheme="minorEastAsia"/>
          <w:color w:val="auto"/>
          <w:sz w:val="24"/>
          <w:highlight w:val="none"/>
        </w:rPr>
      </w:pPr>
    </w:p>
    <w:p w14:paraId="151D1DD8">
      <w:pPr>
        <w:spacing w:line="360" w:lineRule="auto"/>
        <w:ind w:firstLine="549" w:firstLineChars="229"/>
        <w:rPr>
          <w:rFonts w:hint="eastAsia" w:asciiTheme="minorEastAsia" w:hAnsiTheme="minorEastAsia" w:eastAsiaTheme="minorEastAsia" w:cstheme="minorEastAsia"/>
          <w:color w:val="auto"/>
          <w:sz w:val="24"/>
          <w:highlight w:val="none"/>
        </w:rPr>
      </w:pPr>
    </w:p>
    <w:p w14:paraId="2814493C">
      <w:pPr>
        <w:spacing w:line="360" w:lineRule="auto"/>
        <w:ind w:firstLine="549" w:firstLineChars="229"/>
        <w:rPr>
          <w:rFonts w:hint="eastAsia" w:asciiTheme="minorEastAsia" w:hAnsiTheme="minorEastAsia" w:eastAsiaTheme="minorEastAsia" w:cstheme="minorEastAsia"/>
          <w:color w:val="auto"/>
          <w:sz w:val="24"/>
          <w:highlight w:val="none"/>
        </w:rPr>
      </w:pPr>
    </w:p>
    <w:p w14:paraId="4B9CBE03">
      <w:pPr>
        <w:spacing w:line="360" w:lineRule="auto"/>
        <w:ind w:firstLine="549" w:firstLineChars="229"/>
        <w:rPr>
          <w:rFonts w:hint="eastAsia" w:asciiTheme="minorEastAsia" w:hAnsiTheme="minorEastAsia" w:eastAsiaTheme="minorEastAsia" w:cstheme="minorEastAsia"/>
          <w:color w:val="auto"/>
          <w:sz w:val="24"/>
          <w:highlight w:val="none"/>
        </w:rPr>
      </w:pPr>
    </w:p>
    <w:p w14:paraId="465F30E4">
      <w:pPr>
        <w:spacing w:line="360" w:lineRule="auto"/>
        <w:ind w:firstLine="549" w:firstLineChars="229"/>
        <w:rPr>
          <w:rFonts w:hint="eastAsia" w:asciiTheme="minorEastAsia" w:hAnsiTheme="minorEastAsia" w:eastAsiaTheme="minorEastAsia" w:cstheme="minorEastAsia"/>
          <w:color w:val="auto"/>
          <w:sz w:val="24"/>
          <w:highlight w:val="none"/>
        </w:rPr>
      </w:pPr>
    </w:p>
    <w:p w14:paraId="03696BF3">
      <w:pPr>
        <w:spacing w:line="360" w:lineRule="auto"/>
        <w:rPr>
          <w:rFonts w:hint="eastAsia" w:asciiTheme="minorEastAsia" w:hAnsiTheme="minorEastAsia" w:eastAsiaTheme="minorEastAsia" w:cstheme="minorEastAsia"/>
          <w:color w:val="auto"/>
          <w:sz w:val="24"/>
          <w:highlight w:val="none"/>
        </w:rPr>
      </w:pPr>
    </w:p>
    <w:p w14:paraId="528EE1F3">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5C2A698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3D22EA26">
      <w:pPr>
        <w:spacing w:line="360" w:lineRule="auto"/>
        <w:ind w:firstLine="482"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 w:val="0"/>
          <w:bCs/>
          <w:color w:val="auto"/>
          <w:sz w:val="24"/>
          <w:highlight w:val="none"/>
          <w:lang w:eastAsia="zh-CN"/>
        </w:rPr>
        <w:t>BWZBDL2025-133</w:t>
      </w:r>
    </w:p>
    <w:p w14:paraId="45F120BC">
      <w:pPr>
        <w:spacing w:line="360" w:lineRule="auto"/>
        <w:ind w:firstLine="482"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
          <w:color w:val="auto"/>
          <w:sz w:val="24"/>
          <w:highlight w:val="none"/>
        </w:rPr>
        <w:t>交易名称：</w:t>
      </w:r>
      <w:r>
        <w:rPr>
          <w:rFonts w:hint="eastAsia" w:asciiTheme="minorEastAsia" w:hAnsiTheme="minorEastAsia" w:eastAsiaTheme="minorEastAsia" w:cstheme="minorEastAsia"/>
          <w:bCs/>
          <w:color w:val="auto"/>
          <w:sz w:val="24"/>
          <w:highlight w:val="none"/>
          <w:lang w:eastAsia="zh-CN"/>
        </w:rPr>
        <w:t>2025年宣传部部机关疗休养服务项目</w:t>
      </w:r>
    </w:p>
    <w:p w14:paraId="3300A503">
      <w:pPr>
        <w:spacing w:line="360" w:lineRule="auto"/>
        <w:ind w:firstLine="482" w:firstLineChars="200"/>
        <w:rPr>
          <w:rFonts w:hint="default" w:asciiTheme="minorEastAsia" w:hAnsiTheme="minorEastAsia" w:eastAsiaTheme="minorEastAsia" w:cstheme="minorEastAsia"/>
          <w:color w:val="auto"/>
          <w:sz w:val="24"/>
          <w:szCs w:val="28"/>
          <w:highlight w:val="none"/>
          <w:lang w:val="en-US"/>
        </w:rPr>
      </w:pPr>
      <w:r>
        <w:rPr>
          <w:rFonts w:hint="eastAsia" w:asciiTheme="minorEastAsia" w:hAnsiTheme="minorEastAsia" w:eastAsiaTheme="minorEastAsia" w:cstheme="minorEastAsia"/>
          <w:b/>
          <w:color w:val="auto"/>
          <w:sz w:val="24"/>
          <w:highlight w:val="none"/>
        </w:rPr>
        <w:t>预算金额：</w:t>
      </w:r>
      <w:r>
        <w:rPr>
          <w:rFonts w:hint="eastAsia" w:ascii="宋体" w:hAnsi="宋体" w:cs="宋体"/>
          <w:b w:val="0"/>
          <w:bCs/>
          <w:color w:val="auto"/>
          <w:sz w:val="24"/>
          <w:highlight w:val="none"/>
          <w:u w:val="none"/>
          <w:lang w:val="en-US" w:eastAsia="zh-CN"/>
        </w:rPr>
        <w:t>145000.00元</w:t>
      </w:r>
    </w:p>
    <w:p w14:paraId="6519E523">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最高限价：</w:t>
      </w:r>
      <w:r>
        <w:rPr>
          <w:rFonts w:hint="eastAsia" w:ascii="宋体" w:hAnsi="宋体" w:cs="宋体"/>
          <w:b w:val="0"/>
          <w:bCs/>
          <w:color w:val="auto"/>
          <w:sz w:val="24"/>
          <w:highlight w:val="none"/>
          <w:u w:val="none"/>
          <w:lang w:val="en-US" w:eastAsia="zh-CN"/>
        </w:rPr>
        <w:t>145000.00</w:t>
      </w:r>
      <w:r>
        <w:rPr>
          <w:rFonts w:hint="eastAsia" w:ascii="宋体" w:hAnsi="宋体" w:eastAsia="宋体" w:cs="宋体"/>
          <w:b w:val="0"/>
          <w:bCs/>
          <w:color w:val="auto"/>
          <w:sz w:val="24"/>
          <w:highlight w:val="none"/>
          <w:u w:val="none"/>
          <w:lang w:eastAsia="zh-CN"/>
        </w:rPr>
        <w:t>元（</w:t>
      </w:r>
      <w:r>
        <w:rPr>
          <w:rFonts w:hint="eastAsia" w:ascii="宋体" w:hAnsi="宋体" w:eastAsia="宋体" w:cs="宋体"/>
          <w:b w:val="0"/>
          <w:bCs/>
          <w:color w:val="auto"/>
          <w:sz w:val="24"/>
          <w:highlight w:val="none"/>
          <w:u w:val="none"/>
          <w:lang w:val="en-US" w:eastAsia="zh-CN"/>
        </w:rPr>
        <w:t>单价：3000.00元/人次</w:t>
      </w:r>
      <w:r>
        <w:rPr>
          <w:rFonts w:hint="eastAsia" w:ascii="宋体" w:hAnsi="宋体" w:eastAsia="宋体" w:cs="宋体"/>
          <w:b w:val="0"/>
          <w:bCs/>
          <w:color w:val="auto"/>
          <w:sz w:val="24"/>
          <w:highlight w:val="none"/>
          <w:u w:val="none"/>
          <w:lang w:eastAsia="zh-CN"/>
        </w:rPr>
        <w:t>）</w:t>
      </w:r>
    </w:p>
    <w:p w14:paraId="73DB637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Theme="minorEastAsia" w:hAnsiTheme="minorEastAsia" w:eastAsiaTheme="minorEastAsia" w:cstheme="minorEastAsia"/>
          <w:bCs/>
          <w:color w:val="auto"/>
          <w:sz w:val="24"/>
          <w:highlight w:val="none"/>
          <w:lang w:eastAsia="zh-CN"/>
        </w:rPr>
        <w:t>2025年宣传部部机关疗休养服务项目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1家，</w:t>
      </w:r>
      <w:r>
        <w:rPr>
          <w:rFonts w:hint="eastAsia" w:asciiTheme="minorEastAsia" w:hAnsiTheme="minorEastAsia" w:eastAsiaTheme="minorEastAsia" w:cstheme="minorEastAsia"/>
          <w:color w:val="auto"/>
          <w:sz w:val="24"/>
          <w:highlight w:val="none"/>
        </w:rPr>
        <w:t>详见交易需求。</w:t>
      </w:r>
    </w:p>
    <w:p w14:paraId="54430295">
      <w:pPr>
        <w:pStyle w:val="2"/>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466EA795">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68BBD7BD">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62EAAB0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437A097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3CE29CA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5160997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4E7CF7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08FD264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1394DC45">
      <w:pPr>
        <w:pStyle w:val="6"/>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hAnsi="宋体" w:cs="宋体"/>
          <w:color w:val="auto"/>
          <w:highlight w:val="none"/>
        </w:rPr>
        <w:t>具有旅行社业务经营许可证</w:t>
      </w:r>
      <w:r>
        <w:rPr>
          <w:rFonts w:hint="eastAsia" w:asciiTheme="minorEastAsia" w:hAnsiTheme="minorEastAsia" w:eastAsiaTheme="minorEastAsia" w:cstheme="minorEastAsia"/>
          <w:color w:val="auto"/>
          <w:highlight w:val="none"/>
          <w:lang w:val="en-US"/>
        </w:rPr>
        <w:t>；</w:t>
      </w:r>
    </w:p>
    <w:p w14:paraId="018FC44A">
      <w:pPr>
        <w:pStyle w:val="6"/>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5D5CD63D">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1DE9188E">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6718946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238CE111">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37F24BF7">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7FE52BD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532073C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r>
        <w:rPr>
          <w:rFonts w:hint="eastAsia" w:asciiTheme="minorEastAsia" w:hAnsiTheme="minorEastAsia" w:eastAsiaTheme="minorEastAsia" w:cstheme="minorEastAsia"/>
          <w:color w:val="auto"/>
          <w:sz w:val="24"/>
          <w:highlight w:val="none"/>
        </w:rPr>
        <w:t>（北京时间）</w:t>
      </w:r>
    </w:p>
    <w:p w14:paraId="62887CF7">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交易</w:t>
      </w: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乐采云平台（www.lecaiyun.com） </w:t>
      </w:r>
    </w:p>
    <w:p w14:paraId="0672DD5E">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p>
    <w:p w14:paraId="386C7E87">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乐采云平台（www.lecaiyun.com）</w:t>
      </w:r>
    </w:p>
    <w:p w14:paraId="39B6AF7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7D9C766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72DA998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64A15FEA">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3D95C1C3">
      <w:pPr>
        <w:widowControl/>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1、交易发起人信息</w:t>
      </w:r>
    </w:p>
    <w:p w14:paraId="4826F1CA">
      <w:pPr>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lang w:eastAsia="zh-CN"/>
        </w:rPr>
        <w:t>中共杭州市萧山区委宣传部</w:t>
      </w:r>
    </w:p>
    <w:p w14:paraId="3BAE1DF5">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宋体" w:hAnsi="宋体" w:eastAsia="宋体" w:cs="宋体"/>
          <w:color w:val="auto"/>
          <w:sz w:val="24"/>
          <w:szCs w:val="28"/>
          <w:highlight w:val="none"/>
        </w:rPr>
        <w:t>杭州市萧山区行政中心综合楼</w:t>
      </w:r>
    </w:p>
    <w:p w14:paraId="598958E9">
      <w:pPr>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宋体" w:hAnsi="宋体" w:cs="宋体"/>
          <w:color w:val="auto"/>
          <w:sz w:val="24"/>
          <w:highlight w:val="none"/>
        </w:rPr>
        <w:t>胡谌昊</w:t>
      </w:r>
    </w:p>
    <w:p w14:paraId="62FE96F6">
      <w:pPr>
        <w:spacing w:line="360" w:lineRule="auto"/>
        <w:ind w:firstLine="480" w:firstLineChars="200"/>
        <w:jc w:val="left"/>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项目联系方式（询问）</w:t>
      </w:r>
      <w:bookmarkStart w:id="10" w:name="_Toc28359086"/>
      <w:bookmarkStart w:id="11" w:name="_Toc28359009"/>
      <w:r>
        <w:rPr>
          <w:rFonts w:hint="eastAsia" w:asciiTheme="minorEastAsia" w:hAnsiTheme="minorEastAsia" w:eastAsiaTheme="minorEastAsia" w:cstheme="minorEastAsia"/>
          <w:color w:val="auto"/>
          <w:sz w:val="24"/>
          <w:highlight w:val="none"/>
          <w:lang w:eastAsia="zh-CN"/>
        </w:rPr>
        <w:t>：</w:t>
      </w:r>
      <w:r>
        <w:rPr>
          <w:rFonts w:hint="eastAsia" w:ascii="宋体" w:hAnsi="宋体" w:eastAsia="宋体" w:cs="宋体"/>
          <w:color w:val="auto"/>
          <w:sz w:val="24"/>
          <w:highlight w:val="none"/>
          <w:lang w:val="en-US" w:eastAsia="zh-CN"/>
        </w:rPr>
        <w:t>0571-89618288</w:t>
      </w:r>
    </w:p>
    <w:p w14:paraId="111DF4DB">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bookmarkEnd w:id="10"/>
      <w:bookmarkEnd w:id="11"/>
      <w:r>
        <w:rPr>
          <w:rFonts w:hint="eastAsia" w:asciiTheme="minorEastAsia" w:hAnsiTheme="minorEastAsia" w:eastAsiaTheme="minorEastAsia" w:cstheme="minorEastAsia"/>
          <w:color w:val="auto"/>
          <w:sz w:val="24"/>
          <w:szCs w:val="28"/>
          <w:highlight w:val="none"/>
        </w:rPr>
        <w:t>、代理机构信息</w:t>
      </w:r>
    </w:p>
    <w:p w14:paraId="06BCDA65">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名称：杭州博望建设工程招标投标代理有限公司</w:t>
      </w:r>
    </w:p>
    <w:p w14:paraId="7A2A1EA6">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地址：杭州市萧山区金城路433号天汇园一幢A座5楼</w:t>
      </w:r>
    </w:p>
    <w:p w14:paraId="12CCAC34">
      <w:pPr>
        <w:spacing w:line="360" w:lineRule="auto"/>
        <w:ind w:firstLine="480" w:firstLineChars="200"/>
        <w:jc w:val="left"/>
        <w:rPr>
          <w:rFonts w:hint="default"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rPr>
        <w:t>项目联系人（询问）：</w:t>
      </w:r>
      <w:r>
        <w:rPr>
          <w:rFonts w:hint="eastAsia" w:asciiTheme="minorEastAsia" w:hAnsiTheme="minorEastAsia" w:eastAsiaTheme="minorEastAsia" w:cstheme="minorEastAsia"/>
          <w:color w:val="auto"/>
          <w:sz w:val="24"/>
          <w:szCs w:val="28"/>
          <w:highlight w:val="none"/>
          <w:lang w:val="en-US" w:eastAsia="zh-CN"/>
        </w:rPr>
        <w:t>范梦迪</w:t>
      </w:r>
    </w:p>
    <w:p w14:paraId="45CBA94B">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项目联系方式（询问）：0571-83881208</w:t>
      </w:r>
    </w:p>
    <w:p w14:paraId="1AFB1B75">
      <w:pPr>
        <w:spacing w:line="360" w:lineRule="auto"/>
        <w:ind w:firstLine="480" w:firstLineChars="200"/>
        <w:rPr>
          <w:rFonts w:hint="eastAsia" w:asciiTheme="minorEastAsia" w:hAnsiTheme="minorEastAsia" w:eastAsiaTheme="minorEastAsia" w:cstheme="minorEastAsia"/>
          <w:color w:val="auto"/>
          <w:sz w:val="24"/>
          <w:highlight w:val="none"/>
        </w:rPr>
      </w:pPr>
    </w:p>
    <w:p w14:paraId="187C2BBA">
      <w:pPr>
        <w:spacing w:line="360" w:lineRule="auto"/>
        <w:ind w:firstLine="480" w:firstLineChars="200"/>
        <w:rPr>
          <w:rFonts w:hint="eastAsia" w:asciiTheme="minorEastAsia" w:hAnsiTheme="minorEastAsia" w:eastAsiaTheme="minorEastAsia" w:cstheme="minorEastAsia"/>
          <w:color w:val="auto"/>
          <w:sz w:val="24"/>
          <w:highlight w:val="none"/>
        </w:rPr>
      </w:pPr>
    </w:p>
    <w:p w14:paraId="0B2C36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666BB9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6590D278">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78E8E926">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0DCA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7A9C25F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1C2338B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101B119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7588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29D36EC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15BB26A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540B712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2C149FD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1D40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491C604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p>
          <w:p w14:paraId="6AEB137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p>
          <w:p w14:paraId="67B69AE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7F3C3FC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4DC93F24">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3F6D124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1523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73FE8C7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1271D80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59B4A1E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4EFE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4E69C2A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7675B21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7C92265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13D1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6C316FB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3270DB7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43DBEDD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0E57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598692C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58C8EEC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14CDCA04">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（√）A不要求提供。</w:t>
            </w:r>
          </w:p>
        </w:tc>
      </w:tr>
      <w:tr w14:paraId="4C6A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77E2C53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578318B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1130ABF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1B999B2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639B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5BF9F9D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6196D1A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340DA65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23FE510F">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58BC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025761D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081BC4F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0A82AA05">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00C3C38E">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606006C7">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43A5A695">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7E87DE3E">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435607E2">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2660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22243AC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69108D2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2791F856">
            <w:pPr>
              <w:pStyle w:val="35"/>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556954CB">
            <w:pPr>
              <w:pStyle w:val="35"/>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6727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3EEFF9D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24D4D11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22D7EA29">
            <w:pPr>
              <w:snapToGrid w:val="0"/>
              <w:rPr>
                <w:rFonts w:hint="eastAsia" w:ascii="宋体" w:hAnsi="宋体" w:cs="宋体"/>
                <w:bCs/>
                <w:color w:val="auto"/>
                <w:kern w:val="0"/>
                <w:sz w:val="24"/>
                <w:highlight w:val="none"/>
                <w:lang w:val="zh-CN" w:eastAsia="zh-CN"/>
              </w:rPr>
            </w:pPr>
            <w:r>
              <w:rPr>
                <w:rFonts w:hint="eastAsia" w:ascii="宋体" w:hAnsi="宋体" w:cs="宋体"/>
                <w:bCs/>
                <w:color w:val="auto"/>
                <w:kern w:val="0"/>
                <w:sz w:val="24"/>
                <w:highlight w:val="none"/>
                <w:lang w:val="zh-CN" w:eastAsia="zh-CN"/>
              </w:rPr>
              <w:t>本项目采购代理费由</w:t>
            </w:r>
            <w:r>
              <w:rPr>
                <w:rFonts w:hint="eastAsia" w:ascii="宋体" w:hAnsi="宋体" w:cs="宋体"/>
                <w:bCs/>
                <w:color w:val="auto"/>
                <w:kern w:val="0"/>
                <w:sz w:val="24"/>
                <w:highlight w:val="none"/>
                <w:lang w:val="en-US" w:eastAsia="zh-CN"/>
              </w:rPr>
              <w:t>成交人</w:t>
            </w:r>
            <w:r>
              <w:rPr>
                <w:rFonts w:hint="eastAsia" w:ascii="宋体" w:hAnsi="宋体" w:cs="宋体"/>
                <w:bCs/>
                <w:color w:val="auto"/>
                <w:kern w:val="0"/>
                <w:sz w:val="24"/>
                <w:highlight w:val="none"/>
                <w:lang w:val="zh-CN" w:eastAsia="zh-CN"/>
              </w:rPr>
              <w:t>支付，按国家发展计划委员会的计价格[2002]1980号文件收费标准下浮30%结算收取(单项不足2000.00元的，按2000.00元计)；代理费用按实际</w:t>
            </w:r>
            <w:r>
              <w:rPr>
                <w:rFonts w:hint="eastAsia" w:ascii="宋体" w:hAnsi="宋体" w:cs="宋体"/>
                <w:bCs/>
                <w:color w:val="auto"/>
                <w:kern w:val="0"/>
                <w:sz w:val="24"/>
                <w:highlight w:val="none"/>
                <w:lang w:val="en-US" w:eastAsia="zh-CN"/>
              </w:rPr>
              <w:t>成交</w:t>
            </w:r>
            <w:r>
              <w:rPr>
                <w:rFonts w:hint="eastAsia" w:ascii="宋体" w:hAnsi="宋体" w:cs="宋体"/>
                <w:bCs/>
                <w:color w:val="auto"/>
                <w:kern w:val="0"/>
                <w:sz w:val="24"/>
                <w:highlight w:val="none"/>
                <w:lang w:val="zh-CN" w:eastAsia="zh-CN"/>
              </w:rPr>
              <w:t>价结算费用。</w:t>
            </w:r>
          </w:p>
          <w:p w14:paraId="3B0D59D2">
            <w:pPr>
              <w:snapToGrid w:val="0"/>
              <w:rPr>
                <w:rFonts w:hint="eastAsia" w:ascii="宋体" w:hAnsi="宋体" w:cs="宋体"/>
                <w:bCs/>
                <w:color w:val="auto"/>
                <w:kern w:val="0"/>
                <w:sz w:val="24"/>
                <w:highlight w:val="none"/>
                <w:lang w:val="zh-CN" w:eastAsia="zh-CN"/>
              </w:rPr>
            </w:pPr>
            <w:r>
              <w:rPr>
                <w:rFonts w:hint="eastAsia" w:ascii="宋体" w:hAnsi="宋体" w:cs="宋体"/>
                <w:bCs/>
                <w:color w:val="auto"/>
                <w:kern w:val="0"/>
                <w:sz w:val="24"/>
                <w:highlight w:val="none"/>
                <w:lang w:val="zh-CN" w:eastAsia="zh-CN"/>
              </w:rPr>
              <w:t>服务费缴纳账号：</w:t>
            </w:r>
          </w:p>
          <w:p w14:paraId="760BEF1E">
            <w:pPr>
              <w:snapToGrid w:val="0"/>
              <w:rPr>
                <w:rFonts w:hint="eastAsia" w:ascii="宋体" w:hAnsi="宋体" w:cs="宋体"/>
                <w:bCs/>
                <w:color w:val="auto"/>
                <w:kern w:val="0"/>
                <w:sz w:val="24"/>
                <w:highlight w:val="none"/>
                <w:lang w:val="zh-CN" w:eastAsia="zh-CN"/>
              </w:rPr>
            </w:pPr>
            <w:r>
              <w:rPr>
                <w:rFonts w:hint="eastAsia" w:ascii="宋体" w:hAnsi="宋体" w:cs="宋体"/>
                <w:bCs/>
                <w:color w:val="auto"/>
                <w:kern w:val="0"/>
                <w:sz w:val="24"/>
                <w:highlight w:val="none"/>
                <w:lang w:val="zh-CN" w:eastAsia="zh-CN"/>
              </w:rPr>
              <w:t>开户银行：上海浦东发展银行萧山支行</w:t>
            </w:r>
          </w:p>
          <w:p w14:paraId="09160135">
            <w:pPr>
              <w:snapToGrid w:val="0"/>
              <w:rPr>
                <w:rFonts w:hint="eastAsia" w:ascii="宋体" w:hAnsi="宋体" w:cs="宋体"/>
                <w:bCs/>
                <w:color w:val="auto"/>
                <w:kern w:val="0"/>
                <w:sz w:val="24"/>
                <w:highlight w:val="none"/>
                <w:lang w:val="zh-CN" w:eastAsia="zh-CN"/>
              </w:rPr>
            </w:pPr>
            <w:r>
              <w:rPr>
                <w:rFonts w:hint="eastAsia" w:ascii="宋体" w:hAnsi="宋体" w:cs="宋体"/>
                <w:bCs/>
                <w:color w:val="auto"/>
                <w:kern w:val="0"/>
                <w:sz w:val="24"/>
                <w:highlight w:val="none"/>
                <w:lang w:val="zh-CN" w:eastAsia="zh-CN"/>
              </w:rPr>
              <w:t>账户名称：杭州博望建设工程招标投标代理有限公司</w:t>
            </w:r>
          </w:p>
          <w:p w14:paraId="0C0F964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宋体" w:hAnsi="宋体" w:cs="宋体"/>
                <w:bCs/>
                <w:color w:val="auto"/>
                <w:kern w:val="0"/>
                <w:sz w:val="24"/>
                <w:highlight w:val="none"/>
                <w:lang w:val="zh-CN" w:eastAsia="zh-CN"/>
              </w:rPr>
              <w:t>银行账号：95070154740001005</w:t>
            </w:r>
          </w:p>
        </w:tc>
      </w:tr>
      <w:tr w14:paraId="2EC0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060F0C0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6FB89B4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1150CB0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履约保证金：不收取。</w:t>
            </w:r>
          </w:p>
        </w:tc>
      </w:tr>
      <w:tr w14:paraId="3F02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3752956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7DD3D6C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3BC6124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1B37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6BB82B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2301EF6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5BCCA24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none"/>
                <w:lang w:eastAsia="zh-CN"/>
              </w:rPr>
              <w:t>交易发起人</w:t>
            </w:r>
            <w:r>
              <w:rPr>
                <w:rFonts w:hint="eastAsia" w:ascii="宋体" w:hAnsi="宋体" w:cs="宋体"/>
                <w:color w:val="auto"/>
                <w:sz w:val="24"/>
                <w:highlight w:val="none"/>
              </w:rPr>
              <w:t>异议</w:t>
            </w:r>
            <w:r>
              <w:rPr>
                <w:rFonts w:hint="eastAsia" w:ascii="宋体" w:hAnsi="宋体" w:eastAsia="宋体" w:cs="宋体"/>
                <w:b w:val="0"/>
                <w:bCs/>
                <w:color w:val="auto"/>
                <w:sz w:val="24"/>
                <w:highlight w:val="none"/>
                <w:u w:val="none"/>
              </w:rPr>
              <w:t>接收人：</w:t>
            </w:r>
            <w:r>
              <w:rPr>
                <w:rFonts w:hint="eastAsia" w:ascii="宋体" w:hAnsi="宋体" w:cs="宋体"/>
                <w:b w:val="0"/>
                <w:bCs/>
                <w:color w:val="auto"/>
                <w:sz w:val="24"/>
                <w:highlight w:val="none"/>
                <w:u w:val="single"/>
                <w:lang w:val="en-US" w:eastAsia="zh-CN"/>
              </w:rPr>
              <w:t>靳登匀</w:t>
            </w:r>
            <w:r>
              <w:rPr>
                <w:rFonts w:hint="eastAsia" w:ascii="宋体" w:hAnsi="宋体" w:eastAsia="宋体" w:cs="宋体"/>
                <w:b w:val="0"/>
                <w:bCs/>
                <w:color w:val="auto"/>
                <w:sz w:val="24"/>
                <w:highlight w:val="none"/>
                <w:u w:val="none"/>
                <w:lang w:val="en-US" w:eastAsia="zh-CN"/>
              </w:rPr>
              <w:t xml:space="preserve"> </w:t>
            </w:r>
            <w:r>
              <w:rPr>
                <w:rFonts w:hint="eastAsia" w:ascii="宋体" w:hAnsi="宋体" w:eastAsia="宋体" w:cs="宋体"/>
                <w:b w:val="0"/>
                <w:bCs/>
                <w:color w:val="auto"/>
                <w:sz w:val="24"/>
                <w:highlight w:val="none"/>
                <w:u w:val="none"/>
              </w:rPr>
              <w:t>联系方式：</w:t>
            </w:r>
            <w:r>
              <w:rPr>
                <w:rFonts w:hint="eastAsia" w:ascii="宋体" w:hAnsi="宋体" w:eastAsia="宋体" w:cs="宋体"/>
                <w:b w:val="0"/>
                <w:bCs/>
                <w:color w:val="auto"/>
                <w:sz w:val="24"/>
                <w:highlight w:val="none"/>
                <w:u w:val="single"/>
              </w:rPr>
              <w:t>0571-89618281</w:t>
            </w:r>
          </w:p>
          <w:p w14:paraId="354E358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 w:val="24"/>
                <w:highlight w:val="none"/>
              </w:rPr>
            </w:pPr>
            <w:r>
              <w:rPr>
                <w:rFonts w:hint="eastAsia" w:ascii="宋体" w:hAnsi="宋体" w:eastAsia="宋体" w:cs="宋体"/>
                <w:b w:val="0"/>
                <w:bCs/>
                <w:color w:val="auto"/>
                <w:sz w:val="24"/>
                <w:highlight w:val="none"/>
                <w:u w:val="none"/>
              </w:rPr>
              <w:t>地址：</w:t>
            </w:r>
            <w:r>
              <w:rPr>
                <w:rFonts w:hint="eastAsia" w:ascii="宋体" w:hAnsi="宋体" w:eastAsia="宋体" w:cs="宋体"/>
                <w:b w:val="0"/>
                <w:bCs/>
                <w:color w:val="auto"/>
                <w:sz w:val="24"/>
                <w:highlight w:val="none"/>
                <w:u w:val="single"/>
                <w:lang w:val="en-US" w:eastAsia="zh-CN"/>
              </w:rPr>
              <w:t>杭州市萧山区金城路685号</w:t>
            </w:r>
          </w:p>
          <w:p w14:paraId="57915AE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代理机构异议接收人：</w:t>
            </w:r>
            <w:r>
              <w:rPr>
                <w:rFonts w:hint="eastAsia" w:asciiTheme="minorEastAsia" w:hAnsiTheme="minorEastAsia" w:eastAsiaTheme="minorEastAsia" w:cstheme="minorEastAsia"/>
                <w:color w:val="auto"/>
                <w:sz w:val="24"/>
                <w:highlight w:val="none"/>
                <w:u w:val="single"/>
              </w:rPr>
              <w:t>高华萍</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rPr>
              <w:t>0571-83881208</w:t>
            </w:r>
          </w:p>
          <w:p w14:paraId="6A14020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杭州市萧山区金城路433号天汇园一幢A座5楼</w:t>
            </w:r>
          </w:p>
          <w:p w14:paraId="5354D31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rPr>
              <w:t>751200605@qq.com</w:t>
            </w:r>
          </w:p>
          <w:p w14:paraId="551123C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329AE49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33378C07">
            <w:pPr>
              <w:pStyle w:val="35"/>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7A09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6C96F0E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67056BD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1A2571F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2B707664">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5C4FD17D">
      <w:pPr>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r>
        <w:rPr>
          <w:rFonts w:hint="eastAsia" w:asciiTheme="minorEastAsia" w:hAnsiTheme="minorEastAsia" w:eastAsiaTheme="minorEastAsia" w:cstheme="minorEastAsia"/>
          <w:b/>
          <w:color w:val="auto"/>
          <w:sz w:val="32"/>
          <w:szCs w:val="20"/>
          <w:highlight w:val="none"/>
        </w:rPr>
        <w:br w:type="page"/>
      </w:r>
    </w:p>
    <w:p w14:paraId="6524C562">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26BFF544">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3B62054E">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692B8FE7">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1A6FEACB">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1059319C">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545A7A05">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05558293">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6E30AE3C">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0519F1E6">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741D701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59A69C4">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0A00FC88">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3BD5D2C1">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25C370E0">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130BF674">
      <w:pPr>
        <w:pStyle w:val="35"/>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4BAC7F99">
      <w:pPr>
        <w:pStyle w:val="35"/>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0FA8A29E">
      <w:pPr>
        <w:pStyle w:val="35"/>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1B29FE20">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63D5281D">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23DE4395">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33C5EF16">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7C51983D">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4C3F3103">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579BCCDA">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65106762">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3A1D1DAC">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72CC02C7">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154F4B3F">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98659ED">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06F8FF04">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136E935">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2A813B26">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4D32128A">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5F3E6412">
      <w:pPr>
        <w:pStyle w:val="35"/>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6D9CB5D7">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22CADAA4">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225F514C">
      <w:pPr>
        <w:pStyle w:val="35"/>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50BE820C">
      <w:pPr>
        <w:pStyle w:val="3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6A5B507B">
      <w:pPr>
        <w:pStyle w:val="35"/>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55F4C4E1">
      <w:pPr>
        <w:pStyle w:val="35"/>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1A628BE3">
      <w:pPr>
        <w:pStyle w:val="35"/>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3A478EDD">
      <w:pPr>
        <w:pStyle w:val="35"/>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748E7A7E">
      <w:pPr>
        <w:pStyle w:val="35"/>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00F86AF9">
      <w:pPr>
        <w:pStyle w:val="35"/>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49CC1689">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734AB6A8">
      <w:pPr>
        <w:pStyle w:val="35"/>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0201D60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12753CAA">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43D34285">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6673A765">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12BF163E">
      <w:pPr>
        <w:pStyle w:val="35"/>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49255520">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76B42F99">
      <w:pPr>
        <w:pStyle w:val="35"/>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29E944F2">
      <w:pPr>
        <w:pStyle w:val="3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0A6FCCEB">
      <w:pPr>
        <w:pStyle w:val="35"/>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1C2CF418">
      <w:pPr>
        <w:pStyle w:val="2"/>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1A6C02C0">
      <w:pPr>
        <w:pStyle w:val="35"/>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7AD26F69">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782810D0">
      <w:pPr>
        <w:pStyle w:val="35"/>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6BEFC557">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18BD670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1DD3C9B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2E0E32DD">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4B4C7BF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096719E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4C9E01AE">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62851BCA">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0170CE33">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764B9961">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2C006AE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4392B630">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4A0169AF">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684D41A0">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0AB2F113">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19A69223">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2A9EA853">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376500C2">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68B15A47">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1AA51B72">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533B6590">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5580E2B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0FE5863B">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6B2031D1">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5C1A96D9">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46D3896D">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2E628166">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571C0FD7">
      <w:pPr>
        <w:pStyle w:val="35"/>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038EB4D5">
      <w:pPr>
        <w:pStyle w:val="35"/>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5A4F4D6A">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1D67FECF">
      <w:pPr>
        <w:pStyle w:val="27"/>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0B385231">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14754133">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36190308">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29E854AA">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7D690A16">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032E4C53">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3236B800">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6FB9909E">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27524484">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23C00763">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1A2B06A3">
      <w:pPr>
        <w:pStyle w:val="27"/>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0BE75DB1">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249D4E10">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40A3D7FA">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239B5A3D">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32CD5462">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43FBFC8E">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09DDA5FF">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7EBF6295">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38B6DEB1">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33CB2288">
      <w:pPr>
        <w:spacing w:line="460" w:lineRule="exact"/>
        <w:rPr>
          <w:rFonts w:hint="eastAsia" w:asciiTheme="minorEastAsia" w:hAnsiTheme="minorEastAsia" w:eastAsiaTheme="minorEastAsia" w:cstheme="minorEastAsia"/>
          <w:b/>
          <w:color w:val="auto"/>
          <w:sz w:val="24"/>
          <w:highlight w:val="none"/>
        </w:rPr>
      </w:pPr>
    </w:p>
    <w:p w14:paraId="2D2A916E">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215F3015">
      <w:pPr>
        <w:pStyle w:val="27"/>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276AF60A">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730BB705">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14AD6023">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21.1自成交人确定之日起3天内，代理机构通过电子交易平台向成交人发出成交通知书，同时编制发布成交结果公告。代理机构也可以以纸质形式进行成交通知。</w:t>
      </w:r>
    </w:p>
    <w:p w14:paraId="3E519BE5">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21.2成交结果公告内容包括交易发起人及其委托的代理机构的名称、地址、联系方式，</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名称和交易编号，成交人名称、地址和成交金额。</w:t>
      </w:r>
    </w:p>
    <w:p w14:paraId="0EF69DD5">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799ECA17">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21B5AB0E">
      <w:pPr>
        <w:pStyle w:val="27"/>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3A81F191">
      <w:pPr>
        <w:pStyle w:val="27"/>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6A4C1044">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rPr>
        <w:t>交易发起人与成交人应当通过电子交易平台在成交通知书发出之日起三十日内，按照公开竞争文件确定的事项签订书面合同。</w:t>
      </w:r>
    </w:p>
    <w:p w14:paraId="6C8B10A2">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6E01298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0A1B8246">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4E8B954F">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00E561EB">
      <w:pPr>
        <w:pStyle w:val="27"/>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D2FB62B">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2F2EF4F2">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46F0AB04">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384FDDD9">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3BA255BE">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61ABF1B9">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431E808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58D90476">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7B316FB4">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21F9D71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51AE2737">
      <w:pPr>
        <w:pStyle w:val="27"/>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3E8A3617">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bookmarkEnd w:id="12"/>
    <w:bookmarkEnd w:id="13"/>
    <w:bookmarkEnd w:id="14"/>
    <w:p w14:paraId="2AF51707">
      <w:pPr>
        <w:rPr>
          <w:rFonts w:hint="eastAsia" w:asciiTheme="minorEastAsia" w:hAnsiTheme="minorEastAsia" w:eastAsiaTheme="minorEastAsia" w:cstheme="minorEastAsia"/>
          <w:b/>
          <w:color w:val="auto"/>
          <w:sz w:val="36"/>
          <w:szCs w:val="36"/>
          <w:highlight w:val="none"/>
        </w:rPr>
      </w:pPr>
      <w:bookmarkStart w:id="15" w:name="第四部分"/>
      <w:r>
        <w:rPr>
          <w:rFonts w:hint="eastAsia" w:asciiTheme="minorEastAsia" w:hAnsiTheme="minorEastAsia" w:eastAsiaTheme="minorEastAsia" w:cstheme="minorEastAsia"/>
          <w:b/>
          <w:color w:val="auto"/>
          <w:sz w:val="36"/>
          <w:szCs w:val="36"/>
          <w:highlight w:val="none"/>
        </w:rPr>
        <w:br w:type="page"/>
      </w:r>
    </w:p>
    <w:p w14:paraId="53CC9B7E">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1614F4B2">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1E7DE308">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08EA7208">
      <w:pPr>
        <w:spacing w:after="12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标项：1</w:t>
      </w:r>
    </w:p>
    <w:tbl>
      <w:tblPr>
        <w:tblStyle w:val="64"/>
        <w:tblW w:w="8983" w:type="dxa"/>
        <w:jc w:val="center"/>
        <w:tblLayout w:type="fixed"/>
        <w:tblCellMar>
          <w:top w:w="0" w:type="dxa"/>
          <w:left w:w="0" w:type="dxa"/>
          <w:bottom w:w="0" w:type="dxa"/>
          <w:right w:w="0" w:type="dxa"/>
        </w:tblCellMar>
      </w:tblPr>
      <w:tblGrid>
        <w:gridCol w:w="733"/>
        <w:gridCol w:w="3944"/>
        <w:gridCol w:w="1767"/>
        <w:gridCol w:w="846"/>
        <w:gridCol w:w="846"/>
        <w:gridCol w:w="847"/>
      </w:tblGrid>
      <w:tr w14:paraId="71C45669">
        <w:tblPrEx>
          <w:tblCellMar>
            <w:top w:w="0" w:type="dxa"/>
            <w:left w:w="0" w:type="dxa"/>
            <w:bottom w:w="0" w:type="dxa"/>
            <w:right w:w="0" w:type="dxa"/>
          </w:tblCellMar>
        </w:tblPrEx>
        <w:trPr>
          <w:cantSplit/>
          <w:trHeight w:val="447"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742DC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2FF13A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85445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具体服务要求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B6DFD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FEFD9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847" w:type="dxa"/>
            <w:tcBorders>
              <w:top w:val="single" w:color="auto" w:sz="4" w:space="0"/>
              <w:left w:val="nil"/>
              <w:bottom w:val="single" w:color="auto" w:sz="4" w:space="0"/>
              <w:right w:val="single" w:color="auto" w:sz="4" w:space="0"/>
            </w:tcBorders>
            <w:vAlign w:val="center"/>
          </w:tcPr>
          <w:p w14:paraId="16E6B4D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1BEB2E12">
        <w:tblPrEx>
          <w:tblCellMar>
            <w:top w:w="0" w:type="dxa"/>
            <w:left w:w="0" w:type="dxa"/>
            <w:bottom w:w="0" w:type="dxa"/>
            <w:right w:w="0" w:type="dxa"/>
          </w:tblCellMar>
        </w:tblPrEx>
        <w:trPr>
          <w:cantSplit/>
          <w:trHeight w:val="849"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8CAF8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103665">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highlight w:val="none"/>
                <w:lang w:eastAsia="zh-CN"/>
              </w:rPr>
              <w:t>2025年宣传部部机关疗休养服务项目</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EDE7C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详见交易需求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E5C878">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家</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C39BEFA">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847" w:type="dxa"/>
            <w:tcBorders>
              <w:top w:val="single" w:color="auto" w:sz="4" w:space="0"/>
              <w:left w:val="nil"/>
              <w:bottom w:val="single" w:color="auto" w:sz="4" w:space="0"/>
              <w:right w:val="single" w:color="auto" w:sz="4" w:space="0"/>
            </w:tcBorders>
            <w:vAlign w:val="center"/>
          </w:tcPr>
          <w:p w14:paraId="5F5A6BC1">
            <w:pPr>
              <w:rPr>
                <w:rFonts w:hint="eastAsia" w:asciiTheme="minorEastAsia" w:hAnsiTheme="minorEastAsia" w:eastAsiaTheme="minorEastAsia" w:cstheme="minorEastAsia"/>
                <w:color w:val="auto"/>
                <w:sz w:val="24"/>
                <w:szCs w:val="24"/>
                <w:highlight w:val="none"/>
              </w:rPr>
            </w:pPr>
          </w:p>
        </w:tc>
      </w:tr>
    </w:tbl>
    <w:p w14:paraId="5EE7715B">
      <w:pPr>
        <w:spacing w:line="360" w:lineRule="auto"/>
        <w:jc w:val="center"/>
        <w:rPr>
          <w:rFonts w:hint="eastAsia" w:asciiTheme="minorEastAsia" w:hAnsiTheme="minorEastAsia" w:eastAsiaTheme="minorEastAsia" w:cstheme="minorEastAsia"/>
          <w:b/>
          <w:color w:val="auto"/>
          <w:sz w:val="28"/>
          <w:szCs w:val="28"/>
          <w:highlight w:val="none"/>
        </w:rPr>
      </w:pPr>
    </w:p>
    <w:p w14:paraId="0B02CBC4">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二、交易需求</w:t>
      </w:r>
    </w:p>
    <w:p w14:paraId="50042BBE">
      <w:pPr>
        <w:keepNext w:val="0"/>
        <w:keepLines w:val="0"/>
        <w:pageBreakBefore w:val="0"/>
        <w:widowControl/>
        <w:kinsoku/>
        <w:wordWrap/>
        <w:overflowPunct/>
        <w:topLinePunct w:val="0"/>
        <w:autoSpaceDE/>
        <w:autoSpaceDN/>
        <w:bidi w:val="0"/>
        <w:adjustRightInd w:val="0"/>
        <w:snapToGrid/>
        <w:spacing w:line="48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（一）项目服务要求：</w:t>
      </w:r>
    </w:p>
    <w:p w14:paraId="1CDE0D91">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需在</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文件中提供具体行程、出行方式、就餐标准等具体明细，</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报价根据要求提供每人次的单价</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本项目按每人次单价报价</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单价为</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综合考虑后的统一单价，不得再有淡季旺季的价格区别。无论采购方在何时出团，均以</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单价为结算依据。</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应允许中标后任何线路因报名人数不足或者不可抗力因素的不成团，不成团线路招标方不承担任何责任。</w:t>
      </w:r>
      <w:r>
        <w:rPr>
          <w:rFonts w:hint="eastAsia" w:ascii="宋体" w:hAnsi="宋体" w:eastAsia="宋体" w:cs="宋体"/>
          <w:color w:val="auto"/>
          <w:kern w:val="0"/>
          <w:sz w:val="24"/>
          <w:highlight w:val="none"/>
        </w:rPr>
        <w:t>若因</w:t>
      </w:r>
      <w:r>
        <w:rPr>
          <w:rFonts w:hint="eastAsia" w:ascii="宋体" w:hAnsi="宋体" w:cs="宋体"/>
          <w:color w:val="auto"/>
          <w:kern w:val="0"/>
          <w:sz w:val="24"/>
          <w:highlight w:val="none"/>
          <w:lang w:val="en-US" w:eastAsia="zh-CN"/>
        </w:rPr>
        <w:t>病毒</w:t>
      </w:r>
      <w:r>
        <w:rPr>
          <w:rFonts w:hint="eastAsia" w:ascii="宋体" w:hAnsi="宋体" w:eastAsia="宋体" w:cs="宋体"/>
          <w:color w:val="auto"/>
          <w:kern w:val="0"/>
          <w:sz w:val="24"/>
          <w:highlight w:val="none"/>
        </w:rPr>
        <w:t>原因，如原定线路无法开展疗休养，由</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人协商根据实际情况，安排同等价位线路，按原定的出行天数及相同服务；若遇政策变动，临时取消出行计划，</w:t>
      </w:r>
      <w:r>
        <w:rPr>
          <w:rFonts w:hint="eastAsia" w:ascii="宋体" w:hAnsi="宋体" w:eastAsia="宋体" w:cs="宋体"/>
          <w:color w:val="auto"/>
          <w:kern w:val="0"/>
          <w:sz w:val="24"/>
          <w:highlight w:val="none"/>
          <w:lang w:val="en-US" w:eastAsia="zh-CN"/>
        </w:rPr>
        <w:t>不视作违反合同，</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人</w:t>
      </w:r>
      <w:r>
        <w:rPr>
          <w:rFonts w:hint="eastAsia" w:ascii="宋体" w:hAnsi="宋体" w:eastAsia="宋体" w:cs="宋体"/>
          <w:color w:val="auto"/>
          <w:kern w:val="0"/>
          <w:sz w:val="24"/>
          <w:highlight w:val="none"/>
          <w:lang w:val="en-US" w:eastAsia="zh-CN"/>
        </w:rPr>
        <w:t>应</w:t>
      </w:r>
      <w:r>
        <w:rPr>
          <w:rFonts w:hint="eastAsia" w:ascii="宋体" w:hAnsi="宋体" w:eastAsia="宋体" w:cs="宋体"/>
          <w:color w:val="auto"/>
          <w:kern w:val="0"/>
          <w:sz w:val="24"/>
          <w:highlight w:val="none"/>
        </w:rPr>
        <w:t>无条件服从</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并</w:t>
      </w:r>
      <w:r>
        <w:rPr>
          <w:rFonts w:hint="eastAsia" w:ascii="宋体" w:hAnsi="宋体" w:eastAsia="宋体" w:cs="宋体"/>
          <w:color w:val="auto"/>
          <w:kern w:val="0"/>
          <w:sz w:val="24"/>
          <w:highlight w:val="none"/>
        </w:rPr>
        <w:t>承担</w:t>
      </w:r>
      <w:r>
        <w:rPr>
          <w:rFonts w:hint="eastAsia" w:ascii="宋体" w:hAnsi="宋体" w:eastAsia="宋体" w:cs="宋体"/>
          <w:color w:val="auto"/>
          <w:kern w:val="0"/>
          <w:sz w:val="24"/>
          <w:highlight w:val="none"/>
          <w:lang w:val="en-US" w:eastAsia="zh-CN"/>
        </w:rPr>
        <w:t>相应</w:t>
      </w:r>
      <w:r>
        <w:rPr>
          <w:rFonts w:hint="eastAsia" w:ascii="宋体" w:hAnsi="宋体" w:eastAsia="宋体" w:cs="宋体"/>
          <w:color w:val="auto"/>
          <w:kern w:val="0"/>
          <w:sz w:val="24"/>
          <w:highlight w:val="none"/>
        </w:rPr>
        <w:t>风险</w:t>
      </w:r>
      <w:r>
        <w:rPr>
          <w:rFonts w:hint="eastAsia" w:ascii="宋体" w:hAnsi="宋体" w:eastAsia="宋体" w:cs="宋体"/>
          <w:color w:val="auto"/>
          <w:kern w:val="0"/>
          <w:sz w:val="24"/>
          <w:highlight w:val="none"/>
          <w:lang w:eastAsia="zh-CN"/>
        </w:rPr>
        <w:t>。</w:t>
      </w:r>
    </w:p>
    <w:p w14:paraId="78948EC7">
      <w:pPr>
        <w:keepNext w:val="0"/>
        <w:keepLines w:val="0"/>
        <w:pageBreakBefore w:val="0"/>
        <w:kinsoku/>
        <w:wordWrap/>
        <w:overflowPunct/>
        <w:topLinePunct w:val="0"/>
        <w:autoSpaceDE/>
        <w:autoSpaceDN/>
        <w:bidi w:val="0"/>
        <w:adjustRightInd w:val="0"/>
        <w:snapToGrid/>
        <w:spacing w:line="48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（二）质量标准</w:t>
      </w:r>
    </w:p>
    <w:p w14:paraId="7E0CA16A">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GB/T15971—1995 导游服务质量</w:t>
      </w:r>
    </w:p>
    <w:p w14:paraId="6B33B533">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GB/16153—1996 饭店（餐厅）卫生标准</w:t>
      </w:r>
    </w:p>
    <w:p w14:paraId="08C152B8">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GB/T19004.2—1994 质量管理和质量体系要素 第二部分：服务指南（idt ISO 9004—2：1991）</w:t>
      </w:r>
    </w:p>
    <w:p w14:paraId="1B7652B7">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LB/T 002—1995 旅游汽车服务质量</w:t>
      </w:r>
    </w:p>
    <w:p w14:paraId="4708D9DF">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GB/T15971 导游人员的基本素质及服务</w:t>
      </w:r>
    </w:p>
    <w:p w14:paraId="64AB8A41">
      <w:pPr>
        <w:pStyle w:val="35"/>
        <w:keepNext w:val="0"/>
        <w:keepLines w:val="0"/>
        <w:pageBreakBefore w:val="0"/>
        <w:kinsoku/>
        <w:wordWrap/>
        <w:overflowPunct/>
        <w:topLinePunct w:val="0"/>
        <w:autoSpaceDE/>
        <w:autoSpaceDN/>
        <w:bidi w:val="0"/>
        <w:adjustRightInd w:val="0"/>
        <w:snapToGrid/>
        <w:spacing w:line="480" w:lineRule="exact"/>
        <w:ind w:firstLine="470"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以上标准若有最新标准，按最新标准执行。</w:t>
      </w:r>
    </w:p>
    <w:p w14:paraId="18D1C8DF">
      <w:pPr>
        <w:keepNext w:val="0"/>
        <w:keepLines w:val="0"/>
        <w:pageBreakBefore w:val="0"/>
        <w:kinsoku/>
        <w:wordWrap/>
        <w:overflowPunct/>
        <w:topLinePunct w:val="0"/>
        <w:autoSpaceDE/>
        <w:autoSpaceDN/>
        <w:bidi w:val="0"/>
        <w:adjustRightInd w:val="0"/>
        <w:snapToGrid/>
        <w:spacing w:line="48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（三）服务范围</w:t>
      </w:r>
    </w:p>
    <w:p w14:paraId="08B1579B">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snapToGrid w:val="0"/>
          <w:color w:val="auto"/>
          <w:kern w:val="28"/>
          <w:sz w:val="24"/>
          <w:szCs w:val="20"/>
          <w:highlight w:val="none"/>
        </w:rPr>
      </w:pPr>
      <w:bookmarkStart w:id="16" w:name="_Toc351898267"/>
      <w:r>
        <w:rPr>
          <w:rFonts w:hint="eastAsia" w:ascii="宋体" w:hAnsi="宋体" w:eastAsia="宋体" w:cs="宋体"/>
          <w:snapToGrid w:val="0"/>
          <w:color w:val="auto"/>
          <w:kern w:val="28"/>
          <w:sz w:val="24"/>
          <w:szCs w:val="20"/>
          <w:highlight w:val="none"/>
        </w:rPr>
        <w:t>职工疗休养项目，服务期限为合同生效之日起至202</w:t>
      </w:r>
      <w:r>
        <w:rPr>
          <w:rFonts w:hint="eastAsia" w:ascii="宋体" w:hAnsi="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rPr>
        <w:t>年12月31日。约</w:t>
      </w:r>
      <w:r>
        <w:rPr>
          <w:rFonts w:hint="eastAsia" w:ascii="宋体" w:hAnsi="宋体" w:cs="宋体"/>
          <w:snapToGrid w:val="0"/>
          <w:color w:val="auto"/>
          <w:kern w:val="28"/>
          <w:sz w:val="24"/>
          <w:szCs w:val="20"/>
          <w:highlight w:val="none"/>
          <w:lang w:val="en-US" w:eastAsia="zh-CN"/>
        </w:rPr>
        <w:t>54</w:t>
      </w:r>
      <w:r>
        <w:rPr>
          <w:rFonts w:hint="eastAsia" w:ascii="宋体" w:hAnsi="宋体" w:eastAsia="宋体" w:cs="宋体"/>
          <w:snapToGrid w:val="0"/>
          <w:color w:val="auto"/>
          <w:kern w:val="28"/>
          <w:sz w:val="24"/>
          <w:szCs w:val="20"/>
          <w:highlight w:val="none"/>
        </w:rPr>
        <w:t>人，共计</w:t>
      </w:r>
      <w:r>
        <w:rPr>
          <w:rFonts w:hint="eastAsia" w:ascii="宋体" w:hAnsi="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条线路，择优选择1家供应商</w:t>
      </w:r>
      <w:r>
        <w:rPr>
          <w:rFonts w:hint="eastAsia" w:ascii="宋体" w:hAnsi="宋体" w:eastAsia="宋体" w:cs="宋体"/>
          <w:snapToGrid w:val="0"/>
          <w:color w:val="auto"/>
          <w:kern w:val="28"/>
          <w:sz w:val="24"/>
          <w:szCs w:val="20"/>
          <w:highlight w:val="none"/>
          <w:lang w:eastAsia="zh-CN"/>
        </w:rPr>
        <w:t>成交</w:t>
      </w:r>
      <w:r>
        <w:rPr>
          <w:rFonts w:hint="eastAsia" w:ascii="宋体" w:hAnsi="宋体" w:eastAsia="宋体" w:cs="宋体"/>
          <w:snapToGrid w:val="0"/>
          <w:color w:val="auto"/>
          <w:kern w:val="28"/>
          <w:sz w:val="24"/>
          <w:szCs w:val="20"/>
          <w:highlight w:val="none"/>
        </w:rPr>
        <w:t>。</w:t>
      </w:r>
    </w:p>
    <w:p w14:paraId="6194CB3A">
      <w:pPr>
        <w:keepNext w:val="0"/>
        <w:keepLines w:val="0"/>
        <w:pageBreakBefore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（四）</w:t>
      </w:r>
      <w:bookmarkEnd w:id="16"/>
      <w:r>
        <w:rPr>
          <w:rFonts w:hint="eastAsia" w:ascii="宋体" w:hAnsi="宋体" w:eastAsia="宋体" w:cs="宋体"/>
          <w:b/>
          <w:bCs/>
          <w:color w:val="auto"/>
          <w:sz w:val="24"/>
          <w:szCs w:val="24"/>
          <w:highlight w:val="none"/>
        </w:rPr>
        <w:t xml:space="preserve">行程安排等基本要求 </w:t>
      </w:r>
    </w:p>
    <w:p w14:paraId="2B46AF68">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线路安排（具体出行线路</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后由</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确定，以下线路供本次招标报价参考，若遇本次招标参考线路之外的线路方案，由</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人根据实际出行天数、市场价自行协商确定）：</w:t>
      </w:r>
    </w:p>
    <w:p w14:paraId="369E83CE">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线路</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湖州</w:t>
      </w:r>
      <w:r>
        <w:rPr>
          <w:rFonts w:hint="eastAsia" w:ascii="宋体" w:hAnsi="宋体" w:eastAsia="宋体" w:cs="宋体"/>
          <w:color w:val="auto"/>
          <w:sz w:val="24"/>
          <w:szCs w:val="24"/>
          <w:highlight w:val="none"/>
        </w:rPr>
        <w:t>方向往返</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日疗休养行程（费用不高于3000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元/人</w:t>
      </w:r>
      <w:r>
        <w:rPr>
          <w:rFonts w:hint="eastAsia" w:ascii="宋体" w:hAnsi="宋体" w:eastAsia="宋体" w:cs="宋体"/>
          <w:color w:val="auto"/>
          <w:sz w:val="24"/>
          <w:szCs w:val="24"/>
          <w:highlight w:val="none"/>
          <w:lang w:val="en-US" w:eastAsia="zh-CN"/>
        </w:rPr>
        <w:t>次</w:t>
      </w:r>
      <w:r>
        <w:rPr>
          <w:rFonts w:hint="eastAsia" w:ascii="宋体" w:hAnsi="宋体" w:cs="宋体"/>
          <w:color w:val="auto"/>
          <w:sz w:val="24"/>
          <w:szCs w:val="24"/>
          <w:highlight w:val="none"/>
          <w:lang w:val="en-US" w:eastAsia="zh-CN"/>
        </w:rPr>
        <w:t>)</w:t>
      </w:r>
    </w:p>
    <w:p w14:paraId="510E1969">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eastAsia="宋体" w:cs="宋体"/>
          <w:color w:val="auto"/>
          <w:sz w:val="24"/>
          <w:szCs w:val="24"/>
          <w:highlight w:val="none"/>
          <w:lang w:eastAsia="zh-CN"/>
        </w:rPr>
      </w:pPr>
      <w:r>
        <w:rPr>
          <w:rFonts w:hint="eastAsia" w:ascii="宋体" w:hAnsi="宋体" w:cs="宋体"/>
          <w:color w:val="auto"/>
          <w:sz w:val="24"/>
          <w:szCs w:val="24"/>
          <w:highlight w:val="none"/>
          <w:lang w:eastAsia="zh-CN"/>
        </w:rPr>
        <w:t>线路</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cs="宋体"/>
          <w:color w:val="auto"/>
          <w:sz w:val="24"/>
          <w:szCs w:val="24"/>
          <w:highlight w:val="none"/>
          <w:lang w:val="en-US" w:eastAsia="zh-CN"/>
        </w:rPr>
        <w:t>长春</w:t>
      </w:r>
      <w:r>
        <w:rPr>
          <w:rFonts w:hint="eastAsia" w:cs="宋体"/>
          <w:color w:val="auto"/>
          <w:sz w:val="24"/>
          <w:szCs w:val="24"/>
          <w:highlight w:val="none"/>
          <w:lang w:eastAsia="zh-CN"/>
        </w:rPr>
        <w:t>往返4天</w:t>
      </w:r>
      <w:r>
        <w:rPr>
          <w:rFonts w:hint="eastAsia" w:ascii="宋体" w:hAnsi="宋体" w:eastAsia="宋体" w:cs="宋体"/>
          <w:color w:val="auto"/>
          <w:sz w:val="24"/>
          <w:szCs w:val="24"/>
          <w:highlight w:val="none"/>
        </w:rPr>
        <w:t>疗休养</w:t>
      </w:r>
      <w:r>
        <w:rPr>
          <w:rFonts w:hint="eastAsia" w:ascii="宋体" w:hAnsi="宋体" w:cs="宋体"/>
          <w:color w:val="auto"/>
          <w:sz w:val="24"/>
          <w:szCs w:val="24"/>
          <w:highlight w:val="none"/>
          <w:lang w:eastAsia="zh-CN"/>
        </w:rPr>
        <w:t>行程</w:t>
      </w:r>
      <w:r>
        <w:rPr>
          <w:rFonts w:hint="eastAsia" w:ascii="宋体" w:hAnsi="宋体" w:eastAsia="宋体" w:cs="宋体"/>
          <w:color w:val="auto"/>
          <w:sz w:val="24"/>
          <w:szCs w:val="24"/>
          <w:highlight w:val="none"/>
        </w:rPr>
        <w:t>（费用不高于3000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元/人次）</w:t>
      </w:r>
      <w:r>
        <w:rPr>
          <w:rFonts w:hint="eastAsia" w:ascii="宋体" w:hAnsi="宋体" w:cs="宋体"/>
          <w:color w:val="auto"/>
          <w:sz w:val="24"/>
          <w:szCs w:val="24"/>
          <w:highlight w:val="none"/>
          <w:lang w:eastAsia="zh-CN"/>
        </w:rPr>
        <w:t>；</w:t>
      </w:r>
    </w:p>
    <w:p w14:paraId="5BD455F4">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以上线路，安排能体验各区域的名胜及民俗风情。</w:t>
      </w:r>
    </w:p>
    <w:p w14:paraId="27FF568A">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要求行程安排轻松合理，休闲休养相结合。最终服务过程中包括但不仅限于以上线路，各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自行承担报价风险。</w:t>
      </w:r>
    </w:p>
    <w:p w14:paraId="4F40BB3F">
      <w:pPr>
        <w:pStyle w:val="35"/>
        <w:keepNext w:val="0"/>
        <w:keepLines w:val="0"/>
        <w:pageBreakBefore w:val="0"/>
        <w:kinsoku/>
        <w:wordWrap/>
        <w:overflowPunct/>
        <w:topLinePunct w:val="0"/>
        <w:autoSpaceDE/>
        <w:autoSpaceDN/>
        <w:bidi w:val="0"/>
        <w:adjustRightInd w:val="0"/>
        <w:snapToGrid/>
        <w:spacing w:line="480" w:lineRule="exact"/>
        <w:ind w:firstLine="470" w:firstLineChars="196"/>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2、以上为参考线路</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具体根据甲方需要，双方协商调整线路</w:t>
      </w:r>
      <w:r>
        <w:rPr>
          <w:rFonts w:hint="eastAsia" w:hAnsi="宋体" w:cs="宋体"/>
          <w:color w:val="auto"/>
          <w:kern w:val="0"/>
          <w:sz w:val="24"/>
          <w:szCs w:val="24"/>
          <w:highlight w:val="none"/>
          <w:lang w:eastAsia="zh-CN"/>
        </w:rPr>
        <w:t>。</w:t>
      </w:r>
    </w:p>
    <w:p w14:paraId="49F7DC90">
      <w:pPr>
        <w:pStyle w:val="35"/>
        <w:keepNext w:val="0"/>
        <w:keepLines w:val="0"/>
        <w:pageBreakBefore w:val="0"/>
        <w:kinsoku/>
        <w:wordWrap/>
        <w:overflowPunct/>
        <w:topLinePunct w:val="0"/>
        <w:autoSpaceDE/>
        <w:autoSpaceDN/>
        <w:bidi w:val="0"/>
        <w:adjustRightInd w:val="0"/>
        <w:snapToGrid/>
        <w:spacing w:line="480" w:lineRule="exact"/>
        <w:ind w:firstLine="470"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报价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本项目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按照以上线路报价，最终服务过程包括但不仅限于以上线路，各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自行承担报价风险。</w:t>
      </w:r>
    </w:p>
    <w:p w14:paraId="4A924164">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4、出行安排，根据批准的时间为准，每批次出行人数根据报名情况确定批次，最终出行的日期及天数以实际为准。</w:t>
      </w:r>
    </w:p>
    <w:p w14:paraId="7A08AE02">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14:paraId="3298B17E">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、住宿：</w:t>
      </w:r>
      <w:r>
        <w:rPr>
          <w:rFonts w:hint="eastAsia" w:ascii="宋体" w:hAnsi="宋体" w:eastAsia="宋体" w:cs="宋体"/>
          <w:color w:val="auto"/>
          <w:sz w:val="24"/>
          <w:highlight w:val="none"/>
        </w:rPr>
        <w:t>住宿综合环境好，要求挂牌四星或网评四钻以上（含）且设施较好的酒店，主要安排标准间（如因男女人数为单，安排单间，单间不补差）。要求标注每天住宿酒店的名称、星级和具体地址，不得出现同级酒店字样，如实际接待中，投标指定酒店无法安排，需要安排高一级酒店。</w:t>
      </w:r>
    </w:p>
    <w:p w14:paraId="127AD0D1">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、餐饮：</w:t>
      </w:r>
      <w:r>
        <w:rPr>
          <w:rFonts w:hint="eastAsia" w:ascii="宋体" w:hAnsi="宋体" w:eastAsia="宋体" w:cs="宋体"/>
          <w:color w:val="auto"/>
          <w:sz w:val="24"/>
          <w:highlight w:val="none"/>
        </w:rPr>
        <w:t>早餐为酒店早餐，中餐不低于60元/人，晚餐不低于</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元/人，餐厅必须有接待资质、环境好的饭店就餐，允许团队等额退餐，自己点菜。中晚餐每桌提供一瓶可乐一瓶雪碧。</w:t>
      </w:r>
    </w:p>
    <w:p w14:paraId="2BDB4C22">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、要求全程提供持证全陪导游服务（全陪导游须持有导游证3年以上，出团前1周提交疗休养方审核），专职景区讲解服务。</w:t>
      </w:r>
    </w:p>
    <w:p w14:paraId="055D9429">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、要求为参加疗休养职工提供每人每天2瓶矿泉水、每晚提供水果。</w:t>
      </w:r>
    </w:p>
    <w:p w14:paraId="38E1B863">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保险：购买疗休养过程中的各类保险（包括：旅行社责任险，旅游意外伤害保险、交通意外险等），做到应保则保，响应文件中应说明具体险种和单人保额。其中，旅行社责任险不少于100万元/人、旅游安全人身意外伤害保险不少于100万元/人。实际实施过程中，中标人必须提供每批疗休养人员购买保险的原始凭证的复印件给采购人。</w:t>
      </w:r>
    </w:p>
    <w:p w14:paraId="4E3F491F">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、出发前，每人一个旅行包，其中需内含疗休养行程1份、注意事项1份、口罩、小点心等。</w:t>
      </w:r>
    </w:p>
    <w:p w14:paraId="3A4D7F44">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、针对疗休养活动中可能发生的突发状况、意外情况等（如：投诉、纠纷、安全事故等），</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须制定周密、可靠的安全保障和突发事件应急预案，确保在各种情况下参团人员的人身及财产安全，</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应在响应文件中提供详细说明。</w:t>
      </w:r>
    </w:p>
    <w:p w14:paraId="3540375E">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13</w:t>
      </w:r>
      <w:r>
        <w:rPr>
          <w:rFonts w:hint="eastAsia" w:ascii="宋体" w:hAnsi="宋体" w:eastAsia="宋体" w:cs="宋体"/>
          <w:color w:val="auto"/>
          <w:kern w:val="0"/>
          <w:sz w:val="24"/>
          <w:highlight w:val="none"/>
        </w:rPr>
        <w:t>、行程可辐射周边地域，但不得有自费的景点或活动，无商业广告及各类产品推销。</w:t>
      </w:r>
    </w:p>
    <w:p w14:paraId="611146C3">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14</w:t>
      </w:r>
      <w:r>
        <w:rPr>
          <w:rFonts w:hint="eastAsia" w:ascii="宋体" w:hAnsi="宋体" w:eastAsia="宋体" w:cs="宋体"/>
          <w:color w:val="auto"/>
          <w:kern w:val="0"/>
          <w:sz w:val="24"/>
          <w:highlight w:val="none"/>
        </w:rPr>
        <w:t>、围绕疗休养主题，行程突出疗养养生特色。</w:t>
      </w:r>
    </w:p>
    <w:p w14:paraId="6F3C5A99">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、购物：全程不进购物点。</w:t>
      </w:r>
    </w:p>
    <w:p w14:paraId="2F4565FE">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考核方式：每次完成疗养服务回程时，出行职工对本次出行计划、酒店、就餐等情况进行满意度评分并填写《满意度调查表》（调查表选项填写不全或赋分不在设定范围的无效），采购人根据满意度平均分确认当次疗休养费用。</w:t>
      </w:r>
    </w:p>
    <w:p w14:paraId="7193BED7">
      <w:pPr>
        <w:keepNext w:val="0"/>
        <w:keepLines w:val="0"/>
        <w:pageBreakBefore w:val="0"/>
        <w:tabs>
          <w:tab w:val="center" w:pos="4153"/>
        </w:tabs>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 xml:space="preserve">考核标准：当次满意度平均分高于85分（含），支付当次疗休养费用的100%；当次满意度平均分高于75分（含）低于85分，扣减当次疗休养费用5%；当次满意度平均分低75分，扣减当次疗休养费用10%。 </w:t>
      </w:r>
    </w:p>
    <w:p w14:paraId="30D3EBCD">
      <w:pPr>
        <w:keepNext w:val="0"/>
        <w:keepLines w:val="0"/>
        <w:pageBreakBefore w:val="0"/>
        <w:kinsoku/>
        <w:wordWrap/>
        <w:overflowPunct/>
        <w:topLinePunct w:val="0"/>
        <w:autoSpaceDE/>
        <w:autoSpaceDN/>
        <w:bidi w:val="0"/>
        <w:adjustRightInd w:val="0"/>
        <w:snapToGrid/>
        <w:spacing w:line="480" w:lineRule="exact"/>
        <w:jc w:val="left"/>
        <w:textAlignment w:val="auto"/>
        <w:rPr>
          <w:rFonts w:hint="eastAsia" w:ascii="宋体" w:hAnsi="宋体" w:eastAsia="宋体" w:cs="宋体"/>
          <w:b/>
          <w:color w:val="auto"/>
          <w:sz w:val="24"/>
          <w:highlight w:val="none"/>
        </w:rPr>
      </w:pPr>
      <w:r>
        <w:rPr>
          <w:rFonts w:hint="eastAsia" w:ascii="宋体" w:hAnsi="宋体" w:eastAsia="宋体" w:cs="宋体"/>
          <w:b/>
          <w:bCs/>
          <w:snapToGrid w:val="0"/>
          <w:color w:val="auto"/>
          <w:kern w:val="28"/>
          <w:sz w:val="24"/>
          <w:szCs w:val="20"/>
          <w:highlight w:val="none"/>
        </w:rPr>
        <w:t>（五）</w:t>
      </w:r>
      <w:r>
        <w:rPr>
          <w:rFonts w:hint="eastAsia" w:ascii="宋体" w:hAnsi="宋体" w:eastAsia="宋体" w:cs="宋体"/>
          <w:b/>
          <w:color w:val="auto"/>
          <w:sz w:val="24"/>
          <w:highlight w:val="none"/>
        </w:rPr>
        <w:t>服务期限及承诺</w:t>
      </w:r>
    </w:p>
    <w:p w14:paraId="14AA5486">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.1服务期限：分批</w:t>
      </w:r>
      <w:r>
        <w:rPr>
          <w:rFonts w:hint="eastAsia" w:ascii="宋体" w:hAnsi="宋体" w:eastAsia="宋体" w:cs="宋体"/>
          <w:color w:val="auto"/>
          <w:kern w:val="0"/>
          <w:sz w:val="24"/>
          <w:highlight w:val="none"/>
          <w:lang w:eastAsia="zh-CN"/>
        </w:rPr>
        <w:t>疗</w:t>
      </w:r>
      <w:r>
        <w:rPr>
          <w:rFonts w:hint="eastAsia" w:ascii="宋体" w:hAnsi="宋体" w:eastAsia="宋体" w:cs="宋体"/>
          <w:color w:val="auto"/>
          <w:kern w:val="0"/>
          <w:sz w:val="24"/>
          <w:highlight w:val="none"/>
        </w:rPr>
        <w:t>养。具体以</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实际通知为准。</w:t>
      </w:r>
    </w:p>
    <w:p w14:paraId="24D49B1B">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.2服务质量承诺：</w:t>
      </w:r>
    </w:p>
    <w:p w14:paraId="3A5511BB">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（1）为确保服务质量及与</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沟通联络，</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人须设置兼职主管，负责对承包项目、范围、服务质量的检查监督及与</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日常业务联系；</w:t>
      </w:r>
    </w:p>
    <w:p w14:paraId="2383064A">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人需提供员工管理服务规范要求及确保服务质量达标的具体措施；</w:t>
      </w:r>
    </w:p>
    <w:p w14:paraId="2D02512F">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人须主动接受</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的指导、检查、监督及协调；</w:t>
      </w:r>
    </w:p>
    <w:p w14:paraId="21A5B895">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）现有服务范围内，由于调整而增加的工作量，不再增加费用；</w:t>
      </w:r>
    </w:p>
    <w:p w14:paraId="6C1184D1">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）因</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人工作人员的失误造成的损失由</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人负责</w:t>
      </w:r>
      <w:r>
        <w:rPr>
          <w:rFonts w:hint="eastAsia" w:ascii="宋体" w:hAnsi="宋体" w:eastAsia="宋体" w:cs="宋体"/>
          <w:color w:val="auto"/>
          <w:kern w:val="0"/>
          <w:sz w:val="24"/>
          <w:highlight w:val="none"/>
          <w:lang w:eastAsia="zh-CN"/>
        </w:rPr>
        <w:t>；</w:t>
      </w:r>
    </w:p>
    <w:p w14:paraId="3D62F64F">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人员工在工作及服务期间发生的一切安全事故由</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人负责，与</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无关。</w:t>
      </w:r>
    </w:p>
    <w:p w14:paraId="5B86AD31">
      <w:pPr>
        <w:keepNext w:val="0"/>
        <w:keepLines w:val="0"/>
        <w:pageBreakBefore w:val="0"/>
        <w:kinsoku/>
        <w:wordWrap/>
        <w:overflowPunct/>
        <w:topLinePunct w:val="0"/>
        <w:autoSpaceDE/>
        <w:autoSpaceDN/>
        <w:bidi w:val="0"/>
        <w:adjustRightInd w:val="0"/>
        <w:snapToGrid/>
        <w:spacing w:line="48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（六）其它要求</w:t>
      </w:r>
    </w:p>
    <w:p w14:paraId="2194E635">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需确定一名项目负责人，具有类似疗休养项目经验，负责与</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就每批次安排具体事宜联系，一旦</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不得随意更换。</w:t>
      </w:r>
    </w:p>
    <w:p w14:paraId="0EFBF306">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2、制定应急预案，发放《行程安排表》和《注意事项》。如遇意外突发事件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要在第一时间内进行妥善处理，处理结果要及时与</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汇报和沟通，并积极配合有关单位做好善后处理工作。</w:t>
      </w:r>
    </w:p>
    <w:p w14:paraId="4796A722">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3、做到有问必答。对疗休养人员反映的情况或投诉，不回避矛盾、不推卸责任，对发生的问题予以及时处理，将问题解决在旅途中。</w:t>
      </w:r>
    </w:p>
    <w:p w14:paraId="052B46C5">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4、参加疗休养人员名单和个人信息不得外泄。</w:t>
      </w:r>
    </w:p>
    <w:p w14:paraId="43658EFA">
      <w:pPr>
        <w:keepNext w:val="0"/>
        <w:keepLines w:val="0"/>
        <w:pageBreakBefore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val="en-US" w:eastAsia="zh-CN"/>
        </w:rPr>
        <w:t>病毒</w:t>
      </w:r>
      <w:r>
        <w:rPr>
          <w:rFonts w:hint="eastAsia" w:ascii="宋体" w:hAnsi="宋体" w:eastAsia="宋体" w:cs="宋体"/>
          <w:color w:val="auto"/>
          <w:sz w:val="24"/>
          <w:highlight w:val="none"/>
        </w:rPr>
        <w:t>期间必须符合相关政策要求。</w:t>
      </w:r>
    </w:p>
    <w:p w14:paraId="0760374F">
      <w:pPr>
        <w:keepNext w:val="0"/>
        <w:keepLines w:val="0"/>
        <w:pageBreakBefore w:val="0"/>
        <w:kinsoku/>
        <w:wordWrap/>
        <w:overflowPunct/>
        <w:topLinePunct w:val="0"/>
        <w:autoSpaceDE/>
        <w:autoSpaceDN/>
        <w:bidi w:val="0"/>
        <w:adjustRightInd w:val="0"/>
        <w:snapToGrid/>
        <w:spacing w:line="48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（七）付款方式</w:t>
      </w:r>
    </w:p>
    <w:p w14:paraId="60630FB4">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1、费用结算：最终结算价按照实际参加人数*每人疗休养投标单价，按实结算，全部批次人员返程后一个月内付清。</w:t>
      </w:r>
    </w:p>
    <w:p w14:paraId="3B44F2C2">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2、如遇政策变动，甲方临时取消出行计划，若已支付该批次费用，乙方无条件全额退还。成交人自行承担投标风险。</w:t>
      </w:r>
    </w:p>
    <w:p w14:paraId="2DFD3689">
      <w:pPr>
        <w:keepNext w:val="0"/>
        <w:keepLines w:val="0"/>
        <w:pageBreakBefore w:val="0"/>
        <w:kinsoku/>
        <w:wordWrap/>
        <w:overflowPunct/>
        <w:topLinePunct w:val="0"/>
        <w:autoSpaceDE/>
        <w:autoSpaceDN/>
        <w:bidi w:val="0"/>
        <w:adjustRightInd w:val="0"/>
        <w:snapToGrid/>
        <w:spacing w:line="48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八</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CN"/>
        </w:rPr>
        <w:t>其他说明</w:t>
      </w:r>
    </w:p>
    <w:p w14:paraId="582C3EAA">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1、如遇政策性调整等各项不确定因素，交易发起人有权终止合同。</w:t>
      </w:r>
    </w:p>
    <w:p w14:paraId="4D8A0F12">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2、供应商需在交易一览表填报职工疗休养各条线路的投标单价，最终结算价按实际结算，供应商综合考虑风险。</w:t>
      </w:r>
    </w:p>
    <w:p w14:paraId="75240E21">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3、成交人不得转包、分包、业务外加工，一经发现立即予以解除合同。</w:t>
      </w:r>
    </w:p>
    <w:p w14:paraId="67497A90">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4、供应商应综合考虑淡旺季对疗休养价格的影响，综合因素考虑最终价格，响应报价不区分淡旺季价格。</w:t>
      </w:r>
    </w:p>
    <w:p w14:paraId="5CA5920F">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5、疗休养天数如因上级要求作出调整，交易发起人与成交人在响应文件的基础上双方协商确定，成交人无条件配合交易发起人。</w:t>
      </w:r>
    </w:p>
    <w:p w14:paraId="38EAD0BC">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heme="minorEastAsia" w:hAnsiTheme="minorEastAsia" w:eastAsiaTheme="minorEastAsia" w:cstheme="minorEastAsia"/>
          <w:color w:val="auto"/>
          <w:sz w:val="24"/>
          <w:highlight w:val="none"/>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公开竞争</w:t>
      </w:r>
      <w:r>
        <w:rPr>
          <w:rFonts w:hint="eastAsia" w:asciiTheme="minorEastAsia" w:hAnsiTheme="minorEastAsia" w:eastAsiaTheme="minorEastAsia" w:cstheme="minorEastAsia"/>
          <w:color w:val="auto"/>
          <w:sz w:val="24"/>
          <w:highlight w:val="none"/>
        </w:rPr>
        <w:t>文件中打▲内容为实质性要求，不允许有负偏离，否则将以涉及无效响应条款作无效响应。</w:t>
      </w:r>
    </w:p>
    <w:p w14:paraId="7CF61FE3">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7" w:name="_Toc184313275"/>
      <w:bookmarkEnd w:id="17"/>
      <w:bookmarkStart w:id="18" w:name="_Toc184313256"/>
      <w:bookmarkEnd w:id="18"/>
      <w:bookmarkStart w:id="19" w:name="_Toc184314464"/>
      <w:bookmarkEnd w:id="19"/>
      <w:bookmarkStart w:id="20" w:name="_Toc184312083"/>
      <w:bookmarkEnd w:id="20"/>
      <w:bookmarkStart w:id="21" w:name="_Toc184313245"/>
      <w:bookmarkEnd w:id="21"/>
      <w:bookmarkStart w:id="22" w:name="_Toc184310300"/>
      <w:bookmarkEnd w:id="22"/>
      <w:bookmarkStart w:id="23" w:name="_Toc184313299"/>
      <w:bookmarkEnd w:id="23"/>
      <w:bookmarkStart w:id="24" w:name="_Toc184308051"/>
      <w:bookmarkEnd w:id="24"/>
      <w:bookmarkStart w:id="25" w:name="_Toc184308040"/>
      <w:bookmarkEnd w:id="25"/>
      <w:bookmarkStart w:id="26" w:name="_Toc184312086"/>
      <w:bookmarkEnd w:id="26"/>
      <w:bookmarkStart w:id="27" w:name="_Toc184308090"/>
      <w:bookmarkEnd w:id="27"/>
      <w:bookmarkStart w:id="28" w:name="_Toc184308045"/>
      <w:bookmarkEnd w:id="28"/>
      <w:bookmarkStart w:id="29" w:name="_Toc184310286"/>
      <w:bookmarkEnd w:id="29"/>
      <w:bookmarkStart w:id="30" w:name="_Toc184313273"/>
      <w:bookmarkEnd w:id="30"/>
      <w:bookmarkStart w:id="31" w:name="_Toc184310322"/>
      <w:bookmarkEnd w:id="31"/>
      <w:bookmarkStart w:id="32" w:name="_Toc184310273"/>
      <w:bookmarkEnd w:id="32"/>
      <w:bookmarkStart w:id="33" w:name="_Toc184310285"/>
      <w:bookmarkEnd w:id="33"/>
      <w:bookmarkStart w:id="34" w:name="_Toc184314466"/>
      <w:bookmarkEnd w:id="34"/>
      <w:bookmarkStart w:id="35" w:name="_Toc184308038"/>
      <w:bookmarkEnd w:id="35"/>
      <w:bookmarkStart w:id="36" w:name="_Toc184312081"/>
      <w:bookmarkEnd w:id="36"/>
      <w:bookmarkStart w:id="37" w:name="_Toc184314457"/>
      <w:bookmarkEnd w:id="37"/>
      <w:bookmarkStart w:id="38" w:name="_Toc184313287"/>
      <w:bookmarkEnd w:id="38"/>
      <w:bookmarkStart w:id="39" w:name="_Toc184312126"/>
      <w:bookmarkEnd w:id="39"/>
      <w:bookmarkStart w:id="40" w:name="_Toc184312103"/>
      <w:bookmarkEnd w:id="40"/>
      <w:bookmarkStart w:id="41" w:name="_Toc184310316"/>
      <w:bookmarkEnd w:id="41"/>
      <w:bookmarkStart w:id="42" w:name="_Toc184314436"/>
      <w:bookmarkEnd w:id="42"/>
      <w:bookmarkStart w:id="43" w:name="_Toc184312101"/>
      <w:bookmarkEnd w:id="43"/>
      <w:bookmarkStart w:id="44" w:name="_Toc184314443"/>
      <w:bookmarkEnd w:id="44"/>
      <w:bookmarkStart w:id="45" w:name="_Toc184308062"/>
      <w:bookmarkEnd w:id="45"/>
      <w:bookmarkStart w:id="46" w:name="_Toc184312091"/>
      <w:bookmarkEnd w:id="46"/>
      <w:bookmarkStart w:id="47" w:name="_Toc184314474"/>
      <w:bookmarkEnd w:id="47"/>
      <w:bookmarkStart w:id="48" w:name="_Toc184313308"/>
      <w:bookmarkEnd w:id="48"/>
      <w:bookmarkStart w:id="49" w:name="_Toc184308039"/>
      <w:bookmarkEnd w:id="49"/>
      <w:bookmarkStart w:id="50" w:name="_Toc184312069"/>
      <w:bookmarkEnd w:id="50"/>
      <w:bookmarkStart w:id="51" w:name="_Toc184314458"/>
      <w:bookmarkEnd w:id="51"/>
      <w:bookmarkStart w:id="52" w:name="_Toc184308095"/>
      <w:bookmarkEnd w:id="52"/>
      <w:bookmarkStart w:id="53" w:name="_Toc184310334"/>
      <w:bookmarkEnd w:id="53"/>
      <w:bookmarkStart w:id="54" w:name="_Toc184313261"/>
      <w:bookmarkEnd w:id="54"/>
      <w:bookmarkStart w:id="55" w:name="_Toc184310289"/>
      <w:bookmarkEnd w:id="55"/>
      <w:bookmarkStart w:id="56" w:name="_Toc184313262"/>
      <w:bookmarkEnd w:id="56"/>
      <w:bookmarkStart w:id="57" w:name="_Toc184314426"/>
      <w:bookmarkEnd w:id="57"/>
      <w:bookmarkStart w:id="58" w:name="_Toc184310323"/>
      <w:bookmarkEnd w:id="58"/>
      <w:bookmarkStart w:id="59" w:name="_Toc184314420"/>
      <w:bookmarkEnd w:id="59"/>
      <w:bookmarkStart w:id="60" w:name="_Toc184313281"/>
      <w:bookmarkEnd w:id="60"/>
      <w:bookmarkStart w:id="61" w:name="_Toc184314442"/>
      <w:bookmarkEnd w:id="61"/>
      <w:bookmarkStart w:id="62" w:name="_Toc184310344"/>
      <w:bookmarkEnd w:id="62"/>
      <w:bookmarkStart w:id="63" w:name="_Toc184312115"/>
      <w:bookmarkEnd w:id="63"/>
      <w:bookmarkStart w:id="64" w:name="_Toc184314434"/>
      <w:bookmarkEnd w:id="64"/>
      <w:bookmarkStart w:id="65" w:name="_Toc184313250"/>
      <w:bookmarkEnd w:id="65"/>
      <w:bookmarkStart w:id="66" w:name="_Toc184312135"/>
      <w:bookmarkEnd w:id="66"/>
      <w:bookmarkStart w:id="67" w:name="_Toc184312097"/>
      <w:bookmarkEnd w:id="67"/>
      <w:bookmarkStart w:id="68" w:name="_Toc184312120"/>
      <w:bookmarkEnd w:id="68"/>
      <w:bookmarkStart w:id="69" w:name="_Toc184308093"/>
      <w:bookmarkEnd w:id="69"/>
      <w:bookmarkStart w:id="70" w:name="_Toc184308087"/>
      <w:bookmarkEnd w:id="70"/>
      <w:bookmarkStart w:id="71" w:name="_Toc184310312"/>
      <w:bookmarkEnd w:id="71"/>
      <w:bookmarkStart w:id="72" w:name="_Toc184312082"/>
      <w:bookmarkEnd w:id="72"/>
      <w:bookmarkStart w:id="73" w:name="_Toc184313268"/>
      <w:bookmarkEnd w:id="73"/>
      <w:bookmarkStart w:id="74" w:name="_Toc184312075"/>
      <w:bookmarkEnd w:id="74"/>
      <w:bookmarkStart w:id="75" w:name="_Toc184313290"/>
      <w:bookmarkEnd w:id="75"/>
      <w:bookmarkStart w:id="76" w:name="_Toc184313309"/>
      <w:bookmarkEnd w:id="76"/>
      <w:bookmarkStart w:id="77" w:name="_Toc184313296"/>
      <w:bookmarkEnd w:id="77"/>
      <w:bookmarkStart w:id="78" w:name="_Toc184313243"/>
      <w:bookmarkEnd w:id="78"/>
      <w:bookmarkStart w:id="79" w:name="_Toc184314428"/>
      <w:bookmarkEnd w:id="79"/>
      <w:bookmarkStart w:id="80" w:name="_Toc184308068"/>
      <w:bookmarkEnd w:id="80"/>
      <w:bookmarkStart w:id="81" w:name="_Toc184310278"/>
      <w:bookmarkEnd w:id="81"/>
      <w:bookmarkStart w:id="82" w:name="_Toc184310327"/>
      <w:bookmarkEnd w:id="82"/>
      <w:bookmarkStart w:id="83" w:name="_Toc184313288"/>
      <w:bookmarkEnd w:id="83"/>
      <w:bookmarkStart w:id="84" w:name="_Toc184310291"/>
      <w:bookmarkEnd w:id="84"/>
      <w:bookmarkStart w:id="85" w:name="_Toc184312124"/>
      <w:bookmarkEnd w:id="85"/>
      <w:bookmarkStart w:id="86" w:name="_Toc184313283"/>
      <w:bookmarkEnd w:id="86"/>
      <w:bookmarkStart w:id="87" w:name="_Toc184312129"/>
      <w:bookmarkEnd w:id="87"/>
      <w:bookmarkStart w:id="88" w:name="_Toc184313257"/>
      <w:bookmarkEnd w:id="88"/>
      <w:bookmarkStart w:id="89" w:name="_Toc184313265"/>
      <w:bookmarkEnd w:id="89"/>
      <w:bookmarkStart w:id="90" w:name="_Toc184312071"/>
      <w:bookmarkEnd w:id="90"/>
      <w:bookmarkStart w:id="91" w:name="_Toc184310284"/>
      <w:bookmarkEnd w:id="91"/>
      <w:bookmarkStart w:id="92" w:name="_Toc184312084"/>
      <w:bookmarkEnd w:id="92"/>
      <w:bookmarkStart w:id="93" w:name="_Toc184310342"/>
      <w:bookmarkEnd w:id="93"/>
      <w:bookmarkStart w:id="94" w:name="_Toc184313266"/>
      <w:bookmarkEnd w:id="94"/>
      <w:bookmarkStart w:id="95" w:name="_Toc184310299"/>
      <w:bookmarkEnd w:id="95"/>
      <w:bookmarkStart w:id="96" w:name="_Toc184308100"/>
      <w:bookmarkEnd w:id="96"/>
      <w:bookmarkStart w:id="97" w:name="_Toc184312122"/>
      <w:bookmarkEnd w:id="97"/>
      <w:bookmarkStart w:id="98" w:name="_Toc184312072"/>
      <w:bookmarkEnd w:id="98"/>
      <w:bookmarkStart w:id="99" w:name="_Toc184308103"/>
      <w:bookmarkEnd w:id="99"/>
      <w:bookmarkStart w:id="100" w:name="_Toc184308077"/>
      <w:bookmarkEnd w:id="100"/>
      <w:bookmarkStart w:id="101" w:name="_Toc184312137"/>
      <w:bookmarkEnd w:id="101"/>
      <w:bookmarkStart w:id="102" w:name="_Toc184310321"/>
      <w:bookmarkEnd w:id="102"/>
      <w:bookmarkStart w:id="103" w:name="_Toc184310301"/>
      <w:bookmarkEnd w:id="103"/>
      <w:bookmarkStart w:id="104" w:name="_Toc184314432"/>
      <w:bookmarkEnd w:id="104"/>
      <w:bookmarkStart w:id="105" w:name="_Toc184310290"/>
      <w:bookmarkEnd w:id="105"/>
      <w:bookmarkStart w:id="106" w:name="_Toc184313254"/>
      <w:bookmarkEnd w:id="106"/>
      <w:bookmarkStart w:id="107" w:name="_Toc184310302"/>
      <w:bookmarkEnd w:id="107"/>
      <w:bookmarkStart w:id="108" w:name="_Toc184314412"/>
      <w:bookmarkEnd w:id="108"/>
      <w:bookmarkStart w:id="109" w:name="_Toc184308072"/>
      <w:bookmarkEnd w:id="109"/>
      <w:bookmarkStart w:id="110" w:name="_Toc184314422"/>
      <w:bookmarkEnd w:id="110"/>
      <w:bookmarkStart w:id="111" w:name="_Toc184314414"/>
      <w:bookmarkEnd w:id="111"/>
      <w:bookmarkStart w:id="112" w:name="_Toc184314418"/>
      <w:bookmarkEnd w:id="112"/>
      <w:bookmarkStart w:id="113" w:name="_Toc184314437"/>
      <w:bookmarkEnd w:id="113"/>
      <w:bookmarkStart w:id="114" w:name="_Toc184314449"/>
      <w:bookmarkEnd w:id="114"/>
      <w:bookmarkStart w:id="115" w:name="_Toc184310340"/>
      <w:bookmarkEnd w:id="115"/>
      <w:bookmarkStart w:id="116" w:name="_Toc184313271"/>
      <w:bookmarkEnd w:id="116"/>
      <w:bookmarkStart w:id="117" w:name="_Toc184308060"/>
      <w:bookmarkEnd w:id="117"/>
      <w:bookmarkStart w:id="118" w:name="_Toc184314470"/>
      <w:bookmarkEnd w:id="118"/>
      <w:bookmarkStart w:id="119" w:name="_Toc184313248"/>
      <w:bookmarkEnd w:id="119"/>
      <w:bookmarkStart w:id="120" w:name="_Toc184314463"/>
      <w:bookmarkEnd w:id="120"/>
      <w:bookmarkStart w:id="121" w:name="_Toc184313306"/>
      <w:bookmarkEnd w:id="121"/>
      <w:bookmarkStart w:id="122" w:name="_Toc184312078"/>
      <w:bookmarkEnd w:id="122"/>
      <w:bookmarkStart w:id="123" w:name="_Toc184314456"/>
      <w:bookmarkEnd w:id="123"/>
      <w:bookmarkStart w:id="124" w:name="_Toc184310341"/>
      <w:bookmarkEnd w:id="124"/>
      <w:bookmarkStart w:id="125" w:name="_Toc184310276"/>
      <w:bookmarkEnd w:id="125"/>
      <w:bookmarkStart w:id="126" w:name="_Toc184312105"/>
      <w:bookmarkEnd w:id="126"/>
      <w:bookmarkStart w:id="127" w:name="_Toc184310329"/>
      <w:bookmarkEnd w:id="127"/>
      <w:bookmarkStart w:id="128" w:name="_Toc184312139"/>
      <w:bookmarkEnd w:id="128"/>
      <w:bookmarkStart w:id="129" w:name="_Toc184310275"/>
      <w:bookmarkEnd w:id="129"/>
      <w:bookmarkStart w:id="130" w:name="_Toc184314447"/>
      <w:bookmarkEnd w:id="130"/>
      <w:bookmarkStart w:id="131" w:name="_Toc184313239"/>
      <w:bookmarkEnd w:id="131"/>
      <w:bookmarkStart w:id="132" w:name="_Toc184314468"/>
      <w:bookmarkEnd w:id="132"/>
      <w:bookmarkStart w:id="133" w:name="_Toc184314424"/>
      <w:bookmarkEnd w:id="133"/>
      <w:bookmarkStart w:id="134" w:name="_Toc184312092"/>
      <w:bookmarkEnd w:id="134"/>
      <w:bookmarkStart w:id="135" w:name="_Toc184313294"/>
      <w:bookmarkEnd w:id="135"/>
      <w:bookmarkStart w:id="136" w:name="_Toc184308052"/>
      <w:bookmarkEnd w:id="136"/>
      <w:bookmarkStart w:id="137" w:name="_Toc184310272"/>
      <w:bookmarkEnd w:id="137"/>
      <w:bookmarkStart w:id="138" w:name="_Toc184308105"/>
      <w:bookmarkEnd w:id="138"/>
      <w:bookmarkStart w:id="139" w:name="_Toc184310293"/>
      <w:bookmarkEnd w:id="139"/>
      <w:bookmarkStart w:id="140" w:name="_Toc184312096"/>
      <w:bookmarkEnd w:id="140"/>
      <w:bookmarkStart w:id="141" w:name="_Toc184313258"/>
      <w:bookmarkEnd w:id="141"/>
      <w:bookmarkStart w:id="142" w:name="_Toc184314444"/>
      <w:bookmarkEnd w:id="142"/>
      <w:bookmarkStart w:id="143" w:name="_Toc184314479"/>
      <w:bookmarkEnd w:id="143"/>
      <w:bookmarkStart w:id="144" w:name="_Toc184308091"/>
      <w:bookmarkEnd w:id="144"/>
      <w:bookmarkStart w:id="145" w:name="_Toc184314435"/>
      <w:bookmarkEnd w:id="145"/>
      <w:bookmarkStart w:id="146" w:name="_Toc184308094"/>
      <w:bookmarkEnd w:id="146"/>
      <w:bookmarkStart w:id="147" w:name="_Toc184313246"/>
      <w:bookmarkEnd w:id="147"/>
      <w:bookmarkStart w:id="148" w:name="_Toc184312119"/>
      <w:bookmarkEnd w:id="148"/>
      <w:bookmarkStart w:id="149" w:name="_Toc184312113"/>
      <w:bookmarkEnd w:id="149"/>
      <w:bookmarkStart w:id="150" w:name="_Toc184313304"/>
      <w:bookmarkEnd w:id="150"/>
      <w:bookmarkStart w:id="151" w:name="_Toc184308085"/>
      <w:bookmarkEnd w:id="151"/>
      <w:bookmarkStart w:id="152" w:name="_Toc184308046"/>
      <w:bookmarkEnd w:id="152"/>
      <w:bookmarkStart w:id="153" w:name="_Toc184313274"/>
      <w:bookmarkEnd w:id="153"/>
      <w:bookmarkStart w:id="154" w:name="_Toc184310280"/>
      <w:bookmarkEnd w:id="154"/>
      <w:bookmarkStart w:id="155" w:name="_Toc184312117"/>
      <w:bookmarkEnd w:id="155"/>
      <w:bookmarkStart w:id="156" w:name="_Toc184312074"/>
      <w:bookmarkEnd w:id="156"/>
      <w:bookmarkStart w:id="157" w:name="_Toc184310279"/>
      <w:bookmarkEnd w:id="157"/>
      <w:bookmarkStart w:id="158" w:name="_Toc184314475"/>
      <w:bookmarkEnd w:id="158"/>
      <w:bookmarkStart w:id="159" w:name="_Toc184308064"/>
      <w:bookmarkEnd w:id="159"/>
      <w:bookmarkStart w:id="160" w:name="_Toc184314473"/>
      <w:bookmarkEnd w:id="160"/>
      <w:bookmarkStart w:id="161" w:name="_Toc184314448"/>
      <w:bookmarkEnd w:id="161"/>
      <w:bookmarkStart w:id="162" w:name="_Toc184314431"/>
      <w:bookmarkEnd w:id="162"/>
      <w:bookmarkStart w:id="163" w:name="_Toc184308081"/>
      <w:bookmarkEnd w:id="163"/>
      <w:bookmarkStart w:id="164" w:name="_Toc184313282"/>
      <w:bookmarkEnd w:id="164"/>
      <w:bookmarkStart w:id="165" w:name="_Toc184312114"/>
      <w:bookmarkEnd w:id="165"/>
      <w:bookmarkStart w:id="166" w:name="_Toc184308043"/>
      <w:bookmarkEnd w:id="166"/>
      <w:bookmarkStart w:id="167" w:name="_Toc184310326"/>
      <w:bookmarkEnd w:id="167"/>
      <w:bookmarkStart w:id="168" w:name="_Toc184308049"/>
      <w:bookmarkEnd w:id="168"/>
      <w:bookmarkStart w:id="169" w:name="_Toc184312067"/>
      <w:bookmarkEnd w:id="169"/>
      <w:bookmarkStart w:id="170" w:name="_Toc184308044"/>
      <w:bookmarkEnd w:id="170"/>
      <w:bookmarkStart w:id="171" w:name="_Toc184312138"/>
      <w:bookmarkEnd w:id="171"/>
      <w:bookmarkStart w:id="172" w:name="_Toc184313303"/>
      <w:bookmarkEnd w:id="172"/>
      <w:bookmarkStart w:id="173" w:name="_Toc184314421"/>
      <w:bookmarkEnd w:id="173"/>
      <w:bookmarkStart w:id="174" w:name="_Toc184310313"/>
      <w:bookmarkEnd w:id="174"/>
      <w:bookmarkStart w:id="175" w:name="_Toc184308078"/>
      <w:bookmarkEnd w:id="175"/>
      <w:bookmarkStart w:id="176" w:name="_Toc184314469"/>
      <w:bookmarkEnd w:id="176"/>
      <w:bookmarkStart w:id="177" w:name="_Toc184314471"/>
      <w:bookmarkEnd w:id="177"/>
      <w:bookmarkStart w:id="178" w:name="_Toc184310318"/>
      <w:bookmarkEnd w:id="178"/>
      <w:bookmarkStart w:id="179" w:name="_Toc184308099"/>
      <w:bookmarkEnd w:id="179"/>
      <w:bookmarkStart w:id="180" w:name="_Toc184312109"/>
      <w:bookmarkEnd w:id="180"/>
      <w:bookmarkStart w:id="181" w:name="_Toc184312134"/>
      <w:bookmarkEnd w:id="181"/>
      <w:bookmarkStart w:id="182" w:name="_Toc184308076"/>
      <w:bookmarkEnd w:id="182"/>
      <w:bookmarkStart w:id="183" w:name="_Toc184312098"/>
      <w:bookmarkEnd w:id="183"/>
      <w:bookmarkStart w:id="184" w:name="_Toc184312093"/>
      <w:bookmarkEnd w:id="184"/>
      <w:bookmarkStart w:id="185" w:name="_Toc184312104"/>
      <w:bookmarkEnd w:id="185"/>
      <w:bookmarkStart w:id="186" w:name="_Toc184308050"/>
      <w:bookmarkEnd w:id="186"/>
      <w:bookmarkStart w:id="187" w:name="_Toc184310335"/>
      <w:bookmarkEnd w:id="187"/>
      <w:bookmarkStart w:id="188" w:name="_Toc184314413"/>
      <w:bookmarkEnd w:id="188"/>
      <w:bookmarkStart w:id="189" w:name="_Toc184312112"/>
      <w:bookmarkEnd w:id="189"/>
      <w:bookmarkStart w:id="190" w:name="_Toc184314472"/>
      <w:bookmarkEnd w:id="190"/>
      <w:bookmarkStart w:id="191" w:name="_Toc184313297"/>
      <w:bookmarkEnd w:id="191"/>
      <w:bookmarkStart w:id="192" w:name="_Toc184310303"/>
      <w:bookmarkEnd w:id="192"/>
      <w:bookmarkStart w:id="193" w:name="_Toc184308073"/>
      <w:bookmarkEnd w:id="193"/>
      <w:bookmarkStart w:id="194" w:name="_Toc184314459"/>
      <w:bookmarkEnd w:id="194"/>
      <w:bookmarkStart w:id="195" w:name="_Toc184313238"/>
      <w:bookmarkEnd w:id="195"/>
      <w:bookmarkStart w:id="196" w:name="_Toc184310294"/>
      <w:bookmarkEnd w:id="196"/>
      <w:bookmarkStart w:id="197" w:name="_Toc184312111"/>
      <w:bookmarkEnd w:id="197"/>
      <w:bookmarkStart w:id="198" w:name="_Toc184308096"/>
      <w:bookmarkEnd w:id="198"/>
      <w:bookmarkStart w:id="199" w:name="_Toc184312136"/>
      <w:bookmarkEnd w:id="199"/>
      <w:bookmarkStart w:id="200" w:name="_Toc184314425"/>
      <w:bookmarkEnd w:id="200"/>
      <w:bookmarkStart w:id="201" w:name="_Toc184314440"/>
      <w:bookmarkEnd w:id="201"/>
      <w:bookmarkStart w:id="202" w:name="_Toc184308092"/>
      <w:bookmarkEnd w:id="202"/>
      <w:bookmarkStart w:id="203" w:name="_Toc184312128"/>
      <w:bookmarkEnd w:id="203"/>
      <w:bookmarkStart w:id="204" w:name="_Toc184312130"/>
      <w:bookmarkEnd w:id="204"/>
      <w:bookmarkStart w:id="205" w:name="_Toc184314461"/>
      <w:bookmarkEnd w:id="205"/>
      <w:bookmarkStart w:id="206" w:name="_Toc184314446"/>
      <w:bookmarkEnd w:id="206"/>
      <w:bookmarkStart w:id="207" w:name="_Toc184312110"/>
      <w:bookmarkEnd w:id="207"/>
      <w:bookmarkStart w:id="208" w:name="_Toc184312068"/>
      <w:bookmarkEnd w:id="208"/>
      <w:bookmarkStart w:id="209" w:name="_Toc184310297"/>
      <w:bookmarkEnd w:id="209"/>
      <w:bookmarkStart w:id="210" w:name="_Toc184313241"/>
      <w:bookmarkEnd w:id="210"/>
      <w:bookmarkStart w:id="211" w:name="_Toc184314480"/>
      <w:bookmarkEnd w:id="211"/>
      <w:bookmarkStart w:id="212" w:name="_Toc184308037"/>
      <w:bookmarkEnd w:id="212"/>
      <w:bookmarkStart w:id="213" w:name="_Toc184312127"/>
      <w:bookmarkEnd w:id="213"/>
      <w:bookmarkStart w:id="214" w:name="_Toc184314415"/>
      <w:bookmarkEnd w:id="214"/>
      <w:bookmarkStart w:id="215" w:name="_Toc184310319"/>
      <w:bookmarkEnd w:id="215"/>
      <w:bookmarkStart w:id="216" w:name="_Toc184308108"/>
      <w:bookmarkEnd w:id="216"/>
      <w:bookmarkStart w:id="217" w:name="_Toc184313291"/>
      <w:bookmarkEnd w:id="217"/>
      <w:bookmarkStart w:id="218" w:name="_Toc184310314"/>
      <w:bookmarkEnd w:id="218"/>
      <w:bookmarkStart w:id="219" w:name="_Toc184314467"/>
      <w:bookmarkEnd w:id="219"/>
      <w:bookmarkStart w:id="220" w:name="_Toc184308101"/>
      <w:bookmarkEnd w:id="220"/>
      <w:bookmarkStart w:id="221" w:name="_Toc184313270"/>
      <w:bookmarkEnd w:id="221"/>
      <w:bookmarkStart w:id="222" w:name="_Toc184310338"/>
      <w:bookmarkEnd w:id="222"/>
      <w:bookmarkStart w:id="223" w:name="_Toc184310332"/>
      <w:bookmarkEnd w:id="223"/>
      <w:bookmarkStart w:id="224" w:name="_Toc184314465"/>
      <w:bookmarkEnd w:id="224"/>
      <w:bookmarkStart w:id="225" w:name="_Toc184313242"/>
      <w:bookmarkEnd w:id="225"/>
      <w:bookmarkStart w:id="226" w:name="_Toc184312121"/>
      <w:bookmarkEnd w:id="226"/>
      <w:bookmarkStart w:id="227" w:name="_Toc184313251"/>
      <w:bookmarkEnd w:id="227"/>
      <w:bookmarkStart w:id="228" w:name="_Toc184310311"/>
      <w:bookmarkEnd w:id="228"/>
      <w:bookmarkStart w:id="229" w:name="_Toc184308089"/>
      <w:bookmarkEnd w:id="229"/>
      <w:bookmarkStart w:id="230" w:name="_Toc184308084"/>
      <w:bookmarkEnd w:id="230"/>
      <w:bookmarkStart w:id="231" w:name="_Toc184310337"/>
      <w:bookmarkEnd w:id="231"/>
      <w:bookmarkStart w:id="232" w:name="_Toc184313301"/>
      <w:bookmarkEnd w:id="232"/>
      <w:bookmarkStart w:id="233" w:name="_Toc184310298"/>
      <w:bookmarkEnd w:id="233"/>
      <w:bookmarkStart w:id="234" w:name="_Toc184308053"/>
      <w:bookmarkEnd w:id="234"/>
      <w:bookmarkStart w:id="235" w:name="_Toc184312087"/>
      <w:bookmarkEnd w:id="235"/>
      <w:bookmarkStart w:id="236" w:name="_Toc184313280"/>
      <w:bookmarkEnd w:id="236"/>
      <w:bookmarkStart w:id="237" w:name="_Toc184308102"/>
      <w:bookmarkEnd w:id="237"/>
      <w:bookmarkStart w:id="238" w:name="_Toc184314439"/>
      <w:bookmarkEnd w:id="238"/>
      <w:bookmarkStart w:id="239" w:name="_Toc184312090"/>
      <w:bookmarkEnd w:id="239"/>
      <w:bookmarkStart w:id="240" w:name="_Toc184310304"/>
      <w:bookmarkEnd w:id="240"/>
      <w:bookmarkStart w:id="241" w:name="_Toc184310310"/>
      <w:bookmarkEnd w:id="241"/>
      <w:bookmarkStart w:id="242" w:name="_Toc184310307"/>
      <w:bookmarkEnd w:id="242"/>
      <w:bookmarkStart w:id="243" w:name="_Toc184310324"/>
      <w:bookmarkEnd w:id="243"/>
      <w:bookmarkStart w:id="244" w:name="_Toc184308066"/>
      <w:bookmarkEnd w:id="244"/>
      <w:bookmarkStart w:id="245" w:name="_Toc184314438"/>
      <w:bookmarkEnd w:id="245"/>
      <w:bookmarkStart w:id="246" w:name="_Toc184313277"/>
      <w:bookmarkEnd w:id="246"/>
      <w:bookmarkStart w:id="247" w:name="_Toc184310308"/>
      <w:bookmarkEnd w:id="247"/>
      <w:bookmarkStart w:id="248" w:name="_Toc184314445"/>
      <w:bookmarkEnd w:id="248"/>
      <w:bookmarkStart w:id="249" w:name="_Toc184314481"/>
      <w:bookmarkEnd w:id="249"/>
      <w:bookmarkStart w:id="250" w:name="_Toc184310333"/>
      <w:bookmarkEnd w:id="250"/>
      <w:bookmarkStart w:id="251" w:name="_Toc184314423"/>
      <w:bookmarkEnd w:id="251"/>
      <w:bookmarkStart w:id="252" w:name="_Toc184313298"/>
      <w:bookmarkEnd w:id="252"/>
      <w:bookmarkStart w:id="253" w:name="_Toc184313300"/>
      <w:bookmarkEnd w:id="253"/>
      <w:bookmarkStart w:id="254" w:name="_Toc184310295"/>
      <w:bookmarkEnd w:id="254"/>
      <w:bookmarkStart w:id="255" w:name="_Toc184308047"/>
      <w:bookmarkEnd w:id="255"/>
      <w:bookmarkStart w:id="256" w:name="_Toc184313305"/>
      <w:bookmarkEnd w:id="256"/>
      <w:bookmarkStart w:id="257" w:name="_Toc184313260"/>
      <w:bookmarkEnd w:id="257"/>
      <w:bookmarkStart w:id="258" w:name="_Toc184310336"/>
      <w:bookmarkEnd w:id="258"/>
      <w:bookmarkStart w:id="259" w:name="_Toc184314430"/>
      <w:bookmarkEnd w:id="259"/>
      <w:bookmarkStart w:id="260" w:name="_Toc184313264"/>
      <w:bookmarkEnd w:id="260"/>
      <w:bookmarkStart w:id="261" w:name="_Toc184314460"/>
      <w:bookmarkEnd w:id="261"/>
      <w:bookmarkStart w:id="262" w:name="_Toc184308071"/>
      <w:bookmarkEnd w:id="262"/>
      <w:bookmarkStart w:id="263" w:name="_Toc184313284"/>
      <w:bookmarkEnd w:id="263"/>
      <w:bookmarkStart w:id="264" w:name="_Toc184312094"/>
      <w:bookmarkEnd w:id="264"/>
      <w:bookmarkStart w:id="265" w:name="_Toc184313259"/>
      <w:bookmarkEnd w:id="265"/>
      <w:bookmarkStart w:id="266" w:name="_Toc184308088"/>
      <w:bookmarkEnd w:id="266"/>
      <w:bookmarkStart w:id="267" w:name="_Toc184308048"/>
      <w:bookmarkEnd w:id="267"/>
      <w:bookmarkStart w:id="268" w:name="_Toc184308067"/>
      <w:bookmarkEnd w:id="268"/>
      <w:bookmarkStart w:id="269" w:name="_Toc184314417"/>
      <w:bookmarkEnd w:id="269"/>
      <w:bookmarkStart w:id="270" w:name="_Toc184314453"/>
      <w:bookmarkEnd w:id="270"/>
      <w:bookmarkStart w:id="271" w:name="_Toc184313310"/>
      <w:bookmarkEnd w:id="271"/>
      <w:bookmarkStart w:id="272" w:name="_Toc184313269"/>
      <w:bookmarkEnd w:id="272"/>
      <w:bookmarkStart w:id="273" w:name="_Toc184312089"/>
      <w:bookmarkEnd w:id="273"/>
      <w:bookmarkStart w:id="274" w:name="_Toc184313249"/>
      <w:bookmarkEnd w:id="274"/>
      <w:bookmarkStart w:id="275" w:name="_Toc184308061"/>
      <w:bookmarkEnd w:id="275"/>
      <w:bookmarkStart w:id="276" w:name="_Toc184310281"/>
      <w:bookmarkEnd w:id="276"/>
      <w:bookmarkStart w:id="277" w:name="_Toc184310292"/>
      <w:bookmarkEnd w:id="277"/>
      <w:bookmarkStart w:id="278" w:name="_Toc184312118"/>
      <w:bookmarkEnd w:id="278"/>
      <w:bookmarkStart w:id="279" w:name="_Toc184313267"/>
      <w:bookmarkEnd w:id="279"/>
      <w:bookmarkStart w:id="280" w:name="_Toc184314433"/>
      <w:bookmarkEnd w:id="280"/>
      <w:bookmarkStart w:id="281" w:name="_Toc184312123"/>
      <w:bookmarkEnd w:id="281"/>
      <w:bookmarkStart w:id="282" w:name="_Toc184308069"/>
      <w:bookmarkEnd w:id="282"/>
      <w:bookmarkStart w:id="283" w:name="_Toc184314411"/>
      <w:bookmarkEnd w:id="283"/>
      <w:bookmarkStart w:id="284" w:name="_Toc184314455"/>
      <w:bookmarkEnd w:id="284"/>
      <w:bookmarkStart w:id="285" w:name="_Toc184313253"/>
      <w:bookmarkEnd w:id="285"/>
      <w:bookmarkStart w:id="286" w:name="_Toc184314482"/>
      <w:bookmarkEnd w:id="286"/>
      <w:bookmarkStart w:id="287" w:name="_Toc184312108"/>
      <w:bookmarkEnd w:id="287"/>
      <w:bookmarkStart w:id="288" w:name="_Toc184308086"/>
      <w:bookmarkEnd w:id="288"/>
      <w:bookmarkStart w:id="289" w:name="_Toc184313285"/>
      <w:bookmarkEnd w:id="289"/>
      <w:bookmarkStart w:id="290" w:name="_Toc184313289"/>
      <w:bookmarkEnd w:id="290"/>
      <w:bookmarkStart w:id="291" w:name="_Toc184314416"/>
      <w:bookmarkEnd w:id="291"/>
      <w:bookmarkStart w:id="292" w:name="_Toc184312125"/>
      <w:bookmarkEnd w:id="292"/>
      <w:bookmarkStart w:id="293" w:name="_Toc184313292"/>
      <w:bookmarkEnd w:id="293"/>
      <w:bookmarkStart w:id="294" w:name="_Toc184313302"/>
      <w:bookmarkEnd w:id="294"/>
      <w:bookmarkStart w:id="295" w:name="_Toc184312079"/>
      <w:bookmarkEnd w:id="295"/>
      <w:bookmarkStart w:id="296" w:name="_Toc184310287"/>
      <w:bookmarkEnd w:id="296"/>
      <w:bookmarkStart w:id="297" w:name="_Toc184308042"/>
      <w:bookmarkEnd w:id="297"/>
      <w:bookmarkStart w:id="298" w:name="_Toc184308041"/>
      <w:bookmarkEnd w:id="298"/>
      <w:bookmarkStart w:id="299" w:name="_Toc184310325"/>
      <w:bookmarkEnd w:id="299"/>
      <w:bookmarkStart w:id="300" w:name="_Toc184313278"/>
      <w:bookmarkEnd w:id="300"/>
      <w:bookmarkStart w:id="301" w:name="_Toc184308104"/>
      <w:bookmarkEnd w:id="301"/>
      <w:bookmarkStart w:id="302" w:name="_Toc184310331"/>
      <w:bookmarkEnd w:id="302"/>
      <w:bookmarkStart w:id="303" w:name="_Toc184314427"/>
      <w:bookmarkEnd w:id="303"/>
      <w:bookmarkStart w:id="304" w:name="_Toc184312095"/>
      <w:bookmarkEnd w:id="304"/>
      <w:bookmarkStart w:id="305" w:name="_Toc184310305"/>
      <w:bookmarkEnd w:id="305"/>
      <w:bookmarkStart w:id="306" w:name="_Toc184312102"/>
      <w:bookmarkEnd w:id="306"/>
      <w:bookmarkStart w:id="307" w:name="_Toc184314476"/>
      <w:bookmarkEnd w:id="307"/>
      <w:bookmarkStart w:id="308" w:name="_Toc184313286"/>
      <w:bookmarkEnd w:id="308"/>
      <w:bookmarkStart w:id="309" w:name="_Toc184312077"/>
      <w:bookmarkEnd w:id="309"/>
      <w:bookmarkStart w:id="310" w:name="_Toc184314451"/>
      <w:bookmarkEnd w:id="310"/>
      <w:bookmarkStart w:id="311" w:name="_Toc184310320"/>
      <w:bookmarkEnd w:id="311"/>
      <w:bookmarkStart w:id="312" w:name="_Toc184310330"/>
      <w:bookmarkEnd w:id="312"/>
      <w:bookmarkStart w:id="313" w:name="_Toc184308058"/>
      <w:bookmarkEnd w:id="313"/>
      <w:bookmarkStart w:id="314" w:name="_Toc184312133"/>
      <w:bookmarkEnd w:id="314"/>
      <w:bookmarkStart w:id="315" w:name="_Toc184312099"/>
      <w:bookmarkEnd w:id="315"/>
      <w:bookmarkStart w:id="316" w:name="_Toc184308098"/>
      <w:bookmarkEnd w:id="316"/>
      <w:bookmarkStart w:id="317" w:name="_Toc184308074"/>
      <w:bookmarkEnd w:id="317"/>
      <w:bookmarkStart w:id="318" w:name="_Toc184308057"/>
      <w:bookmarkEnd w:id="318"/>
      <w:bookmarkStart w:id="319" w:name="_Toc184310274"/>
      <w:bookmarkEnd w:id="319"/>
      <w:bookmarkStart w:id="320" w:name="_Toc184312100"/>
      <w:bookmarkEnd w:id="320"/>
      <w:bookmarkStart w:id="321" w:name="_Toc184314441"/>
      <w:bookmarkEnd w:id="321"/>
      <w:bookmarkStart w:id="322" w:name="_Toc184310315"/>
      <w:bookmarkEnd w:id="322"/>
      <w:bookmarkStart w:id="323" w:name="_Toc184310306"/>
      <w:bookmarkEnd w:id="323"/>
      <w:bookmarkStart w:id="324" w:name="_Toc184310288"/>
      <w:bookmarkEnd w:id="324"/>
      <w:bookmarkStart w:id="325" w:name="_Toc184313252"/>
      <w:bookmarkEnd w:id="325"/>
      <w:bookmarkStart w:id="326" w:name="_Toc184312076"/>
      <w:bookmarkEnd w:id="326"/>
      <w:bookmarkStart w:id="327" w:name="_Toc184312131"/>
      <w:bookmarkEnd w:id="327"/>
      <w:bookmarkStart w:id="328" w:name="_Toc184308065"/>
      <w:bookmarkEnd w:id="328"/>
      <w:bookmarkStart w:id="329" w:name="_Toc184314450"/>
      <w:bookmarkEnd w:id="329"/>
      <w:bookmarkStart w:id="330" w:name="_Toc184314478"/>
      <w:bookmarkEnd w:id="330"/>
      <w:bookmarkStart w:id="331" w:name="_Toc184314429"/>
      <w:bookmarkEnd w:id="331"/>
      <w:bookmarkStart w:id="332" w:name="_Toc184312080"/>
      <w:bookmarkEnd w:id="332"/>
      <w:bookmarkStart w:id="333" w:name="_Toc184308080"/>
      <w:bookmarkEnd w:id="333"/>
      <w:bookmarkStart w:id="334" w:name="_Toc184312116"/>
      <w:bookmarkEnd w:id="334"/>
      <w:bookmarkStart w:id="335" w:name="_Toc184310328"/>
      <w:bookmarkEnd w:id="335"/>
      <w:bookmarkStart w:id="336" w:name="_Toc184310283"/>
      <w:bookmarkEnd w:id="336"/>
      <w:bookmarkStart w:id="337" w:name="_Toc184313307"/>
      <w:bookmarkEnd w:id="337"/>
      <w:bookmarkStart w:id="338" w:name="_Toc184313244"/>
      <w:bookmarkEnd w:id="338"/>
      <w:bookmarkStart w:id="339" w:name="_Toc184308055"/>
      <w:bookmarkEnd w:id="339"/>
      <w:bookmarkStart w:id="340" w:name="_Toc184314462"/>
      <w:bookmarkEnd w:id="340"/>
      <w:bookmarkStart w:id="341" w:name="_Toc184310339"/>
      <w:bookmarkEnd w:id="341"/>
      <w:bookmarkStart w:id="342" w:name="_Toc184313295"/>
      <w:bookmarkEnd w:id="342"/>
      <w:bookmarkStart w:id="343" w:name="_Toc184313272"/>
      <w:bookmarkEnd w:id="343"/>
      <w:bookmarkStart w:id="344" w:name="_Toc184312070"/>
      <w:bookmarkEnd w:id="344"/>
      <w:bookmarkStart w:id="345" w:name="_Toc184308082"/>
      <w:bookmarkEnd w:id="345"/>
      <w:bookmarkStart w:id="346" w:name="_Toc184313240"/>
      <w:bookmarkEnd w:id="346"/>
      <w:bookmarkStart w:id="347" w:name="_Toc184312085"/>
      <w:bookmarkEnd w:id="347"/>
      <w:bookmarkStart w:id="348" w:name="_Toc184308036"/>
      <w:bookmarkEnd w:id="348"/>
      <w:bookmarkStart w:id="349" w:name="_Toc184310343"/>
      <w:bookmarkEnd w:id="349"/>
      <w:bookmarkStart w:id="350" w:name="_Toc184308063"/>
      <w:bookmarkEnd w:id="350"/>
      <w:bookmarkStart w:id="351" w:name="_Toc184308083"/>
      <w:bookmarkEnd w:id="351"/>
      <w:bookmarkStart w:id="352" w:name="_Toc184314410"/>
      <w:bookmarkEnd w:id="352"/>
      <w:bookmarkStart w:id="353" w:name="_Toc184313263"/>
      <w:bookmarkEnd w:id="353"/>
      <w:bookmarkStart w:id="354" w:name="_Toc184310296"/>
      <w:bookmarkEnd w:id="354"/>
      <w:bookmarkStart w:id="355" w:name="_Toc184308075"/>
      <w:bookmarkEnd w:id="355"/>
      <w:bookmarkStart w:id="356" w:name="_Toc184312107"/>
      <w:bookmarkEnd w:id="356"/>
      <w:bookmarkStart w:id="357" w:name="_Toc184308059"/>
      <w:bookmarkEnd w:id="357"/>
      <w:bookmarkStart w:id="358" w:name="_Toc184310309"/>
      <w:bookmarkEnd w:id="358"/>
      <w:bookmarkStart w:id="359" w:name="_Toc184313276"/>
      <w:bookmarkEnd w:id="359"/>
      <w:bookmarkStart w:id="360" w:name="_Toc184313255"/>
      <w:bookmarkEnd w:id="360"/>
      <w:bookmarkStart w:id="361" w:name="_Toc184308079"/>
      <w:bookmarkEnd w:id="361"/>
      <w:bookmarkStart w:id="362" w:name="_Toc184313293"/>
      <w:bookmarkEnd w:id="362"/>
      <w:bookmarkStart w:id="363" w:name="_Toc184308070"/>
      <w:bookmarkEnd w:id="363"/>
      <w:bookmarkStart w:id="364" w:name="_Toc184312073"/>
      <w:bookmarkEnd w:id="364"/>
      <w:bookmarkStart w:id="365" w:name="_Toc184308107"/>
      <w:bookmarkEnd w:id="365"/>
      <w:bookmarkStart w:id="366" w:name="_Toc184310317"/>
      <w:bookmarkEnd w:id="366"/>
      <w:bookmarkStart w:id="367" w:name="_Toc184310282"/>
      <w:bookmarkEnd w:id="367"/>
      <w:bookmarkStart w:id="368" w:name="_Toc184312132"/>
      <w:bookmarkEnd w:id="368"/>
      <w:bookmarkStart w:id="369" w:name="_Toc184308056"/>
      <w:bookmarkEnd w:id="369"/>
      <w:bookmarkStart w:id="370" w:name="_Toc184313247"/>
      <w:bookmarkEnd w:id="370"/>
      <w:bookmarkStart w:id="371" w:name="_Toc184308106"/>
      <w:bookmarkEnd w:id="371"/>
      <w:bookmarkStart w:id="372" w:name="_Toc184314454"/>
      <w:bookmarkEnd w:id="372"/>
      <w:bookmarkStart w:id="373" w:name="_Toc184313279"/>
      <w:bookmarkEnd w:id="373"/>
      <w:bookmarkStart w:id="374" w:name="_Toc184312088"/>
      <w:bookmarkEnd w:id="374"/>
      <w:bookmarkStart w:id="375" w:name="_Toc184314477"/>
      <w:bookmarkEnd w:id="375"/>
      <w:bookmarkStart w:id="376" w:name="_Toc184314419"/>
      <w:bookmarkEnd w:id="376"/>
      <w:bookmarkStart w:id="377" w:name="_Toc184310277"/>
      <w:bookmarkEnd w:id="377"/>
      <w:bookmarkStart w:id="378" w:name="_Toc184314452"/>
      <w:bookmarkEnd w:id="378"/>
      <w:bookmarkStart w:id="379" w:name="_Toc184312106"/>
      <w:bookmarkEnd w:id="379"/>
      <w:bookmarkStart w:id="380" w:name="_Toc184308054"/>
      <w:bookmarkEnd w:id="380"/>
      <w:bookmarkStart w:id="381" w:name="_Toc184308097"/>
      <w:bookmarkEnd w:id="381"/>
      <w:r>
        <w:rPr>
          <w:rFonts w:hint="eastAsia" w:asciiTheme="minorEastAsia" w:hAnsiTheme="minorEastAsia" w:eastAsiaTheme="minorEastAsia" w:cstheme="minorEastAsia"/>
          <w:b/>
          <w:color w:val="auto"/>
          <w:sz w:val="36"/>
          <w:szCs w:val="36"/>
          <w:highlight w:val="none"/>
        </w:rPr>
        <w:t>交易办法</w:t>
      </w:r>
    </w:p>
    <w:p w14:paraId="4D96BE2F">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5FD5CACF">
      <w:pPr>
        <w:widowControl/>
        <w:numPr>
          <w:ilvl w:val="0"/>
          <w:numId w:val="0"/>
        </w:numPr>
        <w:spacing w:line="360" w:lineRule="auto"/>
        <w:rPr>
          <w:rFonts w:hint="eastAsia"/>
          <w:color w:val="auto"/>
          <w:highlight w:val="none"/>
        </w:rPr>
      </w:pPr>
      <w:r>
        <w:rPr>
          <w:rFonts w:hint="eastAsia" w:ascii="Times New Roman" w:hAnsi="Times New Roman" w:eastAsia="宋体" w:cs="Times New Roman"/>
          <w:b/>
          <w:bCs/>
          <w:color w:val="auto"/>
          <w:kern w:val="2"/>
          <w:sz w:val="21"/>
          <w:szCs w:val="24"/>
          <w:highlight w:val="none"/>
          <w:lang w:val="en-US" w:eastAsia="zh-CN" w:bidi="ar-SA"/>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85</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4"/>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529"/>
        <w:gridCol w:w="1548"/>
        <w:gridCol w:w="4920"/>
        <w:gridCol w:w="871"/>
        <w:gridCol w:w="1121"/>
      </w:tblGrid>
      <w:tr w14:paraId="5F4D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9" w:type="dxa"/>
            <w:vAlign w:val="center"/>
          </w:tcPr>
          <w:p w14:paraId="66AFC959">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997" w:type="dxa"/>
            <w:gridSpan w:val="3"/>
            <w:vAlign w:val="center"/>
          </w:tcPr>
          <w:p w14:paraId="7FB4390E">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评分内容和标准</w:t>
            </w:r>
          </w:p>
        </w:tc>
        <w:tc>
          <w:tcPr>
            <w:tcW w:w="871" w:type="dxa"/>
            <w:vAlign w:val="center"/>
          </w:tcPr>
          <w:p w14:paraId="26ADC519">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分值</w:t>
            </w:r>
            <w:r>
              <w:rPr>
                <w:rFonts w:hint="eastAsia" w:ascii="宋体" w:hAnsi="宋体" w:eastAsia="宋体" w:cs="宋体"/>
                <w:color w:val="auto"/>
                <w:kern w:val="0"/>
                <w:sz w:val="24"/>
                <w:highlight w:val="none"/>
                <w:lang w:eastAsia="zh-CN"/>
              </w:rPr>
              <w:t>区间</w:t>
            </w:r>
          </w:p>
        </w:tc>
        <w:tc>
          <w:tcPr>
            <w:tcW w:w="1121" w:type="dxa"/>
            <w:vAlign w:val="center"/>
          </w:tcPr>
          <w:p w14:paraId="13F4B2FA">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主/客</w:t>
            </w:r>
          </w:p>
          <w:p w14:paraId="743A4272">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观分</w:t>
            </w:r>
          </w:p>
        </w:tc>
      </w:tr>
      <w:tr w14:paraId="0A5F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49" w:type="dxa"/>
            <w:vMerge w:val="restart"/>
            <w:vAlign w:val="center"/>
          </w:tcPr>
          <w:p w14:paraId="5E5F1631">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商务资信分（</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p w14:paraId="773E4CA4">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color w:val="auto"/>
                <w:kern w:val="0"/>
                <w:sz w:val="24"/>
                <w:highlight w:val="none"/>
              </w:rPr>
            </w:pPr>
          </w:p>
        </w:tc>
        <w:tc>
          <w:tcPr>
            <w:tcW w:w="529" w:type="dxa"/>
            <w:vAlign w:val="center"/>
          </w:tcPr>
          <w:p w14:paraId="18FB039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6468" w:type="dxa"/>
            <w:gridSpan w:val="2"/>
            <w:vAlign w:val="center"/>
          </w:tcPr>
          <w:p w14:paraId="7A0E7253">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具有质量保证体系认证、环境管理体系认证、职业健康安全管理体系认证、诚信管理体系认证证书（证书须在有效期内）：四个体系得5分；任意三个体系得3分；单个体系得1分。（响应文件中提供证书复印件，加盖公章。</w:t>
            </w:r>
          </w:p>
          <w:p w14:paraId="557114AF">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响应文件中提供证书及全国认证认可信息公共平台证书查询截图）</w:t>
            </w:r>
          </w:p>
        </w:tc>
        <w:tc>
          <w:tcPr>
            <w:tcW w:w="871" w:type="dxa"/>
            <w:vAlign w:val="center"/>
          </w:tcPr>
          <w:p w14:paraId="0143FFE0">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0-5分</w:t>
            </w:r>
          </w:p>
        </w:tc>
        <w:tc>
          <w:tcPr>
            <w:tcW w:w="1121" w:type="dxa"/>
            <w:vAlign w:val="center"/>
          </w:tcPr>
          <w:p w14:paraId="1FF4F8E2">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客观分</w:t>
            </w:r>
          </w:p>
        </w:tc>
      </w:tr>
      <w:tr w14:paraId="4B78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49" w:type="dxa"/>
            <w:vMerge w:val="continue"/>
            <w:vAlign w:val="center"/>
          </w:tcPr>
          <w:p w14:paraId="07AA88C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color w:val="auto"/>
                <w:kern w:val="0"/>
                <w:sz w:val="24"/>
                <w:highlight w:val="none"/>
              </w:rPr>
            </w:pPr>
          </w:p>
        </w:tc>
        <w:tc>
          <w:tcPr>
            <w:tcW w:w="529" w:type="dxa"/>
            <w:vAlign w:val="center"/>
          </w:tcPr>
          <w:p w14:paraId="1E037A73">
            <w:pPr>
              <w:keepNext w:val="0"/>
              <w:keepLines w:val="0"/>
              <w:pageBreakBefore w:val="0"/>
              <w:kinsoku/>
              <w:wordWrap/>
              <w:overflowPunct/>
              <w:topLinePunct w:val="0"/>
              <w:autoSpaceDE/>
              <w:autoSpaceDN/>
              <w:bidi w:val="0"/>
              <w:adjustRightInd w:val="0"/>
              <w:spacing w:line="4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6468" w:type="dxa"/>
            <w:gridSpan w:val="2"/>
            <w:vAlign w:val="center"/>
          </w:tcPr>
          <w:p w14:paraId="4B005E8A">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自20</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年1月1日起具有类似</w:t>
            </w:r>
            <w:r>
              <w:rPr>
                <w:rFonts w:hint="eastAsia" w:ascii="宋体" w:hAnsi="宋体" w:eastAsia="宋体" w:cs="宋体"/>
                <w:color w:val="auto"/>
                <w:sz w:val="24"/>
                <w:highlight w:val="none"/>
                <w:lang w:eastAsia="zh-CN"/>
              </w:rPr>
              <w:t>旅游服务</w:t>
            </w:r>
            <w:r>
              <w:rPr>
                <w:rFonts w:hint="eastAsia" w:ascii="宋体" w:hAnsi="宋体" w:eastAsia="宋体" w:cs="宋体"/>
                <w:color w:val="auto"/>
                <w:sz w:val="24"/>
                <w:highlight w:val="none"/>
              </w:rPr>
              <w:t>项目合同业绩的每个得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（须提供合同复印件加盖公章）</w:t>
            </w:r>
          </w:p>
        </w:tc>
        <w:tc>
          <w:tcPr>
            <w:tcW w:w="871" w:type="dxa"/>
            <w:vAlign w:val="center"/>
          </w:tcPr>
          <w:p w14:paraId="399C8A5C">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lang w:val="en-US" w:eastAsia="zh-CN"/>
              </w:rPr>
              <w:t>0-5分</w:t>
            </w:r>
          </w:p>
        </w:tc>
        <w:tc>
          <w:tcPr>
            <w:tcW w:w="1121" w:type="dxa"/>
            <w:vAlign w:val="center"/>
          </w:tcPr>
          <w:p w14:paraId="52774FAC">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客观分</w:t>
            </w:r>
          </w:p>
        </w:tc>
      </w:tr>
      <w:tr w14:paraId="42A1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49" w:type="dxa"/>
            <w:vMerge w:val="continue"/>
            <w:vAlign w:val="center"/>
          </w:tcPr>
          <w:p w14:paraId="70C26FBB">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color w:val="auto"/>
                <w:kern w:val="0"/>
                <w:sz w:val="24"/>
                <w:highlight w:val="none"/>
              </w:rPr>
            </w:pPr>
          </w:p>
        </w:tc>
        <w:tc>
          <w:tcPr>
            <w:tcW w:w="529" w:type="dxa"/>
            <w:vAlign w:val="center"/>
          </w:tcPr>
          <w:p w14:paraId="7D243479">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468" w:type="dxa"/>
            <w:gridSpan w:val="2"/>
            <w:vAlign w:val="center"/>
          </w:tcPr>
          <w:p w14:paraId="33C04BCC">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文件中提供的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年1月1日以来已完成的类似项目获得所服务的业主单位满意评价的，每提供1份得1分，满分</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格式不做要求，但</w:t>
            </w:r>
            <w:r>
              <w:rPr>
                <w:rFonts w:hint="eastAsia" w:ascii="宋体" w:hAnsi="宋体" w:eastAsia="宋体" w:cs="宋体"/>
                <w:color w:val="auto"/>
                <w:sz w:val="24"/>
                <w:highlight w:val="none"/>
              </w:rPr>
              <w:t>须加盖业主公章）</w:t>
            </w:r>
          </w:p>
        </w:tc>
        <w:tc>
          <w:tcPr>
            <w:tcW w:w="871" w:type="dxa"/>
            <w:vAlign w:val="center"/>
          </w:tcPr>
          <w:p w14:paraId="7BD439D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0-5分</w:t>
            </w:r>
          </w:p>
        </w:tc>
        <w:tc>
          <w:tcPr>
            <w:tcW w:w="1121" w:type="dxa"/>
            <w:vAlign w:val="center"/>
          </w:tcPr>
          <w:p w14:paraId="347097A5">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4A76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9" w:type="dxa"/>
            <w:vMerge w:val="continue"/>
            <w:vAlign w:val="center"/>
          </w:tcPr>
          <w:p w14:paraId="03EDFD79">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color w:val="auto"/>
                <w:kern w:val="0"/>
                <w:sz w:val="24"/>
                <w:highlight w:val="none"/>
              </w:rPr>
            </w:pPr>
          </w:p>
        </w:tc>
        <w:tc>
          <w:tcPr>
            <w:tcW w:w="529" w:type="dxa"/>
            <w:vAlign w:val="center"/>
          </w:tcPr>
          <w:p w14:paraId="0AE60334">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468" w:type="dxa"/>
            <w:gridSpan w:val="2"/>
            <w:vAlign w:val="center"/>
          </w:tcPr>
          <w:p w14:paraId="7F6A4E32">
            <w:pPr>
              <w:pStyle w:val="404"/>
              <w:keepNext w:val="0"/>
              <w:keepLines w:val="0"/>
              <w:pageBreakBefore w:val="0"/>
              <w:kinsoku/>
              <w:wordWrap/>
              <w:overflowPunct/>
              <w:topLinePunct w:val="0"/>
              <w:autoSpaceDE/>
              <w:autoSpaceDN/>
              <w:bidi w:val="0"/>
              <w:adjustRightInd w:val="0"/>
              <w:spacing w:after="0" w:afterLines="0" w:line="400" w:lineRule="exact"/>
              <w:ind w:firstLine="0" w:firstLineChars="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获得行政部门颁发给的区（县）级荣誉的，每个得0.5分，最多得1分；获得市级及以上荣誉的，每个得1分，最多得2分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省级荣誉及以上每个得1分，最多得2分</w:t>
            </w:r>
            <w:r>
              <w:rPr>
                <w:rFonts w:hint="eastAsia" w:ascii="宋体" w:hAnsi="宋体" w:cs="宋体"/>
                <w:color w:val="auto"/>
                <w:kern w:val="2"/>
                <w:sz w:val="24"/>
                <w:szCs w:val="24"/>
                <w:highlight w:val="none"/>
                <w:lang w:val="en-US" w:eastAsia="zh-CN" w:bidi="ar-SA"/>
              </w:rPr>
              <w:t>；本项最高得5分</w:t>
            </w:r>
            <w:r>
              <w:rPr>
                <w:rFonts w:hint="eastAsia" w:ascii="宋体" w:hAnsi="宋体" w:eastAsia="宋体" w:cs="宋体"/>
                <w:color w:val="auto"/>
                <w:kern w:val="2"/>
                <w:sz w:val="24"/>
                <w:szCs w:val="24"/>
                <w:highlight w:val="none"/>
                <w:lang w:val="en-US" w:eastAsia="zh-CN" w:bidi="ar-SA"/>
              </w:rPr>
              <w:t>（响应文件中提供荣誉证书复印件，加盖公章。）</w:t>
            </w:r>
          </w:p>
        </w:tc>
        <w:tc>
          <w:tcPr>
            <w:tcW w:w="871" w:type="dxa"/>
            <w:vAlign w:val="center"/>
          </w:tcPr>
          <w:p w14:paraId="7FACD2F8">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0-5分</w:t>
            </w:r>
          </w:p>
        </w:tc>
        <w:tc>
          <w:tcPr>
            <w:tcW w:w="1121" w:type="dxa"/>
            <w:vAlign w:val="center"/>
          </w:tcPr>
          <w:p w14:paraId="34CFBE8E">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610C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9" w:type="dxa"/>
            <w:vMerge w:val="restart"/>
            <w:vAlign w:val="center"/>
          </w:tcPr>
          <w:p w14:paraId="0F1EE197">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kern w:val="0"/>
                <w:sz w:val="20"/>
                <w:szCs w:val="22"/>
                <w:highlight w:val="none"/>
                <w:lang w:val="en-US" w:eastAsia="zh-CN"/>
              </w:rPr>
            </w:pPr>
            <w:r>
              <w:rPr>
                <w:rFonts w:hint="eastAsia" w:ascii="宋体" w:hAnsi="宋体" w:eastAsia="宋体" w:cs="宋体"/>
                <w:color w:val="auto"/>
                <w:highlight w:val="none"/>
                <w:lang w:val="en-US" w:eastAsia="zh-CN"/>
              </w:rPr>
              <w:t>技术分（</w:t>
            </w:r>
            <w:r>
              <w:rPr>
                <w:rFonts w:hint="eastAsia" w:cs="宋体"/>
                <w:color w:val="auto"/>
                <w:highlight w:val="none"/>
                <w:lang w:val="en-US" w:eastAsia="zh-CN"/>
              </w:rPr>
              <w:t>65</w:t>
            </w:r>
            <w:r>
              <w:rPr>
                <w:rFonts w:hint="eastAsia" w:ascii="宋体" w:hAnsi="宋体" w:eastAsia="宋体" w:cs="宋体"/>
                <w:color w:val="auto"/>
                <w:highlight w:val="none"/>
                <w:lang w:val="en-US" w:eastAsia="zh-CN"/>
              </w:rPr>
              <w:t>分）</w:t>
            </w:r>
          </w:p>
        </w:tc>
        <w:tc>
          <w:tcPr>
            <w:tcW w:w="529" w:type="dxa"/>
            <w:vMerge w:val="restart"/>
            <w:vAlign w:val="center"/>
          </w:tcPr>
          <w:p w14:paraId="4991C57C">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1548" w:type="dxa"/>
            <w:vMerge w:val="restart"/>
            <w:vAlign w:val="center"/>
          </w:tcPr>
          <w:p w14:paraId="72F66C9F">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投标方案的合理性、科学性、全面性（综合评定）</w:t>
            </w:r>
          </w:p>
        </w:tc>
        <w:tc>
          <w:tcPr>
            <w:tcW w:w="4920" w:type="dxa"/>
            <w:vAlign w:val="center"/>
          </w:tcPr>
          <w:p w14:paraId="51E732BD">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详细提供疗休养整体方案：包括</w:t>
            </w:r>
            <w:r>
              <w:rPr>
                <w:rFonts w:hint="eastAsia" w:ascii="宋体" w:hAnsi="宋体" w:eastAsia="宋体" w:cs="宋体"/>
                <w:color w:val="auto"/>
                <w:highlight w:val="none"/>
                <w:lang w:val="zh-CN" w:eastAsia="zh-CN"/>
              </w:rPr>
              <w:t>行程线路策划等方案以及对本次</w:t>
            </w:r>
            <w:r>
              <w:rPr>
                <w:rFonts w:hint="eastAsia" w:ascii="宋体" w:hAnsi="宋体" w:eastAsia="宋体" w:cs="宋体"/>
                <w:color w:val="auto"/>
                <w:highlight w:val="none"/>
                <w:lang w:val="en-US" w:eastAsia="zh-CN"/>
              </w:rPr>
              <w:t>疗休养主题的吻合程度综合评定，</w:t>
            </w:r>
            <w:r>
              <w:rPr>
                <w:rFonts w:hint="eastAsia" w:ascii="宋体" w:hAnsi="宋体" w:eastAsia="宋体" w:cs="宋体"/>
                <w:color w:val="auto"/>
                <w:highlight w:val="none"/>
                <w:lang w:val="zh-CN" w:eastAsia="zh-CN"/>
              </w:rPr>
              <w:t>满分</w:t>
            </w:r>
            <w:r>
              <w:rPr>
                <w:rFonts w:hint="eastAsia" w:cs="宋体"/>
                <w:color w:val="auto"/>
                <w:highlight w:val="none"/>
                <w:lang w:val="en-US" w:eastAsia="zh-CN"/>
              </w:rPr>
              <w:t>7</w:t>
            </w:r>
            <w:r>
              <w:rPr>
                <w:rFonts w:hint="eastAsia" w:ascii="宋体" w:hAnsi="宋体" w:eastAsia="宋体" w:cs="宋体"/>
                <w:color w:val="auto"/>
                <w:highlight w:val="none"/>
                <w:lang w:val="zh-CN" w:eastAsia="zh-CN"/>
              </w:rPr>
              <w:t>分。</w:t>
            </w:r>
          </w:p>
        </w:tc>
        <w:tc>
          <w:tcPr>
            <w:tcW w:w="871" w:type="dxa"/>
            <w:vAlign w:val="center"/>
          </w:tcPr>
          <w:p w14:paraId="5B4D382F">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b/>
                <w:bCs/>
                <w:color w:val="auto"/>
                <w:kern w:val="0"/>
                <w:sz w:val="20"/>
                <w:szCs w:val="21"/>
                <w:highlight w:val="none"/>
                <w:lang w:eastAsia="zh-CN"/>
              </w:rPr>
            </w:pPr>
            <w:r>
              <w:rPr>
                <w:rFonts w:hint="eastAsia" w:ascii="宋体" w:hAnsi="宋体" w:cs="宋体"/>
                <w:color w:val="auto"/>
                <w:sz w:val="24"/>
                <w:highlight w:val="none"/>
                <w:lang w:val="en-US" w:eastAsia="zh-CN"/>
              </w:rPr>
              <w:t>0-7分</w:t>
            </w:r>
          </w:p>
        </w:tc>
        <w:tc>
          <w:tcPr>
            <w:tcW w:w="1121" w:type="dxa"/>
            <w:vAlign w:val="center"/>
          </w:tcPr>
          <w:p w14:paraId="6E11B879">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134F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9" w:type="dxa"/>
            <w:vMerge w:val="continue"/>
            <w:vAlign w:val="center"/>
          </w:tcPr>
          <w:p w14:paraId="27EA42C8">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p>
        </w:tc>
        <w:tc>
          <w:tcPr>
            <w:tcW w:w="529" w:type="dxa"/>
            <w:vMerge w:val="continue"/>
            <w:vAlign w:val="center"/>
          </w:tcPr>
          <w:p w14:paraId="327DA731">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0"/>
                <w:sz w:val="24"/>
                <w:highlight w:val="none"/>
              </w:rPr>
            </w:pPr>
          </w:p>
        </w:tc>
        <w:tc>
          <w:tcPr>
            <w:tcW w:w="1548" w:type="dxa"/>
            <w:vMerge w:val="continue"/>
            <w:vAlign w:val="center"/>
          </w:tcPr>
          <w:p w14:paraId="32B4A463">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p>
        </w:tc>
        <w:tc>
          <w:tcPr>
            <w:tcW w:w="4920" w:type="dxa"/>
            <w:vAlign w:val="center"/>
          </w:tcPr>
          <w:p w14:paraId="1B72B782">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4"/>
                <w:highlight w:val="none"/>
                <w:lang w:val="zh-CN" w:eastAsia="zh-CN"/>
              </w:rPr>
              <w:t>餐饮优化服务：餐饮承诺</w:t>
            </w:r>
            <w:r>
              <w:rPr>
                <w:rFonts w:hint="eastAsia" w:cs="宋体"/>
                <w:color w:val="auto"/>
                <w:szCs w:val="24"/>
                <w:highlight w:val="none"/>
                <w:lang w:val="zh-CN" w:eastAsia="zh-CN"/>
              </w:rPr>
              <w:t>交易</w:t>
            </w:r>
            <w:r>
              <w:rPr>
                <w:rFonts w:hint="eastAsia" w:cs="宋体"/>
                <w:color w:val="auto"/>
                <w:szCs w:val="24"/>
                <w:highlight w:val="none"/>
                <w:lang w:val="en-US" w:eastAsia="zh-CN"/>
              </w:rPr>
              <w:t>发起</w:t>
            </w:r>
            <w:r>
              <w:rPr>
                <w:rFonts w:hint="eastAsia" w:ascii="宋体" w:hAnsi="宋体" w:eastAsia="宋体" w:cs="宋体"/>
                <w:color w:val="auto"/>
                <w:szCs w:val="24"/>
                <w:highlight w:val="none"/>
                <w:lang w:val="zh-CN" w:eastAsia="zh-CN"/>
              </w:rPr>
              <w:t>人餐标的费用标准得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eastAsia="zh-CN"/>
              </w:rPr>
              <w:t>分</w:t>
            </w:r>
            <w:r>
              <w:rPr>
                <w:rFonts w:hint="eastAsia" w:cs="宋体"/>
                <w:color w:val="auto"/>
                <w:highlight w:val="none"/>
                <w:lang w:val="zh-CN" w:eastAsia="zh-CN"/>
              </w:rPr>
              <w:t>；</w:t>
            </w:r>
            <w:r>
              <w:rPr>
                <w:rFonts w:hint="eastAsia" w:ascii="宋体" w:hAnsi="宋体" w:eastAsia="宋体" w:cs="宋体"/>
                <w:color w:val="auto"/>
                <w:highlight w:val="none"/>
                <w:lang w:val="zh-CN" w:eastAsia="zh-CN"/>
              </w:rPr>
              <w:t>每人每餐（中餐或晚餐）的餐标提高</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元得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eastAsia="zh-CN"/>
              </w:rPr>
              <w:t>分，最高加</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eastAsia="zh-CN"/>
              </w:rPr>
              <w:t>分</w:t>
            </w:r>
            <w:r>
              <w:rPr>
                <w:rFonts w:hint="eastAsia" w:ascii="宋体" w:hAnsi="宋体" w:eastAsia="宋体" w:cs="宋体"/>
                <w:color w:val="auto"/>
                <w:szCs w:val="24"/>
                <w:highlight w:val="none"/>
                <w:lang w:val="zh-CN" w:eastAsia="zh-CN"/>
              </w:rPr>
              <w:t>。</w:t>
            </w:r>
          </w:p>
        </w:tc>
        <w:tc>
          <w:tcPr>
            <w:tcW w:w="871" w:type="dxa"/>
            <w:vAlign w:val="center"/>
          </w:tcPr>
          <w:p w14:paraId="34BA4566">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6</w:t>
            </w:r>
            <w:r>
              <w:rPr>
                <w:rFonts w:hint="eastAsia" w:ascii="宋体" w:hAnsi="宋体" w:cs="宋体"/>
                <w:color w:val="auto"/>
                <w:sz w:val="24"/>
                <w:highlight w:val="none"/>
                <w:lang w:val="en-US" w:eastAsia="zh-CN"/>
              </w:rPr>
              <w:t>分</w:t>
            </w:r>
          </w:p>
        </w:tc>
        <w:tc>
          <w:tcPr>
            <w:tcW w:w="1121" w:type="dxa"/>
            <w:vAlign w:val="center"/>
          </w:tcPr>
          <w:p w14:paraId="048C0D43">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5877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vAlign w:val="center"/>
          </w:tcPr>
          <w:p w14:paraId="175F99F1">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p>
        </w:tc>
        <w:tc>
          <w:tcPr>
            <w:tcW w:w="529" w:type="dxa"/>
            <w:vMerge w:val="continue"/>
            <w:vAlign w:val="center"/>
          </w:tcPr>
          <w:p w14:paraId="14CB0A76">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0"/>
                <w:sz w:val="24"/>
                <w:highlight w:val="none"/>
              </w:rPr>
            </w:pPr>
          </w:p>
        </w:tc>
        <w:tc>
          <w:tcPr>
            <w:tcW w:w="1548" w:type="dxa"/>
            <w:vMerge w:val="continue"/>
            <w:vAlign w:val="center"/>
          </w:tcPr>
          <w:p w14:paraId="7A7874F2">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p>
        </w:tc>
        <w:tc>
          <w:tcPr>
            <w:tcW w:w="4920" w:type="dxa"/>
            <w:vAlign w:val="center"/>
          </w:tcPr>
          <w:p w14:paraId="0C6D2B6C">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zh-CN" w:eastAsia="zh-CN"/>
              </w:rPr>
              <w:t>住宿优化服务：根据</w:t>
            </w:r>
            <w:r>
              <w:rPr>
                <w:rFonts w:hint="eastAsia" w:cs="宋体"/>
                <w:color w:val="auto"/>
                <w:szCs w:val="24"/>
                <w:highlight w:val="none"/>
                <w:lang w:val="zh-CN" w:eastAsia="zh-CN"/>
              </w:rPr>
              <w:t>供应商</w:t>
            </w:r>
            <w:r>
              <w:rPr>
                <w:rFonts w:hint="eastAsia" w:ascii="宋体" w:hAnsi="宋体" w:eastAsia="宋体" w:cs="宋体"/>
                <w:color w:val="auto"/>
                <w:szCs w:val="24"/>
                <w:highlight w:val="none"/>
                <w:lang w:val="zh-CN" w:eastAsia="zh-CN"/>
              </w:rPr>
              <w:t>提供的住宿条件承诺情况综合评定，</w:t>
            </w:r>
            <w:r>
              <w:rPr>
                <w:rFonts w:hint="eastAsia" w:ascii="宋体" w:hAnsi="宋体" w:eastAsia="宋体" w:cs="宋体"/>
                <w:color w:val="auto"/>
                <w:highlight w:val="none"/>
                <w:lang w:val="zh-CN" w:eastAsia="zh-CN"/>
              </w:rPr>
              <w:t>满分</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zh-CN" w:eastAsia="zh-CN"/>
              </w:rPr>
              <w:t>分。</w:t>
            </w:r>
          </w:p>
        </w:tc>
        <w:tc>
          <w:tcPr>
            <w:tcW w:w="871" w:type="dxa"/>
            <w:vAlign w:val="center"/>
          </w:tcPr>
          <w:p w14:paraId="3A7F6C1E">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0-6</w:t>
            </w:r>
            <w:r>
              <w:rPr>
                <w:rFonts w:hint="eastAsia" w:ascii="宋体" w:hAnsi="宋体" w:cs="宋体"/>
                <w:color w:val="auto"/>
                <w:sz w:val="24"/>
                <w:highlight w:val="none"/>
                <w:lang w:val="en-US" w:eastAsia="zh-CN"/>
              </w:rPr>
              <w:t>分</w:t>
            </w:r>
          </w:p>
        </w:tc>
        <w:tc>
          <w:tcPr>
            <w:tcW w:w="1121" w:type="dxa"/>
            <w:vAlign w:val="center"/>
          </w:tcPr>
          <w:p w14:paraId="072F0E6B">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4095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vAlign w:val="center"/>
          </w:tcPr>
          <w:p w14:paraId="4E084F21">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p>
        </w:tc>
        <w:tc>
          <w:tcPr>
            <w:tcW w:w="529" w:type="dxa"/>
            <w:vMerge w:val="continue"/>
            <w:vAlign w:val="center"/>
          </w:tcPr>
          <w:p w14:paraId="3682F73D">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0"/>
                <w:sz w:val="24"/>
                <w:highlight w:val="none"/>
              </w:rPr>
            </w:pPr>
          </w:p>
        </w:tc>
        <w:tc>
          <w:tcPr>
            <w:tcW w:w="1548" w:type="dxa"/>
            <w:vMerge w:val="continue"/>
            <w:vAlign w:val="center"/>
          </w:tcPr>
          <w:p w14:paraId="50C4A496">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p>
        </w:tc>
        <w:tc>
          <w:tcPr>
            <w:tcW w:w="4920" w:type="dxa"/>
            <w:vAlign w:val="center"/>
          </w:tcPr>
          <w:p w14:paraId="3A31FA14">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zh-CN" w:eastAsia="zh-CN"/>
              </w:rPr>
              <w:t>根据</w:t>
            </w:r>
            <w:r>
              <w:rPr>
                <w:rFonts w:hint="eastAsia" w:cs="宋体"/>
                <w:color w:val="auto"/>
                <w:szCs w:val="24"/>
                <w:highlight w:val="none"/>
                <w:lang w:val="zh-CN" w:eastAsia="zh-CN"/>
              </w:rPr>
              <w:t>响应</w:t>
            </w:r>
            <w:r>
              <w:rPr>
                <w:rFonts w:hint="eastAsia" w:ascii="宋体" w:hAnsi="宋体" w:eastAsia="宋体" w:cs="宋体"/>
                <w:color w:val="auto"/>
                <w:szCs w:val="24"/>
                <w:highlight w:val="none"/>
                <w:lang w:val="zh-CN" w:eastAsia="zh-CN"/>
              </w:rPr>
              <w:t>文件中针对本项目实施前及实施过程中提供的特色服务方案的可行性等内容进行评定，每提供1项方案的得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eastAsia="zh-CN"/>
              </w:rPr>
              <w:t>分，满分</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eastAsia="zh-CN"/>
              </w:rPr>
              <w:t>分。</w:t>
            </w:r>
          </w:p>
        </w:tc>
        <w:tc>
          <w:tcPr>
            <w:tcW w:w="871" w:type="dxa"/>
            <w:vAlign w:val="center"/>
          </w:tcPr>
          <w:p w14:paraId="01C2C166">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0-3</w:t>
            </w:r>
            <w:r>
              <w:rPr>
                <w:rFonts w:hint="eastAsia" w:ascii="宋体" w:hAnsi="宋体" w:cs="宋体"/>
                <w:color w:val="auto"/>
                <w:sz w:val="24"/>
                <w:highlight w:val="none"/>
                <w:lang w:val="en-US" w:eastAsia="zh-CN"/>
              </w:rPr>
              <w:t>分</w:t>
            </w:r>
          </w:p>
        </w:tc>
        <w:tc>
          <w:tcPr>
            <w:tcW w:w="1121" w:type="dxa"/>
            <w:vAlign w:val="center"/>
          </w:tcPr>
          <w:p w14:paraId="6CC616C1">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010A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vAlign w:val="center"/>
          </w:tcPr>
          <w:p w14:paraId="2F9B2114">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p>
        </w:tc>
        <w:tc>
          <w:tcPr>
            <w:tcW w:w="529" w:type="dxa"/>
            <w:vAlign w:val="center"/>
          </w:tcPr>
          <w:p w14:paraId="170857D3">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548" w:type="dxa"/>
            <w:vAlign w:val="center"/>
          </w:tcPr>
          <w:p w14:paraId="36E079F8">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旅行保险</w:t>
            </w:r>
          </w:p>
          <w:p w14:paraId="2BC06035">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w:t>
            </w:r>
          </w:p>
          <w:p w14:paraId="0D221709">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p>
        </w:tc>
        <w:tc>
          <w:tcPr>
            <w:tcW w:w="4920" w:type="dxa"/>
            <w:vAlign w:val="center"/>
          </w:tcPr>
          <w:p w14:paraId="08987EAB">
            <w:pP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1.根据供应商承诺的为游客购买人身意外伤害保险不少于每人100万的得1分；150万及以上的加1分，本项最高得2分。</w:t>
            </w:r>
          </w:p>
          <w:p w14:paraId="7C137FE4">
            <w:pP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2.提供旅行社责任保险保额100万的得1分；150万及以上的加1分，本项最高得2分。</w:t>
            </w:r>
          </w:p>
          <w:p w14:paraId="6EBD7F6A">
            <w:pPr>
              <w:rPr>
                <w:rFonts w:hint="eastAsia"/>
                <w:color w:val="auto"/>
                <w:highlight w:val="none"/>
                <w:lang w:val="zh-CN" w:eastAsia="zh-CN"/>
              </w:rPr>
            </w:pPr>
            <w:r>
              <w:rPr>
                <w:rFonts w:hint="eastAsia" w:ascii="宋体" w:hAnsi="宋体" w:eastAsia="宋体" w:cs="宋体"/>
                <w:color w:val="auto"/>
                <w:sz w:val="24"/>
                <w:szCs w:val="24"/>
                <w:highlight w:val="none"/>
                <w:lang w:val="zh-CN" w:eastAsia="zh-CN"/>
              </w:rPr>
              <w:t>(响应文件中需提供供应商202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年旅行社责任险扫描件或复印件加盖公章）</w:t>
            </w:r>
          </w:p>
        </w:tc>
        <w:tc>
          <w:tcPr>
            <w:tcW w:w="871" w:type="dxa"/>
            <w:vAlign w:val="center"/>
          </w:tcPr>
          <w:p w14:paraId="103B1106">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0-4</w:t>
            </w:r>
            <w:r>
              <w:rPr>
                <w:rFonts w:hint="eastAsia" w:ascii="宋体" w:hAnsi="宋体" w:cs="宋体"/>
                <w:color w:val="auto"/>
                <w:sz w:val="24"/>
                <w:highlight w:val="none"/>
                <w:lang w:val="en-US" w:eastAsia="zh-CN"/>
              </w:rPr>
              <w:t>分</w:t>
            </w:r>
          </w:p>
        </w:tc>
        <w:tc>
          <w:tcPr>
            <w:tcW w:w="1121" w:type="dxa"/>
            <w:vAlign w:val="center"/>
          </w:tcPr>
          <w:p w14:paraId="3046C94E">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16FE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49" w:type="dxa"/>
            <w:vMerge w:val="continue"/>
            <w:vAlign w:val="center"/>
          </w:tcPr>
          <w:p w14:paraId="2A5598F3">
            <w:pPr>
              <w:keepNext w:val="0"/>
              <w:keepLines w:val="0"/>
              <w:pageBreakBefore w:val="0"/>
              <w:widowControl/>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kern w:val="0"/>
                <w:sz w:val="20"/>
                <w:szCs w:val="22"/>
                <w:highlight w:val="none"/>
              </w:rPr>
            </w:pPr>
          </w:p>
        </w:tc>
        <w:tc>
          <w:tcPr>
            <w:tcW w:w="529" w:type="dxa"/>
            <w:vAlign w:val="center"/>
          </w:tcPr>
          <w:p w14:paraId="7BDC15C3">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c>
          <w:tcPr>
            <w:tcW w:w="1548" w:type="dxa"/>
            <w:vAlign w:val="center"/>
          </w:tcPr>
          <w:p w14:paraId="5B5E8DBA">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投标方案中提供或使用主要车辆、设备的优劣（综合评定）</w:t>
            </w:r>
          </w:p>
        </w:tc>
        <w:tc>
          <w:tcPr>
            <w:tcW w:w="4920" w:type="dxa"/>
            <w:vAlign w:val="center"/>
          </w:tcPr>
          <w:p w14:paraId="3245EB9C">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w:t>
            </w:r>
            <w:r>
              <w:rPr>
                <w:rFonts w:hint="eastAsia" w:cs="宋体"/>
                <w:color w:val="auto"/>
                <w:highlight w:val="none"/>
                <w:lang w:val="en-US" w:eastAsia="zh-CN"/>
              </w:rPr>
              <w:t>响应</w:t>
            </w:r>
            <w:r>
              <w:rPr>
                <w:rFonts w:hint="eastAsia" w:ascii="宋体" w:hAnsi="宋体" w:eastAsia="宋体" w:cs="宋体"/>
                <w:color w:val="auto"/>
                <w:highlight w:val="none"/>
                <w:lang w:val="en-US" w:eastAsia="zh-CN"/>
              </w:rPr>
              <w:t>文件中提供车型、车况、司机驾龄</w:t>
            </w:r>
            <w:r>
              <w:rPr>
                <w:rFonts w:hint="eastAsia" w:cs="宋体"/>
                <w:color w:val="auto"/>
                <w:highlight w:val="none"/>
                <w:lang w:val="en-US" w:eastAsia="zh-CN"/>
              </w:rPr>
              <w:t>、</w:t>
            </w:r>
            <w:r>
              <w:rPr>
                <w:rFonts w:hint="eastAsia" w:ascii="宋体" w:hAnsi="宋体" w:eastAsia="宋体" w:cs="宋体"/>
                <w:color w:val="auto"/>
                <w:highlight w:val="none"/>
                <w:lang w:val="en-US" w:eastAsia="zh-CN"/>
              </w:rPr>
              <w:t>座位比较</w:t>
            </w:r>
            <w:r>
              <w:rPr>
                <w:rFonts w:hint="eastAsia" w:cs="宋体"/>
                <w:color w:val="auto"/>
                <w:highlight w:val="none"/>
                <w:lang w:val="en-US" w:eastAsia="zh-CN"/>
              </w:rPr>
              <w:t>、</w:t>
            </w:r>
            <w:r>
              <w:rPr>
                <w:rFonts w:hint="eastAsia" w:ascii="宋体" w:hAnsi="宋体" w:eastAsia="宋体" w:cs="宋体"/>
                <w:color w:val="auto"/>
                <w:highlight w:val="none"/>
                <w:lang w:val="en-US" w:eastAsia="zh-CN"/>
              </w:rPr>
              <w:t>当地用车情况等情况评定，满分4分。</w:t>
            </w:r>
          </w:p>
          <w:p w14:paraId="39D59B55">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p>
        </w:tc>
        <w:tc>
          <w:tcPr>
            <w:tcW w:w="871" w:type="dxa"/>
            <w:vAlign w:val="center"/>
          </w:tcPr>
          <w:p w14:paraId="7E25ED39">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0-4</w:t>
            </w:r>
            <w:r>
              <w:rPr>
                <w:rFonts w:hint="eastAsia" w:ascii="宋体" w:hAnsi="宋体" w:cs="宋体"/>
                <w:color w:val="auto"/>
                <w:sz w:val="24"/>
                <w:highlight w:val="none"/>
                <w:lang w:val="en-US" w:eastAsia="zh-CN"/>
              </w:rPr>
              <w:t>分</w:t>
            </w:r>
          </w:p>
        </w:tc>
        <w:tc>
          <w:tcPr>
            <w:tcW w:w="1121" w:type="dxa"/>
            <w:vAlign w:val="center"/>
          </w:tcPr>
          <w:p w14:paraId="56C2AC65">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highlight w:val="none"/>
                <w:lang w:val="en-US" w:eastAsia="zh-CN"/>
              </w:rPr>
              <w:t>主观分</w:t>
            </w:r>
          </w:p>
        </w:tc>
      </w:tr>
      <w:tr w14:paraId="1971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49" w:type="dxa"/>
            <w:vMerge w:val="continue"/>
            <w:vAlign w:val="center"/>
          </w:tcPr>
          <w:p w14:paraId="62F7EF8C">
            <w:pPr>
              <w:keepNext w:val="0"/>
              <w:keepLines w:val="0"/>
              <w:pageBreakBefore w:val="0"/>
              <w:widowControl/>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kern w:val="0"/>
                <w:sz w:val="20"/>
                <w:szCs w:val="22"/>
                <w:highlight w:val="none"/>
              </w:rPr>
            </w:pPr>
          </w:p>
        </w:tc>
        <w:tc>
          <w:tcPr>
            <w:tcW w:w="529" w:type="dxa"/>
            <w:vAlign w:val="center"/>
          </w:tcPr>
          <w:p w14:paraId="068DD0C8">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1548" w:type="dxa"/>
            <w:vAlign w:val="center"/>
          </w:tcPr>
          <w:p w14:paraId="2CFE6573">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服务承诺（根据售后服务方案、措施、响应及售后服务能力等情况综合评定）</w:t>
            </w:r>
          </w:p>
        </w:tc>
        <w:tc>
          <w:tcPr>
            <w:tcW w:w="4920" w:type="dxa"/>
            <w:vAlign w:val="center"/>
          </w:tcPr>
          <w:p w14:paraId="577D5978">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提供后续服务计划及根据响应人</w:t>
            </w:r>
            <w:r>
              <w:rPr>
                <w:rFonts w:hint="eastAsia" w:ascii="宋体" w:hAnsi="宋体" w:eastAsia="宋体" w:cs="宋体"/>
                <w:color w:val="auto"/>
                <w:sz w:val="24"/>
                <w:szCs w:val="24"/>
                <w:highlight w:val="none"/>
                <w:lang w:val="en-US" w:eastAsia="zh-CN"/>
              </w:rPr>
              <w:t>属地化服务、售后服务</w:t>
            </w:r>
            <w:r>
              <w:rPr>
                <w:rFonts w:hint="eastAsia" w:ascii="宋体" w:hAnsi="宋体" w:eastAsia="宋体" w:cs="宋体"/>
                <w:color w:val="auto"/>
                <w:sz w:val="24"/>
                <w:szCs w:val="24"/>
                <w:highlight w:val="none"/>
                <w:lang w:val="zh-CN"/>
              </w:rPr>
              <w:t xml:space="preserve">方便、快捷、优质提供服务等情况。 </w:t>
            </w:r>
          </w:p>
        </w:tc>
        <w:tc>
          <w:tcPr>
            <w:tcW w:w="871" w:type="dxa"/>
            <w:vAlign w:val="center"/>
          </w:tcPr>
          <w:p w14:paraId="4B887F6F">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1121" w:type="dxa"/>
            <w:vAlign w:val="center"/>
          </w:tcPr>
          <w:p w14:paraId="539DFAD0">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48E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49" w:type="dxa"/>
            <w:vMerge w:val="continue"/>
            <w:vAlign w:val="center"/>
          </w:tcPr>
          <w:p w14:paraId="1D2DF482">
            <w:pPr>
              <w:keepNext w:val="0"/>
              <w:keepLines w:val="0"/>
              <w:pageBreakBefore w:val="0"/>
              <w:widowControl/>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kern w:val="0"/>
                <w:sz w:val="20"/>
                <w:szCs w:val="22"/>
                <w:highlight w:val="none"/>
              </w:rPr>
            </w:pPr>
          </w:p>
        </w:tc>
        <w:tc>
          <w:tcPr>
            <w:tcW w:w="529" w:type="dxa"/>
            <w:vAlign w:val="center"/>
          </w:tcPr>
          <w:p w14:paraId="65410BAD">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1548" w:type="dxa"/>
            <w:vAlign w:val="center"/>
          </w:tcPr>
          <w:p w14:paraId="057658FF">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保证进度和项目完成的方案和措施等（综合评定）</w:t>
            </w:r>
          </w:p>
        </w:tc>
        <w:tc>
          <w:tcPr>
            <w:tcW w:w="4920" w:type="dxa"/>
            <w:vAlign w:val="center"/>
          </w:tcPr>
          <w:p w14:paraId="41C85A46">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本次疗休养实施工作程序和步骤、管理和协调方法以及关键步骤和要点等，</w:t>
            </w:r>
            <w:r>
              <w:rPr>
                <w:rFonts w:hint="eastAsia" w:ascii="宋体" w:hAnsi="宋体" w:eastAsia="宋体" w:cs="宋体"/>
                <w:color w:val="auto"/>
                <w:highlight w:val="none"/>
                <w:lang w:val="zh-CN" w:eastAsia="zh-CN"/>
              </w:rPr>
              <w:t>满分</w:t>
            </w:r>
            <w:r>
              <w:rPr>
                <w:rFonts w:hint="eastAsia" w:cs="宋体"/>
                <w:color w:val="auto"/>
                <w:highlight w:val="none"/>
                <w:lang w:val="en-US" w:eastAsia="zh-CN"/>
              </w:rPr>
              <w:t>3</w:t>
            </w:r>
            <w:r>
              <w:rPr>
                <w:rFonts w:hint="eastAsia" w:ascii="宋体" w:hAnsi="宋体" w:eastAsia="宋体" w:cs="宋体"/>
                <w:color w:val="auto"/>
                <w:highlight w:val="none"/>
                <w:lang w:val="zh-CN" w:eastAsia="zh-CN"/>
              </w:rPr>
              <w:t>分。</w:t>
            </w:r>
          </w:p>
        </w:tc>
        <w:tc>
          <w:tcPr>
            <w:tcW w:w="871" w:type="dxa"/>
            <w:vAlign w:val="center"/>
          </w:tcPr>
          <w:p w14:paraId="6D828D9C">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0-3分</w:t>
            </w:r>
          </w:p>
        </w:tc>
        <w:tc>
          <w:tcPr>
            <w:tcW w:w="1121" w:type="dxa"/>
            <w:vAlign w:val="center"/>
          </w:tcPr>
          <w:p w14:paraId="111E7FD1">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主观分</w:t>
            </w:r>
          </w:p>
        </w:tc>
      </w:tr>
      <w:tr w14:paraId="4C9B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49" w:type="dxa"/>
            <w:vMerge w:val="continue"/>
            <w:vAlign w:val="center"/>
          </w:tcPr>
          <w:p w14:paraId="77DA823B">
            <w:pPr>
              <w:keepNext w:val="0"/>
              <w:keepLines w:val="0"/>
              <w:pageBreakBefore w:val="0"/>
              <w:widowControl/>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kern w:val="0"/>
                <w:sz w:val="20"/>
                <w:szCs w:val="22"/>
                <w:highlight w:val="none"/>
              </w:rPr>
            </w:pPr>
          </w:p>
        </w:tc>
        <w:tc>
          <w:tcPr>
            <w:tcW w:w="529" w:type="dxa"/>
            <w:vMerge w:val="restart"/>
            <w:vAlign w:val="center"/>
          </w:tcPr>
          <w:p w14:paraId="0BC0ECB3">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1548" w:type="dxa"/>
            <w:vMerge w:val="restart"/>
            <w:vAlign w:val="center"/>
          </w:tcPr>
          <w:p w14:paraId="78B078A2">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项目负责人及技术力量安排、行程中安排导游等</w:t>
            </w:r>
          </w:p>
          <w:p w14:paraId="73FF2BAE">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（综合评定）</w:t>
            </w:r>
          </w:p>
        </w:tc>
        <w:tc>
          <w:tcPr>
            <w:tcW w:w="4920" w:type="dxa"/>
            <w:vAlign w:val="center"/>
          </w:tcPr>
          <w:p w14:paraId="028FBCBA">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zh-CN" w:eastAsia="zh-CN"/>
              </w:rPr>
              <w:t>项目负责人的职业证书、行政荣誉、经验等情况，是否具有类似项目经验，是否具有调动各项资源的能力，由评标委员会</w:t>
            </w:r>
            <w:r>
              <w:rPr>
                <w:rFonts w:hint="eastAsia" w:ascii="宋体" w:hAnsi="宋体" w:eastAsia="宋体" w:cs="宋体"/>
                <w:color w:val="auto"/>
                <w:szCs w:val="24"/>
                <w:highlight w:val="none"/>
                <w:lang w:val="en-US" w:eastAsia="zh-CN"/>
              </w:rPr>
              <w:t>综合评定,满分5分</w:t>
            </w:r>
            <w:r>
              <w:rPr>
                <w:rFonts w:hint="eastAsia" w:cs="宋体"/>
                <w:color w:val="auto"/>
                <w:szCs w:val="24"/>
                <w:highlight w:val="none"/>
                <w:lang w:val="en-US" w:eastAsia="zh-CN"/>
              </w:rPr>
              <w:t>。</w:t>
            </w:r>
            <w:r>
              <w:rPr>
                <w:rFonts w:hint="eastAsia" w:ascii="宋体" w:hAnsi="宋体" w:eastAsia="宋体" w:cs="宋体"/>
                <w:color w:val="auto"/>
                <w:szCs w:val="24"/>
                <w:highlight w:val="none"/>
                <w:lang w:val="en-US" w:eastAsia="zh-CN"/>
              </w:rPr>
              <w:t xml:space="preserve"> </w:t>
            </w:r>
          </w:p>
        </w:tc>
        <w:tc>
          <w:tcPr>
            <w:tcW w:w="871" w:type="dxa"/>
            <w:vAlign w:val="center"/>
          </w:tcPr>
          <w:p w14:paraId="656DC643">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0-5分</w:t>
            </w:r>
          </w:p>
        </w:tc>
        <w:tc>
          <w:tcPr>
            <w:tcW w:w="1121" w:type="dxa"/>
            <w:vAlign w:val="center"/>
          </w:tcPr>
          <w:p w14:paraId="37015DB5">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3510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9" w:type="dxa"/>
            <w:vMerge w:val="continue"/>
            <w:vAlign w:val="center"/>
          </w:tcPr>
          <w:p w14:paraId="082125B9">
            <w:pPr>
              <w:keepNext w:val="0"/>
              <w:keepLines w:val="0"/>
              <w:pageBreakBefore w:val="0"/>
              <w:widowControl/>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kern w:val="0"/>
                <w:sz w:val="20"/>
                <w:szCs w:val="22"/>
                <w:highlight w:val="none"/>
              </w:rPr>
            </w:pPr>
          </w:p>
        </w:tc>
        <w:tc>
          <w:tcPr>
            <w:tcW w:w="529" w:type="dxa"/>
            <w:vMerge w:val="continue"/>
            <w:vAlign w:val="center"/>
          </w:tcPr>
          <w:p w14:paraId="41DCA1F9">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kern w:val="0"/>
                <w:sz w:val="24"/>
                <w:highlight w:val="none"/>
              </w:rPr>
            </w:pPr>
          </w:p>
        </w:tc>
        <w:tc>
          <w:tcPr>
            <w:tcW w:w="1548" w:type="dxa"/>
            <w:vMerge w:val="continue"/>
            <w:vAlign w:val="center"/>
          </w:tcPr>
          <w:p w14:paraId="2C0D9E18">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szCs w:val="24"/>
                <w:highlight w:val="none"/>
                <w:lang w:val="en-US" w:eastAsia="zh-CN"/>
              </w:rPr>
            </w:pPr>
          </w:p>
        </w:tc>
        <w:tc>
          <w:tcPr>
            <w:tcW w:w="4920" w:type="dxa"/>
            <w:vAlign w:val="center"/>
          </w:tcPr>
          <w:p w14:paraId="3BD4434C">
            <w:pPr>
              <w:pStyle w:val="404"/>
              <w:keepNext w:val="0"/>
              <w:keepLines w:val="0"/>
              <w:pageBreakBefore w:val="0"/>
              <w:widowControl/>
              <w:kinsoku/>
              <w:wordWrap/>
              <w:overflowPunct/>
              <w:topLinePunct w:val="0"/>
              <w:autoSpaceDE/>
              <w:autoSpaceDN/>
              <w:bidi w:val="0"/>
              <w:spacing w:after="0" w:afterLines="0" w:line="36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w:t>
            </w:r>
            <w:r>
              <w:rPr>
                <w:rFonts w:hint="eastAsia" w:ascii="宋体" w:hAnsi="宋体" w:eastAsia="宋体" w:cs="宋体"/>
                <w:color w:val="auto"/>
                <w:sz w:val="24"/>
                <w:szCs w:val="24"/>
                <w:highlight w:val="none"/>
              </w:rPr>
              <w:t>拥有全国</w:t>
            </w:r>
            <w:r>
              <w:rPr>
                <w:rFonts w:hint="eastAsia" w:ascii="宋体" w:hAnsi="宋体" w:eastAsia="宋体" w:cs="宋体"/>
                <w:color w:val="auto"/>
                <w:sz w:val="24"/>
                <w:szCs w:val="24"/>
                <w:highlight w:val="none"/>
                <w:lang w:val="en-US" w:eastAsia="zh-CN"/>
              </w:rPr>
              <w:t>金牌</w:t>
            </w:r>
            <w:r>
              <w:rPr>
                <w:rFonts w:hint="eastAsia" w:ascii="宋体" w:hAnsi="宋体" w:eastAsia="宋体" w:cs="宋体"/>
                <w:color w:val="auto"/>
                <w:sz w:val="24"/>
                <w:szCs w:val="24"/>
                <w:highlight w:val="none"/>
              </w:rPr>
              <w:t>导游员或高级导游员得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满分3分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拥有中级导游员或杭州市金牌得</w:t>
            </w:r>
            <w:r>
              <w:rPr>
                <w:rFonts w:hint="eastAsia" w:ascii="宋体" w:hAnsi="宋体" w:eastAsia="宋体" w:cs="宋体"/>
                <w:color w:val="auto"/>
                <w:sz w:val="24"/>
                <w:szCs w:val="24"/>
                <w:highlight w:val="none"/>
                <w:lang w:val="en-US" w:eastAsia="zh-CN"/>
              </w:rPr>
              <w:t>0.5分/人（满分1）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拥有区县级金牌得</w:t>
            </w:r>
            <w:r>
              <w:rPr>
                <w:rFonts w:hint="eastAsia" w:ascii="宋体" w:hAnsi="宋体" w:eastAsia="宋体" w:cs="宋体"/>
                <w:color w:val="auto"/>
                <w:sz w:val="24"/>
                <w:szCs w:val="24"/>
                <w:highlight w:val="none"/>
                <w:lang w:val="en-US" w:eastAsia="zh-CN"/>
              </w:rPr>
              <w:t>0.5分/人（满分1）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本项最高得</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2、供应商导游员持有《救护证书》（有效期内），每持有1人得0.5分，本项最高得2分。</w:t>
            </w:r>
          </w:p>
          <w:p w14:paraId="563EA5B4">
            <w:pPr>
              <w:pStyle w:val="63"/>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rPr>
              <w:t>（响应文件中提供</w:t>
            </w:r>
            <w:r>
              <w:rPr>
                <w:rFonts w:hint="eastAsia" w:ascii="宋体" w:hAnsi="宋体" w:eastAsia="宋体" w:cs="宋体"/>
                <w:color w:val="auto"/>
                <w:sz w:val="24"/>
                <w:szCs w:val="24"/>
                <w:highlight w:val="none"/>
                <w:lang w:val="en-US" w:eastAsia="zh-CN"/>
              </w:rPr>
              <w:t>交易会</w:t>
            </w:r>
            <w:r>
              <w:rPr>
                <w:rFonts w:hint="eastAsia" w:ascii="宋体" w:hAnsi="宋体" w:eastAsia="宋体" w:cs="宋体"/>
                <w:color w:val="auto"/>
                <w:sz w:val="24"/>
                <w:szCs w:val="24"/>
                <w:highlight w:val="none"/>
              </w:rPr>
              <w:t>截止前3个月在本单位在职社保证明、导游证及导游等级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救护</w:t>
            </w:r>
            <w:r>
              <w:rPr>
                <w:rFonts w:hint="eastAsia" w:ascii="宋体" w:hAnsi="宋体" w:eastAsia="宋体" w:cs="宋体"/>
                <w:color w:val="auto"/>
                <w:sz w:val="24"/>
                <w:szCs w:val="24"/>
                <w:highlight w:val="none"/>
              </w:rPr>
              <w:t>证书复印件、提供全国旅游监管服务平台——旅行社导游信息库中本单位导游信息【202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月份信息】</w:t>
            </w:r>
          </w:p>
        </w:tc>
        <w:tc>
          <w:tcPr>
            <w:tcW w:w="871" w:type="dxa"/>
            <w:vAlign w:val="center"/>
          </w:tcPr>
          <w:p w14:paraId="2B76C6D6">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b/>
                <w:bCs/>
                <w:color w:val="auto"/>
                <w:kern w:val="0"/>
                <w:sz w:val="20"/>
                <w:szCs w:val="21"/>
                <w:highlight w:val="none"/>
              </w:rPr>
            </w:pPr>
            <w:r>
              <w:rPr>
                <w:rFonts w:hint="eastAsia" w:ascii="宋体" w:hAnsi="宋体" w:cs="宋体"/>
                <w:color w:val="auto"/>
                <w:sz w:val="24"/>
                <w:highlight w:val="none"/>
                <w:lang w:val="en-US" w:eastAsia="zh-CN"/>
              </w:rPr>
              <w:t>0-7分</w:t>
            </w:r>
          </w:p>
        </w:tc>
        <w:tc>
          <w:tcPr>
            <w:tcW w:w="1121" w:type="dxa"/>
            <w:vAlign w:val="center"/>
          </w:tcPr>
          <w:p w14:paraId="627566DF">
            <w:pPr>
              <w:keepNext w:val="0"/>
              <w:keepLines w:val="0"/>
              <w:pageBreakBefore w:val="0"/>
              <w:kinsoku/>
              <w:wordWrap/>
              <w:overflowPunct/>
              <w:topLinePunct w:val="0"/>
              <w:autoSpaceDE/>
              <w:autoSpaceDN/>
              <w:bidi w:val="0"/>
              <w:adjustRightInd w:val="0"/>
              <w:spacing w:line="3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7C52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49" w:type="dxa"/>
            <w:vMerge w:val="continue"/>
            <w:vAlign w:val="center"/>
          </w:tcPr>
          <w:p w14:paraId="26DE2888">
            <w:pPr>
              <w:keepNext w:val="0"/>
              <w:keepLines w:val="0"/>
              <w:pageBreakBefore w:val="0"/>
              <w:widowControl/>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kern w:val="0"/>
                <w:sz w:val="20"/>
                <w:szCs w:val="22"/>
                <w:highlight w:val="none"/>
              </w:rPr>
            </w:pPr>
          </w:p>
        </w:tc>
        <w:tc>
          <w:tcPr>
            <w:tcW w:w="529" w:type="dxa"/>
            <w:vAlign w:val="center"/>
          </w:tcPr>
          <w:p w14:paraId="28BC7C85">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1548" w:type="dxa"/>
            <w:vAlign w:val="center"/>
          </w:tcPr>
          <w:p w14:paraId="3442788D">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对本项目的合理化建议</w:t>
            </w:r>
          </w:p>
        </w:tc>
        <w:tc>
          <w:tcPr>
            <w:tcW w:w="4920" w:type="dxa"/>
            <w:vAlign w:val="center"/>
          </w:tcPr>
          <w:p w14:paraId="6B7F731A">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在标书中规定的线路标准的基础上，根据投标方优化方案，提出合理化建议，</w:t>
            </w:r>
            <w:r>
              <w:rPr>
                <w:rFonts w:hint="eastAsia" w:ascii="宋体" w:hAnsi="宋体" w:eastAsia="宋体" w:cs="宋体"/>
                <w:color w:val="auto"/>
                <w:highlight w:val="none"/>
                <w:lang w:val="zh-CN" w:eastAsia="zh-CN"/>
              </w:rPr>
              <w:t>满分</w:t>
            </w:r>
            <w:r>
              <w:rPr>
                <w:rFonts w:hint="eastAsia" w:cs="宋体"/>
                <w:color w:val="auto"/>
                <w:highlight w:val="none"/>
                <w:lang w:val="en-US" w:eastAsia="zh-CN"/>
              </w:rPr>
              <w:t>4</w:t>
            </w:r>
            <w:r>
              <w:rPr>
                <w:rFonts w:hint="eastAsia" w:ascii="宋体" w:hAnsi="宋体" w:eastAsia="宋体" w:cs="宋体"/>
                <w:color w:val="auto"/>
                <w:highlight w:val="none"/>
                <w:lang w:val="zh-CN" w:eastAsia="zh-CN"/>
              </w:rPr>
              <w:t>分。</w:t>
            </w:r>
          </w:p>
        </w:tc>
        <w:tc>
          <w:tcPr>
            <w:tcW w:w="871" w:type="dxa"/>
            <w:vAlign w:val="center"/>
          </w:tcPr>
          <w:p w14:paraId="0908E81B">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0-4</w:t>
            </w:r>
            <w:r>
              <w:rPr>
                <w:rFonts w:hint="eastAsia" w:ascii="宋体" w:hAnsi="宋体" w:cs="宋体"/>
                <w:color w:val="auto"/>
                <w:sz w:val="24"/>
                <w:highlight w:val="none"/>
                <w:lang w:val="en-US" w:eastAsia="zh-CN"/>
              </w:rPr>
              <w:t>分</w:t>
            </w:r>
          </w:p>
        </w:tc>
        <w:tc>
          <w:tcPr>
            <w:tcW w:w="1121" w:type="dxa"/>
            <w:vAlign w:val="center"/>
          </w:tcPr>
          <w:p w14:paraId="55C39F70">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主观分</w:t>
            </w:r>
          </w:p>
        </w:tc>
      </w:tr>
      <w:tr w14:paraId="7005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49" w:type="dxa"/>
            <w:vMerge w:val="continue"/>
            <w:vAlign w:val="center"/>
          </w:tcPr>
          <w:p w14:paraId="7CC93994">
            <w:pPr>
              <w:keepNext w:val="0"/>
              <w:keepLines w:val="0"/>
              <w:pageBreakBefore w:val="0"/>
              <w:widowControl/>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kern w:val="0"/>
                <w:sz w:val="20"/>
                <w:szCs w:val="22"/>
                <w:highlight w:val="none"/>
              </w:rPr>
            </w:pPr>
          </w:p>
        </w:tc>
        <w:tc>
          <w:tcPr>
            <w:tcW w:w="529" w:type="dxa"/>
            <w:vAlign w:val="center"/>
          </w:tcPr>
          <w:p w14:paraId="058B2EF1">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1548" w:type="dxa"/>
            <w:vAlign w:val="center"/>
          </w:tcPr>
          <w:p w14:paraId="7B5F1249">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服务质量保证情况</w:t>
            </w:r>
          </w:p>
        </w:tc>
        <w:tc>
          <w:tcPr>
            <w:tcW w:w="4920" w:type="dxa"/>
            <w:vAlign w:val="center"/>
          </w:tcPr>
          <w:p w14:paraId="7AAAFA9B">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根据出行服务、人性化服务、与地接人员衔接服务等与本次疗休养有关的服务质量情况综合评定，</w:t>
            </w:r>
            <w:r>
              <w:rPr>
                <w:rFonts w:hint="eastAsia" w:ascii="宋体" w:hAnsi="宋体" w:eastAsia="宋体" w:cs="宋体"/>
                <w:color w:val="auto"/>
                <w:highlight w:val="none"/>
                <w:lang w:val="zh-CN" w:eastAsia="zh-CN"/>
              </w:rPr>
              <w:t>满分</w:t>
            </w:r>
            <w:r>
              <w:rPr>
                <w:rFonts w:hint="eastAsia" w:cs="宋体"/>
                <w:color w:val="auto"/>
                <w:highlight w:val="none"/>
                <w:lang w:val="en-US" w:eastAsia="zh-CN"/>
              </w:rPr>
              <w:t>4</w:t>
            </w:r>
            <w:r>
              <w:rPr>
                <w:rFonts w:hint="eastAsia" w:ascii="宋体" w:hAnsi="宋体" w:eastAsia="宋体" w:cs="宋体"/>
                <w:color w:val="auto"/>
                <w:highlight w:val="none"/>
                <w:lang w:val="zh-CN" w:eastAsia="zh-CN"/>
              </w:rPr>
              <w:t>分。</w:t>
            </w:r>
          </w:p>
        </w:tc>
        <w:tc>
          <w:tcPr>
            <w:tcW w:w="871" w:type="dxa"/>
            <w:vAlign w:val="center"/>
          </w:tcPr>
          <w:p w14:paraId="406D108B">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0-4</w:t>
            </w:r>
            <w:r>
              <w:rPr>
                <w:rFonts w:hint="eastAsia" w:ascii="宋体" w:hAnsi="宋体" w:cs="宋体"/>
                <w:color w:val="auto"/>
                <w:sz w:val="24"/>
                <w:highlight w:val="none"/>
                <w:lang w:val="en-US" w:eastAsia="zh-CN"/>
              </w:rPr>
              <w:t>分</w:t>
            </w:r>
          </w:p>
        </w:tc>
        <w:tc>
          <w:tcPr>
            <w:tcW w:w="1121" w:type="dxa"/>
            <w:vAlign w:val="center"/>
          </w:tcPr>
          <w:p w14:paraId="5E7378F0">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主观分</w:t>
            </w:r>
          </w:p>
        </w:tc>
      </w:tr>
      <w:tr w14:paraId="08B9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9" w:type="dxa"/>
            <w:vMerge w:val="continue"/>
            <w:vAlign w:val="center"/>
          </w:tcPr>
          <w:p w14:paraId="086E090E">
            <w:pPr>
              <w:keepNext w:val="0"/>
              <w:keepLines w:val="0"/>
              <w:pageBreakBefore w:val="0"/>
              <w:widowControl/>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kern w:val="0"/>
                <w:sz w:val="20"/>
                <w:szCs w:val="22"/>
                <w:highlight w:val="none"/>
              </w:rPr>
            </w:pPr>
          </w:p>
        </w:tc>
        <w:tc>
          <w:tcPr>
            <w:tcW w:w="529" w:type="dxa"/>
            <w:vAlign w:val="center"/>
          </w:tcPr>
          <w:p w14:paraId="47931A05">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1548" w:type="dxa"/>
            <w:vAlign w:val="center"/>
          </w:tcPr>
          <w:p w14:paraId="46418317">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服务承诺</w:t>
            </w:r>
          </w:p>
        </w:tc>
        <w:tc>
          <w:tcPr>
            <w:tcW w:w="4920" w:type="dxa"/>
            <w:vAlign w:val="center"/>
          </w:tcPr>
          <w:p w14:paraId="5C42BEA8">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w:t>
            </w:r>
            <w:r>
              <w:rPr>
                <w:rFonts w:hint="eastAsia" w:cs="宋体"/>
                <w:color w:val="auto"/>
                <w:highlight w:val="none"/>
                <w:lang w:val="en-US" w:eastAsia="zh-CN"/>
              </w:rPr>
              <w:t>供应商</w:t>
            </w:r>
            <w:r>
              <w:rPr>
                <w:rFonts w:hint="eastAsia" w:ascii="宋体" w:hAnsi="宋体" w:eastAsia="宋体" w:cs="宋体"/>
                <w:color w:val="auto"/>
                <w:highlight w:val="none"/>
                <w:lang w:val="en-US" w:eastAsia="zh-CN"/>
              </w:rPr>
              <w:t>提供后续服务计划等服务情况综合评定，</w:t>
            </w:r>
            <w:r>
              <w:rPr>
                <w:rFonts w:hint="eastAsia" w:ascii="宋体" w:hAnsi="宋体" w:eastAsia="宋体" w:cs="宋体"/>
                <w:color w:val="auto"/>
                <w:highlight w:val="none"/>
                <w:lang w:val="zh-CN" w:eastAsia="zh-CN"/>
              </w:rPr>
              <w:t>满分</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eastAsia="zh-CN"/>
              </w:rPr>
              <w:t>分。</w:t>
            </w:r>
          </w:p>
        </w:tc>
        <w:tc>
          <w:tcPr>
            <w:tcW w:w="871" w:type="dxa"/>
            <w:vAlign w:val="center"/>
          </w:tcPr>
          <w:p w14:paraId="69D760CF">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0-4</w:t>
            </w:r>
            <w:r>
              <w:rPr>
                <w:rFonts w:hint="eastAsia" w:ascii="宋体" w:hAnsi="宋体" w:cs="宋体"/>
                <w:color w:val="auto"/>
                <w:sz w:val="24"/>
                <w:highlight w:val="none"/>
                <w:lang w:val="en-US" w:eastAsia="zh-CN"/>
              </w:rPr>
              <w:t>分</w:t>
            </w:r>
          </w:p>
        </w:tc>
        <w:tc>
          <w:tcPr>
            <w:tcW w:w="1121" w:type="dxa"/>
            <w:vAlign w:val="center"/>
          </w:tcPr>
          <w:p w14:paraId="40FA26C8">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主观分</w:t>
            </w:r>
          </w:p>
        </w:tc>
      </w:tr>
      <w:tr w14:paraId="093D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9" w:type="dxa"/>
            <w:vMerge w:val="continue"/>
            <w:vAlign w:val="center"/>
          </w:tcPr>
          <w:p w14:paraId="6EC61D21">
            <w:pPr>
              <w:keepNext w:val="0"/>
              <w:keepLines w:val="0"/>
              <w:pageBreakBefore w:val="0"/>
              <w:widowControl/>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kern w:val="0"/>
                <w:sz w:val="20"/>
                <w:szCs w:val="22"/>
                <w:highlight w:val="none"/>
              </w:rPr>
            </w:pPr>
          </w:p>
        </w:tc>
        <w:tc>
          <w:tcPr>
            <w:tcW w:w="529" w:type="dxa"/>
            <w:vAlign w:val="center"/>
          </w:tcPr>
          <w:p w14:paraId="13A799DF">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1548" w:type="dxa"/>
            <w:vAlign w:val="center"/>
          </w:tcPr>
          <w:p w14:paraId="3A5940DF">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突发事件处理等情况</w:t>
            </w:r>
          </w:p>
        </w:tc>
        <w:tc>
          <w:tcPr>
            <w:tcW w:w="4920" w:type="dxa"/>
            <w:vAlign w:val="center"/>
          </w:tcPr>
          <w:p w14:paraId="5210B1AF">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w:t>
            </w:r>
            <w:r>
              <w:rPr>
                <w:rFonts w:hint="eastAsia" w:cs="宋体"/>
                <w:color w:val="auto"/>
                <w:highlight w:val="none"/>
                <w:lang w:val="en-US" w:eastAsia="zh-CN"/>
              </w:rPr>
              <w:t>供应商</w:t>
            </w:r>
            <w:r>
              <w:rPr>
                <w:rFonts w:hint="eastAsia" w:ascii="宋体" w:hAnsi="宋体" w:eastAsia="宋体" w:cs="宋体"/>
                <w:color w:val="auto"/>
                <w:highlight w:val="none"/>
                <w:lang w:val="en-US" w:eastAsia="zh-CN"/>
              </w:rPr>
              <w:t>提供详细的突发事件处理方案、安防措施、投诉、纠纷处理方案等情况综合评定，</w:t>
            </w:r>
            <w:r>
              <w:rPr>
                <w:rFonts w:hint="eastAsia" w:ascii="宋体" w:hAnsi="宋体" w:eastAsia="宋体" w:cs="宋体"/>
                <w:color w:val="auto"/>
                <w:highlight w:val="none"/>
                <w:lang w:val="zh-CN" w:eastAsia="zh-CN"/>
              </w:rPr>
              <w:t>满分</w:t>
            </w:r>
            <w:r>
              <w:rPr>
                <w:rFonts w:hint="eastAsia" w:cs="宋体"/>
                <w:color w:val="auto"/>
                <w:highlight w:val="none"/>
                <w:lang w:val="en-US" w:eastAsia="zh-CN"/>
              </w:rPr>
              <w:t>4</w:t>
            </w:r>
            <w:r>
              <w:rPr>
                <w:rFonts w:hint="eastAsia" w:ascii="宋体" w:hAnsi="宋体" w:eastAsia="宋体" w:cs="宋体"/>
                <w:color w:val="auto"/>
                <w:highlight w:val="none"/>
                <w:lang w:val="zh-CN" w:eastAsia="zh-CN"/>
              </w:rPr>
              <w:t>分。</w:t>
            </w:r>
          </w:p>
        </w:tc>
        <w:tc>
          <w:tcPr>
            <w:tcW w:w="871" w:type="dxa"/>
            <w:vAlign w:val="center"/>
          </w:tcPr>
          <w:p w14:paraId="01C8863B">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0-4</w:t>
            </w:r>
            <w:r>
              <w:rPr>
                <w:rFonts w:hint="eastAsia" w:ascii="宋体" w:hAnsi="宋体" w:cs="宋体"/>
                <w:color w:val="auto"/>
                <w:sz w:val="24"/>
                <w:highlight w:val="none"/>
                <w:lang w:val="en-US" w:eastAsia="zh-CN"/>
              </w:rPr>
              <w:t>分</w:t>
            </w:r>
          </w:p>
        </w:tc>
        <w:tc>
          <w:tcPr>
            <w:tcW w:w="1121" w:type="dxa"/>
            <w:vAlign w:val="center"/>
          </w:tcPr>
          <w:p w14:paraId="7B1DBCD9">
            <w:pPr>
              <w:pStyle w:val="27"/>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主观分</w:t>
            </w:r>
          </w:p>
        </w:tc>
      </w:tr>
    </w:tbl>
    <w:p w14:paraId="45432572">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66B4FBC9">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15E62B5C">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编制</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文件（商务技术文件部分）时，建议按此目录（序号和内容）提供评标标准相应的商务技术资料。</w:t>
      </w:r>
      <w:bookmarkStart w:id="384" w:name="_GoBack"/>
      <w:bookmarkEnd w:id="384"/>
    </w:p>
    <w:p w14:paraId="178BF749">
      <w:pPr>
        <w:widowControl/>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15</w:t>
      </w:r>
      <w:r>
        <w:rPr>
          <w:rFonts w:hint="eastAsia" w:ascii="宋体" w:hAnsi="宋体" w:eastAsia="宋体" w:cs="宋体"/>
          <w:b/>
          <w:bCs/>
          <w:color w:val="auto"/>
          <w:sz w:val="24"/>
          <w:highlight w:val="none"/>
        </w:rPr>
        <w:t>分）</w:t>
      </w:r>
    </w:p>
    <w:tbl>
      <w:tblPr>
        <w:tblStyle w:val="64"/>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6236"/>
      </w:tblGrid>
      <w:tr w14:paraId="6C69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94" w:type="dxa"/>
            <w:vAlign w:val="center"/>
          </w:tcPr>
          <w:p w14:paraId="2F47498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tc>
        <w:tc>
          <w:tcPr>
            <w:tcW w:w="6236" w:type="dxa"/>
            <w:vAlign w:val="center"/>
          </w:tcPr>
          <w:p w14:paraId="11F5A7D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526A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4" w:type="dxa"/>
            <w:vAlign w:val="center"/>
          </w:tcPr>
          <w:p w14:paraId="29045F75">
            <w:pPr>
              <w:autoSpaceDE w:val="0"/>
              <w:autoSpaceDN w:val="0"/>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价格权值=0.0</w:t>
            </w:r>
            <w:r>
              <w:rPr>
                <w:rFonts w:hint="eastAsia" w:ascii="宋体" w:hAnsi="宋体" w:cs="宋体"/>
                <w:color w:val="auto"/>
                <w:kern w:val="2"/>
                <w:sz w:val="24"/>
                <w:szCs w:val="24"/>
                <w:highlight w:val="none"/>
                <w:u w:val="none"/>
                <w:lang w:val="en-US" w:eastAsia="zh-CN" w:bidi="ar-SA"/>
              </w:rPr>
              <w:t>75</w:t>
            </w:r>
            <w:r>
              <w:rPr>
                <w:rFonts w:hint="eastAsia" w:ascii="宋体" w:hAnsi="宋体" w:eastAsia="宋体" w:cs="宋体"/>
                <w:color w:val="auto"/>
                <w:kern w:val="2"/>
                <w:sz w:val="24"/>
                <w:szCs w:val="24"/>
                <w:highlight w:val="none"/>
                <w:u w:val="none"/>
                <w:lang w:val="en-US" w:eastAsia="zh-CN" w:bidi="ar-SA"/>
              </w:rPr>
              <w:t>（线路一）</w:t>
            </w:r>
          </w:p>
        </w:tc>
        <w:tc>
          <w:tcPr>
            <w:tcW w:w="6236" w:type="dxa"/>
            <w:vAlign w:val="center"/>
          </w:tcPr>
          <w:p w14:paraId="5BF41A78">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14:paraId="3AD7F57C">
            <w:pPr>
              <w:autoSpaceDE w:val="0"/>
              <w:autoSpaceDN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响应报价</w:t>
            </w:r>
            <w:r>
              <w:rPr>
                <w:rFonts w:hint="eastAsia" w:ascii="宋体" w:hAnsi="宋体" w:eastAsia="宋体" w:cs="宋体"/>
                <w:color w:val="auto"/>
                <w:sz w:val="24"/>
                <w:highlight w:val="none"/>
              </w:rPr>
              <w:t>得分=(评标基准价／</w:t>
            </w:r>
            <w:r>
              <w:rPr>
                <w:rFonts w:hint="eastAsia" w:ascii="宋体" w:hAnsi="宋体" w:cs="宋体"/>
                <w:color w:val="auto"/>
                <w:sz w:val="24"/>
                <w:highlight w:val="none"/>
                <w:lang w:eastAsia="zh-CN"/>
              </w:rPr>
              <w:t>响应报价</w:t>
            </w:r>
            <w:r>
              <w:rPr>
                <w:rFonts w:hint="eastAsia" w:ascii="宋体" w:hAnsi="宋体" w:eastAsia="宋体" w:cs="宋体"/>
                <w:color w:val="auto"/>
                <w:sz w:val="24"/>
                <w:highlight w:val="none"/>
              </w:rPr>
              <w:t xml:space="preserve">)×价格权值×100 </w:t>
            </w:r>
          </w:p>
          <w:p w14:paraId="085C5E38">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r w14:paraId="5ECC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4" w:type="dxa"/>
            <w:vAlign w:val="center"/>
          </w:tcPr>
          <w:p w14:paraId="467551B2">
            <w:pPr>
              <w:autoSpaceDE w:val="0"/>
              <w:autoSpaceDN w:val="0"/>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价格权值=0.0</w:t>
            </w:r>
            <w:r>
              <w:rPr>
                <w:rFonts w:hint="eastAsia" w:ascii="宋体" w:hAnsi="宋体" w:cs="宋体"/>
                <w:color w:val="auto"/>
                <w:kern w:val="2"/>
                <w:sz w:val="24"/>
                <w:szCs w:val="24"/>
                <w:highlight w:val="none"/>
                <w:u w:val="none"/>
                <w:lang w:val="en-US" w:eastAsia="zh-CN" w:bidi="ar-SA"/>
              </w:rPr>
              <w:t>75</w:t>
            </w:r>
            <w:r>
              <w:rPr>
                <w:rFonts w:hint="eastAsia" w:ascii="宋体" w:hAnsi="宋体" w:eastAsia="宋体" w:cs="宋体"/>
                <w:color w:val="auto"/>
                <w:kern w:val="2"/>
                <w:sz w:val="24"/>
                <w:szCs w:val="24"/>
                <w:highlight w:val="none"/>
                <w:u w:val="none"/>
                <w:lang w:val="en-US" w:eastAsia="zh-CN" w:bidi="ar-SA"/>
              </w:rPr>
              <w:t>（线路二）</w:t>
            </w:r>
          </w:p>
        </w:tc>
        <w:tc>
          <w:tcPr>
            <w:tcW w:w="6236" w:type="dxa"/>
            <w:vAlign w:val="center"/>
          </w:tcPr>
          <w:p w14:paraId="6A85358A">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14:paraId="5657648B">
            <w:pPr>
              <w:autoSpaceDE w:val="0"/>
              <w:autoSpaceDN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响应报价</w:t>
            </w:r>
            <w:r>
              <w:rPr>
                <w:rFonts w:hint="eastAsia" w:ascii="宋体" w:hAnsi="宋体" w:eastAsia="宋体" w:cs="宋体"/>
                <w:color w:val="auto"/>
                <w:sz w:val="24"/>
                <w:highlight w:val="none"/>
              </w:rPr>
              <w:t>得分=(评标基准价／</w:t>
            </w:r>
            <w:r>
              <w:rPr>
                <w:rFonts w:hint="eastAsia" w:ascii="宋体" w:hAnsi="宋体" w:cs="宋体"/>
                <w:color w:val="auto"/>
                <w:sz w:val="24"/>
                <w:highlight w:val="none"/>
                <w:lang w:eastAsia="zh-CN"/>
              </w:rPr>
              <w:t>响应报价</w:t>
            </w:r>
            <w:r>
              <w:rPr>
                <w:rFonts w:hint="eastAsia" w:ascii="宋体" w:hAnsi="宋体" w:eastAsia="宋体" w:cs="宋体"/>
                <w:color w:val="auto"/>
                <w:sz w:val="24"/>
                <w:highlight w:val="none"/>
              </w:rPr>
              <w:t xml:space="preserve">)×价格权值×100 </w:t>
            </w:r>
          </w:p>
          <w:p w14:paraId="28A73AFF">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13713676">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30F3887A">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1E4EBD38">
      <w:pPr>
        <w:adjustRightInd/>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1FA34207">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50672BF0">
      <w:pPr>
        <w:spacing w:line="57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555B80B3">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5"/>
    <w:p w14:paraId="6988BA8A">
      <w:pPr>
        <w:spacing w:line="570" w:lineRule="exact"/>
        <w:ind w:firstLine="472" w:firstLineChars="196"/>
        <w:rPr>
          <w:rFonts w:hint="eastAsia" w:asciiTheme="minorEastAsia" w:hAnsiTheme="minorEastAsia" w:eastAsiaTheme="minorEastAsia" w:cstheme="minorEastAsia"/>
          <w:color w:val="auto"/>
          <w:kern w:val="0"/>
          <w:sz w:val="24"/>
          <w:highlight w:val="none"/>
        </w:rPr>
      </w:pPr>
      <w:bookmarkStart w:id="382" w:name="_Toc86217003"/>
      <w:bookmarkStart w:id="383" w:name="第五部分"/>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7FDC2444">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720BC756">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0EE4296C">
      <w:pPr>
        <w:spacing w:line="57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51623DDD">
      <w:pPr>
        <w:pStyle w:val="139"/>
        <w:spacing w:before="0" w:line="57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5419E543">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127B482D">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1FF983D2">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28854BF1">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1997662A">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4BE690C2">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60B3226B">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31549069">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2EE89694">
      <w:pPr>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58069E46">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60676EE">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57A26656">
      <w:pPr>
        <w:pStyle w:val="139"/>
        <w:spacing w:before="0" w:line="57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63C45006">
      <w:pPr>
        <w:pStyle w:val="27"/>
        <w:spacing w:line="570" w:lineRule="exact"/>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78B2BC13">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11B8A3BB">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5EF0E556">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2414FFC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19A14209">
      <w:pPr>
        <w:snapToGrid w:val="0"/>
        <w:spacing w:line="57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2B40739F">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7CB24566">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5513EF3A">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16FD9BF5">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233F2BF2">
      <w:pPr>
        <w:spacing w:line="57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7C4572A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675F9525">
      <w:pPr>
        <w:pStyle w:val="4"/>
        <w:spacing w:line="570" w:lineRule="exact"/>
        <w:ind w:left="862" w:leftChars="205"/>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34B3D07F">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577914C3">
      <w:pPr>
        <w:pStyle w:val="27"/>
        <w:snapToGrid w:val="0"/>
        <w:spacing w:line="57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4CBDB623">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41FF089C">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5AE8E349">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1FE9F488">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B5F48E0">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0635FEE8">
      <w:pPr>
        <w:pStyle w:val="27"/>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4315B602">
      <w:pPr>
        <w:pStyle w:val="27"/>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7888AFA0">
      <w:pPr>
        <w:pStyle w:val="27"/>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24DCD4E8">
      <w:pPr>
        <w:pStyle w:val="27"/>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257374D4">
      <w:pPr>
        <w:pStyle w:val="27"/>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031B16C9">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667BCEAD">
      <w:pPr>
        <w:pStyle w:val="27"/>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24A99328">
      <w:pPr>
        <w:pStyle w:val="27"/>
        <w:snapToGrid w:val="0"/>
        <w:spacing w:line="360" w:lineRule="auto"/>
        <w:rPr>
          <w:rFonts w:hint="eastAsia" w:asciiTheme="minorEastAsia" w:hAnsiTheme="minorEastAsia" w:eastAsiaTheme="minorEastAsia" w:cstheme="minorEastAsia"/>
          <w:color w:val="auto"/>
          <w:highlight w:val="none"/>
        </w:rPr>
      </w:pPr>
    </w:p>
    <w:p w14:paraId="20293282">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0E059B3C">
      <w:pPr>
        <w:numPr>
          <w:ilvl w:val="0"/>
          <w:numId w:val="2"/>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6B8B597E">
      <w:pPr>
        <w:pStyle w:val="27"/>
        <w:snapToGrid w:val="0"/>
        <w:spacing w:line="360" w:lineRule="auto"/>
        <w:jc w:val="righ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以最终签订版本为准</w:t>
      </w:r>
      <w:r>
        <w:rPr>
          <w:rFonts w:hint="eastAsia" w:asciiTheme="minorEastAsia" w:hAnsiTheme="minorEastAsia" w:eastAsiaTheme="minorEastAsia" w:cstheme="minorEastAsia"/>
          <w:color w:val="auto"/>
          <w:highlight w:val="none"/>
          <w:lang w:eastAsia="zh-CN"/>
        </w:rPr>
        <w:t>）</w:t>
      </w:r>
    </w:p>
    <w:p w14:paraId="2CB9C40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26ED746B">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年  月  日</w:t>
      </w:r>
    </w:p>
    <w:p w14:paraId="58032CC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62C0152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2819287E">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5E56E1F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）成交结果和公开竞争文件的要求，并经双方协调一致，订立本合同。</w:t>
      </w:r>
    </w:p>
    <w:p w14:paraId="3D405F0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11B5D30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5938591D">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3176AA3D">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3、公开竞争文件。</w:t>
      </w:r>
    </w:p>
    <w:p w14:paraId="107726B0">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0FF9892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4CFD2D3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12E0AEB4">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18125C2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1FF9811B">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1495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1FA137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0DCA76EF">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126DA04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24E644E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6FB3E7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421A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1563A4B">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175BDB7E">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66695195">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8388134">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3E537F4">
            <w:pPr>
              <w:spacing w:line="360" w:lineRule="auto"/>
              <w:jc w:val="center"/>
              <w:rPr>
                <w:rFonts w:hint="eastAsia" w:asciiTheme="minorEastAsia" w:hAnsiTheme="minorEastAsia" w:eastAsiaTheme="minorEastAsia" w:cstheme="minorEastAsia"/>
                <w:color w:val="auto"/>
                <w:sz w:val="24"/>
                <w:highlight w:val="none"/>
              </w:rPr>
            </w:pPr>
          </w:p>
        </w:tc>
      </w:tr>
      <w:tr w14:paraId="0DC8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5AA96E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160A4B5B">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799EE0A4">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428D21A">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0CD673AA">
            <w:pPr>
              <w:spacing w:line="360" w:lineRule="auto"/>
              <w:jc w:val="center"/>
              <w:rPr>
                <w:rFonts w:hint="eastAsia" w:asciiTheme="minorEastAsia" w:hAnsiTheme="minorEastAsia" w:eastAsiaTheme="minorEastAsia" w:cstheme="minorEastAsia"/>
                <w:color w:val="auto"/>
                <w:sz w:val="24"/>
                <w:highlight w:val="none"/>
              </w:rPr>
            </w:pPr>
          </w:p>
        </w:tc>
      </w:tr>
    </w:tbl>
    <w:p w14:paraId="1F23CE31">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7C9CEF57">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1.乙方应按公开竞争文件规定的时间向甲方提供有关技术资料。</w:t>
      </w:r>
    </w:p>
    <w:p w14:paraId="38184D8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6A2CAF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42AA726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046C4A8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59DEFA7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1B88AEAD">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407EA7C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18CBCEB4">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3A66573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503877F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1D5F63DD">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73C491DB">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参照交易需求。</w:t>
      </w:r>
    </w:p>
    <w:p w14:paraId="7EE7B71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409E86CE">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1AA90C62">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03CADB2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乙方应按公开竞争文件规定向甲方提供服务。</w:t>
      </w:r>
    </w:p>
    <w:p w14:paraId="33EE046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2C6FBAE1">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44C31AB7">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6FF6079F">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2.乙方未能如期提供服务的，每日向甲方支付合同款项的千分之六作为违约金。乙方超过约定日期3个工作日仍不能提供服务的，甲方可解除本合同，追究乙赔偿责任。  3.如发现乙方违反公开竞争文件、响应文件和合同的有关规定，甲方有权根据约定和《杭州市政府采购响应人合同履行和售后服务考核暂行办法》，对乙方进行处罚，并有权提前终止合同。</w:t>
      </w:r>
    </w:p>
    <w:p w14:paraId="77681197">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2C43BA9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68422A7B">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320B81B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2324250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1251B8D3">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133A2E56">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06214DDF">
      <w:pPr>
        <w:pStyle w:val="27"/>
        <w:snapToGrid w:val="0"/>
        <w:spacing w:line="360" w:lineRule="auto"/>
        <w:rPr>
          <w:rFonts w:hint="eastAsia" w:asciiTheme="minorEastAsia" w:hAnsiTheme="minorEastAsia" w:eastAsiaTheme="minorEastAsia" w:cstheme="minorEastAsia"/>
          <w:color w:val="auto"/>
          <w:highlight w:val="none"/>
        </w:rPr>
      </w:pPr>
    </w:p>
    <w:p w14:paraId="79F4BB2A">
      <w:pPr>
        <w:pStyle w:val="27"/>
        <w:snapToGrid w:val="0"/>
        <w:spacing w:line="360" w:lineRule="auto"/>
        <w:rPr>
          <w:rFonts w:hint="eastAsia" w:asciiTheme="minorEastAsia" w:hAnsiTheme="minorEastAsia" w:eastAsiaTheme="minorEastAsia" w:cstheme="minorEastAsia"/>
          <w:color w:val="auto"/>
          <w:highlight w:val="none"/>
        </w:rPr>
      </w:pPr>
    </w:p>
    <w:p w14:paraId="78ECDFE5">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130201B7">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4AF1611D">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7C28B660">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51188E4B">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592211FC">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7143A17B">
      <w:pPr>
        <w:pStyle w:val="27"/>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r>
        <w:rPr>
          <w:rFonts w:hint="eastAsia" w:asciiTheme="minorEastAsia" w:hAnsiTheme="minorEastAsia" w:eastAsiaTheme="minorEastAsia" w:cstheme="minorEastAsia"/>
          <w:color w:val="auto"/>
          <w:highlight w:val="none"/>
        </w:rPr>
        <w:br w:type="page"/>
      </w:r>
    </w:p>
    <w:p w14:paraId="64EAB3D5">
      <w:pPr>
        <w:rPr>
          <w:rFonts w:hint="eastAsia" w:asciiTheme="minorEastAsia" w:hAnsiTheme="minorEastAsia" w:eastAsiaTheme="minorEastAsia" w:cstheme="minorEastAsia"/>
          <w:color w:val="auto"/>
          <w:highlight w:val="none"/>
        </w:rPr>
      </w:pPr>
    </w:p>
    <w:p w14:paraId="131D1684">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2"/>
      <w:bookmarkEnd w:id="383"/>
      <w:r>
        <w:rPr>
          <w:rFonts w:hint="eastAsia" w:asciiTheme="minorEastAsia" w:hAnsiTheme="minorEastAsia" w:eastAsiaTheme="minorEastAsia" w:cstheme="minorEastAsia"/>
          <w:b/>
          <w:color w:val="auto"/>
          <w:sz w:val="36"/>
          <w:szCs w:val="20"/>
          <w:highlight w:val="none"/>
        </w:rPr>
        <w:t>应提交的有关格式范例</w:t>
      </w:r>
    </w:p>
    <w:p w14:paraId="0F251FE2">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CA32604">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3C35A4CD">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142F03F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FF6D94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60782C3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433E7AD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7D77AF29">
      <w:pPr>
        <w:spacing w:line="360" w:lineRule="auto"/>
        <w:ind w:firstLine="480" w:firstLineChars="200"/>
        <w:rPr>
          <w:rFonts w:hint="eastAsia" w:asciiTheme="minorEastAsia" w:hAnsiTheme="minorEastAsia" w:eastAsiaTheme="minorEastAsia" w:cstheme="minorEastAsia"/>
          <w:color w:val="auto"/>
          <w:sz w:val="24"/>
          <w:highlight w:val="none"/>
        </w:rPr>
      </w:pPr>
    </w:p>
    <w:p w14:paraId="022B007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2C11BBE1">
      <w:pPr>
        <w:snapToGrid w:val="0"/>
        <w:spacing w:line="360" w:lineRule="auto"/>
        <w:rPr>
          <w:rFonts w:hint="eastAsia" w:asciiTheme="minorEastAsia" w:hAnsiTheme="minorEastAsia" w:eastAsiaTheme="minorEastAsia" w:cstheme="minorEastAsia"/>
          <w:color w:val="auto"/>
          <w:sz w:val="24"/>
          <w:highlight w:val="none"/>
        </w:rPr>
      </w:pPr>
    </w:p>
    <w:p w14:paraId="20D45853">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121880E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105C84AE">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33C1B8D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3F1A121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2EA992E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78EB2BF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568AB94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6DEEFEB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62B7999B">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4DE7908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F9A8966">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19E30319">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5408243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7659278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3C7155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6E76B2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7377ACE">
      <w:pPr>
        <w:rPr>
          <w:rFonts w:hint="eastAsia" w:asciiTheme="minorEastAsia" w:hAnsiTheme="minorEastAsia" w:eastAsiaTheme="minorEastAsia" w:cstheme="minorEastAsia"/>
          <w:color w:val="auto"/>
          <w:highlight w:val="none"/>
        </w:rPr>
      </w:pPr>
    </w:p>
    <w:p w14:paraId="717EB224">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59FEFF49">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61AFEAE">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AD4BA97">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66A3E3A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18AFA903">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067EF8F">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523AA890">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10AE70CD">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7FC3850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5D06E2D">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1520590">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280755AF">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5B72B553">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3A548140">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52CF76E0">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00887B93">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05B19BC8">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15F6A5E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6F0137A4">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6D0D9D53">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1D590B31">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3DBE1F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B951DF3">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60D3924">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9F76E76">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2B53DB3">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2244D9EC">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EF39901">
      <w:pPr>
        <w:rPr>
          <w:rFonts w:hint="eastAsia" w:asciiTheme="minorEastAsia" w:hAnsiTheme="minorEastAsia" w:eastAsiaTheme="minorEastAsia" w:cstheme="minorEastAsia"/>
          <w:color w:val="auto"/>
          <w:highlight w:val="none"/>
        </w:rPr>
      </w:pPr>
    </w:p>
    <w:p w14:paraId="5666B2FA">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331D31BD">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3B88CF4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25B78B0F">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6538A7D">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65131A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43AF875">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481A9EB4">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052DC4C5">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63B5E029">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12017311">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45788931">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4DB43533">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21D1754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41A6E81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244DFF91">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27DB3D3E">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04EB73C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1F0673DE">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3219147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205D4C9D">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68EAB84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039A536D">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72E88995">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1734CD8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17C1213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6669485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5F2DA1E2">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74CBE945">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6B1B96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4.3按照公开竞争文件要求提交履约保证金； </w:t>
      </w:r>
    </w:p>
    <w:p w14:paraId="4153F563">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44F76DD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93440F0">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7CCC68C8">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2D03085B">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3787B21">
      <w:pPr>
        <w:pStyle w:val="5"/>
        <w:rPr>
          <w:rFonts w:hint="eastAsia" w:asciiTheme="minorEastAsia" w:hAnsiTheme="minorEastAsia" w:eastAsiaTheme="minorEastAsia" w:cstheme="minorEastAsia"/>
          <w:color w:val="auto"/>
          <w:highlight w:val="none"/>
          <w:lang w:val="en-US"/>
        </w:rPr>
      </w:pPr>
    </w:p>
    <w:p w14:paraId="0A49DFBB">
      <w:pPr>
        <w:jc w:val="center"/>
        <w:rPr>
          <w:rFonts w:hint="eastAsia" w:asciiTheme="minorEastAsia" w:hAnsiTheme="minorEastAsia" w:eastAsiaTheme="minorEastAsia" w:cstheme="minorEastAsia"/>
          <w:b/>
          <w:color w:val="auto"/>
          <w:kern w:val="0"/>
          <w:sz w:val="32"/>
          <w:szCs w:val="32"/>
          <w:highlight w:val="none"/>
        </w:rPr>
      </w:pPr>
    </w:p>
    <w:p w14:paraId="2D3D4F7D">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79AFA07D">
      <w:pPr>
        <w:snapToGrid w:val="0"/>
        <w:spacing w:line="360" w:lineRule="auto"/>
        <w:rPr>
          <w:rFonts w:hint="eastAsia" w:asciiTheme="minorEastAsia" w:hAnsiTheme="minorEastAsia" w:eastAsiaTheme="minorEastAsia" w:cstheme="minorEastAsia"/>
          <w:color w:val="auto"/>
          <w:sz w:val="24"/>
          <w:highlight w:val="none"/>
        </w:rPr>
      </w:pPr>
    </w:p>
    <w:p w14:paraId="7777941D">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489AA56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62B32697">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2E344F9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14F25F0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5CACDCD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3145E891">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049D23F1">
      <w:pPr>
        <w:snapToGrid w:val="0"/>
        <w:spacing w:line="360" w:lineRule="auto"/>
        <w:rPr>
          <w:rFonts w:hint="eastAsia" w:asciiTheme="minorEastAsia" w:hAnsiTheme="minorEastAsia" w:eastAsiaTheme="minorEastAsia" w:cstheme="minorEastAsia"/>
          <w:color w:val="auto"/>
          <w:sz w:val="24"/>
          <w:highlight w:val="none"/>
        </w:rPr>
      </w:pPr>
    </w:p>
    <w:p w14:paraId="6F7FBB7F">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10C9B8D5">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1E2F1600">
      <w:pPr>
        <w:pStyle w:val="15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48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44ECA1F">
            <w:pPr>
              <w:pStyle w:val="15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2C1B491F">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6DD8133B">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43242C2">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2CA0508B">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66EA5913">
      <w:pPr>
        <w:jc w:val="center"/>
        <w:rPr>
          <w:rFonts w:hint="eastAsia" w:asciiTheme="minorEastAsia" w:hAnsiTheme="minorEastAsia" w:eastAsiaTheme="minorEastAsia" w:cstheme="minorEastAsia"/>
          <w:b/>
          <w:color w:val="auto"/>
          <w:kern w:val="0"/>
          <w:sz w:val="32"/>
          <w:szCs w:val="32"/>
          <w:highlight w:val="none"/>
        </w:rPr>
      </w:pPr>
    </w:p>
    <w:p w14:paraId="76978E2C">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152010B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38D53218">
      <w:pPr>
        <w:jc w:val="center"/>
        <w:rPr>
          <w:rFonts w:hint="eastAsia" w:asciiTheme="minorEastAsia" w:hAnsiTheme="minorEastAsia" w:eastAsiaTheme="minorEastAsia" w:cstheme="minorEastAsia"/>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F0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224BFB08">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306CA57E">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5D494A41">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53F0117C">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1BE54F57">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1924BEC6">
      <w:pPr>
        <w:jc w:val="center"/>
        <w:rPr>
          <w:rFonts w:hint="eastAsia" w:asciiTheme="minorEastAsia" w:hAnsiTheme="minorEastAsia" w:eastAsiaTheme="minorEastAsia" w:cstheme="minorEastAsia"/>
          <w:b/>
          <w:color w:val="auto"/>
          <w:kern w:val="0"/>
          <w:sz w:val="32"/>
          <w:szCs w:val="32"/>
          <w:highlight w:val="none"/>
        </w:rPr>
      </w:pPr>
    </w:p>
    <w:p w14:paraId="49409606">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46AF97A0">
      <w:pPr>
        <w:jc w:val="center"/>
        <w:rPr>
          <w:rFonts w:hint="eastAsia" w:asciiTheme="minorEastAsia" w:hAnsiTheme="minorEastAsia" w:eastAsiaTheme="minorEastAsia" w:cstheme="min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600B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7FED0B">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5A385168">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73A26F0F">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B9C23C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078A9B3A">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601F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41D09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10B65BD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4A3F6CD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4AB36122">
            <w:pPr>
              <w:jc w:val="center"/>
              <w:rPr>
                <w:rFonts w:hint="eastAsia" w:asciiTheme="minorEastAsia" w:hAnsiTheme="minorEastAsia" w:eastAsiaTheme="minorEastAsia" w:cstheme="minorEastAsia"/>
                <w:color w:val="auto"/>
                <w:sz w:val="24"/>
                <w:highlight w:val="none"/>
              </w:rPr>
            </w:pPr>
          </w:p>
          <w:p w14:paraId="67EB269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1E9252A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78C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C1682F">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7D56B29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1321D0F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1CD0C55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5CFF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5A0C6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0232438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1B3CE4A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13F8C0B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8DA52D3">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B3E82D8">
      <w:pPr>
        <w:jc w:val="center"/>
        <w:rPr>
          <w:rFonts w:hint="eastAsia" w:asciiTheme="minorEastAsia" w:hAnsiTheme="minorEastAsia" w:eastAsiaTheme="minorEastAsia" w:cstheme="minorEastAsia"/>
          <w:b/>
          <w:color w:val="auto"/>
          <w:kern w:val="0"/>
          <w:sz w:val="32"/>
          <w:szCs w:val="32"/>
          <w:highlight w:val="none"/>
        </w:rPr>
      </w:pPr>
    </w:p>
    <w:p w14:paraId="0404F0DB">
      <w:pPr>
        <w:jc w:val="center"/>
        <w:rPr>
          <w:rFonts w:hint="eastAsia" w:asciiTheme="minorEastAsia" w:hAnsiTheme="minorEastAsia" w:eastAsiaTheme="minorEastAsia" w:cstheme="minorEastAsia"/>
          <w:b/>
          <w:color w:val="auto"/>
          <w:kern w:val="0"/>
          <w:sz w:val="32"/>
          <w:szCs w:val="32"/>
          <w:highlight w:val="none"/>
        </w:rPr>
      </w:pPr>
    </w:p>
    <w:p w14:paraId="0F48180B">
      <w:pPr>
        <w:rPr>
          <w:rFonts w:hint="eastAsia" w:asciiTheme="minorEastAsia" w:hAnsiTheme="minorEastAsia" w:eastAsiaTheme="minorEastAsia" w:cstheme="minorEastAsia"/>
          <w:b/>
          <w:color w:val="auto"/>
          <w:kern w:val="0"/>
          <w:sz w:val="32"/>
          <w:szCs w:val="32"/>
          <w:highlight w:val="none"/>
        </w:rPr>
      </w:pPr>
    </w:p>
    <w:p w14:paraId="13CB0629">
      <w:pPr>
        <w:jc w:val="center"/>
        <w:rPr>
          <w:rFonts w:hint="eastAsia" w:asciiTheme="minorEastAsia" w:hAnsiTheme="minorEastAsia" w:eastAsiaTheme="minorEastAsia" w:cstheme="minorEastAsia"/>
          <w:b/>
          <w:color w:val="auto"/>
          <w:kern w:val="0"/>
          <w:sz w:val="32"/>
          <w:szCs w:val="32"/>
          <w:highlight w:val="none"/>
        </w:rPr>
      </w:pPr>
    </w:p>
    <w:p w14:paraId="58EE2C3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05C19A98">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2EA5ED30">
      <w:pPr>
        <w:jc w:val="center"/>
        <w:rPr>
          <w:rFonts w:hint="eastAsia" w:asciiTheme="minorEastAsia" w:hAnsiTheme="minorEastAsia" w:eastAsiaTheme="minorEastAsia" w:cstheme="minorEastAsia"/>
          <w:b/>
          <w:color w:val="auto"/>
          <w:kern w:val="0"/>
          <w:sz w:val="32"/>
          <w:szCs w:val="32"/>
          <w:highlight w:val="none"/>
        </w:rPr>
      </w:pPr>
    </w:p>
    <w:p w14:paraId="71621F52">
      <w:pPr>
        <w:jc w:val="center"/>
        <w:rPr>
          <w:rFonts w:hint="eastAsia" w:asciiTheme="minorEastAsia" w:hAnsiTheme="minorEastAsia" w:eastAsiaTheme="minorEastAsia" w:cstheme="minorEastAsia"/>
          <w:b/>
          <w:color w:val="auto"/>
          <w:kern w:val="0"/>
          <w:sz w:val="32"/>
          <w:szCs w:val="32"/>
          <w:highlight w:val="none"/>
        </w:rPr>
      </w:pPr>
    </w:p>
    <w:p w14:paraId="7C536F37">
      <w:pPr>
        <w:jc w:val="center"/>
        <w:rPr>
          <w:rFonts w:hint="eastAsia" w:asciiTheme="minorEastAsia" w:hAnsiTheme="minorEastAsia" w:eastAsiaTheme="minorEastAsia" w:cstheme="minorEastAsia"/>
          <w:b/>
          <w:color w:val="auto"/>
          <w:kern w:val="0"/>
          <w:sz w:val="32"/>
          <w:szCs w:val="32"/>
          <w:highlight w:val="none"/>
        </w:rPr>
      </w:pPr>
    </w:p>
    <w:p w14:paraId="7D88550C">
      <w:pPr>
        <w:jc w:val="center"/>
        <w:rPr>
          <w:rFonts w:hint="eastAsia" w:asciiTheme="minorEastAsia" w:hAnsiTheme="minorEastAsia" w:eastAsiaTheme="minorEastAsia" w:cstheme="minorEastAsia"/>
          <w:b/>
          <w:color w:val="auto"/>
          <w:kern w:val="0"/>
          <w:sz w:val="32"/>
          <w:szCs w:val="32"/>
          <w:highlight w:val="none"/>
        </w:rPr>
      </w:pPr>
    </w:p>
    <w:p w14:paraId="2DE10AC5">
      <w:pPr>
        <w:jc w:val="center"/>
        <w:rPr>
          <w:rFonts w:hint="eastAsia" w:asciiTheme="minorEastAsia" w:hAnsiTheme="minorEastAsia" w:eastAsiaTheme="minorEastAsia" w:cstheme="minorEastAsia"/>
          <w:b/>
          <w:color w:val="auto"/>
          <w:kern w:val="0"/>
          <w:sz w:val="32"/>
          <w:szCs w:val="32"/>
          <w:highlight w:val="none"/>
        </w:rPr>
      </w:pPr>
    </w:p>
    <w:p w14:paraId="78CF39AC">
      <w:pPr>
        <w:pStyle w:val="6"/>
        <w:rPr>
          <w:rFonts w:hint="eastAsia" w:asciiTheme="minorEastAsia" w:hAnsiTheme="minorEastAsia" w:eastAsiaTheme="minorEastAsia" w:cstheme="minorEastAsia"/>
          <w:b/>
          <w:color w:val="auto"/>
          <w:kern w:val="0"/>
          <w:sz w:val="32"/>
          <w:szCs w:val="32"/>
          <w:highlight w:val="none"/>
        </w:rPr>
      </w:pPr>
    </w:p>
    <w:p w14:paraId="100280DC">
      <w:pPr>
        <w:pStyle w:val="7"/>
        <w:rPr>
          <w:rFonts w:hint="eastAsia" w:asciiTheme="minorEastAsia" w:hAnsiTheme="minorEastAsia" w:eastAsiaTheme="minorEastAsia" w:cstheme="minorEastAsia"/>
          <w:color w:val="auto"/>
          <w:highlight w:val="none"/>
        </w:rPr>
      </w:pPr>
    </w:p>
    <w:p w14:paraId="3C0DD77F">
      <w:pPr>
        <w:jc w:val="center"/>
        <w:rPr>
          <w:rFonts w:hint="eastAsia" w:asciiTheme="minorEastAsia" w:hAnsiTheme="minorEastAsia" w:eastAsiaTheme="minorEastAsia" w:cstheme="minorEastAsia"/>
          <w:b/>
          <w:color w:val="auto"/>
          <w:kern w:val="0"/>
          <w:sz w:val="32"/>
          <w:szCs w:val="32"/>
          <w:highlight w:val="none"/>
        </w:rPr>
      </w:pPr>
    </w:p>
    <w:p w14:paraId="66E8B810">
      <w:pPr>
        <w:jc w:val="center"/>
        <w:rPr>
          <w:rFonts w:hint="eastAsia" w:asciiTheme="minorEastAsia" w:hAnsiTheme="minorEastAsia" w:eastAsiaTheme="minorEastAsia" w:cstheme="minorEastAsia"/>
          <w:b/>
          <w:color w:val="auto"/>
          <w:kern w:val="0"/>
          <w:sz w:val="32"/>
          <w:szCs w:val="32"/>
          <w:highlight w:val="none"/>
        </w:rPr>
      </w:pPr>
    </w:p>
    <w:p w14:paraId="061CAA4B">
      <w:pPr>
        <w:jc w:val="center"/>
        <w:rPr>
          <w:rFonts w:hint="eastAsia" w:asciiTheme="minorEastAsia" w:hAnsiTheme="minorEastAsia" w:eastAsiaTheme="minorEastAsia" w:cstheme="minorEastAsia"/>
          <w:b/>
          <w:color w:val="auto"/>
          <w:kern w:val="0"/>
          <w:sz w:val="32"/>
          <w:szCs w:val="32"/>
          <w:highlight w:val="none"/>
        </w:rPr>
      </w:pPr>
    </w:p>
    <w:p w14:paraId="21CBA6DD">
      <w:pPr>
        <w:jc w:val="center"/>
        <w:rPr>
          <w:rFonts w:hint="eastAsia" w:asciiTheme="minorEastAsia" w:hAnsiTheme="minorEastAsia" w:eastAsiaTheme="minorEastAsia" w:cstheme="minorEastAsia"/>
          <w:b/>
          <w:color w:val="auto"/>
          <w:kern w:val="0"/>
          <w:sz w:val="32"/>
          <w:szCs w:val="32"/>
          <w:highlight w:val="none"/>
        </w:rPr>
      </w:pPr>
    </w:p>
    <w:p w14:paraId="5B2B07D6">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01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11FF3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4BD5110B">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6" w:type="dxa"/>
          </w:tcPr>
          <w:p w14:paraId="30078D8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71C08082">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01C3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1CBB11">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1080035C">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7D6650F9">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8EF14AF">
            <w:pPr>
              <w:jc w:val="center"/>
              <w:rPr>
                <w:rFonts w:hint="eastAsia" w:asciiTheme="minorEastAsia" w:hAnsiTheme="minorEastAsia" w:eastAsiaTheme="minorEastAsia" w:cstheme="minorEastAsia"/>
                <w:b/>
                <w:color w:val="auto"/>
                <w:kern w:val="0"/>
                <w:sz w:val="32"/>
                <w:szCs w:val="32"/>
                <w:highlight w:val="none"/>
              </w:rPr>
            </w:pPr>
          </w:p>
        </w:tc>
      </w:tr>
      <w:tr w14:paraId="44FF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4D3A3A">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05D62C3B">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335D13F4">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271045D">
            <w:pPr>
              <w:jc w:val="center"/>
              <w:rPr>
                <w:rFonts w:hint="eastAsia" w:asciiTheme="minorEastAsia" w:hAnsiTheme="minorEastAsia" w:eastAsiaTheme="minorEastAsia" w:cstheme="minorEastAsia"/>
                <w:b/>
                <w:color w:val="auto"/>
                <w:kern w:val="0"/>
                <w:sz w:val="32"/>
                <w:szCs w:val="32"/>
                <w:highlight w:val="none"/>
              </w:rPr>
            </w:pPr>
          </w:p>
        </w:tc>
      </w:tr>
      <w:tr w14:paraId="6BA4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A0D8DA">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1881298C">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2BA46430">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2FFF3272">
            <w:pPr>
              <w:jc w:val="center"/>
              <w:rPr>
                <w:rFonts w:hint="eastAsia" w:asciiTheme="minorEastAsia" w:hAnsiTheme="minorEastAsia" w:eastAsiaTheme="minorEastAsia" w:cstheme="minorEastAsia"/>
                <w:b/>
                <w:color w:val="auto"/>
                <w:kern w:val="0"/>
                <w:sz w:val="32"/>
                <w:szCs w:val="32"/>
                <w:highlight w:val="none"/>
              </w:rPr>
            </w:pPr>
          </w:p>
        </w:tc>
      </w:tr>
    </w:tbl>
    <w:p w14:paraId="177BBAFE">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085BE163">
      <w:pPr>
        <w:jc w:val="center"/>
        <w:rPr>
          <w:rFonts w:hint="eastAsia" w:asciiTheme="minorEastAsia" w:hAnsiTheme="minorEastAsia" w:eastAsiaTheme="minorEastAsia" w:cstheme="minorEastAsia"/>
          <w:b/>
          <w:color w:val="auto"/>
          <w:kern w:val="0"/>
          <w:sz w:val="32"/>
          <w:szCs w:val="32"/>
          <w:highlight w:val="none"/>
        </w:rPr>
      </w:pPr>
    </w:p>
    <w:p w14:paraId="1D3E9C3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692BD17">
      <w:pPr>
        <w:jc w:val="center"/>
        <w:rPr>
          <w:rFonts w:hint="eastAsia" w:asciiTheme="minorEastAsia" w:hAnsiTheme="minorEastAsia" w:eastAsiaTheme="minorEastAsia" w:cstheme="minorEastAsia"/>
          <w:b/>
          <w:color w:val="auto"/>
          <w:kern w:val="0"/>
          <w:sz w:val="32"/>
          <w:szCs w:val="32"/>
          <w:highlight w:val="none"/>
        </w:rPr>
      </w:pPr>
    </w:p>
    <w:p w14:paraId="48F6A2C7">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5BE70B3C">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3E185BEF">
      <w:pPr>
        <w:snapToGrid w:val="0"/>
        <w:spacing w:line="360" w:lineRule="auto"/>
        <w:rPr>
          <w:rFonts w:hint="eastAsia" w:asciiTheme="minorEastAsia" w:hAnsiTheme="minorEastAsia" w:eastAsiaTheme="minorEastAsia" w:cstheme="minorEastAsia"/>
          <w:color w:val="auto"/>
          <w:sz w:val="24"/>
          <w:highlight w:val="none"/>
        </w:rPr>
      </w:pPr>
    </w:p>
    <w:p w14:paraId="2FF0FA3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0AD6DF6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369E2739">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62AE9E3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584325A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0B29337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1D3300E7">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415EBD5">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69AD31C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0B6BDE6D">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25AF309A">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1DC50045">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13910361">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BFCBFDB">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618682EC">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0F5E8B51">
      <w:pPr>
        <w:spacing w:line="360" w:lineRule="auto"/>
        <w:jc w:val="center"/>
        <w:rPr>
          <w:rFonts w:hint="eastAsia" w:asciiTheme="minorEastAsia" w:hAnsiTheme="minorEastAsia" w:eastAsiaTheme="minorEastAsia" w:cstheme="minorEastAsia"/>
          <w:b/>
          <w:bCs/>
          <w:color w:val="auto"/>
          <w:sz w:val="24"/>
          <w:highlight w:val="none"/>
        </w:rPr>
      </w:pPr>
    </w:p>
    <w:p w14:paraId="5F5674D4">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2A60F32A">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p>
    <w:p w14:paraId="3086EF2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64F0A1B7">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648A1F62">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64D56287">
      <w:pPr>
        <w:snapToGrid w:val="0"/>
        <w:spacing w:line="360" w:lineRule="auto"/>
        <w:rPr>
          <w:rFonts w:hint="eastAsia" w:asciiTheme="minorEastAsia" w:hAnsiTheme="minorEastAsia" w:eastAsiaTheme="minorEastAsia" w:cstheme="minorEastAsia"/>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62668730">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6AB5387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4204C47A">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0429D52E">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4"/>
        <w:tblW w:w="14358"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6416"/>
        <w:gridCol w:w="1236"/>
        <w:gridCol w:w="1299"/>
        <w:gridCol w:w="2535"/>
        <w:gridCol w:w="2145"/>
      </w:tblGrid>
      <w:tr w14:paraId="3AAB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7" w:type="dxa"/>
            <w:tcBorders>
              <w:top w:val="single" w:color="auto" w:sz="4" w:space="0"/>
              <w:left w:val="single" w:color="auto" w:sz="4" w:space="0"/>
              <w:bottom w:val="single" w:color="auto" w:sz="4" w:space="0"/>
              <w:right w:val="single" w:color="auto" w:sz="4" w:space="0"/>
            </w:tcBorders>
            <w:vAlign w:val="center"/>
          </w:tcPr>
          <w:p w14:paraId="1E54601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6416" w:type="dxa"/>
            <w:tcBorders>
              <w:top w:val="single" w:color="auto" w:sz="4" w:space="0"/>
              <w:left w:val="single" w:color="auto" w:sz="4" w:space="0"/>
              <w:bottom w:val="single" w:color="auto" w:sz="4" w:space="0"/>
              <w:right w:val="single" w:color="auto" w:sz="4" w:space="0"/>
            </w:tcBorders>
            <w:vAlign w:val="center"/>
          </w:tcPr>
          <w:p w14:paraId="21E6505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236" w:type="dxa"/>
            <w:tcBorders>
              <w:top w:val="single" w:color="auto" w:sz="4" w:space="0"/>
              <w:left w:val="single" w:color="auto" w:sz="4" w:space="0"/>
              <w:bottom w:val="single" w:color="auto" w:sz="4" w:space="0"/>
              <w:right w:val="single" w:color="auto" w:sz="4" w:space="0"/>
            </w:tcBorders>
            <w:vAlign w:val="center"/>
          </w:tcPr>
          <w:p w14:paraId="778F934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具体服务</w:t>
            </w:r>
          </w:p>
        </w:tc>
        <w:tc>
          <w:tcPr>
            <w:tcW w:w="1299" w:type="dxa"/>
            <w:tcBorders>
              <w:top w:val="single" w:color="auto" w:sz="4" w:space="0"/>
              <w:left w:val="single" w:color="auto" w:sz="4" w:space="0"/>
              <w:bottom w:val="single" w:color="auto" w:sz="4" w:space="0"/>
              <w:right w:val="single" w:color="auto" w:sz="4" w:space="0"/>
            </w:tcBorders>
            <w:vAlign w:val="center"/>
          </w:tcPr>
          <w:p w14:paraId="46372C2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2535" w:type="dxa"/>
            <w:tcBorders>
              <w:top w:val="single" w:color="auto" w:sz="4" w:space="0"/>
              <w:left w:val="single" w:color="auto" w:sz="4" w:space="0"/>
              <w:bottom w:val="single" w:color="auto" w:sz="4" w:space="0"/>
              <w:right w:val="single" w:color="auto" w:sz="4" w:space="0"/>
            </w:tcBorders>
            <w:vAlign w:val="center"/>
          </w:tcPr>
          <w:p w14:paraId="5DA8D7A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响应报价</w:t>
            </w:r>
            <w:r>
              <w:rPr>
                <w:rFonts w:hint="eastAsia" w:ascii="宋体" w:hAnsi="宋体" w:eastAsia="宋体" w:cs="宋体"/>
                <w:b/>
                <w:color w:val="auto"/>
                <w:sz w:val="24"/>
                <w:szCs w:val="24"/>
                <w:highlight w:val="none"/>
              </w:rPr>
              <w:t>（单价）</w:t>
            </w:r>
          </w:p>
        </w:tc>
        <w:tc>
          <w:tcPr>
            <w:tcW w:w="2145" w:type="dxa"/>
            <w:tcBorders>
              <w:top w:val="single" w:color="auto" w:sz="4" w:space="0"/>
              <w:left w:val="single" w:color="auto" w:sz="4" w:space="0"/>
              <w:bottom w:val="single" w:color="auto" w:sz="4" w:space="0"/>
              <w:right w:val="single" w:color="auto" w:sz="4" w:space="0"/>
            </w:tcBorders>
            <w:vAlign w:val="center"/>
          </w:tcPr>
          <w:p w14:paraId="7FBB6E5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tc>
      </w:tr>
      <w:tr w14:paraId="7297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7" w:type="dxa"/>
            <w:tcBorders>
              <w:top w:val="single" w:color="auto" w:sz="4" w:space="0"/>
              <w:left w:val="single" w:color="auto" w:sz="4" w:space="0"/>
              <w:bottom w:val="single" w:color="auto" w:sz="4" w:space="0"/>
              <w:right w:val="single" w:color="auto" w:sz="4" w:space="0"/>
            </w:tcBorders>
            <w:vAlign w:val="center"/>
          </w:tcPr>
          <w:p w14:paraId="4FE56E9A">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16" w:type="dxa"/>
            <w:tcBorders>
              <w:top w:val="single" w:color="auto" w:sz="4" w:space="0"/>
              <w:left w:val="single" w:color="auto" w:sz="4" w:space="0"/>
              <w:bottom w:val="single" w:color="auto" w:sz="4" w:space="0"/>
              <w:right w:val="single" w:color="auto" w:sz="4" w:space="0"/>
            </w:tcBorders>
            <w:vAlign w:val="center"/>
          </w:tcPr>
          <w:p w14:paraId="6C3265E7">
            <w:pPr>
              <w:keepNext w:val="0"/>
              <w:keepLines w:val="0"/>
              <w:pageBreakBefore w:val="0"/>
              <w:widowControl w:val="0"/>
              <w:kinsoku/>
              <w:wordWrap/>
              <w:overflowPunct/>
              <w:topLinePunct w:val="0"/>
              <w:autoSpaceDE/>
              <w:autoSpaceDN/>
              <w:bidi w:val="0"/>
              <w:adjustRightInd w:val="0"/>
              <w:spacing w:line="420" w:lineRule="exact"/>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线路一：</w:t>
            </w:r>
            <w:r>
              <w:rPr>
                <w:rFonts w:hint="eastAsia" w:ascii="宋体" w:hAnsi="宋体" w:cs="宋体"/>
                <w:color w:val="auto"/>
                <w:kern w:val="0"/>
                <w:sz w:val="24"/>
                <w:szCs w:val="24"/>
                <w:highlight w:val="none"/>
                <w:lang w:val="zh-CN"/>
              </w:rPr>
              <w:t>湖州</w:t>
            </w:r>
            <w:r>
              <w:rPr>
                <w:rFonts w:hint="eastAsia" w:ascii="宋体" w:hAnsi="宋体" w:eastAsia="宋体" w:cs="宋体"/>
                <w:color w:val="auto"/>
                <w:kern w:val="0"/>
                <w:sz w:val="24"/>
                <w:szCs w:val="24"/>
                <w:highlight w:val="none"/>
                <w:lang w:val="zh-CN"/>
              </w:rPr>
              <w:t>往返</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日疗休养行程</w:t>
            </w:r>
          </w:p>
        </w:tc>
        <w:tc>
          <w:tcPr>
            <w:tcW w:w="1236" w:type="dxa"/>
            <w:tcBorders>
              <w:top w:val="single" w:color="auto" w:sz="4" w:space="0"/>
              <w:left w:val="single" w:color="auto" w:sz="4" w:space="0"/>
              <w:bottom w:val="single" w:color="auto" w:sz="4" w:space="0"/>
              <w:right w:val="single" w:color="auto" w:sz="4" w:space="0"/>
            </w:tcBorders>
            <w:vAlign w:val="center"/>
          </w:tcPr>
          <w:p w14:paraId="7B1C36F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14:paraId="4E926DB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35" w:type="dxa"/>
            <w:tcBorders>
              <w:top w:val="single" w:color="auto" w:sz="4" w:space="0"/>
              <w:left w:val="single" w:color="auto" w:sz="4" w:space="0"/>
              <w:bottom w:val="single" w:color="auto" w:sz="4" w:space="0"/>
              <w:right w:val="single" w:color="auto" w:sz="4" w:space="0"/>
            </w:tcBorders>
            <w:vAlign w:val="center"/>
          </w:tcPr>
          <w:p w14:paraId="74B8B6E5">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元/人</w:t>
            </w:r>
            <w:r>
              <w:rPr>
                <w:rFonts w:hint="eastAsia" w:ascii="宋体" w:hAnsi="宋体" w:eastAsia="宋体" w:cs="宋体"/>
                <w:b/>
                <w:bCs/>
                <w:color w:val="auto"/>
                <w:sz w:val="24"/>
                <w:szCs w:val="24"/>
                <w:highlight w:val="none"/>
                <w:lang w:val="en-US" w:eastAsia="zh-CN"/>
              </w:rPr>
              <w:t>次</w:t>
            </w:r>
          </w:p>
        </w:tc>
        <w:tc>
          <w:tcPr>
            <w:tcW w:w="2145" w:type="dxa"/>
            <w:tcBorders>
              <w:top w:val="single" w:color="auto" w:sz="4" w:space="0"/>
              <w:left w:val="single" w:color="auto" w:sz="4" w:space="0"/>
              <w:bottom w:val="single" w:color="auto" w:sz="4" w:space="0"/>
              <w:right w:val="single" w:color="auto" w:sz="4" w:space="0"/>
            </w:tcBorders>
            <w:vAlign w:val="center"/>
          </w:tcPr>
          <w:p w14:paraId="0EE2017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p>
        </w:tc>
      </w:tr>
      <w:tr w14:paraId="3F4A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7" w:type="dxa"/>
            <w:tcBorders>
              <w:top w:val="single" w:color="auto" w:sz="4" w:space="0"/>
              <w:left w:val="single" w:color="auto" w:sz="4" w:space="0"/>
              <w:bottom w:val="single" w:color="auto" w:sz="4" w:space="0"/>
              <w:right w:val="single" w:color="auto" w:sz="4" w:space="0"/>
            </w:tcBorders>
            <w:vAlign w:val="center"/>
          </w:tcPr>
          <w:p w14:paraId="41BF49B3">
            <w:pPr>
              <w:keepNext w:val="0"/>
              <w:keepLines w:val="0"/>
              <w:pageBreakBefore w:val="0"/>
              <w:widowControl w:val="0"/>
              <w:tabs>
                <w:tab w:val="center" w:pos="4153"/>
              </w:tabs>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6416" w:type="dxa"/>
            <w:tcBorders>
              <w:top w:val="single" w:color="auto" w:sz="4" w:space="0"/>
              <w:left w:val="single" w:color="auto" w:sz="4" w:space="0"/>
              <w:bottom w:val="single" w:color="auto" w:sz="4" w:space="0"/>
              <w:right w:val="single" w:color="auto" w:sz="4" w:space="0"/>
            </w:tcBorders>
            <w:vAlign w:val="center"/>
          </w:tcPr>
          <w:p w14:paraId="18ABFCFC">
            <w:pPr>
              <w:keepNext w:val="0"/>
              <w:keepLines w:val="0"/>
              <w:pageBreakBefore w:val="0"/>
              <w:widowControl w:val="0"/>
              <w:kinsoku/>
              <w:wordWrap/>
              <w:overflowPunct/>
              <w:topLinePunct w:val="0"/>
              <w:autoSpaceDE/>
              <w:autoSpaceDN/>
              <w:bidi w:val="0"/>
              <w:adjustRightInd w:val="0"/>
              <w:spacing w:line="4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w:t>
            </w:r>
          </w:p>
        </w:tc>
        <w:tc>
          <w:tcPr>
            <w:tcW w:w="1236" w:type="dxa"/>
            <w:tcBorders>
              <w:top w:val="single" w:color="auto" w:sz="4" w:space="0"/>
              <w:left w:val="single" w:color="auto" w:sz="4" w:space="0"/>
              <w:bottom w:val="single" w:color="auto" w:sz="4" w:space="0"/>
              <w:right w:val="single" w:color="auto" w:sz="4" w:space="0"/>
            </w:tcBorders>
            <w:vAlign w:val="center"/>
          </w:tcPr>
          <w:p w14:paraId="7C05049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14:paraId="14E9AFC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2535" w:type="dxa"/>
            <w:tcBorders>
              <w:top w:val="single" w:color="auto" w:sz="4" w:space="0"/>
              <w:left w:val="single" w:color="auto" w:sz="4" w:space="0"/>
              <w:bottom w:val="single" w:color="auto" w:sz="4" w:space="0"/>
              <w:right w:val="single" w:color="auto" w:sz="4" w:space="0"/>
            </w:tcBorders>
            <w:vAlign w:val="center"/>
          </w:tcPr>
          <w:p w14:paraId="34A80B6C">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bCs/>
                <w:color w:val="auto"/>
                <w:sz w:val="24"/>
                <w:szCs w:val="24"/>
                <w:highlight w:val="none"/>
                <w:u w:val="single"/>
                <w:lang w:val="en-US" w:eastAsia="zh-CN"/>
              </w:rPr>
            </w:pPr>
          </w:p>
        </w:tc>
        <w:tc>
          <w:tcPr>
            <w:tcW w:w="2145" w:type="dxa"/>
            <w:tcBorders>
              <w:top w:val="single" w:color="auto" w:sz="4" w:space="0"/>
              <w:left w:val="single" w:color="auto" w:sz="4" w:space="0"/>
              <w:bottom w:val="single" w:color="auto" w:sz="4" w:space="0"/>
              <w:right w:val="single" w:color="auto" w:sz="4" w:space="0"/>
            </w:tcBorders>
            <w:vAlign w:val="center"/>
          </w:tcPr>
          <w:p w14:paraId="3887029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p>
        </w:tc>
      </w:tr>
      <w:tr w14:paraId="4C42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7" w:type="dxa"/>
            <w:tcBorders>
              <w:top w:val="single" w:color="auto" w:sz="4" w:space="0"/>
              <w:left w:val="single" w:color="auto" w:sz="4" w:space="0"/>
              <w:bottom w:val="single" w:color="auto" w:sz="4" w:space="0"/>
              <w:right w:val="single" w:color="auto" w:sz="4" w:space="0"/>
            </w:tcBorders>
            <w:vAlign w:val="center"/>
          </w:tcPr>
          <w:p w14:paraId="74FC5F12">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416" w:type="dxa"/>
            <w:tcBorders>
              <w:top w:val="single" w:color="auto" w:sz="4" w:space="0"/>
              <w:left w:val="single" w:color="auto" w:sz="4" w:space="0"/>
              <w:bottom w:val="single" w:color="auto" w:sz="4" w:space="0"/>
              <w:right w:val="single" w:color="auto" w:sz="4" w:space="0"/>
            </w:tcBorders>
            <w:vAlign w:val="center"/>
          </w:tcPr>
          <w:p w14:paraId="76D07ADB">
            <w:pPr>
              <w:keepNext w:val="0"/>
              <w:keepLines w:val="0"/>
              <w:pageBreakBefore w:val="0"/>
              <w:widowControl w:val="0"/>
              <w:kinsoku/>
              <w:wordWrap/>
              <w:overflowPunct/>
              <w:topLinePunct w:val="0"/>
              <w:autoSpaceDE/>
              <w:autoSpaceDN/>
              <w:bidi w:val="0"/>
              <w:adjustRightInd w:val="0"/>
              <w:spacing w:line="420" w:lineRule="exact"/>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线路二：</w:t>
            </w:r>
            <w:r>
              <w:rPr>
                <w:rFonts w:hint="eastAsia" w:ascii="宋体" w:hAnsi="宋体" w:cs="宋体"/>
                <w:color w:val="auto"/>
                <w:kern w:val="0"/>
                <w:sz w:val="24"/>
                <w:szCs w:val="24"/>
                <w:highlight w:val="none"/>
                <w:lang w:val="zh-CN"/>
              </w:rPr>
              <w:t>长春</w:t>
            </w:r>
            <w:r>
              <w:rPr>
                <w:rFonts w:hint="eastAsia" w:ascii="宋体" w:hAnsi="宋体" w:eastAsia="宋体" w:cs="宋体"/>
                <w:color w:val="auto"/>
                <w:kern w:val="0"/>
                <w:sz w:val="24"/>
                <w:szCs w:val="24"/>
                <w:highlight w:val="none"/>
                <w:lang w:val="zh-CN"/>
              </w:rPr>
              <w:t>往返4天疗休养行程</w:t>
            </w:r>
          </w:p>
        </w:tc>
        <w:tc>
          <w:tcPr>
            <w:tcW w:w="1236" w:type="dxa"/>
            <w:tcBorders>
              <w:top w:val="single" w:color="auto" w:sz="4" w:space="0"/>
              <w:left w:val="single" w:color="auto" w:sz="4" w:space="0"/>
              <w:bottom w:val="single" w:color="auto" w:sz="4" w:space="0"/>
              <w:right w:val="single" w:color="auto" w:sz="4" w:space="0"/>
            </w:tcBorders>
            <w:vAlign w:val="center"/>
          </w:tcPr>
          <w:p w14:paraId="54D5F37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14:paraId="60E7888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35" w:type="dxa"/>
            <w:tcBorders>
              <w:top w:val="single" w:color="auto" w:sz="4" w:space="0"/>
              <w:left w:val="single" w:color="auto" w:sz="4" w:space="0"/>
              <w:bottom w:val="single" w:color="auto" w:sz="4" w:space="0"/>
              <w:right w:val="single" w:color="auto" w:sz="4" w:space="0"/>
            </w:tcBorders>
            <w:vAlign w:val="center"/>
          </w:tcPr>
          <w:p w14:paraId="07B6ED8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元/人</w:t>
            </w:r>
            <w:r>
              <w:rPr>
                <w:rFonts w:hint="eastAsia" w:ascii="宋体" w:hAnsi="宋体" w:eastAsia="宋体" w:cs="宋体"/>
                <w:b/>
                <w:bCs/>
                <w:color w:val="auto"/>
                <w:sz w:val="24"/>
                <w:szCs w:val="24"/>
                <w:highlight w:val="none"/>
                <w:lang w:val="en-US" w:eastAsia="zh-CN"/>
              </w:rPr>
              <w:t>次</w:t>
            </w:r>
          </w:p>
        </w:tc>
        <w:tc>
          <w:tcPr>
            <w:tcW w:w="2145" w:type="dxa"/>
            <w:tcBorders>
              <w:top w:val="single" w:color="auto" w:sz="4" w:space="0"/>
              <w:left w:val="single" w:color="auto" w:sz="4" w:space="0"/>
              <w:bottom w:val="single" w:color="auto" w:sz="4" w:space="0"/>
              <w:right w:val="single" w:color="auto" w:sz="4" w:space="0"/>
            </w:tcBorders>
            <w:vAlign w:val="center"/>
          </w:tcPr>
          <w:p w14:paraId="03BF024C">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p>
        </w:tc>
      </w:tr>
      <w:tr w14:paraId="1824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27" w:type="dxa"/>
            <w:tcBorders>
              <w:top w:val="single" w:color="auto" w:sz="4" w:space="0"/>
              <w:left w:val="single" w:color="auto" w:sz="4" w:space="0"/>
              <w:bottom w:val="single" w:color="auto" w:sz="4" w:space="0"/>
              <w:right w:val="single" w:color="auto" w:sz="4" w:space="0"/>
            </w:tcBorders>
            <w:vAlign w:val="center"/>
          </w:tcPr>
          <w:p w14:paraId="72B0538B">
            <w:pPr>
              <w:keepNext w:val="0"/>
              <w:keepLines w:val="0"/>
              <w:pageBreakBefore w:val="0"/>
              <w:widowControl w:val="0"/>
              <w:tabs>
                <w:tab w:val="center" w:pos="4153"/>
              </w:tabs>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w:t>
            </w:r>
          </w:p>
        </w:tc>
        <w:tc>
          <w:tcPr>
            <w:tcW w:w="6416" w:type="dxa"/>
            <w:tcBorders>
              <w:top w:val="single" w:color="auto" w:sz="4" w:space="0"/>
              <w:left w:val="single" w:color="auto" w:sz="4" w:space="0"/>
              <w:bottom w:val="single" w:color="auto" w:sz="4" w:space="0"/>
              <w:right w:val="single" w:color="auto" w:sz="4" w:space="0"/>
            </w:tcBorders>
            <w:vAlign w:val="center"/>
          </w:tcPr>
          <w:p w14:paraId="0C7B2944">
            <w:pPr>
              <w:keepNext w:val="0"/>
              <w:keepLines w:val="0"/>
              <w:pageBreakBefore w:val="0"/>
              <w:widowControl w:val="0"/>
              <w:kinsoku/>
              <w:wordWrap/>
              <w:overflowPunct/>
              <w:topLinePunct w:val="0"/>
              <w:autoSpaceDE/>
              <w:autoSpaceDN/>
              <w:bidi w:val="0"/>
              <w:adjustRightInd w:val="0"/>
              <w:spacing w:line="420" w:lineRule="exact"/>
              <w:ind w:left="-2"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w:t>
            </w:r>
          </w:p>
        </w:tc>
        <w:tc>
          <w:tcPr>
            <w:tcW w:w="1236" w:type="dxa"/>
            <w:tcBorders>
              <w:top w:val="single" w:color="auto" w:sz="4" w:space="0"/>
              <w:left w:val="single" w:color="auto" w:sz="4" w:space="0"/>
              <w:bottom w:val="single" w:color="auto" w:sz="4" w:space="0"/>
              <w:right w:val="single" w:color="auto" w:sz="4" w:space="0"/>
            </w:tcBorders>
            <w:vAlign w:val="center"/>
          </w:tcPr>
          <w:p w14:paraId="289615D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14:paraId="47A6DF9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2535" w:type="dxa"/>
            <w:tcBorders>
              <w:top w:val="single" w:color="auto" w:sz="4" w:space="0"/>
              <w:left w:val="single" w:color="auto" w:sz="4" w:space="0"/>
              <w:bottom w:val="single" w:color="auto" w:sz="4" w:space="0"/>
              <w:right w:val="single" w:color="auto" w:sz="4" w:space="0"/>
            </w:tcBorders>
            <w:vAlign w:val="center"/>
          </w:tcPr>
          <w:p w14:paraId="32A252C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bCs/>
                <w:color w:val="auto"/>
                <w:sz w:val="24"/>
                <w:szCs w:val="24"/>
                <w:highlight w:val="none"/>
                <w:u w:val="single"/>
                <w:lang w:val="en-US" w:eastAsia="zh-CN"/>
              </w:rPr>
            </w:pPr>
          </w:p>
        </w:tc>
        <w:tc>
          <w:tcPr>
            <w:tcW w:w="2145" w:type="dxa"/>
            <w:tcBorders>
              <w:top w:val="single" w:color="auto" w:sz="4" w:space="0"/>
              <w:left w:val="single" w:color="auto" w:sz="4" w:space="0"/>
              <w:bottom w:val="single" w:color="auto" w:sz="4" w:space="0"/>
              <w:right w:val="single" w:color="auto" w:sz="4" w:space="0"/>
            </w:tcBorders>
            <w:vAlign w:val="center"/>
          </w:tcPr>
          <w:p w14:paraId="60B0335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p>
        </w:tc>
      </w:tr>
    </w:tbl>
    <w:p w14:paraId="282BEB1C">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36FFB404">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6A06E63E">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4D6951C1">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2AA2D6F7">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0597150F">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63B5F732">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7E99DFDD">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10B20091">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78F3CF90">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0BAE7123">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0CF30CA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3FFC836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2CD11C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8707BC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0E811E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B9639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31A7F67">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16C790E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2D78893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2C21B9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46C20BB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4613F5D7">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2092189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70D99B9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0691D6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3F9F39F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E76D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780668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796DEA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25C221C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0074366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12E433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0C59B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C29D9E2">
      <w:pPr>
        <w:spacing w:line="360" w:lineRule="auto"/>
        <w:jc w:val="center"/>
        <w:rPr>
          <w:rFonts w:hint="eastAsia" w:ascii="宋体" w:hAnsi="宋体" w:cs="宋体"/>
          <w:b/>
          <w:bCs/>
          <w:color w:val="auto"/>
          <w:sz w:val="24"/>
          <w:highlight w:val="none"/>
        </w:rPr>
      </w:pPr>
    </w:p>
    <w:p w14:paraId="6757EC1E">
      <w:pPr>
        <w:spacing w:line="360" w:lineRule="auto"/>
        <w:rPr>
          <w:rFonts w:hint="eastAsia" w:ascii="宋体" w:hAnsi="宋体" w:cs="宋体"/>
          <w:b/>
          <w:color w:val="auto"/>
          <w:sz w:val="24"/>
          <w:highlight w:val="none"/>
        </w:rPr>
      </w:pPr>
    </w:p>
    <w:p w14:paraId="4A7805F9">
      <w:pPr>
        <w:spacing w:line="360" w:lineRule="auto"/>
        <w:rPr>
          <w:rFonts w:hint="eastAsia" w:ascii="宋体" w:hAnsi="宋体" w:cs="宋体"/>
          <w:b/>
          <w:color w:val="auto"/>
          <w:sz w:val="24"/>
          <w:highlight w:val="none"/>
        </w:rPr>
      </w:pPr>
    </w:p>
    <w:p w14:paraId="28DA6BEB">
      <w:pPr>
        <w:spacing w:line="360" w:lineRule="auto"/>
        <w:rPr>
          <w:rFonts w:hint="eastAsia" w:ascii="宋体" w:hAnsi="宋体" w:cs="宋体"/>
          <w:b/>
          <w:color w:val="auto"/>
          <w:sz w:val="24"/>
          <w:highlight w:val="none"/>
        </w:rPr>
      </w:pPr>
    </w:p>
    <w:p w14:paraId="6C07913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7820496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2469A17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1622362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75C658E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225BD87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3967746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347A2975">
      <w:pPr>
        <w:widowControl/>
        <w:spacing w:line="360" w:lineRule="auto"/>
        <w:ind w:firstLine="600" w:firstLineChars="200"/>
        <w:jc w:val="left"/>
        <w:rPr>
          <w:rFonts w:hint="eastAsia" w:ascii="宋体" w:hAnsi="宋体" w:cs="宋体"/>
          <w:color w:val="auto"/>
          <w:sz w:val="30"/>
          <w:szCs w:val="30"/>
          <w:highlight w:val="none"/>
        </w:rPr>
      </w:pPr>
    </w:p>
    <w:p w14:paraId="7E9F0B9A">
      <w:pPr>
        <w:spacing w:line="360" w:lineRule="auto"/>
        <w:jc w:val="center"/>
        <w:rPr>
          <w:rFonts w:hint="eastAsia" w:ascii="宋体" w:hAnsi="宋体" w:cs="宋体"/>
          <w:b/>
          <w:color w:val="auto"/>
          <w:spacing w:val="6"/>
          <w:sz w:val="32"/>
          <w:szCs w:val="32"/>
          <w:highlight w:val="none"/>
        </w:rPr>
      </w:pPr>
    </w:p>
    <w:p w14:paraId="66707A83">
      <w:pPr>
        <w:spacing w:line="360" w:lineRule="auto"/>
        <w:jc w:val="center"/>
        <w:rPr>
          <w:rFonts w:hint="eastAsia" w:ascii="宋体" w:hAnsi="宋体" w:cs="宋体"/>
          <w:b/>
          <w:color w:val="auto"/>
          <w:spacing w:val="6"/>
          <w:sz w:val="32"/>
          <w:szCs w:val="32"/>
          <w:highlight w:val="none"/>
        </w:rPr>
      </w:pPr>
    </w:p>
    <w:p w14:paraId="14C12924">
      <w:pPr>
        <w:spacing w:line="360" w:lineRule="auto"/>
        <w:jc w:val="center"/>
        <w:rPr>
          <w:rFonts w:hint="eastAsia" w:ascii="宋体" w:hAnsi="宋体" w:cs="宋体"/>
          <w:b/>
          <w:color w:val="auto"/>
          <w:spacing w:val="6"/>
          <w:sz w:val="32"/>
          <w:szCs w:val="32"/>
          <w:highlight w:val="none"/>
        </w:rPr>
      </w:pPr>
    </w:p>
    <w:p w14:paraId="7337D346">
      <w:pPr>
        <w:spacing w:line="360" w:lineRule="auto"/>
        <w:jc w:val="center"/>
        <w:rPr>
          <w:rFonts w:hint="eastAsia" w:ascii="宋体" w:hAnsi="宋体" w:cs="宋体"/>
          <w:b/>
          <w:color w:val="auto"/>
          <w:spacing w:val="6"/>
          <w:sz w:val="32"/>
          <w:szCs w:val="32"/>
          <w:highlight w:val="none"/>
        </w:rPr>
      </w:pPr>
    </w:p>
    <w:p w14:paraId="6DD88C54">
      <w:pPr>
        <w:spacing w:line="360" w:lineRule="auto"/>
        <w:jc w:val="center"/>
        <w:rPr>
          <w:rFonts w:hint="eastAsia" w:ascii="宋体" w:hAnsi="宋体" w:cs="宋体"/>
          <w:b/>
          <w:color w:val="auto"/>
          <w:spacing w:val="6"/>
          <w:sz w:val="32"/>
          <w:szCs w:val="32"/>
          <w:highlight w:val="none"/>
        </w:rPr>
      </w:pPr>
    </w:p>
    <w:p w14:paraId="446BF791">
      <w:pPr>
        <w:spacing w:line="360" w:lineRule="auto"/>
        <w:jc w:val="center"/>
        <w:rPr>
          <w:rFonts w:hint="eastAsia" w:ascii="宋体" w:hAnsi="宋体" w:cs="宋体"/>
          <w:b/>
          <w:color w:val="auto"/>
          <w:spacing w:val="6"/>
          <w:sz w:val="32"/>
          <w:szCs w:val="32"/>
          <w:highlight w:val="none"/>
        </w:rPr>
      </w:pPr>
    </w:p>
    <w:p w14:paraId="67D96DC8">
      <w:pPr>
        <w:spacing w:line="360" w:lineRule="auto"/>
        <w:jc w:val="center"/>
        <w:rPr>
          <w:rFonts w:hint="eastAsia" w:ascii="宋体" w:hAnsi="宋体" w:cs="宋体"/>
          <w:b/>
          <w:color w:val="auto"/>
          <w:spacing w:val="6"/>
          <w:sz w:val="32"/>
          <w:szCs w:val="32"/>
          <w:highlight w:val="none"/>
        </w:rPr>
      </w:pPr>
    </w:p>
    <w:p w14:paraId="2AA6EB9E">
      <w:pPr>
        <w:spacing w:line="360" w:lineRule="auto"/>
        <w:jc w:val="center"/>
        <w:rPr>
          <w:rFonts w:hint="eastAsia" w:ascii="宋体" w:hAnsi="宋体" w:cs="宋体"/>
          <w:b/>
          <w:color w:val="auto"/>
          <w:spacing w:val="6"/>
          <w:sz w:val="32"/>
          <w:szCs w:val="32"/>
          <w:highlight w:val="none"/>
        </w:rPr>
      </w:pPr>
    </w:p>
    <w:p w14:paraId="3303E7BD">
      <w:pPr>
        <w:spacing w:line="360" w:lineRule="auto"/>
        <w:jc w:val="center"/>
        <w:rPr>
          <w:rFonts w:hint="eastAsia" w:ascii="宋体" w:hAnsi="宋体" w:cs="宋体"/>
          <w:b/>
          <w:color w:val="auto"/>
          <w:spacing w:val="6"/>
          <w:sz w:val="32"/>
          <w:szCs w:val="32"/>
          <w:highlight w:val="none"/>
        </w:rPr>
      </w:pPr>
    </w:p>
    <w:p w14:paraId="54F4548C">
      <w:pPr>
        <w:spacing w:line="360" w:lineRule="auto"/>
        <w:jc w:val="center"/>
        <w:rPr>
          <w:rFonts w:hint="eastAsia" w:ascii="宋体" w:hAnsi="宋体" w:cs="宋体"/>
          <w:b/>
          <w:color w:val="auto"/>
          <w:spacing w:val="6"/>
          <w:sz w:val="32"/>
          <w:szCs w:val="32"/>
          <w:highlight w:val="none"/>
        </w:rPr>
      </w:pPr>
    </w:p>
    <w:p w14:paraId="0FAAE901">
      <w:pPr>
        <w:spacing w:line="360" w:lineRule="auto"/>
        <w:jc w:val="center"/>
        <w:rPr>
          <w:rFonts w:hint="eastAsia" w:ascii="宋体" w:hAnsi="宋体" w:cs="宋体"/>
          <w:b/>
          <w:color w:val="auto"/>
          <w:spacing w:val="6"/>
          <w:sz w:val="32"/>
          <w:szCs w:val="32"/>
          <w:highlight w:val="none"/>
        </w:rPr>
      </w:pPr>
    </w:p>
    <w:p w14:paraId="246F3E92">
      <w:pPr>
        <w:spacing w:line="360" w:lineRule="auto"/>
        <w:jc w:val="center"/>
        <w:rPr>
          <w:rFonts w:hint="eastAsia" w:ascii="宋体" w:hAnsi="宋体" w:cs="宋体"/>
          <w:b/>
          <w:color w:val="auto"/>
          <w:spacing w:val="6"/>
          <w:sz w:val="32"/>
          <w:szCs w:val="32"/>
          <w:highlight w:val="none"/>
        </w:rPr>
      </w:pPr>
    </w:p>
    <w:p w14:paraId="1196B3DA">
      <w:pPr>
        <w:spacing w:line="360" w:lineRule="auto"/>
        <w:jc w:val="left"/>
        <w:rPr>
          <w:rFonts w:hint="eastAsia" w:ascii="宋体" w:hAnsi="宋体" w:cs="宋体"/>
          <w:b/>
          <w:color w:val="auto"/>
          <w:spacing w:val="6"/>
          <w:sz w:val="32"/>
          <w:szCs w:val="32"/>
          <w:highlight w:val="none"/>
        </w:rPr>
      </w:pPr>
    </w:p>
    <w:p w14:paraId="416A3D5F">
      <w:pPr>
        <w:spacing w:line="360" w:lineRule="auto"/>
        <w:jc w:val="left"/>
        <w:rPr>
          <w:rFonts w:hint="eastAsia" w:ascii="宋体" w:hAnsi="宋体" w:cs="宋体"/>
          <w:b/>
          <w:color w:val="auto"/>
          <w:spacing w:val="6"/>
          <w:sz w:val="32"/>
          <w:szCs w:val="32"/>
          <w:highlight w:val="none"/>
        </w:rPr>
      </w:pPr>
    </w:p>
    <w:p w14:paraId="04E6670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3718C419">
      <w:pPr>
        <w:spacing w:line="360" w:lineRule="auto"/>
        <w:jc w:val="center"/>
        <w:rPr>
          <w:rFonts w:hint="eastAsia" w:ascii="宋体" w:hAnsi="宋体" w:cs="宋体"/>
          <w:b/>
          <w:color w:val="auto"/>
          <w:sz w:val="24"/>
          <w:highlight w:val="none"/>
        </w:rPr>
      </w:pPr>
    </w:p>
    <w:p w14:paraId="1B88950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C6F57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5F126F4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FFF9DA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7FDEFE">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F12B62">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3E682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3F070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A3C619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7F480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E7F5F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DE7C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9F3532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B054A2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1063B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6069A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61EF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B7796D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659A672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DFC45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7F3C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DE46FA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AC82B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A617A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30B350D0">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1E5A409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C8C5BD4">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75E186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7FB6D95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5D0D2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9435A7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BA49D8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29BD2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BEE34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04812BD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8511E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2F0B3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DEBE4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3519CC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8F497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33980DD">
      <w:pPr>
        <w:spacing w:line="360" w:lineRule="auto"/>
        <w:rPr>
          <w:rFonts w:hint="eastAsia" w:ascii="宋体" w:hAnsi="宋体" w:cs="宋体"/>
          <w:b/>
          <w:color w:val="auto"/>
          <w:sz w:val="24"/>
          <w:highlight w:val="none"/>
        </w:rPr>
      </w:pPr>
    </w:p>
    <w:p w14:paraId="240D6971">
      <w:pPr>
        <w:spacing w:line="360" w:lineRule="auto"/>
        <w:rPr>
          <w:rFonts w:hint="eastAsia" w:ascii="宋体" w:hAnsi="宋体" w:cs="宋体"/>
          <w:b/>
          <w:color w:val="auto"/>
          <w:sz w:val="24"/>
          <w:highlight w:val="none"/>
        </w:rPr>
      </w:pPr>
    </w:p>
    <w:p w14:paraId="701947D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CE2C98B">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3B342BA7">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8056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908873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247EF47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5A01EA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E21B45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157F133">
      <w:pPr>
        <w:spacing w:line="360" w:lineRule="auto"/>
        <w:rPr>
          <w:rFonts w:hint="eastAsia" w:asciiTheme="minorEastAsia" w:hAnsiTheme="minorEastAsia" w:eastAsiaTheme="minorEastAsia" w:cstheme="minorEastAsia"/>
          <w:b/>
          <w:color w:val="auto"/>
          <w:sz w:val="24"/>
          <w:highlight w:val="none"/>
        </w:rPr>
      </w:pPr>
    </w:p>
    <w:p w14:paraId="0719843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9C44E2D">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7D1BE570">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1608186C">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277AE641">
      <w:pPr>
        <w:autoSpaceDE w:val="0"/>
        <w:autoSpaceDN w:val="0"/>
        <w:jc w:val="center"/>
        <w:rPr>
          <w:rFonts w:hint="eastAsia" w:asciiTheme="minorEastAsia" w:hAnsiTheme="minorEastAsia" w:eastAsiaTheme="minorEastAsia" w:cstheme="minorEastAsia"/>
          <w:b/>
          <w:bCs/>
          <w:color w:val="auto"/>
          <w:sz w:val="32"/>
          <w:szCs w:val="32"/>
          <w:highlight w:val="none"/>
        </w:rPr>
      </w:pPr>
    </w:p>
    <w:p w14:paraId="48E8A8CE">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2DAB97FD">
      <w:pPr>
        <w:spacing w:line="360" w:lineRule="auto"/>
        <w:rPr>
          <w:rFonts w:hint="eastAsia" w:asciiTheme="minorEastAsia" w:hAnsiTheme="minorEastAsia" w:eastAsiaTheme="minorEastAsia" w:cstheme="minorEastAsia"/>
          <w:color w:val="auto"/>
          <w:sz w:val="24"/>
          <w:highlight w:val="none"/>
          <w:u w:val="single"/>
        </w:rPr>
      </w:pPr>
    </w:p>
    <w:p w14:paraId="4281D87C">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033F5E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CA086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570CF117">
      <w:pPr>
        <w:spacing w:line="360" w:lineRule="auto"/>
        <w:ind w:firstLine="494"/>
        <w:rPr>
          <w:rFonts w:hint="eastAsia" w:asciiTheme="minorEastAsia" w:hAnsiTheme="minorEastAsia" w:eastAsiaTheme="minorEastAsia" w:cstheme="minorEastAsia"/>
          <w:color w:val="auto"/>
          <w:sz w:val="24"/>
          <w:highlight w:val="none"/>
        </w:rPr>
      </w:pPr>
    </w:p>
    <w:p w14:paraId="1F7CFE8D">
      <w:pPr>
        <w:spacing w:line="360" w:lineRule="auto"/>
        <w:ind w:firstLine="494"/>
        <w:rPr>
          <w:rFonts w:hint="eastAsia" w:asciiTheme="minorEastAsia" w:hAnsiTheme="minorEastAsia" w:eastAsiaTheme="minorEastAsia" w:cstheme="minorEastAsia"/>
          <w:color w:val="auto"/>
          <w:sz w:val="24"/>
          <w:highlight w:val="none"/>
        </w:rPr>
      </w:pPr>
    </w:p>
    <w:p w14:paraId="6D55B290">
      <w:pPr>
        <w:spacing w:line="360" w:lineRule="auto"/>
        <w:ind w:firstLine="494"/>
        <w:rPr>
          <w:rFonts w:hint="eastAsia" w:asciiTheme="minorEastAsia" w:hAnsiTheme="minorEastAsia" w:eastAsiaTheme="minorEastAsia" w:cstheme="minorEastAsia"/>
          <w:color w:val="auto"/>
          <w:sz w:val="24"/>
          <w:highlight w:val="none"/>
        </w:rPr>
      </w:pPr>
    </w:p>
    <w:p w14:paraId="0EEE9FA7">
      <w:pPr>
        <w:spacing w:line="360" w:lineRule="auto"/>
        <w:ind w:firstLine="494"/>
        <w:rPr>
          <w:rFonts w:hint="eastAsia" w:asciiTheme="minorEastAsia" w:hAnsiTheme="minorEastAsia" w:eastAsiaTheme="minorEastAsia" w:cstheme="minorEastAsia"/>
          <w:color w:val="auto"/>
          <w:sz w:val="24"/>
          <w:highlight w:val="none"/>
        </w:rPr>
      </w:pPr>
    </w:p>
    <w:p w14:paraId="3917C568">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2C781A6D">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75023C9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7AEA12B1">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2FDB0EE2">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2FDB0EE2">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18DAB0D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20052F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AD73F7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8D7820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2AFAD0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250DC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3783EB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AE2281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2F7E69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7335B2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BAA489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BA42FA3">
      <w:pPr>
        <w:autoSpaceDE w:val="0"/>
        <w:autoSpaceDN w:val="0"/>
        <w:jc w:val="center"/>
        <w:rPr>
          <w:rFonts w:hint="eastAsia" w:asciiTheme="minorEastAsia" w:hAnsiTheme="minorEastAsia" w:eastAsiaTheme="minorEastAsia" w:cstheme="minorEastAsia"/>
          <w:b/>
          <w:color w:val="auto"/>
          <w:spacing w:val="6"/>
          <w:sz w:val="32"/>
          <w:szCs w:val="32"/>
          <w:highlight w:val="none"/>
        </w:rPr>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2D90E500">
      <w:pPr>
        <w:pStyle w:val="4"/>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附件</w:t>
      </w:r>
      <w:r>
        <w:rPr>
          <w:rFonts w:hint="eastAsia" w:asciiTheme="minorEastAsia" w:hAnsiTheme="minorEastAsia" w:eastAsiaTheme="minorEastAsia" w:cstheme="minorEastAsia"/>
          <w:b/>
          <w:bCs/>
          <w:color w:val="auto"/>
          <w:highlight w:val="none"/>
          <w:lang w:val="en-US"/>
        </w:rPr>
        <w:t>4</w:t>
      </w:r>
      <w:r>
        <w:rPr>
          <w:rFonts w:hint="eastAsia" w:asciiTheme="minorEastAsia" w:hAnsiTheme="minorEastAsia" w:eastAsiaTheme="minorEastAsia" w:cstheme="minorEastAsia"/>
          <w:b/>
          <w:bCs/>
          <w:color w:val="auto"/>
          <w:highlight w:val="none"/>
        </w:rPr>
        <w:t>样品（演示）授权委托书</w:t>
      </w:r>
    </w:p>
    <w:p w14:paraId="4EE134D0">
      <w:pPr>
        <w:jc w:val="center"/>
        <w:rPr>
          <w:rFonts w:hint="eastAsia" w:asciiTheme="minorEastAsia" w:hAnsiTheme="minorEastAsia" w:eastAsiaTheme="minorEastAsia" w:cstheme="minorEastAsia"/>
          <w:color w:val="auto"/>
          <w:sz w:val="40"/>
          <w:highlight w:val="none"/>
        </w:rPr>
      </w:pPr>
    </w:p>
    <w:p w14:paraId="036B966B">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0F8318F2">
      <w:pPr>
        <w:jc w:val="center"/>
        <w:rPr>
          <w:rFonts w:hint="eastAsia" w:asciiTheme="minorEastAsia" w:hAnsiTheme="minorEastAsia" w:eastAsiaTheme="minorEastAsia" w:cstheme="minorEastAsia"/>
          <w:color w:val="auto"/>
          <w:sz w:val="40"/>
          <w:highlight w:val="none"/>
        </w:rPr>
      </w:pPr>
    </w:p>
    <w:p w14:paraId="427756FE">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XXX（交易发起人或代理机构）</w:t>
      </w:r>
      <w:r>
        <w:rPr>
          <w:rFonts w:hint="eastAsia" w:asciiTheme="minorEastAsia" w:hAnsiTheme="minorEastAsia" w:eastAsiaTheme="minorEastAsia" w:cstheme="minorEastAsia"/>
          <w:color w:val="auto"/>
          <w:highlight w:val="none"/>
          <w:lang w:val="zh-CN"/>
        </w:rPr>
        <w:t>：</w:t>
      </w:r>
    </w:p>
    <w:p w14:paraId="4068324E">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3EC7D3B5">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4AB6447A">
      <w:pPr>
        <w:snapToGri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18B59F0C">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1EC2119E">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名称(公章)：</w:t>
      </w:r>
    </w:p>
    <w:p w14:paraId="7FDF65B2">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6054BF82">
      <w:pPr>
        <w:snapToGrid w:val="0"/>
        <w:spacing w:line="360" w:lineRule="auto"/>
        <w:ind w:right="240"/>
        <w:jc w:val="righ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2236B2FF">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5AEB7E4A">
      <w:pPr>
        <w:snapToGrid w:val="0"/>
        <w:spacing w:line="360" w:lineRule="auto"/>
        <w:ind w:right="1920"/>
        <w:rPr>
          <w:rFonts w:hint="eastAsia" w:asciiTheme="minorEastAsia" w:hAnsiTheme="minorEastAsia" w:eastAsiaTheme="minorEastAsia" w:cstheme="minorEastAsia"/>
          <w:color w:val="auto"/>
          <w:highlight w:val="none"/>
          <w:lang w:val="zh-CN"/>
        </w:rPr>
      </w:pPr>
    </w:p>
    <w:p w14:paraId="74094D0B">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2352DAFF">
      <w:pPr>
        <w:snapToGrid w:val="0"/>
        <w:spacing w:line="360" w:lineRule="auto"/>
        <w:ind w:right="24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受委托人</w:t>
      </w:r>
      <w:r>
        <w:rPr>
          <w:rFonts w:hint="eastAsia" w:asciiTheme="minorEastAsia" w:hAnsiTheme="minorEastAsia" w:eastAsiaTheme="minorEastAsia" w:cstheme="minorEastAsia"/>
          <w:b/>
          <w:bCs/>
          <w:color w:val="auto"/>
          <w:highlight w:val="none"/>
          <w:lang w:val="zh-CN"/>
        </w:rPr>
        <w:t>身份证复印件：</w:t>
      </w:r>
    </w:p>
    <w:p w14:paraId="51FE0244">
      <w:pPr>
        <w:snapToGrid w:val="0"/>
        <w:spacing w:line="360" w:lineRule="auto"/>
        <w:ind w:right="240"/>
        <w:rPr>
          <w:rFonts w:hint="eastAsia" w:asciiTheme="minorEastAsia" w:hAnsiTheme="minorEastAsia" w:eastAsiaTheme="minorEastAsia" w:cstheme="minorEastAsia"/>
          <w:color w:val="auto"/>
          <w:highlight w:val="none"/>
          <w:lang w:val="zh-CN"/>
        </w:rPr>
      </w:pPr>
    </w:p>
    <w:p w14:paraId="275C4C85">
      <w:pPr>
        <w:snapToGrid w:val="0"/>
        <w:spacing w:line="360" w:lineRule="auto"/>
        <w:ind w:right="240"/>
        <w:rPr>
          <w:rFonts w:hint="eastAsia" w:asciiTheme="minorEastAsia" w:hAnsiTheme="minorEastAsia" w:eastAsiaTheme="minorEastAsia" w:cstheme="minorEastAsia"/>
          <w:color w:val="auto"/>
          <w:highlight w:val="none"/>
          <w:lang w:val="zh-CN"/>
        </w:rPr>
      </w:pPr>
    </w:p>
    <w:p w14:paraId="56C0CD78">
      <w:pPr>
        <w:snapToGrid w:val="0"/>
        <w:spacing w:line="360" w:lineRule="auto"/>
        <w:ind w:right="240"/>
        <w:rPr>
          <w:rFonts w:hint="eastAsia" w:asciiTheme="minorEastAsia" w:hAnsiTheme="minorEastAsia" w:eastAsiaTheme="minorEastAsia" w:cstheme="minorEastAsia"/>
          <w:color w:val="auto"/>
          <w:highlight w:val="none"/>
          <w:lang w:val="zh-CN"/>
        </w:rPr>
      </w:pPr>
    </w:p>
    <w:p w14:paraId="37DC7735">
      <w:pPr>
        <w:snapToGrid w:val="0"/>
        <w:spacing w:line="360" w:lineRule="auto"/>
        <w:ind w:right="240"/>
        <w:rPr>
          <w:rFonts w:hint="eastAsia" w:asciiTheme="minorEastAsia" w:hAnsiTheme="minorEastAsia" w:eastAsiaTheme="minorEastAsia" w:cstheme="minorEastAsia"/>
          <w:color w:val="auto"/>
          <w:highlight w:val="none"/>
          <w:lang w:val="zh-CN"/>
        </w:rPr>
      </w:pPr>
    </w:p>
    <w:p w14:paraId="4904839A">
      <w:pPr>
        <w:snapToGrid w:val="0"/>
        <w:spacing w:line="360" w:lineRule="auto"/>
        <w:ind w:right="240"/>
        <w:rPr>
          <w:rFonts w:hint="eastAsia" w:asciiTheme="minorEastAsia" w:hAnsiTheme="minorEastAsia" w:eastAsiaTheme="minorEastAsia" w:cstheme="minorEastAsia"/>
          <w:color w:val="auto"/>
          <w:highlight w:val="none"/>
          <w:lang w:val="zh-CN"/>
        </w:rPr>
      </w:pPr>
    </w:p>
    <w:p w14:paraId="0B745BF0">
      <w:pPr>
        <w:snapToGrid w:val="0"/>
        <w:spacing w:line="360" w:lineRule="auto"/>
        <w:ind w:right="240"/>
        <w:rPr>
          <w:rFonts w:hint="eastAsia" w:asciiTheme="minorEastAsia" w:hAnsiTheme="minorEastAsia" w:eastAsiaTheme="minorEastAsia" w:cstheme="minorEastAsia"/>
          <w:color w:val="auto"/>
          <w:highlight w:val="none"/>
          <w:lang w:val="zh-CN"/>
        </w:rPr>
      </w:pPr>
    </w:p>
    <w:p w14:paraId="73ACFDBD">
      <w:pPr>
        <w:snapToGrid w:val="0"/>
        <w:spacing w:line="360" w:lineRule="auto"/>
        <w:ind w:right="240"/>
        <w:rPr>
          <w:rFonts w:hint="eastAsia" w:asciiTheme="minorEastAsia" w:hAnsiTheme="minorEastAsia" w:eastAsiaTheme="minorEastAsia" w:cstheme="minorEastAsia"/>
          <w:color w:val="auto"/>
          <w:highlight w:val="none"/>
          <w:lang w:val="zh-CN"/>
        </w:rPr>
      </w:pPr>
    </w:p>
    <w:p w14:paraId="1D2A9559">
      <w:pPr>
        <w:snapToGrid w:val="0"/>
        <w:spacing w:line="360" w:lineRule="auto"/>
        <w:ind w:right="24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2C0D0E32">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同时有样品和演示的，可委托不同人员。</w:t>
      </w:r>
    </w:p>
    <w:p w14:paraId="4D813BE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192FC4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AB62ADF">
      <w:pPr>
        <w:autoSpaceDE w:val="0"/>
        <w:autoSpaceDN w:val="0"/>
        <w:jc w:val="center"/>
        <w:rPr>
          <w:rFonts w:hint="eastAsia" w:asciiTheme="minorEastAsia" w:hAnsiTheme="minorEastAsia" w:eastAsiaTheme="minorEastAsia" w:cstheme="minorEastAsia"/>
          <w:b/>
          <w:color w:val="auto"/>
          <w:spacing w:val="6"/>
          <w:sz w:val="32"/>
          <w:szCs w:val="32"/>
          <w:highlight w:val="none"/>
        </w:rPr>
      </w:pPr>
    </w:p>
    <w:sectPr>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字由点字浩魂"/>
    <w:panose1 w:val="00000000000000000000"/>
    <w:charset w:val="00"/>
    <w:family w:val="roman"/>
    <w:pitch w:val="default"/>
    <w:sig w:usb0="00000000" w:usb1="00000000" w:usb2="00000000" w:usb3="00000000" w:csb0="00040001" w:csb1="00000000"/>
  </w:font>
  <w:font w:name="字由点字浩魂">
    <w:panose1 w:val="02000009000000000000"/>
    <w:charset w:val="86"/>
    <w:family w:val="auto"/>
    <w:pitch w:val="default"/>
    <w:sig w:usb0="00000000" w:usb1="08000000" w:usb2="00000000" w:usb3="00000000" w:csb0="000400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DejaVu Math TeX Gyre"/>
    <w:panose1 w:val="00000000000000000000"/>
    <w:charset w:val="00"/>
    <w:family w:val="swiss"/>
    <w:pitch w:val="default"/>
    <w:sig w:usb0="00000000" w:usb1="00000000" w:usb2="00000000" w:usb3="00000000" w:csb0="2000019F" w:csb1="4F010000"/>
  </w:font>
  <w:font w:name="Cumberland">
    <w:altName w:val="字由点字浩魂"/>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宋体"/>
    <w:panose1 w:val="02020503050405090304"/>
    <w:charset w:val="86"/>
    <w:family w:val="moder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DA8F9">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399A">
    <w:pPr>
      <w:pStyle w:val="42"/>
      <w:jc w:val="center"/>
      <w:rPr>
        <w:rFonts w:ascii="仿宋_GB2312" w:eastAsia="仿宋_GB2312"/>
      </w:rPr>
    </w:pPr>
  </w:p>
  <w:p w14:paraId="75A973F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5F0B">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4CC2DD">
                          <w:pPr>
                            <w:pStyle w:val="42"/>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64CC2DD">
                    <w:pPr>
                      <w:pStyle w:val="42"/>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E3FD5">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10A05D">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510A05D">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34E6769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ABF9">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8D8623">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2F8D8623">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5ABF02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0994E">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F37A52">
                          <w:pPr>
                            <w:pStyle w:val="42"/>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04F37A52">
                    <w:pPr>
                      <w:pStyle w:val="42"/>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60148F4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F47B">
    <w:pPr>
      <w:pStyle w:val="4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0ACF81">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4C0ACF81">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CE763">
    <w:pPr>
      <w:pStyle w:val="42"/>
      <w:framePr w:wrap="around" w:vAnchor="text" w:hAnchor="margin" w:xAlign="right" w:y="1"/>
      <w:rPr>
        <w:rStyle w:val="74"/>
      </w:rPr>
    </w:pPr>
    <w:r>
      <w:fldChar w:fldCharType="begin"/>
    </w:r>
    <w:r>
      <w:rPr>
        <w:rStyle w:val="74"/>
      </w:rPr>
      <w:instrText xml:space="preserve">PAGE  </w:instrText>
    </w:r>
    <w:r>
      <w:fldChar w:fldCharType="end"/>
    </w:r>
  </w:p>
  <w:p w14:paraId="24161584">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06A8">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BA0F75">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0BBA0F75">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790B">
    <w:pPr>
      <w:pStyle w:val="44"/>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1976">
    <w:pPr>
      <w:pStyle w:val="44"/>
      <w:jc w:val="right"/>
    </w:pPr>
    <w:r>
      <w:rPr>
        <w:rFonts w:hint="eastAsia"/>
      </w:rPr>
      <w:t>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E07A5">
    <w:pPr>
      <w:pStyle w:val="44"/>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DDA6">
    <w:pPr>
      <w:pStyle w:val="44"/>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D4C8">
    <w:pPr>
      <w:pStyle w:val="44"/>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17432">
    <w:pPr>
      <w:pStyle w:val="44"/>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MjM0MWFjYTlhMjg4MWM3ODI2NzAyMjhiMjM4NDA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9B7"/>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986106"/>
    <w:rsid w:val="03DD35E4"/>
    <w:rsid w:val="04076900"/>
    <w:rsid w:val="041A5A3B"/>
    <w:rsid w:val="042311BA"/>
    <w:rsid w:val="042B157A"/>
    <w:rsid w:val="048F763B"/>
    <w:rsid w:val="049F330E"/>
    <w:rsid w:val="04AA775C"/>
    <w:rsid w:val="04AF1889"/>
    <w:rsid w:val="04B85F11"/>
    <w:rsid w:val="04EE3F9B"/>
    <w:rsid w:val="04F66F48"/>
    <w:rsid w:val="051E28A6"/>
    <w:rsid w:val="05222265"/>
    <w:rsid w:val="05251E14"/>
    <w:rsid w:val="054E6DAE"/>
    <w:rsid w:val="05507636"/>
    <w:rsid w:val="05770BD6"/>
    <w:rsid w:val="058806C7"/>
    <w:rsid w:val="05A16594"/>
    <w:rsid w:val="05A7762D"/>
    <w:rsid w:val="05BF4603"/>
    <w:rsid w:val="05C04DC2"/>
    <w:rsid w:val="060E5941"/>
    <w:rsid w:val="06110FAF"/>
    <w:rsid w:val="06493CA7"/>
    <w:rsid w:val="065A6178"/>
    <w:rsid w:val="066D3597"/>
    <w:rsid w:val="066F1CF3"/>
    <w:rsid w:val="06734B80"/>
    <w:rsid w:val="06930BB8"/>
    <w:rsid w:val="06956198"/>
    <w:rsid w:val="06C421D2"/>
    <w:rsid w:val="06D118A1"/>
    <w:rsid w:val="07245D42"/>
    <w:rsid w:val="07264C62"/>
    <w:rsid w:val="072F6604"/>
    <w:rsid w:val="074460BC"/>
    <w:rsid w:val="0779354C"/>
    <w:rsid w:val="077F0C95"/>
    <w:rsid w:val="07C300BD"/>
    <w:rsid w:val="07EC6682"/>
    <w:rsid w:val="07F3638F"/>
    <w:rsid w:val="07FE18F3"/>
    <w:rsid w:val="08061376"/>
    <w:rsid w:val="08127C83"/>
    <w:rsid w:val="081A020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6E22B7"/>
    <w:rsid w:val="09733572"/>
    <w:rsid w:val="09772C16"/>
    <w:rsid w:val="097B2960"/>
    <w:rsid w:val="098353B5"/>
    <w:rsid w:val="09A92330"/>
    <w:rsid w:val="09B06B87"/>
    <w:rsid w:val="09C13146"/>
    <w:rsid w:val="09DC63EB"/>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691283"/>
    <w:rsid w:val="0B76461B"/>
    <w:rsid w:val="0B7F3F11"/>
    <w:rsid w:val="0B884417"/>
    <w:rsid w:val="0B93709B"/>
    <w:rsid w:val="0BA212C6"/>
    <w:rsid w:val="0BF6188C"/>
    <w:rsid w:val="0BF73C91"/>
    <w:rsid w:val="0BF80826"/>
    <w:rsid w:val="0C170175"/>
    <w:rsid w:val="0C3D5BFB"/>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B5E39"/>
    <w:rsid w:val="0E9D0089"/>
    <w:rsid w:val="0EB803EE"/>
    <w:rsid w:val="0ECE329B"/>
    <w:rsid w:val="0EF94D4B"/>
    <w:rsid w:val="0F0B13B6"/>
    <w:rsid w:val="0F182768"/>
    <w:rsid w:val="0F3E048F"/>
    <w:rsid w:val="0F4437FA"/>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A3C4E"/>
    <w:rsid w:val="10156805"/>
    <w:rsid w:val="105D2736"/>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1F0289B"/>
    <w:rsid w:val="11FD14B9"/>
    <w:rsid w:val="12255233"/>
    <w:rsid w:val="12530213"/>
    <w:rsid w:val="12620DA8"/>
    <w:rsid w:val="127723A9"/>
    <w:rsid w:val="12862074"/>
    <w:rsid w:val="12883966"/>
    <w:rsid w:val="129E45B4"/>
    <w:rsid w:val="12B72C8C"/>
    <w:rsid w:val="12D14480"/>
    <w:rsid w:val="12D21374"/>
    <w:rsid w:val="12D46CFF"/>
    <w:rsid w:val="12D81596"/>
    <w:rsid w:val="13072A44"/>
    <w:rsid w:val="131A1B7F"/>
    <w:rsid w:val="13474EA5"/>
    <w:rsid w:val="135825A1"/>
    <w:rsid w:val="135F4BE2"/>
    <w:rsid w:val="13692E64"/>
    <w:rsid w:val="13913864"/>
    <w:rsid w:val="139B1A0A"/>
    <w:rsid w:val="139B5BDE"/>
    <w:rsid w:val="139D25C7"/>
    <w:rsid w:val="13BF3CE4"/>
    <w:rsid w:val="13E47441"/>
    <w:rsid w:val="13E674F4"/>
    <w:rsid w:val="140F0A5D"/>
    <w:rsid w:val="141008D8"/>
    <w:rsid w:val="14125FE6"/>
    <w:rsid w:val="141554C8"/>
    <w:rsid w:val="141804B7"/>
    <w:rsid w:val="142B70E5"/>
    <w:rsid w:val="14500381"/>
    <w:rsid w:val="146D271E"/>
    <w:rsid w:val="14782D38"/>
    <w:rsid w:val="147B24A0"/>
    <w:rsid w:val="148B7387"/>
    <w:rsid w:val="14982588"/>
    <w:rsid w:val="149A5AD9"/>
    <w:rsid w:val="14A7619D"/>
    <w:rsid w:val="14AA2978"/>
    <w:rsid w:val="14C445F3"/>
    <w:rsid w:val="14F25B02"/>
    <w:rsid w:val="150536C3"/>
    <w:rsid w:val="150C1963"/>
    <w:rsid w:val="151447A0"/>
    <w:rsid w:val="154A6454"/>
    <w:rsid w:val="15762120"/>
    <w:rsid w:val="15844A86"/>
    <w:rsid w:val="1586383D"/>
    <w:rsid w:val="15C1630E"/>
    <w:rsid w:val="15F56AC3"/>
    <w:rsid w:val="1608540D"/>
    <w:rsid w:val="16204A74"/>
    <w:rsid w:val="166C515D"/>
    <w:rsid w:val="16932D64"/>
    <w:rsid w:val="16A8729C"/>
    <w:rsid w:val="16B33777"/>
    <w:rsid w:val="16BC70A7"/>
    <w:rsid w:val="16C25E91"/>
    <w:rsid w:val="16C6339E"/>
    <w:rsid w:val="16C730F7"/>
    <w:rsid w:val="16D6012D"/>
    <w:rsid w:val="16FE2244"/>
    <w:rsid w:val="172F2D79"/>
    <w:rsid w:val="17557BEF"/>
    <w:rsid w:val="176D1E2A"/>
    <w:rsid w:val="17852075"/>
    <w:rsid w:val="17860D50"/>
    <w:rsid w:val="178B06F1"/>
    <w:rsid w:val="179B74BF"/>
    <w:rsid w:val="17A05FFC"/>
    <w:rsid w:val="17AF511E"/>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DA1A78"/>
    <w:rsid w:val="19E05098"/>
    <w:rsid w:val="1A071A03"/>
    <w:rsid w:val="1A1A5A79"/>
    <w:rsid w:val="1A1A697E"/>
    <w:rsid w:val="1A1F16AE"/>
    <w:rsid w:val="1A3B5C77"/>
    <w:rsid w:val="1A4C4FFA"/>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459C2"/>
    <w:rsid w:val="1C1B3B4A"/>
    <w:rsid w:val="1C536956"/>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EF84201"/>
    <w:rsid w:val="1F0A0FF3"/>
    <w:rsid w:val="1F313724"/>
    <w:rsid w:val="1F366677"/>
    <w:rsid w:val="1F5771FF"/>
    <w:rsid w:val="1F803199"/>
    <w:rsid w:val="1FA06D49"/>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312149"/>
    <w:rsid w:val="216133FC"/>
    <w:rsid w:val="218944CA"/>
    <w:rsid w:val="21B3021E"/>
    <w:rsid w:val="21D56769"/>
    <w:rsid w:val="21D62C50"/>
    <w:rsid w:val="21E52EF3"/>
    <w:rsid w:val="21FB5D7B"/>
    <w:rsid w:val="220B1C3D"/>
    <w:rsid w:val="221D1D20"/>
    <w:rsid w:val="22334A87"/>
    <w:rsid w:val="225E0148"/>
    <w:rsid w:val="22636C97"/>
    <w:rsid w:val="22B61EBB"/>
    <w:rsid w:val="22B83BEE"/>
    <w:rsid w:val="22BE6801"/>
    <w:rsid w:val="22C04C60"/>
    <w:rsid w:val="22E03145"/>
    <w:rsid w:val="22E542B8"/>
    <w:rsid w:val="23113F1A"/>
    <w:rsid w:val="233500BF"/>
    <w:rsid w:val="23377FF7"/>
    <w:rsid w:val="236B425F"/>
    <w:rsid w:val="23836192"/>
    <w:rsid w:val="23901F29"/>
    <w:rsid w:val="239C0061"/>
    <w:rsid w:val="23B908A4"/>
    <w:rsid w:val="23DF425A"/>
    <w:rsid w:val="23E406C4"/>
    <w:rsid w:val="23E95BEF"/>
    <w:rsid w:val="23F31A95"/>
    <w:rsid w:val="23F55C9C"/>
    <w:rsid w:val="23FC52F4"/>
    <w:rsid w:val="23FD0064"/>
    <w:rsid w:val="244C6C81"/>
    <w:rsid w:val="245375B0"/>
    <w:rsid w:val="24642C0A"/>
    <w:rsid w:val="24667B44"/>
    <w:rsid w:val="246A3BA8"/>
    <w:rsid w:val="248B443A"/>
    <w:rsid w:val="2492728B"/>
    <w:rsid w:val="249307DC"/>
    <w:rsid w:val="24B22173"/>
    <w:rsid w:val="24B347E7"/>
    <w:rsid w:val="24B95AD9"/>
    <w:rsid w:val="24BE24DA"/>
    <w:rsid w:val="24CC572F"/>
    <w:rsid w:val="24CF5825"/>
    <w:rsid w:val="24D663E6"/>
    <w:rsid w:val="24D77F2B"/>
    <w:rsid w:val="24E4449F"/>
    <w:rsid w:val="24E64937"/>
    <w:rsid w:val="25050C41"/>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9F47F7"/>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D7015"/>
    <w:rsid w:val="294E3480"/>
    <w:rsid w:val="29806583"/>
    <w:rsid w:val="298B3C4C"/>
    <w:rsid w:val="299D3240"/>
    <w:rsid w:val="299E3412"/>
    <w:rsid w:val="29EB63A2"/>
    <w:rsid w:val="29F26D24"/>
    <w:rsid w:val="2A15033F"/>
    <w:rsid w:val="2A1662C1"/>
    <w:rsid w:val="2A196977"/>
    <w:rsid w:val="2A1C7367"/>
    <w:rsid w:val="2A200230"/>
    <w:rsid w:val="2A2815FA"/>
    <w:rsid w:val="2A4A09B4"/>
    <w:rsid w:val="2A6D6092"/>
    <w:rsid w:val="2A7A1CCA"/>
    <w:rsid w:val="2A7D76B4"/>
    <w:rsid w:val="2A830ABD"/>
    <w:rsid w:val="2ABFC73D"/>
    <w:rsid w:val="2AD8021A"/>
    <w:rsid w:val="2AEE1B3B"/>
    <w:rsid w:val="2AF47F2E"/>
    <w:rsid w:val="2B4118C4"/>
    <w:rsid w:val="2B437463"/>
    <w:rsid w:val="2B761C06"/>
    <w:rsid w:val="2B7807EE"/>
    <w:rsid w:val="2B8C47CE"/>
    <w:rsid w:val="2B945BCF"/>
    <w:rsid w:val="2BA50BF7"/>
    <w:rsid w:val="2BBF00EC"/>
    <w:rsid w:val="2BC37CFD"/>
    <w:rsid w:val="2BCB2E8E"/>
    <w:rsid w:val="2BD5237F"/>
    <w:rsid w:val="2BE536CE"/>
    <w:rsid w:val="2BE758D9"/>
    <w:rsid w:val="2BEA7DD3"/>
    <w:rsid w:val="2BFE71B8"/>
    <w:rsid w:val="2C09049E"/>
    <w:rsid w:val="2C0A653C"/>
    <w:rsid w:val="2C191F85"/>
    <w:rsid w:val="2C37616F"/>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3C7955"/>
    <w:rsid w:val="2F585F5C"/>
    <w:rsid w:val="2F923332"/>
    <w:rsid w:val="2F946CCB"/>
    <w:rsid w:val="2FCD6103"/>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7C1F6D"/>
    <w:rsid w:val="319C6071"/>
    <w:rsid w:val="31AC537E"/>
    <w:rsid w:val="31B420C4"/>
    <w:rsid w:val="31B82C24"/>
    <w:rsid w:val="31C17BA9"/>
    <w:rsid w:val="31C549B6"/>
    <w:rsid w:val="31E3679B"/>
    <w:rsid w:val="31E732FD"/>
    <w:rsid w:val="31E758D7"/>
    <w:rsid w:val="31F52DF2"/>
    <w:rsid w:val="324E33D2"/>
    <w:rsid w:val="32517576"/>
    <w:rsid w:val="3262346C"/>
    <w:rsid w:val="32A64673"/>
    <w:rsid w:val="32BE5C2C"/>
    <w:rsid w:val="32FB6478"/>
    <w:rsid w:val="330D3A66"/>
    <w:rsid w:val="330E4127"/>
    <w:rsid w:val="331E793D"/>
    <w:rsid w:val="332637C2"/>
    <w:rsid w:val="33263B3F"/>
    <w:rsid w:val="336963EB"/>
    <w:rsid w:val="33816EEB"/>
    <w:rsid w:val="338863E7"/>
    <w:rsid w:val="33D80FFE"/>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944D2"/>
    <w:rsid w:val="34FA6E12"/>
    <w:rsid w:val="354D7158"/>
    <w:rsid w:val="358D5588"/>
    <w:rsid w:val="35CC783D"/>
    <w:rsid w:val="35DA3104"/>
    <w:rsid w:val="36136070"/>
    <w:rsid w:val="363924A3"/>
    <w:rsid w:val="363A3B40"/>
    <w:rsid w:val="365302AE"/>
    <w:rsid w:val="36605FE5"/>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BD1A5A"/>
    <w:rsid w:val="37E1109A"/>
    <w:rsid w:val="37E16E9C"/>
    <w:rsid w:val="37EE7094"/>
    <w:rsid w:val="38296C89"/>
    <w:rsid w:val="382A0C93"/>
    <w:rsid w:val="383002EB"/>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6A2F38"/>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D79389"/>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D548B4"/>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B47508"/>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2B19D5"/>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971538"/>
    <w:rsid w:val="41D01505"/>
    <w:rsid w:val="42006AB8"/>
    <w:rsid w:val="42082B4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8F306B"/>
    <w:rsid w:val="43977AB6"/>
    <w:rsid w:val="43A3342B"/>
    <w:rsid w:val="43AA2F9D"/>
    <w:rsid w:val="43C77C27"/>
    <w:rsid w:val="43DE09EE"/>
    <w:rsid w:val="44002FAD"/>
    <w:rsid w:val="4430589B"/>
    <w:rsid w:val="44356927"/>
    <w:rsid w:val="4451087D"/>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A57AC"/>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52941"/>
    <w:rsid w:val="487A3E25"/>
    <w:rsid w:val="487B0FC2"/>
    <w:rsid w:val="48833F78"/>
    <w:rsid w:val="488B5503"/>
    <w:rsid w:val="489363E0"/>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5E0F27"/>
    <w:rsid w:val="4B6D6E85"/>
    <w:rsid w:val="4B707271"/>
    <w:rsid w:val="4B9739F7"/>
    <w:rsid w:val="4B974368"/>
    <w:rsid w:val="4B9A5ABA"/>
    <w:rsid w:val="4B9A6B21"/>
    <w:rsid w:val="4B9C1FA2"/>
    <w:rsid w:val="4BE96C25"/>
    <w:rsid w:val="4BEE2503"/>
    <w:rsid w:val="4BF80D38"/>
    <w:rsid w:val="4C245A30"/>
    <w:rsid w:val="4C5D53ED"/>
    <w:rsid w:val="4C676029"/>
    <w:rsid w:val="4CA601B0"/>
    <w:rsid w:val="4CAF7256"/>
    <w:rsid w:val="4CB6685F"/>
    <w:rsid w:val="4CBB285E"/>
    <w:rsid w:val="4CC367FE"/>
    <w:rsid w:val="4CD54317"/>
    <w:rsid w:val="4D077F3C"/>
    <w:rsid w:val="4D123355"/>
    <w:rsid w:val="4D2A3B31"/>
    <w:rsid w:val="4D312C52"/>
    <w:rsid w:val="4D4B0F25"/>
    <w:rsid w:val="4D905305"/>
    <w:rsid w:val="4D964A72"/>
    <w:rsid w:val="4D9C1254"/>
    <w:rsid w:val="4E0E210B"/>
    <w:rsid w:val="4E526455"/>
    <w:rsid w:val="4E5A0B37"/>
    <w:rsid w:val="4E793892"/>
    <w:rsid w:val="4E800872"/>
    <w:rsid w:val="4E9532A8"/>
    <w:rsid w:val="4E9A20A5"/>
    <w:rsid w:val="4EC569ED"/>
    <w:rsid w:val="4ED50EA1"/>
    <w:rsid w:val="4EEC050C"/>
    <w:rsid w:val="4EF23735"/>
    <w:rsid w:val="4EF833C6"/>
    <w:rsid w:val="4F104EC3"/>
    <w:rsid w:val="4F47354A"/>
    <w:rsid w:val="4F911C54"/>
    <w:rsid w:val="4FE625E0"/>
    <w:rsid w:val="4FED5402"/>
    <w:rsid w:val="5021480F"/>
    <w:rsid w:val="503C110B"/>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EA69FB"/>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414803"/>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307CD4"/>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BE2409"/>
    <w:rsid w:val="5AD63A24"/>
    <w:rsid w:val="5AE51FB6"/>
    <w:rsid w:val="5B0B0B6B"/>
    <w:rsid w:val="5B2E1A1D"/>
    <w:rsid w:val="5B47691A"/>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D0C4701"/>
    <w:rsid w:val="5D0F0395"/>
    <w:rsid w:val="5D221076"/>
    <w:rsid w:val="5D307D5D"/>
    <w:rsid w:val="5D397964"/>
    <w:rsid w:val="5D551783"/>
    <w:rsid w:val="5D5A391C"/>
    <w:rsid w:val="5D5F10C0"/>
    <w:rsid w:val="5D891B7B"/>
    <w:rsid w:val="5D893FC3"/>
    <w:rsid w:val="5D8A5E82"/>
    <w:rsid w:val="5D930F65"/>
    <w:rsid w:val="5D945FAA"/>
    <w:rsid w:val="5DAD38EE"/>
    <w:rsid w:val="5E006862"/>
    <w:rsid w:val="5E0207B9"/>
    <w:rsid w:val="5E093CEF"/>
    <w:rsid w:val="5E1834A1"/>
    <w:rsid w:val="5E261785"/>
    <w:rsid w:val="5E4A7017"/>
    <w:rsid w:val="5E552BBA"/>
    <w:rsid w:val="5E5F0EBF"/>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9F21EC"/>
    <w:rsid w:val="5FA61B85"/>
    <w:rsid w:val="5FCC5339"/>
    <w:rsid w:val="5FE34A5B"/>
    <w:rsid w:val="5FFE1E36"/>
    <w:rsid w:val="5FFF6C6D"/>
    <w:rsid w:val="60172C7B"/>
    <w:rsid w:val="60232584"/>
    <w:rsid w:val="60305BC5"/>
    <w:rsid w:val="605864BB"/>
    <w:rsid w:val="607330CE"/>
    <w:rsid w:val="60825176"/>
    <w:rsid w:val="60873AD9"/>
    <w:rsid w:val="6098238E"/>
    <w:rsid w:val="609F2AC4"/>
    <w:rsid w:val="60C413D5"/>
    <w:rsid w:val="60FA2EE8"/>
    <w:rsid w:val="60FD48E7"/>
    <w:rsid w:val="61054A27"/>
    <w:rsid w:val="610A52BC"/>
    <w:rsid w:val="611D2366"/>
    <w:rsid w:val="61421856"/>
    <w:rsid w:val="61436331"/>
    <w:rsid w:val="615227C4"/>
    <w:rsid w:val="61654E3F"/>
    <w:rsid w:val="617514F6"/>
    <w:rsid w:val="6182292A"/>
    <w:rsid w:val="618B5F69"/>
    <w:rsid w:val="61920318"/>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736CB8"/>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077C20"/>
    <w:rsid w:val="693E15D3"/>
    <w:rsid w:val="695F5EA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461D0"/>
    <w:rsid w:val="6AE96859"/>
    <w:rsid w:val="6B147746"/>
    <w:rsid w:val="6B24787C"/>
    <w:rsid w:val="6B573233"/>
    <w:rsid w:val="6B5B6274"/>
    <w:rsid w:val="6B694FD4"/>
    <w:rsid w:val="6B710BD6"/>
    <w:rsid w:val="6B8F50D6"/>
    <w:rsid w:val="6B935D53"/>
    <w:rsid w:val="6C196F71"/>
    <w:rsid w:val="6C1C4390"/>
    <w:rsid w:val="6C226FCB"/>
    <w:rsid w:val="6C31226F"/>
    <w:rsid w:val="6C340BCC"/>
    <w:rsid w:val="6C390C24"/>
    <w:rsid w:val="6C552F0B"/>
    <w:rsid w:val="6C831D39"/>
    <w:rsid w:val="6C865790"/>
    <w:rsid w:val="6C8C2DF7"/>
    <w:rsid w:val="6C8C67B7"/>
    <w:rsid w:val="6C9D744C"/>
    <w:rsid w:val="6CFD6256"/>
    <w:rsid w:val="6CFE67A8"/>
    <w:rsid w:val="6D167928"/>
    <w:rsid w:val="6D261515"/>
    <w:rsid w:val="6D26299B"/>
    <w:rsid w:val="6D4772EC"/>
    <w:rsid w:val="6D497D69"/>
    <w:rsid w:val="6D6D4FC1"/>
    <w:rsid w:val="6D8007DE"/>
    <w:rsid w:val="6D9078AF"/>
    <w:rsid w:val="6DAA3FEF"/>
    <w:rsid w:val="6DC0172B"/>
    <w:rsid w:val="6DCB690C"/>
    <w:rsid w:val="6DD41A5B"/>
    <w:rsid w:val="6DF43C2E"/>
    <w:rsid w:val="6DF4670C"/>
    <w:rsid w:val="6DF51CA3"/>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D7B14"/>
    <w:rsid w:val="6FEF3B3E"/>
    <w:rsid w:val="70046BFE"/>
    <w:rsid w:val="701D23BC"/>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F35C9"/>
    <w:rsid w:val="73C0646E"/>
    <w:rsid w:val="73D62258"/>
    <w:rsid w:val="742222F5"/>
    <w:rsid w:val="742348D0"/>
    <w:rsid w:val="74476126"/>
    <w:rsid w:val="74624977"/>
    <w:rsid w:val="74706664"/>
    <w:rsid w:val="7475702A"/>
    <w:rsid w:val="747F3682"/>
    <w:rsid w:val="749C4185"/>
    <w:rsid w:val="74A73931"/>
    <w:rsid w:val="74AB1A2B"/>
    <w:rsid w:val="74BE006A"/>
    <w:rsid w:val="74DA51BD"/>
    <w:rsid w:val="75067759"/>
    <w:rsid w:val="751463BB"/>
    <w:rsid w:val="752E6DCD"/>
    <w:rsid w:val="754B4BDD"/>
    <w:rsid w:val="7551380D"/>
    <w:rsid w:val="75600BE5"/>
    <w:rsid w:val="7564475C"/>
    <w:rsid w:val="75834A5C"/>
    <w:rsid w:val="7583797F"/>
    <w:rsid w:val="75D20F1D"/>
    <w:rsid w:val="75DA2C18"/>
    <w:rsid w:val="75F54412"/>
    <w:rsid w:val="75FF1B9F"/>
    <w:rsid w:val="761969BC"/>
    <w:rsid w:val="761B37BC"/>
    <w:rsid w:val="761D08E0"/>
    <w:rsid w:val="76400B70"/>
    <w:rsid w:val="765D347C"/>
    <w:rsid w:val="76826699"/>
    <w:rsid w:val="7688753D"/>
    <w:rsid w:val="76B651F6"/>
    <w:rsid w:val="76C87133"/>
    <w:rsid w:val="76CD08D5"/>
    <w:rsid w:val="76DB4B92"/>
    <w:rsid w:val="76DF1372"/>
    <w:rsid w:val="76FF4961"/>
    <w:rsid w:val="77052AA4"/>
    <w:rsid w:val="77136511"/>
    <w:rsid w:val="77340A39"/>
    <w:rsid w:val="77351FD0"/>
    <w:rsid w:val="773F0ECF"/>
    <w:rsid w:val="77472422"/>
    <w:rsid w:val="777F31F2"/>
    <w:rsid w:val="77BC4C63"/>
    <w:rsid w:val="77C24C2D"/>
    <w:rsid w:val="77D1700D"/>
    <w:rsid w:val="77E4568D"/>
    <w:rsid w:val="77EC04CC"/>
    <w:rsid w:val="78006A23"/>
    <w:rsid w:val="781E6205"/>
    <w:rsid w:val="78410AA2"/>
    <w:rsid w:val="78775729"/>
    <w:rsid w:val="78A00DDE"/>
    <w:rsid w:val="78A42DB0"/>
    <w:rsid w:val="78A656AB"/>
    <w:rsid w:val="78B2245C"/>
    <w:rsid w:val="78E172CC"/>
    <w:rsid w:val="78EA1D1F"/>
    <w:rsid w:val="78F62C23"/>
    <w:rsid w:val="7904172F"/>
    <w:rsid w:val="79062AD2"/>
    <w:rsid w:val="79090A53"/>
    <w:rsid w:val="790F7E27"/>
    <w:rsid w:val="79206DB4"/>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D65779"/>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DD367E"/>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3B9ED5"/>
    <w:rsid w:val="7F5856D4"/>
    <w:rsid w:val="7F6137FA"/>
    <w:rsid w:val="7F715AF2"/>
    <w:rsid w:val="7F793597"/>
    <w:rsid w:val="7F886E69"/>
    <w:rsid w:val="7FBF953E"/>
    <w:rsid w:val="7FCF2D12"/>
    <w:rsid w:val="7FFA1DC8"/>
    <w:rsid w:val="B7CF2CDA"/>
    <w:rsid w:val="BB7FA927"/>
    <w:rsid w:val="BDFE67E6"/>
    <w:rsid w:val="CF7DC0DB"/>
    <w:rsid w:val="DAFAB3C3"/>
    <w:rsid w:val="EADD1578"/>
    <w:rsid w:val="EAE9C92D"/>
    <w:rsid w:val="EBAFC9B2"/>
    <w:rsid w:val="EDEF0B63"/>
    <w:rsid w:val="F5FFD31F"/>
    <w:rsid w:val="F6E56DE9"/>
    <w:rsid w:val="FAB698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5"/>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link w:val="437"/>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7"/>
    <w:link w:val="328"/>
    <w:qFormat/>
    <w:uiPriority w:val="0"/>
    <w:pPr>
      <w:ind w:firstLine="420"/>
    </w:pPr>
    <w:rPr>
      <w:rFonts w:hAnsi="Calibri" w:cs="Times New Roman"/>
      <w:snapToGrid/>
      <w:szCs w:val="20"/>
    </w:rPr>
  </w:style>
  <w:style w:type="paragraph" w:styleId="7">
    <w:name w:val="toc 6"/>
    <w:basedOn w:val="1"/>
    <w:next w:val="1"/>
    <w:qFormat/>
    <w:uiPriority w:val="0"/>
    <w:pPr>
      <w:ind w:left="2100" w:leftChars="10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index 8"/>
    <w:basedOn w:val="1"/>
    <w:next w:val="1"/>
    <w:qFormat/>
    <w:uiPriority w:val="0"/>
    <w:pPr>
      <w:ind w:left="2940"/>
    </w:p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37"/>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10"/>
    <w:qFormat/>
    <w:uiPriority w:val="0"/>
    <w:pPr>
      <w:shd w:val="clear" w:color="auto" w:fill="000080"/>
    </w:pPr>
  </w:style>
  <w:style w:type="paragraph" w:styleId="23">
    <w:name w:val="annotation text"/>
    <w:basedOn w:val="1"/>
    <w:link w:val="351"/>
    <w:qFormat/>
    <w:uiPriority w:val="99"/>
    <w:pPr>
      <w:jc w:val="left"/>
    </w:pPr>
  </w:style>
  <w:style w:type="paragraph" w:styleId="24">
    <w:name w:val="Salutation"/>
    <w:basedOn w:val="1"/>
    <w:next w:val="1"/>
    <w:link w:val="305"/>
    <w:qFormat/>
    <w:uiPriority w:val="0"/>
    <w:rPr>
      <w:rFonts w:ascii="仿宋_GB2312" w:eastAsia="仿宋_GB2312"/>
      <w:sz w:val="28"/>
      <w:szCs w:val="20"/>
    </w:rPr>
  </w:style>
  <w:style w:type="paragraph" w:styleId="25">
    <w:name w:val="Body Text 3"/>
    <w:basedOn w:val="1"/>
    <w:link w:val="337"/>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2"/>
    <w:link w:val="27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9"/>
    <w:qFormat/>
    <w:uiPriority w:val="0"/>
    <w:pPr>
      <w:ind w:left="100" w:leftChars="2500"/>
    </w:pPr>
    <w:rPr>
      <w:rFonts w:ascii="宋体"/>
      <w:sz w:val="24"/>
      <w:szCs w:val="21"/>
      <w:lang w:val="zh-CN"/>
    </w:rPr>
  </w:style>
  <w:style w:type="paragraph" w:styleId="39">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196"/>
    <w:qFormat/>
    <w:uiPriority w:val="0"/>
    <w:rPr>
      <w:sz w:val="18"/>
      <w:szCs w:val="18"/>
    </w:rPr>
  </w:style>
  <w:style w:type="paragraph" w:styleId="42">
    <w:name w:val="footer"/>
    <w:basedOn w:val="1"/>
    <w:link w:val="390"/>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2"/>
    <w:link w:val="317"/>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104"/>
    <w:qFormat/>
    <w:uiPriority w:val="0"/>
    <w:rPr>
      <w:b/>
      <w:bCs/>
    </w:rPr>
  </w:style>
  <w:style w:type="paragraph" w:styleId="63">
    <w:name w:val="Body Text First Indent 2"/>
    <w:basedOn w:val="27"/>
    <w:next w:val="1"/>
    <w:link w:val="129"/>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qFormat/>
    <w:uiPriority w:val="0"/>
    <w:rPr>
      <w:rFonts w:ascii="宋体" w:hAnsi="宋体" w:eastAsia="宋体" w:cs="Times New Roman"/>
      <w:sz w:val="24"/>
      <w:lang w:val="zh-CN" w:eastAsia="zh-CN" w:bidi="ar-SA"/>
    </w:rPr>
  </w:style>
  <w:style w:type="paragraph" w:styleId="88">
    <w:name w:val="List Paragraph"/>
    <w:basedOn w:val="1"/>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7"/>
    <w:qFormat/>
    <w:uiPriority w:val="99"/>
    <w:pPr>
      <w:spacing w:line="200" w:lineRule="atLeast"/>
      <w:ind w:firstLine="420"/>
    </w:pPr>
    <w:rPr>
      <w:rFonts w:hAnsi="Courier New"/>
      <w:spacing w:val="-4"/>
      <w:sz w:val="1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2"/>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1"/>
    <w:qFormat/>
    <w:uiPriority w:val="0"/>
    <w:rPr>
      <w:rFonts w:ascii="Arial" w:hAnsi="Arial" w:eastAsia="黑体" w:cs="Arial"/>
      <w:snapToGrid w:val="0"/>
      <w:kern w:val="0"/>
      <w:szCs w:val="21"/>
    </w:rPr>
  </w:style>
  <w:style w:type="character" w:customStyle="1" w:styleId="13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50"/>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11"/>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4"/>
    <w:link w:val="178"/>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8"/>
    <w:qFormat/>
    <w:uiPriority w:val="0"/>
    <w:rPr>
      <w:rFonts w:ascii="宋体"/>
      <w:kern w:val="2"/>
      <w:sz w:val="24"/>
      <w:szCs w:val="21"/>
      <w:lang w:val="zh-CN"/>
    </w:rPr>
  </w:style>
  <w:style w:type="character" w:customStyle="1" w:styleId="190">
    <w:name w:val="标题 9 字符"/>
    <w:link w:val="14"/>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字符1"/>
    <w:link w:val="41"/>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2"/>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22"/>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1"/>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2"/>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9"/>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20"/>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2"/>
    <w:qFormat/>
    <w:uiPriority w:val="0"/>
    <w:rPr>
      <w:rFonts w:ascii="仿宋_GB2312" w:eastAsia="仿宋_GB2312" w:cs="仿宋_GB2312"/>
      <w:color w:val="000000"/>
      <w:sz w:val="24"/>
      <w:szCs w:val="24"/>
      <w:lang w:val="en-US" w:eastAsia="zh-CN" w:bidi="ar-SA"/>
    </w:rPr>
  </w:style>
  <w:style w:type="paragraph" w:customStyle="1" w:styleId="2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8"/>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7"/>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10"/>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4"/>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9"/>
    <w:qFormat/>
    <w:uiPriority w:val="0"/>
    <w:rPr>
      <w:rFonts w:ascii="黑体" w:hAnsi="Courier New" w:eastAsia="黑体"/>
    </w:rPr>
  </w:style>
  <w:style w:type="character" w:customStyle="1" w:styleId="309">
    <w:name w:val="正文文本 2 字符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9"/>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12"/>
    <w:qFormat/>
    <w:uiPriority w:val="0"/>
    <w:rPr>
      <w:b/>
      <w:bCs/>
      <w:kern w:val="2"/>
      <w:sz w:val="24"/>
      <w:szCs w:val="24"/>
    </w:rPr>
  </w:style>
  <w:style w:type="character" w:customStyle="1" w:styleId="315">
    <w:name w:val="正文文本缩进 2 字符"/>
    <w:link w:val="39"/>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3"/>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6"/>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9"/>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5"/>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3"/>
    <w:qFormat/>
    <w:uiPriority w:val="0"/>
    <w:rPr>
      <w:kern w:val="2"/>
      <w:sz w:val="21"/>
      <w:szCs w:val="24"/>
    </w:rPr>
  </w:style>
  <w:style w:type="character" w:customStyle="1" w:styleId="352">
    <w:name w:val="签名 字符"/>
    <w:link w:val="45"/>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3"/>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2"/>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4"/>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2"/>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5"/>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9"/>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8"/>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10"/>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8"/>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9"/>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9"/>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9"/>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8"/>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8"/>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2"/>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10"/>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40"/>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88"/>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qFormat/>
    <w:uiPriority w:val="0"/>
    <w:rPr>
      <w:rFonts w:hint="eastAsia" w:ascii="Calibri" w:hAnsi="Calibri" w:eastAsia="宋体" w:cs="Times New Roman"/>
      <w:lang w:val="en-US" w:eastAsia="zh-Hans" w:bidi="ar-SA"/>
    </w:rPr>
  </w:style>
  <w:style w:type="paragraph" w:customStyle="1" w:styleId="976">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eastAsia="zh-CN"/>
    </w:rPr>
  </w:style>
  <w:style w:type="paragraph" w:customStyle="1" w:styleId="981">
    <w:name w:val="NormalIndent"/>
    <w:basedOn w:val="1"/>
    <w:qFormat/>
    <w:uiPriority w:val="0"/>
    <w:pPr>
      <w:widowControl/>
      <w:spacing w:after="200" w:line="240" w:lineRule="auto"/>
      <w:ind w:firstLine="420" w:firstLineChars="0"/>
      <w:jc w:val="left"/>
    </w:pPr>
    <w:rPr>
      <w:rFonts w:cstheme="majorBid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46</Pages>
  <Words>85</Words>
  <Characters>101</Characters>
  <Lines>206</Lines>
  <Paragraphs>58</Paragraphs>
  <TotalTime>32</TotalTime>
  <ScaleCrop>false</ScaleCrop>
  <LinksUpToDate>false</LinksUpToDate>
  <CharactersWithSpaces>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2024-10-13T03:26:00Z</dcterms:created>
  <dc:creator>玥</dc:creator>
  <cp:lastModifiedBy>admin</cp:lastModifiedBy>
  <cp:lastPrinted>2021-12-29T19:06:00Z</cp:lastPrinted>
  <dcterms:modified xsi:type="dcterms:W3CDTF">2025-07-02T06:23:09Z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C05A36E678A846B6B116C046A5AA189F_13</vt:lpwstr>
  </property>
  <property fmtid="{D5CDD505-2E9C-101B-9397-08002B2CF9AE}" pid="5" name="commondata">
    <vt:lpwstr>eyJoZGlkIjoiMzdkYTNjODAzOWEyZTBjZWI2OWE0Y2U2MTNhOGNiNmUifQ==</vt:lpwstr>
  </property>
  <property fmtid="{D5CDD505-2E9C-101B-9397-08002B2CF9AE}" pid="6" name="KSOTemplateDocerSaveRecord">
    <vt:lpwstr>eyJoZGlkIjoiMTA1MWMxZmY0MTVkNzVlZGRmNTcxNGM1NmNkZjhjYzQiLCJ1c2VySWQiOiIzNjMyMzU2MzYifQ==</vt:lpwstr>
  </property>
</Properties>
</file>