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9C969">
      <w:pPr>
        <w:spacing w:line="360" w:lineRule="auto"/>
        <w:jc w:val="center"/>
        <w:rPr>
          <w:rFonts w:hint="eastAsia" w:asciiTheme="minorEastAsia" w:hAnsiTheme="minorEastAsia" w:eastAsiaTheme="minorEastAsia" w:cstheme="minorEastAsia"/>
          <w:b/>
          <w:color w:val="auto"/>
          <w:sz w:val="24"/>
          <w:highlight w:val="none"/>
        </w:rPr>
      </w:pPr>
    </w:p>
    <w:p w14:paraId="11408850">
      <w:pPr>
        <w:pStyle w:val="972"/>
        <w:spacing w:line="760" w:lineRule="exact"/>
        <w:rPr>
          <w:rFonts w:hint="eastAsia" w:asciiTheme="minorEastAsia" w:hAnsiTheme="minorEastAsia" w:eastAsiaTheme="minorEastAsia" w:cstheme="minorEastAsia"/>
          <w:color w:val="auto"/>
          <w:sz w:val="72"/>
          <w:szCs w:val="72"/>
          <w:highlight w:val="none"/>
        </w:rPr>
      </w:pPr>
    </w:p>
    <w:p w14:paraId="24AC685E">
      <w:pPr>
        <w:pStyle w:val="24"/>
        <w:jc w:val="center"/>
        <w:rPr>
          <w:rFonts w:hint="eastAsia" w:hAnsi="宋体" w:cs="宋体"/>
          <w:b/>
          <w:bCs/>
          <w:color w:val="auto"/>
          <w:sz w:val="44"/>
          <w:szCs w:val="44"/>
          <w:highlight w:val="none"/>
          <w:lang w:val="en-US" w:eastAsia="zh-CN"/>
        </w:rPr>
      </w:pPr>
      <w:r>
        <w:rPr>
          <w:rFonts w:hint="eastAsia" w:hAnsi="宋体" w:cs="宋体"/>
          <w:b/>
          <w:bCs/>
          <w:color w:val="auto"/>
          <w:sz w:val="44"/>
          <w:szCs w:val="44"/>
          <w:highlight w:val="none"/>
          <w:lang w:val="en-US" w:eastAsia="zh-CN"/>
        </w:rPr>
        <w:t>杭州市萧山区统计局2025年职工疗休养项目</w:t>
      </w:r>
    </w:p>
    <w:p w14:paraId="7F27EA42">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4307BB18">
      <w:pPr>
        <w:pStyle w:val="24"/>
        <w:rPr>
          <w:rFonts w:hint="eastAsia"/>
          <w:color w:val="auto"/>
          <w:highlight w:val="none"/>
        </w:rPr>
      </w:pPr>
    </w:p>
    <w:p w14:paraId="30EB44E3">
      <w:pPr>
        <w:adjustRightInd/>
        <w:spacing w:line="360" w:lineRule="auto"/>
        <w:jc w:val="center"/>
        <w:rPr>
          <w:rFonts w:hint="eastAsia" w:asciiTheme="minorEastAsia" w:hAnsiTheme="minorEastAsia" w:eastAsiaTheme="minorEastAsia" w:cstheme="minorEastAsia"/>
          <w:b/>
          <w:bCs/>
          <w:color w:val="auto"/>
          <w:sz w:val="72"/>
          <w:szCs w:val="72"/>
          <w:highlight w:val="none"/>
          <w:lang w:val="en-US" w:eastAsia="zh-CN"/>
        </w:rPr>
      </w:pPr>
      <w:r>
        <w:rPr>
          <w:rFonts w:hint="eastAsia" w:asciiTheme="minorEastAsia" w:hAnsiTheme="minorEastAsia" w:eastAsiaTheme="minorEastAsia" w:cstheme="minorEastAsia"/>
          <w:b/>
          <w:bCs/>
          <w:color w:val="auto"/>
          <w:sz w:val="72"/>
          <w:szCs w:val="72"/>
          <w:highlight w:val="none"/>
        </w:rPr>
        <w:t>公开竞争</w:t>
      </w:r>
      <w:r>
        <w:rPr>
          <w:rFonts w:hint="eastAsia" w:asciiTheme="minorEastAsia" w:hAnsiTheme="minorEastAsia" w:eastAsiaTheme="minorEastAsia" w:cstheme="minorEastAsia"/>
          <w:b/>
          <w:bCs/>
          <w:color w:val="auto"/>
          <w:sz w:val="72"/>
          <w:szCs w:val="72"/>
          <w:highlight w:val="none"/>
          <w:lang w:val="en-US" w:eastAsia="zh-CN"/>
        </w:rPr>
        <w:t>文件</w:t>
      </w:r>
    </w:p>
    <w:p w14:paraId="2299304D">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w:t>
      </w:r>
    </w:p>
    <w:p w14:paraId="625CB038">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46E0FAFE">
      <w:pPr>
        <w:snapToGrid w:val="0"/>
        <w:spacing w:line="360" w:lineRule="auto"/>
        <w:jc w:val="center"/>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BWZBDL2025-117（2）</w:t>
      </w:r>
    </w:p>
    <w:p w14:paraId="0D270830">
      <w:pPr>
        <w:adjustRightInd/>
        <w:spacing w:line="360" w:lineRule="auto"/>
        <w:rPr>
          <w:rFonts w:hint="eastAsia" w:asciiTheme="minorEastAsia" w:hAnsiTheme="minorEastAsia" w:eastAsiaTheme="minorEastAsia" w:cstheme="minorEastAsia"/>
          <w:color w:val="auto"/>
          <w:sz w:val="28"/>
          <w:szCs w:val="20"/>
          <w:highlight w:val="none"/>
        </w:rPr>
      </w:pPr>
    </w:p>
    <w:p w14:paraId="61585878">
      <w:pPr>
        <w:spacing w:line="360" w:lineRule="auto"/>
        <w:jc w:val="center"/>
        <w:rPr>
          <w:rFonts w:hint="eastAsia" w:asciiTheme="minorEastAsia" w:hAnsiTheme="minorEastAsia" w:eastAsiaTheme="minorEastAsia" w:cstheme="minorEastAsia"/>
          <w:b/>
          <w:color w:val="auto"/>
          <w:sz w:val="44"/>
          <w:szCs w:val="44"/>
          <w:highlight w:val="none"/>
        </w:rPr>
      </w:pPr>
    </w:p>
    <w:p w14:paraId="3D3D0A1D">
      <w:pPr>
        <w:spacing w:line="360" w:lineRule="auto"/>
        <w:jc w:val="center"/>
        <w:rPr>
          <w:rFonts w:hint="eastAsia" w:asciiTheme="minorEastAsia" w:hAnsiTheme="minorEastAsia" w:eastAsiaTheme="minorEastAsia" w:cstheme="minorEastAsia"/>
          <w:b/>
          <w:color w:val="auto"/>
          <w:sz w:val="44"/>
          <w:szCs w:val="44"/>
          <w:highlight w:val="none"/>
        </w:rPr>
      </w:pPr>
    </w:p>
    <w:p w14:paraId="00208223">
      <w:pPr>
        <w:pStyle w:val="2"/>
        <w:rPr>
          <w:rFonts w:hint="eastAsia"/>
          <w:color w:val="auto"/>
          <w:highlight w:val="none"/>
        </w:rPr>
      </w:pPr>
    </w:p>
    <w:p w14:paraId="693CF302">
      <w:pPr>
        <w:pStyle w:val="87"/>
        <w:rPr>
          <w:rFonts w:hint="eastAsia" w:asciiTheme="minorEastAsia" w:hAnsiTheme="minorEastAsia" w:eastAsiaTheme="minorEastAsia" w:cstheme="minorEastAsia"/>
          <w:color w:val="auto"/>
          <w:highlight w:val="none"/>
        </w:rPr>
      </w:pPr>
    </w:p>
    <w:p w14:paraId="79E015EC">
      <w:pPr>
        <w:pStyle w:val="86"/>
        <w:ind w:firstLine="0"/>
        <w:rPr>
          <w:rFonts w:hint="eastAsia" w:asciiTheme="minorEastAsia" w:hAnsiTheme="minorEastAsia" w:eastAsiaTheme="minorEastAsia" w:cstheme="minorEastAsia"/>
          <w:color w:val="auto"/>
          <w:highlight w:val="none"/>
          <w:lang w:eastAsia="zh-CN"/>
        </w:rPr>
      </w:pPr>
    </w:p>
    <w:p w14:paraId="7F5B7D9F">
      <w:pPr>
        <w:spacing w:line="360" w:lineRule="auto"/>
        <w:ind w:firstLine="964" w:firstLineChars="300"/>
        <w:rPr>
          <w:rFonts w:hint="eastAsia" w:asciiTheme="minorEastAsia" w:hAnsiTheme="minorEastAsia" w:eastAsiaTheme="minorEastAsia" w:cstheme="minorEastAsia"/>
          <w:b/>
          <w:color w:val="auto"/>
          <w:sz w:val="32"/>
          <w:szCs w:val="30"/>
          <w:highlight w:val="none"/>
          <w:lang w:eastAsia="zh-CN"/>
        </w:rPr>
      </w:pPr>
      <w:r>
        <w:rPr>
          <w:rFonts w:hint="eastAsia" w:asciiTheme="minorEastAsia" w:hAnsiTheme="minorEastAsia" w:eastAsiaTheme="minorEastAsia" w:cstheme="minorEastAsia"/>
          <w:b/>
          <w:color w:val="auto"/>
          <w:sz w:val="32"/>
          <w:szCs w:val="30"/>
          <w:highlight w:val="none"/>
        </w:rPr>
        <w:t>交易发起人：</w:t>
      </w:r>
      <w:r>
        <w:rPr>
          <w:rFonts w:hint="eastAsia" w:asciiTheme="minorEastAsia" w:hAnsiTheme="minorEastAsia" w:eastAsiaTheme="minorEastAsia" w:cstheme="minorEastAsia"/>
          <w:b/>
          <w:color w:val="auto"/>
          <w:sz w:val="32"/>
          <w:szCs w:val="30"/>
          <w:highlight w:val="none"/>
          <w:lang w:val="en-US" w:eastAsia="zh-CN"/>
        </w:rPr>
        <w:t>杭州市萧山区统计局</w:t>
      </w:r>
    </w:p>
    <w:p w14:paraId="43B48C2B">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47FC82E7">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val="en-US"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二十六</w:t>
      </w:r>
      <w:r>
        <w:rPr>
          <w:rFonts w:hint="eastAsia" w:asciiTheme="minorEastAsia" w:hAnsiTheme="minorEastAsia" w:eastAsiaTheme="minorEastAsia" w:cstheme="minorEastAsia"/>
          <w:b/>
          <w:color w:val="auto"/>
          <w:sz w:val="32"/>
          <w:szCs w:val="32"/>
          <w:highlight w:val="none"/>
        </w:rPr>
        <w:t>日</w:t>
      </w:r>
    </w:p>
    <w:p w14:paraId="259401B8">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7EED411A">
      <w:pPr>
        <w:jc w:val="center"/>
        <w:rPr>
          <w:rFonts w:hint="eastAsia" w:asciiTheme="minorEastAsia" w:hAnsiTheme="minorEastAsia" w:eastAsiaTheme="minorEastAsia" w:cstheme="minorEastAsia"/>
          <w:b/>
          <w:color w:val="auto"/>
          <w:sz w:val="48"/>
          <w:szCs w:val="48"/>
          <w:highlight w:val="none"/>
        </w:rPr>
      </w:pPr>
    </w:p>
    <w:p w14:paraId="1FE34AAC">
      <w:pPr>
        <w:jc w:val="center"/>
        <w:rPr>
          <w:rFonts w:hint="eastAsia" w:asciiTheme="minorEastAsia" w:hAnsiTheme="minorEastAsia" w:eastAsiaTheme="minorEastAsia" w:cstheme="minorEastAsia"/>
          <w:b/>
          <w:color w:val="auto"/>
          <w:sz w:val="48"/>
          <w:szCs w:val="48"/>
          <w:highlight w:val="none"/>
        </w:rPr>
      </w:pPr>
    </w:p>
    <w:p w14:paraId="61A1B9AF">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F0D5E5B">
      <w:pPr>
        <w:spacing w:line="360" w:lineRule="auto"/>
        <w:rPr>
          <w:rFonts w:hint="eastAsia" w:asciiTheme="minorEastAsia" w:hAnsiTheme="minorEastAsia" w:eastAsiaTheme="minorEastAsia" w:cstheme="minorEastAsia"/>
          <w:color w:val="auto"/>
          <w:sz w:val="32"/>
          <w:szCs w:val="32"/>
          <w:highlight w:val="none"/>
        </w:rPr>
      </w:pPr>
    </w:p>
    <w:p w14:paraId="7F20638C">
      <w:pPr>
        <w:spacing w:line="360" w:lineRule="auto"/>
        <w:rPr>
          <w:rFonts w:hint="eastAsia" w:asciiTheme="minorEastAsia" w:hAnsiTheme="minorEastAsia" w:eastAsiaTheme="minorEastAsia" w:cstheme="minorEastAsia"/>
          <w:color w:val="auto"/>
          <w:sz w:val="32"/>
          <w:szCs w:val="32"/>
          <w:highlight w:val="none"/>
        </w:rPr>
      </w:pPr>
    </w:p>
    <w:p w14:paraId="7BFFDCE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4F69DE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52BAD7C9">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7C5AD0B2">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3FDF0B5F">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3E9628B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B408B11">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3183C93D">
      <w:pPr>
        <w:spacing w:line="360" w:lineRule="auto"/>
        <w:ind w:firstLine="549" w:firstLineChars="229"/>
        <w:rPr>
          <w:rFonts w:hint="eastAsia" w:asciiTheme="minorEastAsia" w:hAnsiTheme="minorEastAsia" w:eastAsiaTheme="minorEastAsia" w:cstheme="minorEastAsia"/>
          <w:color w:val="auto"/>
          <w:sz w:val="24"/>
          <w:highlight w:val="none"/>
        </w:rPr>
      </w:pPr>
    </w:p>
    <w:p w14:paraId="0D541C4D">
      <w:pPr>
        <w:spacing w:line="360" w:lineRule="auto"/>
        <w:ind w:firstLine="549" w:firstLineChars="229"/>
        <w:rPr>
          <w:rFonts w:hint="eastAsia" w:asciiTheme="minorEastAsia" w:hAnsiTheme="minorEastAsia" w:eastAsiaTheme="minorEastAsia" w:cstheme="minorEastAsia"/>
          <w:color w:val="auto"/>
          <w:sz w:val="24"/>
          <w:highlight w:val="none"/>
        </w:rPr>
      </w:pPr>
    </w:p>
    <w:p w14:paraId="44815395">
      <w:pPr>
        <w:spacing w:line="360" w:lineRule="auto"/>
        <w:ind w:firstLine="549" w:firstLineChars="229"/>
        <w:rPr>
          <w:rFonts w:hint="eastAsia" w:asciiTheme="minorEastAsia" w:hAnsiTheme="minorEastAsia" w:eastAsiaTheme="minorEastAsia" w:cstheme="minorEastAsia"/>
          <w:color w:val="auto"/>
          <w:sz w:val="24"/>
          <w:highlight w:val="none"/>
        </w:rPr>
      </w:pPr>
    </w:p>
    <w:p w14:paraId="4B0EE9F6">
      <w:pPr>
        <w:spacing w:line="360" w:lineRule="auto"/>
        <w:ind w:firstLine="549" w:firstLineChars="229"/>
        <w:rPr>
          <w:rFonts w:hint="eastAsia" w:asciiTheme="minorEastAsia" w:hAnsiTheme="minorEastAsia" w:eastAsiaTheme="minorEastAsia" w:cstheme="minorEastAsia"/>
          <w:color w:val="auto"/>
          <w:sz w:val="24"/>
          <w:highlight w:val="none"/>
        </w:rPr>
      </w:pPr>
    </w:p>
    <w:p w14:paraId="5E77B053">
      <w:pPr>
        <w:spacing w:line="360" w:lineRule="auto"/>
        <w:ind w:firstLine="549" w:firstLineChars="229"/>
        <w:rPr>
          <w:rFonts w:hint="eastAsia" w:asciiTheme="minorEastAsia" w:hAnsiTheme="minorEastAsia" w:eastAsiaTheme="minorEastAsia" w:cstheme="minorEastAsia"/>
          <w:color w:val="auto"/>
          <w:sz w:val="24"/>
          <w:highlight w:val="none"/>
        </w:rPr>
      </w:pPr>
    </w:p>
    <w:p w14:paraId="1C24348C">
      <w:pPr>
        <w:spacing w:line="360" w:lineRule="auto"/>
        <w:ind w:firstLine="549" w:firstLineChars="229"/>
        <w:rPr>
          <w:rFonts w:hint="eastAsia" w:asciiTheme="minorEastAsia" w:hAnsiTheme="minorEastAsia" w:eastAsiaTheme="minorEastAsia" w:cstheme="minorEastAsia"/>
          <w:color w:val="auto"/>
          <w:sz w:val="24"/>
          <w:highlight w:val="none"/>
        </w:rPr>
      </w:pPr>
    </w:p>
    <w:p w14:paraId="58A6DD16">
      <w:pPr>
        <w:spacing w:line="360" w:lineRule="auto"/>
        <w:ind w:firstLine="549" w:firstLineChars="229"/>
        <w:rPr>
          <w:rFonts w:hint="eastAsia" w:asciiTheme="minorEastAsia" w:hAnsiTheme="minorEastAsia" w:eastAsiaTheme="minorEastAsia" w:cstheme="minorEastAsia"/>
          <w:color w:val="auto"/>
          <w:sz w:val="24"/>
          <w:highlight w:val="none"/>
        </w:rPr>
      </w:pPr>
    </w:p>
    <w:p w14:paraId="383581FD">
      <w:pPr>
        <w:spacing w:line="360" w:lineRule="auto"/>
        <w:ind w:firstLine="549" w:firstLineChars="229"/>
        <w:rPr>
          <w:rFonts w:hint="eastAsia" w:asciiTheme="minorEastAsia" w:hAnsiTheme="minorEastAsia" w:eastAsiaTheme="minorEastAsia" w:cstheme="minorEastAsia"/>
          <w:color w:val="auto"/>
          <w:sz w:val="24"/>
          <w:highlight w:val="none"/>
        </w:rPr>
      </w:pPr>
    </w:p>
    <w:p w14:paraId="7DDD4C51">
      <w:pPr>
        <w:spacing w:line="360" w:lineRule="auto"/>
        <w:ind w:firstLine="549" w:firstLineChars="229"/>
        <w:rPr>
          <w:rFonts w:hint="eastAsia" w:asciiTheme="minorEastAsia" w:hAnsiTheme="minorEastAsia" w:eastAsiaTheme="minorEastAsia" w:cstheme="minorEastAsia"/>
          <w:color w:val="auto"/>
          <w:sz w:val="24"/>
          <w:highlight w:val="none"/>
        </w:rPr>
      </w:pPr>
    </w:p>
    <w:p w14:paraId="0A9A1DD4">
      <w:pPr>
        <w:spacing w:line="360" w:lineRule="auto"/>
        <w:ind w:firstLine="549" w:firstLineChars="229"/>
        <w:rPr>
          <w:rFonts w:hint="eastAsia" w:asciiTheme="minorEastAsia" w:hAnsiTheme="minorEastAsia" w:eastAsiaTheme="minorEastAsia" w:cstheme="minorEastAsia"/>
          <w:color w:val="auto"/>
          <w:sz w:val="24"/>
          <w:highlight w:val="none"/>
        </w:rPr>
      </w:pPr>
    </w:p>
    <w:p w14:paraId="7315FDEC">
      <w:pPr>
        <w:spacing w:line="360" w:lineRule="auto"/>
        <w:ind w:firstLine="549" w:firstLineChars="229"/>
        <w:rPr>
          <w:rFonts w:hint="eastAsia" w:asciiTheme="minorEastAsia" w:hAnsiTheme="minorEastAsia" w:eastAsiaTheme="minorEastAsia" w:cstheme="minorEastAsia"/>
          <w:color w:val="auto"/>
          <w:sz w:val="24"/>
          <w:highlight w:val="none"/>
        </w:rPr>
      </w:pPr>
    </w:p>
    <w:p w14:paraId="5833AD92">
      <w:pPr>
        <w:spacing w:line="360" w:lineRule="auto"/>
        <w:ind w:firstLine="549" w:firstLineChars="229"/>
        <w:rPr>
          <w:rFonts w:hint="eastAsia" w:asciiTheme="minorEastAsia" w:hAnsiTheme="minorEastAsia" w:eastAsiaTheme="minorEastAsia" w:cstheme="minorEastAsia"/>
          <w:color w:val="auto"/>
          <w:sz w:val="24"/>
          <w:highlight w:val="none"/>
        </w:rPr>
      </w:pPr>
    </w:p>
    <w:p w14:paraId="5DD235F5">
      <w:pPr>
        <w:spacing w:line="360" w:lineRule="auto"/>
        <w:rPr>
          <w:rFonts w:hint="eastAsia" w:asciiTheme="minorEastAsia" w:hAnsiTheme="minorEastAsia" w:eastAsiaTheme="minorEastAsia" w:cstheme="minorEastAsia"/>
          <w:color w:val="auto"/>
          <w:sz w:val="24"/>
          <w:highlight w:val="none"/>
        </w:rPr>
      </w:pPr>
    </w:p>
    <w:p w14:paraId="30134D9E">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0056156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5DCBEF2D">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 w:val="0"/>
          <w:bCs/>
          <w:color w:val="auto"/>
          <w:sz w:val="24"/>
          <w:highlight w:val="none"/>
          <w:lang w:eastAsia="zh-CN"/>
        </w:rPr>
        <w:t>BWZBDL2025-117（2）</w:t>
      </w:r>
    </w:p>
    <w:p w14:paraId="58E3D070">
      <w:pPr>
        <w:spacing w:line="360" w:lineRule="auto"/>
        <w:ind w:firstLine="482" w:firstLineChars="200"/>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 w:val="0"/>
          <w:bCs/>
          <w:color w:val="auto"/>
          <w:sz w:val="24"/>
          <w:highlight w:val="none"/>
          <w:lang w:val="en-US" w:eastAsia="zh-CN"/>
        </w:rPr>
        <w:t>杭州市萧山区统计局2025年职工疗休养项目</w:t>
      </w:r>
    </w:p>
    <w:p w14:paraId="253852D1">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cs="宋体"/>
          <w:color w:val="auto"/>
          <w:sz w:val="24"/>
          <w:szCs w:val="28"/>
          <w:highlight w:val="none"/>
        </w:rPr>
        <w:t>108000.00</w:t>
      </w:r>
      <w:r>
        <w:rPr>
          <w:rFonts w:hint="eastAsia" w:ascii="宋体" w:hAnsi="宋体" w:cs="宋体"/>
          <w:color w:val="auto"/>
          <w:sz w:val="24"/>
          <w:szCs w:val="28"/>
          <w:highlight w:val="none"/>
          <w:lang w:val="en-US" w:eastAsia="zh-CN"/>
        </w:rPr>
        <w:t>元</w:t>
      </w:r>
    </w:p>
    <w:p w14:paraId="7E3C6D7D">
      <w:pPr>
        <w:spacing w:line="360" w:lineRule="auto"/>
        <w:ind w:firstLine="482" w:firstLineChars="200"/>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szCs w:val="28"/>
          <w:highlight w:val="none"/>
        </w:rPr>
        <w:t>108000.00</w:t>
      </w:r>
      <w:r>
        <w:rPr>
          <w:rFonts w:hint="eastAsia" w:ascii="宋体" w:hAnsi="宋体" w:cs="宋体"/>
          <w:color w:val="auto"/>
          <w:sz w:val="24"/>
          <w:szCs w:val="28"/>
          <w:highlight w:val="none"/>
          <w:lang w:val="en-US" w:eastAsia="zh-CN"/>
        </w:rPr>
        <w:t>元</w:t>
      </w:r>
    </w:p>
    <w:p w14:paraId="1B09F4A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 w:val="0"/>
          <w:bCs/>
          <w:color w:val="auto"/>
          <w:sz w:val="24"/>
          <w:highlight w:val="none"/>
          <w:lang w:val="en-US" w:eastAsia="zh-CN"/>
        </w:rPr>
        <w:t>杭州市萧山区统计局2025年职工疗休养项目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1家，</w:t>
      </w:r>
      <w:r>
        <w:rPr>
          <w:rFonts w:hint="eastAsia" w:asciiTheme="minorEastAsia" w:hAnsiTheme="minorEastAsia" w:eastAsiaTheme="minorEastAsia" w:cstheme="minorEastAsia"/>
          <w:color w:val="auto"/>
          <w:sz w:val="24"/>
          <w:highlight w:val="none"/>
        </w:rPr>
        <w:t>详见交易需求。</w:t>
      </w:r>
    </w:p>
    <w:p w14:paraId="70CED378">
      <w:pPr>
        <w:pStyle w:val="16"/>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02DE325">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704157C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1378F5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307577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0E129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3F93F4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609FB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734B56A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2B99D3DE">
      <w:pPr>
        <w:pStyle w:val="25"/>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hAnsi="宋体" w:cs="宋体"/>
          <w:color w:val="auto"/>
          <w:highlight w:val="none"/>
        </w:rPr>
        <w:t>具有旅行社业务经营许可证</w:t>
      </w:r>
      <w:r>
        <w:rPr>
          <w:rFonts w:hint="eastAsia" w:hAnsi="宋体" w:cs="宋体"/>
          <w:color w:val="auto"/>
          <w:highlight w:val="none"/>
          <w:lang w:val="en-US"/>
        </w:rPr>
        <w:t>；</w:t>
      </w:r>
    </w:p>
    <w:p w14:paraId="4C9391D5">
      <w:pPr>
        <w:pStyle w:val="25"/>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5E4D70B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075B71A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03</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344374D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4192417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3E66027B">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21F6A71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10849E8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03</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r>
        <w:rPr>
          <w:rFonts w:hint="eastAsia" w:asciiTheme="minorEastAsia" w:hAnsiTheme="minorEastAsia" w:eastAsiaTheme="minorEastAsia" w:cstheme="minorEastAsia"/>
          <w:color w:val="auto"/>
          <w:sz w:val="24"/>
          <w:highlight w:val="none"/>
        </w:rPr>
        <w:t>（北京时间）</w:t>
      </w:r>
    </w:p>
    <w:p w14:paraId="6DA9FF8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乐采云平台（www.lecaiyun.com） </w:t>
      </w:r>
    </w:p>
    <w:p w14:paraId="3D3CA76C">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03</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4767FBB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w:t>
      </w: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54B1534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6DC900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79A0897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18244138">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6E8C303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名称：</w:t>
      </w:r>
      <w:r>
        <w:rPr>
          <w:rFonts w:hint="eastAsia" w:asciiTheme="minorEastAsia" w:hAnsiTheme="minorEastAsia" w:eastAsiaTheme="minorEastAsia" w:cstheme="minorEastAsia"/>
          <w:b w:val="0"/>
          <w:bCs/>
          <w:color w:val="auto"/>
          <w:sz w:val="24"/>
          <w:highlight w:val="none"/>
          <w:lang w:val="en-US" w:eastAsia="zh-CN"/>
        </w:rPr>
        <w:t>杭州市萧山区统计局</w:t>
      </w:r>
    </w:p>
    <w:p w14:paraId="7E4CAD3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地址：杭州市萧山区行政中心综合楼</w:t>
      </w:r>
    </w:p>
    <w:p w14:paraId="4DE24FA2">
      <w:pPr>
        <w:spacing w:line="360" w:lineRule="auto"/>
        <w:ind w:firstLine="480" w:firstLineChars="200"/>
        <w:jc w:val="left"/>
        <w:rPr>
          <w:rFonts w:hint="default" w:ascii="宋体" w:hAnsi="宋体" w:cs="宋体"/>
          <w:color w:val="auto"/>
          <w:sz w:val="24"/>
          <w:highlight w:val="none"/>
          <w:lang w:val="en-US"/>
        </w:rPr>
      </w:pPr>
      <w:r>
        <w:rPr>
          <w:rFonts w:hint="eastAsia" w:ascii="宋体" w:hAnsi="宋体" w:cs="宋体"/>
          <w:color w:val="auto"/>
          <w:sz w:val="24"/>
          <w:highlight w:val="none"/>
        </w:rPr>
        <w:t>项目联系人（询问）：李翰晖</w:t>
      </w:r>
    </w:p>
    <w:p w14:paraId="529902EA">
      <w:pPr>
        <w:spacing w:line="360" w:lineRule="auto"/>
        <w:ind w:firstLine="480" w:firstLineChars="200"/>
        <w:rPr>
          <w:rFonts w:hint="default" w:ascii="仿宋" w:hAnsi="仿宋" w:eastAsia="宋体" w:cs="仿宋"/>
          <w:color w:val="auto"/>
          <w:sz w:val="24"/>
          <w:szCs w:val="28"/>
          <w:highlight w:val="none"/>
          <w:lang w:val="en-US" w:eastAsia="zh-CN"/>
        </w:rPr>
      </w:pPr>
      <w:r>
        <w:rPr>
          <w:rFonts w:hint="eastAsia" w:ascii="宋体" w:hAnsi="宋体" w:cs="宋体"/>
          <w:color w:val="auto"/>
          <w:sz w:val="24"/>
          <w:highlight w:val="none"/>
        </w:rPr>
        <w:t>项目联系方式（询问）：0571-89618812</w:t>
      </w:r>
    </w:p>
    <w:p w14:paraId="50432C57">
      <w:pPr>
        <w:spacing w:line="360" w:lineRule="auto"/>
        <w:ind w:firstLine="480" w:firstLineChars="200"/>
        <w:jc w:val="left"/>
        <w:rPr>
          <w:rFonts w:ascii="宋体" w:hAnsi="宋体" w:cs="宋体"/>
          <w:color w:val="auto"/>
          <w:sz w:val="24"/>
          <w:szCs w:val="28"/>
          <w:highlight w:val="none"/>
        </w:rPr>
      </w:pPr>
      <w:bookmarkStart w:id="10" w:name="_Toc28359086"/>
      <w:bookmarkStart w:id="11" w:name="_Toc28359009"/>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705A043A">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0D8589C0">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22195262">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范梦迪</w:t>
      </w:r>
    </w:p>
    <w:p w14:paraId="37F04134">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0</w:t>
      </w:r>
      <w:r>
        <w:rPr>
          <w:rFonts w:hint="eastAsia" w:ascii="宋体" w:hAnsi="宋体" w:cs="宋体"/>
          <w:color w:val="auto"/>
          <w:sz w:val="24"/>
          <w:szCs w:val="28"/>
          <w:highlight w:val="none"/>
        </w:rPr>
        <w:t>8</w:t>
      </w:r>
    </w:p>
    <w:p w14:paraId="791577F3">
      <w:pPr>
        <w:spacing w:line="360" w:lineRule="auto"/>
        <w:ind w:firstLine="480" w:firstLineChars="200"/>
        <w:rPr>
          <w:rFonts w:hint="eastAsia" w:asciiTheme="minorEastAsia" w:hAnsiTheme="minorEastAsia" w:eastAsiaTheme="minorEastAsia" w:cstheme="minorEastAsia"/>
          <w:color w:val="auto"/>
          <w:sz w:val="24"/>
          <w:highlight w:val="none"/>
        </w:rPr>
      </w:pPr>
    </w:p>
    <w:p w14:paraId="22907040">
      <w:pPr>
        <w:spacing w:line="360" w:lineRule="auto"/>
        <w:ind w:firstLine="480" w:firstLineChars="200"/>
        <w:rPr>
          <w:rFonts w:hint="eastAsia" w:asciiTheme="minorEastAsia" w:hAnsiTheme="minorEastAsia" w:eastAsiaTheme="minorEastAsia" w:cstheme="minorEastAsia"/>
          <w:color w:val="auto"/>
          <w:sz w:val="24"/>
          <w:highlight w:val="none"/>
        </w:rPr>
      </w:pPr>
    </w:p>
    <w:p w14:paraId="6AAEE71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6A2B2A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B10344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1F7CC4C">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564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E6E182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5A19EF1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7C78413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673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tblHeader/>
          <w:jc w:val="center"/>
        </w:trPr>
        <w:tc>
          <w:tcPr>
            <w:tcW w:w="629" w:type="dxa"/>
            <w:vAlign w:val="center"/>
          </w:tcPr>
          <w:p w14:paraId="751BA46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317176D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7C1A74C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1D62DAA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22DE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tblHeader/>
          <w:jc w:val="center"/>
        </w:trPr>
        <w:tc>
          <w:tcPr>
            <w:tcW w:w="629" w:type="dxa"/>
          </w:tcPr>
          <w:p w14:paraId="4C551FB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5971C1A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p>
          <w:p w14:paraId="1BB7DFD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3D763C0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513F3D5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06BAFE3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17B1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798870D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3985D5B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7750B4F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4BCF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tblHeader/>
          <w:jc w:val="center"/>
        </w:trPr>
        <w:tc>
          <w:tcPr>
            <w:tcW w:w="629" w:type="dxa"/>
            <w:vAlign w:val="center"/>
          </w:tcPr>
          <w:p w14:paraId="3B9CFF6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4EB65C1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363F9FC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49F0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tblHeader/>
          <w:jc w:val="center"/>
        </w:trPr>
        <w:tc>
          <w:tcPr>
            <w:tcW w:w="629" w:type="dxa"/>
            <w:vAlign w:val="center"/>
          </w:tcPr>
          <w:p w14:paraId="40917F7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6ED1FC9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706" w:type="dxa"/>
            <w:vAlign w:val="center"/>
          </w:tcPr>
          <w:p w14:paraId="29ABF28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2474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343FB7A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7051290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332BE89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（√）A不要求提供。</w:t>
            </w:r>
          </w:p>
        </w:tc>
      </w:tr>
      <w:tr w14:paraId="6AF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blHeader/>
          <w:jc w:val="center"/>
        </w:trPr>
        <w:tc>
          <w:tcPr>
            <w:tcW w:w="629" w:type="dxa"/>
            <w:vAlign w:val="center"/>
          </w:tcPr>
          <w:p w14:paraId="1F96D9D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F6F38F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5B83678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0A1AFCC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5B5D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78BFF4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1AF805A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65B42A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2F22D8A4">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51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785FBA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1DA9A12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44E507D">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15DD722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116D71E7">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4EED42CE">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0DD247A1">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7D95389">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1A65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tblHeader/>
          <w:jc w:val="center"/>
        </w:trPr>
        <w:tc>
          <w:tcPr>
            <w:tcW w:w="629" w:type="dxa"/>
            <w:vAlign w:val="center"/>
          </w:tcPr>
          <w:p w14:paraId="78A0956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5E40673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F2C1E85">
            <w:pPr>
              <w:pStyle w:val="34"/>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5598676C">
            <w:pPr>
              <w:pStyle w:val="34"/>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09A8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tblHeader/>
          <w:jc w:val="center"/>
        </w:trPr>
        <w:tc>
          <w:tcPr>
            <w:tcW w:w="629" w:type="dxa"/>
            <w:vAlign w:val="center"/>
          </w:tcPr>
          <w:p w14:paraId="0BB0E79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06D781C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3F53B5E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宋体" w:hAnsi="宋体"/>
                <w:bCs/>
                <w:color w:val="auto"/>
                <w:kern w:val="0"/>
                <w:sz w:val="24"/>
                <w:highlight w:val="none"/>
                <w:lang w:val="zh-CN"/>
              </w:rPr>
              <w:t>代理服务费</w:t>
            </w:r>
            <w:r>
              <w:rPr>
                <w:rFonts w:hint="eastAsia" w:ascii="宋体" w:hAnsi="宋体"/>
                <w:bCs/>
                <w:color w:val="auto"/>
                <w:kern w:val="0"/>
                <w:sz w:val="24"/>
                <w:highlight w:val="none"/>
              </w:rPr>
              <w:t>由交易发起人支付。</w:t>
            </w:r>
          </w:p>
        </w:tc>
      </w:tr>
      <w:tr w14:paraId="43A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tblHeader/>
          <w:jc w:val="center"/>
        </w:trPr>
        <w:tc>
          <w:tcPr>
            <w:tcW w:w="629" w:type="dxa"/>
            <w:vAlign w:val="center"/>
          </w:tcPr>
          <w:p w14:paraId="222D485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3AEB621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3997C86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不收取。</w:t>
            </w:r>
          </w:p>
        </w:tc>
      </w:tr>
      <w:tr w14:paraId="114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Align w:val="center"/>
          </w:tcPr>
          <w:p w14:paraId="2A08EAD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7196ADA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04E9C79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614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5A103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5E18798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39B9CA77">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47BDC540">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669427DD">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14:paraId="6EC09CB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2C862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086F15E2">
            <w:pPr>
              <w:pStyle w:val="34"/>
              <w:keepNext w:val="0"/>
              <w:keepLines w:val="0"/>
              <w:pageBreakBefore w:val="0"/>
              <w:widowControl w:val="0"/>
              <w:kinsoku/>
              <w:wordWrap/>
              <w:overflowPunct/>
              <w:topLinePunct w:val="0"/>
              <w:autoSpaceDE/>
              <w:autoSpaceDN/>
              <w:bidi w:val="0"/>
              <w:adjustRightInd w:val="0"/>
              <w:spacing w:line="420" w:lineRule="exact"/>
              <w:ind w:hanging="4"/>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59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blHeader/>
          <w:jc w:val="center"/>
        </w:trPr>
        <w:tc>
          <w:tcPr>
            <w:tcW w:w="629" w:type="dxa"/>
            <w:vAlign w:val="center"/>
          </w:tcPr>
          <w:p w14:paraId="7A8F854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6DAE08C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7F4EEAC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543E8B5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138DF20D">
      <w:pPr>
        <w:rPr>
          <w:rFonts w:hint="eastAsia" w:asciiTheme="minorEastAsia" w:hAnsiTheme="minorEastAsia" w:eastAsiaTheme="minorEastAsia" w:cstheme="minorEastAsia"/>
          <w:b/>
          <w:color w:val="auto"/>
          <w:sz w:val="32"/>
          <w:szCs w:val="20"/>
          <w:highlight w:val="none"/>
        </w:rPr>
      </w:pPr>
      <w:bookmarkStart w:id="12" w:name="第三部分"/>
      <w:bookmarkStart w:id="13" w:name="_Toc164416483"/>
      <w:r>
        <w:rPr>
          <w:rFonts w:hint="eastAsia" w:asciiTheme="minorEastAsia" w:hAnsiTheme="minorEastAsia" w:eastAsiaTheme="minorEastAsia" w:cstheme="minorEastAsia"/>
          <w:b/>
          <w:color w:val="auto"/>
          <w:sz w:val="32"/>
          <w:szCs w:val="20"/>
          <w:highlight w:val="none"/>
        </w:rPr>
        <w:br w:type="page"/>
      </w:r>
    </w:p>
    <w:p w14:paraId="4D347868">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4907CAE1">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782520B0">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295E4D91">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0106BEF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4304A598">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20503EFA">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24D92D2">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4CEB9A6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A98762E">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6C5FDAC3">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94003AB">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154C826E">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457D19E9">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950AFFA">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0D0048CE">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32FAB199">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2AF368F5">
      <w:pPr>
        <w:pStyle w:val="34"/>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1383281F">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19292009">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4EDF41F8">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49D9C144">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7B26409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37EE670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3863526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0076E523">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6C48CB67">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10C55E6C">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2C89EF2F">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43757C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7F62DD7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9ED39A5">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138BC6E7">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3B4F41E2">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072DFCE1">
      <w:pPr>
        <w:pStyle w:val="34"/>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61FCBF47">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761C8BD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31DA7C6D">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00B5CEEB">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B3B752">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05FB621A">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6529F33C">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2C147F14">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4BAEC6F9">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7B754955">
      <w:pPr>
        <w:pStyle w:val="34"/>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19AA5DE6">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28F594F0">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5314EC4">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7638E7C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79504139">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2A4DBD71">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C655E55">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7B5AF0BC">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21F7B7B9">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700A4745">
      <w:pPr>
        <w:pStyle w:val="34"/>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50CA1CA0">
      <w:pPr>
        <w:pStyle w:val="34"/>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467E178C">
      <w:pPr>
        <w:pStyle w:val="16"/>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1C0D0C4C">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310F72A9">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2F2611FF">
      <w:pPr>
        <w:pStyle w:val="34"/>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1C9208BC">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61DE0944">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55AA781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26F4A507">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4DD68D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C23FD92">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260BDF4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794E9A5C">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0DB5F64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1A6474C8">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723F498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11055022">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4306A6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5EF527B9">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3D82C15E">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61D5F244">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2C610698">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482D6A">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78A4F850">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97609E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1A7EEF8A">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DF6B009">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2B572625">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21E3E46C">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272C702B">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FF0BAB">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E154779">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FC71800">
      <w:pPr>
        <w:pStyle w:val="34"/>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05695D2C">
      <w:pPr>
        <w:pStyle w:val="34"/>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0C98F1F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019F5554">
      <w:pPr>
        <w:pStyle w:val="26"/>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1B06EA8D">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265D77FE">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33AECC50">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467E4FDA">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BE1D681">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1560CD10">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720B7A73">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5E3983EF">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271B5583">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15A83DE">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25E09655">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6FCCFA89">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65FA5C8B">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1278EC65">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1812C68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085A1AA7">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349EDB5C">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5543AB03">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60B4019">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C491C16">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7E15A76D">
      <w:pPr>
        <w:spacing w:line="460" w:lineRule="exact"/>
        <w:rPr>
          <w:rFonts w:hint="eastAsia" w:asciiTheme="minorEastAsia" w:hAnsiTheme="minorEastAsia" w:eastAsiaTheme="minorEastAsia" w:cstheme="minorEastAsia"/>
          <w:b/>
          <w:color w:val="auto"/>
          <w:sz w:val="24"/>
          <w:highlight w:val="none"/>
        </w:rPr>
      </w:pPr>
    </w:p>
    <w:p w14:paraId="1839DA2D">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54306D92">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6CFB6CB3">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0C64E2A1">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078987F0">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448A0C5E">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4399A37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31BE4B74">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023A947B">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003F073F">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3C00CBE0">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100DC60A">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2DA75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42687DB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0478ED15">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5119274D">
      <w:pPr>
        <w:pStyle w:val="26"/>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488291">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120FDE0E">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7407A083">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033AA952">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52F0F5D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48D2F8E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1960D5C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7189DC2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2C31DB6B">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3A19FCE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688A3BB0">
      <w:pPr>
        <w:pStyle w:val="26"/>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2FA25C33">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59974CCA">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414A586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792D598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98B14F3">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75F928C0">
      <w:pPr>
        <w:spacing w:after="12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标项：1</w:t>
      </w:r>
    </w:p>
    <w:tbl>
      <w:tblPr>
        <w:tblStyle w:val="64"/>
        <w:tblW w:w="8983" w:type="dxa"/>
        <w:jc w:val="center"/>
        <w:tblLayout w:type="fixed"/>
        <w:tblCellMar>
          <w:top w:w="0" w:type="dxa"/>
          <w:left w:w="0" w:type="dxa"/>
          <w:bottom w:w="0" w:type="dxa"/>
          <w:right w:w="0" w:type="dxa"/>
        </w:tblCellMar>
      </w:tblPr>
      <w:tblGrid>
        <w:gridCol w:w="733"/>
        <w:gridCol w:w="3944"/>
        <w:gridCol w:w="1767"/>
        <w:gridCol w:w="846"/>
        <w:gridCol w:w="846"/>
        <w:gridCol w:w="847"/>
      </w:tblGrid>
      <w:tr w14:paraId="20A7AFC1">
        <w:tblPrEx>
          <w:tblCellMar>
            <w:top w:w="0" w:type="dxa"/>
            <w:left w:w="0" w:type="dxa"/>
            <w:bottom w:w="0" w:type="dxa"/>
            <w:right w:w="0" w:type="dxa"/>
          </w:tblCellMar>
        </w:tblPrEx>
        <w:trPr>
          <w:cantSplit/>
          <w:trHeight w:val="514"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1C92C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BA13A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D6829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具体服务要求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F7F00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18249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47" w:type="dxa"/>
            <w:tcBorders>
              <w:top w:val="single" w:color="auto" w:sz="4" w:space="0"/>
              <w:left w:val="nil"/>
              <w:bottom w:val="single" w:color="auto" w:sz="4" w:space="0"/>
              <w:right w:val="single" w:color="auto" w:sz="4" w:space="0"/>
            </w:tcBorders>
            <w:vAlign w:val="center"/>
          </w:tcPr>
          <w:p w14:paraId="5B5F825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25FE0F42">
        <w:tblPrEx>
          <w:tblCellMar>
            <w:top w:w="0" w:type="dxa"/>
            <w:left w:w="0" w:type="dxa"/>
            <w:bottom w:w="0" w:type="dxa"/>
            <w:right w:w="0" w:type="dxa"/>
          </w:tblCellMar>
        </w:tblPrEx>
        <w:trPr>
          <w:cantSplit/>
          <w:trHeight w:val="682" w:hRule="atLeast"/>
          <w:jc w:val="center"/>
        </w:trPr>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2647A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1817FF">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杭州市萧山区统计局2025年职工疗休养项目</w:t>
            </w:r>
          </w:p>
        </w:tc>
        <w:tc>
          <w:tcPr>
            <w:tcW w:w="17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F6D97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详见交易需求</w:t>
            </w:r>
          </w:p>
        </w:tc>
        <w:tc>
          <w:tcPr>
            <w:tcW w:w="8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5E4CDF">
            <w:pPr>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color w:val="auto"/>
                <w:sz w:val="24"/>
                <w:highlight w:val="none"/>
                <w:lang w:val="en-US" w:eastAsia="zh-CN"/>
              </w:rPr>
              <w:t>家</w:t>
            </w:r>
          </w:p>
        </w:tc>
        <w:tc>
          <w:tcPr>
            <w:tcW w:w="84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1894E7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w:t>
            </w:r>
          </w:p>
        </w:tc>
        <w:tc>
          <w:tcPr>
            <w:tcW w:w="847" w:type="dxa"/>
            <w:tcBorders>
              <w:top w:val="single" w:color="auto" w:sz="4" w:space="0"/>
              <w:left w:val="nil"/>
              <w:bottom w:val="single" w:color="auto" w:sz="4" w:space="0"/>
              <w:right w:val="single" w:color="auto" w:sz="4" w:space="0"/>
            </w:tcBorders>
            <w:vAlign w:val="center"/>
          </w:tcPr>
          <w:p w14:paraId="0A7A98C5">
            <w:pPr>
              <w:rPr>
                <w:rFonts w:hint="eastAsia" w:asciiTheme="minorEastAsia" w:hAnsiTheme="minorEastAsia" w:eastAsiaTheme="minorEastAsia" w:cstheme="minorEastAsia"/>
                <w:color w:val="auto"/>
                <w:sz w:val="24"/>
                <w:highlight w:val="none"/>
              </w:rPr>
            </w:pPr>
          </w:p>
        </w:tc>
      </w:tr>
    </w:tbl>
    <w:p w14:paraId="1F2279C8">
      <w:pPr>
        <w:spacing w:line="360" w:lineRule="auto"/>
        <w:jc w:val="center"/>
        <w:rPr>
          <w:rFonts w:hint="eastAsia" w:asciiTheme="minorEastAsia" w:hAnsiTheme="minorEastAsia" w:eastAsiaTheme="minorEastAsia" w:cstheme="minorEastAsia"/>
          <w:b/>
          <w:color w:val="auto"/>
          <w:sz w:val="24"/>
          <w:highlight w:val="none"/>
        </w:rPr>
      </w:pPr>
    </w:p>
    <w:p w14:paraId="73E2372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0195606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（一）项目服务要求：</w:t>
      </w:r>
    </w:p>
    <w:p w14:paraId="02097607">
      <w:pPr>
        <w:pStyle w:val="34"/>
        <w:spacing w:line="360" w:lineRule="auto"/>
        <w:ind w:firstLine="470" w:firstLineChars="196"/>
        <w:rPr>
          <w:rFonts w:hAnsi="宋体" w:cs="宋体"/>
          <w:color w:val="auto"/>
          <w:kern w:val="0"/>
          <w:sz w:val="24"/>
          <w:szCs w:val="24"/>
          <w:highlight w:val="none"/>
        </w:rPr>
      </w:pPr>
      <w:r>
        <w:rPr>
          <w:rFonts w:hint="eastAsia" w:hAnsi="宋体" w:cs="宋体"/>
          <w:color w:val="auto"/>
          <w:kern w:val="0"/>
          <w:sz w:val="24"/>
          <w:szCs w:val="24"/>
          <w:highlight w:val="none"/>
        </w:rPr>
        <w:t>响应人需在响应文件中提供具体行程、出行方式、就餐标准等具体明细，响应报价根据要求提供每人次的单价。响应单价为响应人综合考虑后的统一单价，不得再有淡季旺季的价格区别。无论采购方在何时出团，均以响应单价为结算依据。响应人应允许成交后任何线路因报名人数不足或者不可抗力因素的不成团，不成团线路采购方不承担任何责任。</w:t>
      </w:r>
    </w:p>
    <w:p w14:paraId="2F31F86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（二）质量标准</w:t>
      </w:r>
    </w:p>
    <w:p w14:paraId="4E93CF6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GB/T15971—1995 导游服务质量</w:t>
      </w:r>
    </w:p>
    <w:p w14:paraId="2938B78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 xml:space="preserve">GB/16153—1996 饭店（餐厅）卫生标准 </w:t>
      </w:r>
    </w:p>
    <w:p w14:paraId="2782055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GB/T19004.2—1994 质量管理和质量体系要素 第二部分：服务指南（idt ISO 9004—2：1991）</w:t>
      </w:r>
    </w:p>
    <w:p w14:paraId="5F15823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LB/T 002—1995 旅游汽车服务质量</w:t>
      </w:r>
    </w:p>
    <w:p w14:paraId="4F46459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GB/T15971 导游人员的基本素质及服务</w:t>
      </w:r>
    </w:p>
    <w:p w14:paraId="2F9D8B04">
      <w:pPr>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以上标准若有最新标准，按最新标准执行。</w:t>
      </w:r>
    </w:p>
    <w:p w14:paraId="1F65F72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（三）服务范围</w:t>
      </w:r>
    </w:p>
    <w:p w14:paraId="7BAA2AA8">
      <w:pPr>
        <w:spacing w:line="360" w:lineRule="auto"/>
        <w:ind w:firstLine="422" w:firstLineChars="175"/>
        <w:rPr>
          <w:rFonts w:ascii="宋体" w:hAnsi="宋体" w:cs="宋体"/>
          <w:b/>
          <w:bCs/>
          <w:snapToGrid w:val="0"/>
          <w:color w:val="auto"/>
          <w:kern w:val="28"/>
          <w:sz w:val="24"/>
          <w:szCs w:val="20"/>
          <w:highlight w:val="none"/>
        </w:rPr>
      </w:pPr>
      <w:r>
        <w:rPr>
          <w:rFonts w:hint="eastAsia" w:ascii="宋体" w:hAnsi="宋体" w:cs="宋体"/>
          <w:b/>
          <w:bCs/>
          <w:color w:val="auto"/>
          <w:sz w:val="24"/>
          <w:highlight w:val="none"/>
        </w:rPr>
        <w:t>▲</w:t>
      </w:r>
      <w:r>
        <w:rPr>
          <w:rFonts w:hint="eastAsia" w:ascii="宋体" w:hAnsi="宋体" w:cs="宋体"/>
          <w:b/>
          <w:bCs/>
          <w:snapToGrid w:val="0"/>
          <w:color w:val="auto"/>
          <w:kern w:val="28"/>
          <w:sz w:val="24"/>
          <w:szCs w:val="20"/>
          <w:highlight w:val="none"/>
        </w:rPr>
        <w:t>职工疗休养项目，服务期限为合同生效之日起至202</w:t>
      </w:r>
      <w:r>
        <w:rPr>
          <w:rFonts w:ascii="宋体" w:hAnsi="宋体" w:cs="宋体"/>
          <w:b/>
          <w:bCs/>
          <w:snapToGrid w:val="0"/>
          <w:color w:val="auto"/>
          <w:kern w:val="28"/>
          <w:sz w:val="24"/>
          <w:szCs w:val="20"/>
          <w:highlight w:val="none"/>
        </w:rPr>
        <w:t>5</w:t>
      </w:r>
      <w:r>
        <w:rPr>
          <w:rFonts w:hint="eastAsia" w:ascii="宋体" w:hAnsi="宋体" w:cs="宋体"/>
          <w:b/>
          <w:bCs/>
          <w:snapToGrid w:val="0"/>
          <w:color w:val="auto"/>
          <w:kern w:val="28"/>
          <w:sz w:val="24"/>
          <w:szCs w:val="20"/>
          <w:highlight w:val="none"/>
        </w:rPr>
        <w:t>年12月31日。</w:t>
      </w:r>
    </w:p>
    <w:p w14:paraId="4634A86F">
      <w:pPr>
        <w:spacing w:line="360" w:lineRule="auto"/>
        <w:rPr>
          <w:rFonts w:ascii="宋体" w:hAnsi="宋体" w:cs="宋体"/>
          <w:b/>
          <w:bCs/>
          <w:color w:val="auto"/>
          <w:sz w:val="24"/>
          <w:highlight w:val="none"/>
        </w:rPr>
      </w:pPr>
      <w:bookmarkStart w:id="16" w:name="_Toc351898267"/>
      <w:r>
        <w:rPr>
          <w:rFonts w:hint="eastAsia" w:ascii="宋体" w:hAnsi="宋体" w:cs="宋体"/>
          <w:b/>
          <w:bCs/>
          <w:color w:val="auto"/>
          <w:sz w:val="24"/>
          <w:highlight w:val="none"/>
        </w:rPr>
        <w:t>（四）</w:t>
      </w:r>
      <w:bookmarkEnd w:id="16"/>
      <w:r>
        <w:rPr>
          <w:rFonts w:hint="eastAsia" w:ascii="宋体" w:hAnsi="宋体" w:cs="宋体"/>
          <w:b/>
          <w:bCs/>
          <w:color w:val="auto"/>
          <w:sz w:val="24"/>
          <w:highlight w:val="none"/>
        </w:rPr>
        <w:t xml:space="preserve">行程安排等基本要求 </w:t>
      </w:r>
    </w:p>
    <w:p w14:paraId="5894ACF0">
      <w:pPr>
        <w:tabs>
          <w:tab w:val="center" w:pos="4153"/>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线路安排（具体出行线路招标后由交易发起人确定，以下线路供本次招标报价参考，若遇本次招标参考线路之外的线路方案，由交易发起人与成交人根据实际出行天数、市场价自行协商确定）：</w:t>
      </w:r>
    </w:p>
    <w:p w14:paraId="50C86F51">
      <w:pPr>
        <w:pStyle w:val="34"/>
        <w:spacing w:line="360" w:lineRule="auto"/>
        <w:ind w:firstLine="472" w:firstLineChars="196"/>
        <w:rPr>
          <w:rFonts w:hAnsi="宋体" w:cs="宋体"/>
          <w:color w:val="auto"/>
          <w:kern w:val="0"/>
          <w:sz w:val="24"/>
          <w:szCs w:val="24"/>
          <w:highlight w:val="none"/>
        </w:rPr>
      </w:pPr>
      <w:r>
        <w:rPr>
          <w:rFonts w:hint="eastAsia" w:hAnsi="宋体" w:cs="宋体"/>
          <w:b/>
          <w:bCs/>
          <w:color w:val="auto"/>
          <w:kern w:val="0"/>
          <w:sz w:val="24"/>
          <w:szCs w:val="24"/>
          <w:highlight w:val="none"/>
        </w:rPr>
        <w:t>线路一</w:t>
      </w:r>
      <w:r>
        <w:rPr>
          <w:rFonts w:hint="eastAsia" w:hAnsi="宋体" w:cs="宋体"/>
          <w:color w:val="auto"/>
          <w:kern w:val="0"/>
          <w:sz w:val="24"/>
          <w:szCs w:val="24"/>
          <w:highlight w:val="none"/>
        </w:rPr>
        <w:t>：青海德令哈往返5日疗休养行程（费用不高于3000元/人次，不含大交通（火车或飞机）费用）</w:t>
      </w:r>
    </w:p>
    <w:p w14:paraId="480FE7B0">
      <w:pPr>
        <w:pStyle w:val="34"/>
        <w:spacing w:line="360" w:lineRule="auto"/>
        <w:ind w:firstLine="470" w:firstLineChars="196"/>
        <w:rPr>
          <w:rFonts w:hAnsi="宋体" w:cs="宋体"/>
          <w:color w:val="auto"/>
          <w:kern w:val="0"/>
          <w:sz w:val="24"/>
          <w:szCs w:val="24"/>
          <w:highlight w:val="none"/>
        </w:rPr>
      </w:pPr>
      <w:r>
        <w:rPr>
          <w:rFonts w:hint="eastAsia" w:hAnsi="宋体" w:cs="宋体"/>
          <w:color w:val="auto"/>
          <w:kern w:val="0"/>
          <w:sz w:val="24"/>
          <w:szCs w:val="24"/>
          <w:highlight w:val="none"/>
        </w:rPr>
        <w:t>景点不少于：青海湖、茶卡盐湖、塔尔寺、农垦博物馆、金银滩大草原、</w:t>
      </w:r>
      <w:r>
        <w:rPr>
          <w:color w:val="auto"/>
          <w:highlight w:val="none"/>
        </w:rPr>
        <w:t>原子城纪念馆</w:t>
      </w:r>
      <w:r>
        <w:rPr>
          <w:rFonts w:hint="eastAsia" w:hAnsi="宋体" w:cs="宋体"/>
          <w:color w:val="auto"/>
          <w:kern w:val="0"/>
          <w:sz w:val="24"/>
          <w:szCs w:val="24"/>
          <w:highlight w:val="none"/>
        </w:rPr>
        <w:t>，德令哈必须住1晚。</w:t>
      </w:r>
    </w:p>
    <w:p w14:paraId="7EB56E7E">
      <w:pPr>
        <w:pStyle w:val="34"/>
        <w:spacing w:line="360" w:lineRule="auto"/>
        <w:ind w:firstLine="472" w:firstLineChars="196"/>
        <w:rPr>
          <w:color w:val="auto"/>
          <w:highlight w:val="none"/>
        </w:rPr>
      </w:pPr>
      <w:r>
        <w:rPr>
          <w:rFonts w:hint="eastAsia" w:hAnsi="宋体" w:cs="宋体"/>
          <w:b/>
          <w:bCs/>
          <w:color w:val="auto"/>
          <w:kern w:val="0"/>
          <w:sz w:val="24"/>
          <w:szCs w:val="24"/>
          <w:highlight w:val="none"/>
        </w:rPr>
        <w:t>线路二</w:t>
      </w:r>
      <w:r>
        <w:rPr>
          <w:rFonts w:hint="eastAsia" w:hAnsi="宋体" w:cs="宋体"/>
          <w:color w:val="auto"/>
          <w:kern w:val="0"/>
          <w:sz w:val="24"/>
          <w:szCs w:val="24"/>
          <w:highlight w:val="none"/>
        </w:rPr>
        <w:t>：湖州往返</w:t>
      </w:r>
      <w:r>
        <w:rPr>
          <w:rFonts w:hAnsi="宋体" w:cs="宋体"/>
          <w:color w:val="auto"/>
          <w:kern w:val="0"/>
          <w:sz w:val="24"/>
          <w:szCs w:val="24"/>
          <w:highlight w:val="none"/>
        </w:rPr>
        <w:t>4</w:t>
      </w:r>
      <w:r>
        <w:rPr>
          <w:rFonts w:hint="eastAsia" w:hAnsi="宋体" w:cs="宋体"/>
          <w:color w:val="auto"/>
          <w:kern w:val="0"/>
          <w:sz w:val="24"/>
          <w:szCs w:val="24"/>
          <w:highlight w:val="none"/>
        </w:rPr>
        <w:t>日疗休养行程（费用不高于3000元/人次）</w:t>
      </w:r>
    </w:p>
    <w:p w14:paraId="5E3CF051">
      <w:pPr>
        <w:pStyle w:val="34"/>
        <w:spacing w:line="360" w:lineRule="auto"/>
        <w:ind w:firstLine="470" w:firstLineChars="196"/>
        <w:rPr>
          <w:rFonts w:hint="eastAsia" w:hAnsi="宋体" w:cs="宋体"/>
          <w:color w:val="auto"/>
          <w:kern w:val="0"/>
          <w:sz w:val="24"/>
          <w:szCs w:val="24"/>
          <w:highlight w:val="none"/>
        </w:rPr>
      </w:pPr>
      <w:r>
        <w:rPr>
          <w:rFonts w:hint="eastAsia" w:hAnsi="宋体" w:cs="宋体"/>
          <w:color w:val="auto"/>
          <w:kern w:val="0"/>
          <w:sz w:val="24"/>
          <w:szCs w:val="24"/>
          <w:highlight w:val="none"/>
        </w:rPr>
        <w:t>景点不少于：龙之梦国际马戏城、冰雪小镇、龙之梦嬉水世界、太湖古镇、湖笔博物馆、飞英塔、渔人码头、小西街。</w:t>
      </w:r>
    </w:p>
    <w:p w14:paraId="00E69704">
      <w:pPr>
        <w:pStyle w:val="34"/>
        <w:spacing w:line="360" w:lineRule="auto"/>
        <w:ind w:firstLine="472" w:firstLineChars="196"/>
        <w:rPr>
          <w:rFonts w:hint="eastAsia" w:hAnsi="宋体" w:cs="宋体"/>
          <w:color w:val="auto"/>
          <w:kern w:val="0"/>
          <w:sz w:val="24"/>
          <w:szCs w:val="24"/>
          <w:highlight w:val="none"/>
          <w:lang w:val="en-US"/>
        </w:rPr>
      </w:pPr>
      <w:r>
        <w:rPr>
          <w:rFonts w:hint="eastAsia" w:hAnsi="宋体" w:cs="宋体"/>
          <w:b/>
          <w:bCs/>
          <w:color w:val="auto"/>
          <w:kern w:val="0"/>
          <w:sz w:val="24"/>
          <w:szCs w:val="24"/>
          <w:highlight w:val="none"/>
          <w:lang w:val="en-US"/>
        </w:rPr>
        <w:t>线路三：</w:t>
      </w:r>
      <w:r>
        <w:rPr>
          <w:rFonts w:hint="eastAsia" w:hAnsi="宋体" w:cs="宋体"/>
          <w:color w:val="auto"/>
          <w:kern w:val="0"/>
          <w:sz w:val="24"/>
          <w:szCs w:val="24"/>
          <w:highlight w:val="none"/>
        </w:rPr>
        <w:t>湖州往返4日疗休养行程（费用不高于3000元/人次）</w:t>
      </w:r>
    </w:p>
    <w:p w14:paraId="7ED33E2D">
      <w:pPr>
        <w:pStyle w:val="34"/>
        <w:spacing w:line="360" w:lineRule="auto"/>
        <w:ind w:firstLine="470" w:firstLineChars="196"/>
        <w:rPr>
          <w:rFonts w:hint="eastAsia" w:hAnsi="宋体" w:cs="宋体"/>
          <w:color w:val="auto"/>
          <w:kern w:val="0"/>
          <w:sz w:val="24"/>
          <w:szCs w:val="24"/>
          <w:highlight w:val="none"/>
        </w:rPr>
      </w:pPr>
      <w:r>
        <w:rPr>
          <w:rFonts w:hint="eastAsia" w:hAnsi="宋体" w:cs="宋体"/>
          <w:color w:val="auto"/>
          <w:kern w:val="0"/>
          <w:sz w:val="24"/>
          <w:szCs w:val="24"/>
          <w:highlight w:val="none"/>
        </w:rPr>
        <w:t>要求行程安排轻松合理，休闲休养相结合。最终服务过程中包括但不仅限于以上线路，各响应人自行承担报价风险。</w:t>
      </w:r>
    </w:p>
    <w:p w14:paraId="56A42736">
      <w:pPr>
        <w:pStyle w:val="34"/>
        <w:spacing w:line="360" w:lineRule="auto"/>
        <w:ind w:firstLine="470" w:firstLineChars="196"/>
        <w:rPr>
          <w:rFonts w:hAnsi="宋体" w:cs="宋体"/>
          <w:color w:val="auto"/>
          <w:kern w:val="0"/>
          <w:sz w:val="24"/>
          <w:szCs w:val="24"/>
          <w:highlight w:val="none"/>
        </w:rPr>
      </w:pPr>
      <w:r>
        <w:rPr>
          <w:rFonts w:hint="eastAsia" w:hAnsi="宋体" w:cs="宋体"/>
          <w:color w:val="auto"/>
          <w:kern w:val="0"/>
          <w:sz w:val="24"/>
          <w:szCs w:val="24"/>
          <w:highlight w:val="none"/>
        </w:rPr>
        <w:t>2、大交通费用说明：青海德令哈来回大交通（飞机优先、直飞优先），景点间及其他交通费由响应人负责）（大交通票务需在政府采购机票管理网站购买，若通过其他购买途径，则需低于政府采购机票管理网站的当日价格信息，报销时附政府采购机票管理网站当天机票截图价格信息）。</w:t>
      </w:r>
    </w:p>
    <w:p w14:paraId="4FBB3C54">
      <w:pPr>
        <w:pStyle w:val="34"/>
        <w:spacing w:line="360" w:lineRule="auto"/>
        <w:ind w:firstLine="470" w:firstLineChars="196"/>
        <w:rPr>
          <w:rFonts w:hAnsi="宋体" w:cs="宋体"/>
          <w:color w:val="auto"/>
          <w:kern w:val="0"/>
          <w:sz w:val="24"/>
          <w:szCs w:val="24"/>
          <w:highlight w:val="none"/>
        </w:rPr>
      </w:pPr>
      <w:r>
        <w:rPr>
          <w:rFonts w:hint="eastAsia" w:hAnsi="宋体" w:cs="宋体"/>
          <w:color w:val="auto"/>
          <w:kern w:val="0"/>
          <w:sz w:val="24"/>
          <w:szCs w:val="24"/>
          <w:highlight w:val="none"/>
        </w:rPr>
        <w:t>3、响应</w:t>
      </w:r>
      <w:r>
        <w:rPr>
          <w:rFonts w:hint="eastAsia" w:hAnsi="宋体" w:cs="宋体"/>
          <w:color w:val="auto"/>
          <w:kern w:val="0"/>
          <w:sz w:val="24"/>
          <w:highlight w:val="none"/>
        </w:rPr>
        <w:t>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本项目各响应人按照以上线路报价，最终服务过程包括但不仅限于以上线路，各响应人自行承担报价风险。</w:t>
      </w:r>
    </w:p>
    <w:p w14:paraId="3AD59224">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4、出行安排，根据批准的时间为准，每批次出行人数根据报名情况确定批次，每批约2</w:t>
      </w:r>
      <w:r>
        <w:rPr>
          <w:rFonts w:ascii="宋体" w:hAnsi="宋体" w:cs="宋体"/>
          <w:color w:val="auto"/>
          <w:kern w:val="0"/>
          <w:sz w:val="24"/>
          <w:highlight w:val="none"/>
        </w:rPr>
        <w:t>0</w:t>
      </w:r>
      <w:r>
        <w:rPr>
          <w:rFonts w:hint="eastAsia" w:ascii="宋体" w:hAnsi="宋体" w:cs="宋体"/>
          <w:color w:val="auto"/>
          <w:kern w:val="0"/>
          <w:sz w:val="24"/>
          <w:highlight w:val="none"/>
        </w:rPr>
        <w:t>人左右（包含家属人员，家属费用另行结算），最终出行的日期及天数根据相关政策以实际为准。</w:t>
      </w:r>
    </w:p>
    <w:p w14:paraId="60F5BDAE">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若因其他原因，如原定线路无法开展疗休养，由交易发起人与成交人协商根据实际情况，安排同等价位线路，按原定的出行天数及相同服务；若遇政策变动，临时取消出行计划，不视作违反合同，成交人应无条件服从，并承担相应风险。</w:t>
      </w:r>
    </w:p>
    <w:p w14:paraId="1ED3E942">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70D9D76A">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6、住宿：</w:t>
      </w:r>
      <w:r>
        <w:rPr>
          <w:rFonts w:hint="eastAsia" w:ascii="宋体" w:hAnsi="宋体" w:cs="宋体"/>
          <w:color w:val="auto"/>
          <w:sz w:val="24"/>
          <w:highlight w:val="none"/>
        </w:rPr>
        <w:t>住宿综合环境好，要求挂牌四星或网评四钻以上（含）且设施较好的五年以内新装修的酒店（一般标准2人间，每批次2-3个单间，单间不补差，职工如有单间需求的，按团队价补差价）。要求标注每天住宿酒店的名称、星级和具体地址，不得出现同级酒店字样，如实际接待中，投标指定酒店无法安排，需要安排高一级酒店。</w:t>
      </w:r>
    </w:p>
    <w:p w14:paraId="54F8C188">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7、餐饮：</w:t>
      </w:r>
      <w:r>
        <w:rPr>
          <w:rFonts w:hint="eastAsia" w:ascii="宋体" w:hAnsi="宋体" w:cs="宋体"/>
          <w:color w:val="auto"/>
          <w:sz w:val="24"/>
          <w:highlight w:val="none"/>
        </w:rPr>
        <w:t>早餐为酒店早餐，中餐不低于60元/人，晚餐不低于70元/人，餐厅必须有接待资质、环境好的饭店就餐，允许团队等额退餐，自己点菜。中晚餐每桌提供一瓶可乐一瓶雪碧。</w:t>
      </w:r>
    </w:p>
    <w:p w14:paraId="0C531F3B">
      <w:pPr>
        <w:tabs>
          <w:tab w:val="center" w:pos="4153"/>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8、要求全程提供持证全陪导游服务（全陪导游须持有导游证3年以上，出团前1周提交疗休养方审核），专职景区讲解服务。</w:t>
      </w:r>
    </w:p>
    <w:p w14:paraId="13983FAC">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9、要求为参加疗休养职工提供每人每天2瓶矿泉水、每晚提供水果。</w:t>
      </w:r>
    </w:p>
    <w:p w14:paraId="3FB444BF">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成交人必须提供每批疗休养人员购买保险的原始凭证的复印件给采购人。</w:t>
      </w:r>
    </w:p>
    <w:p w14:paraId="2287E81F">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11、出发前，每人一个背包，其中需内含疗休养行程1份、注意事项1份、口罩、小点心等。</w:t>
      </w:r>
    </w:p>
    <w:p w14:paraId="203F278B">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针对疗休养活动中可能发生的突发状况、意外情况等（如：投诉、纠纷、安全事故等），响应人须制定周密、可靠的安全保障和突发事件应急预案，确保在各种情况下参团人员的人身及财产安全，响应人应在响应文件中提供详细说明。</w:t>
      </w:r>
    </w:p>
    <w:p w14:paraId="5D7C720F">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13、行程可辐射周边地域，但不得有自费的景点或活动，无商业广告及各类产品推销。</w:t>
      </w:r>
    </w:p>
    <w:p w14:paraId="121B1F18">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14、围绕疗休养主题，行程突出疗养养生特色。</w:t>
      </w:r>
    </w:p>
    <w:p w14:paraId="0F3980B8">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15、购物：全程不进购物点。</w:t>
      </w:r>
    </w:p>
    <w:p w14:paraId="00BE88DE">
      <w:pPr>
        <w:tabs>
          <w:tab w:val="center" w:pos="41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14:paraId="57D78A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16.1考核标准：当次满意度平均分高于85分（含），支付当次疗休养费用的100%；当次满意度平均分高于75分（含）低于85分，扣减当次疗休养费用5%；当次满意度平均分低75分，扣减当次疗休养费用10%。 </w:t>
      </w:r>
    </w:p>
    <w:p w14:paraId="54575BA1">
      <w:pPr>
        <w:spacing w:line="360" w:lineRule="auto"/>
        <w:rPr>
          <w:rFonts w:ascii="宋体" w:hAnsi="宋体" w:cs="宋体"/>
          <w:b/>
          <w:bCs/>
          <w:snapToGrid w:val="0"/>
          <w:color w:val="auto"/>
          <w:kern w:val="28"/>
          <w:sz w:val="24"/>
          <w:szCs w:val="20"/>
          <w:highlight w:val="none"/>
        </w:rPr>
      </w:pPr>
      <w:r>
        <w:rPr>
          <w:rFonts w:hint="eastAsia" w:ascii="宋体" w:hAnsi="宋体" w:cs="宋体"/>
          <w:b/>
          <w:bCs/>
          <w:snapToGrid w:val="0"/>
          <w:color w:val="auto"/>
          <w:kern w:val="28"/>
          <w:sz w:val="24"/>
          <w:szCs w:val="20"/>
          <w:highlight w:val="none"/>
        </w:rPr>
        <w:t>（五）其它要求</w:t>
      </w:r>
    </w:p>
    <w:p w14:paraId="2988B058">
      <w:pPr>
        <w:spacing w:line="360" w:lineRule="auto"/>
        <w:ind w:firstLine="420" w:firstLineChars="175"/>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w:t>
      </w:r>
      <w:r>
        <w:rPr>
          <w:rFonts w:hint="eastAsia" w:ascii="宋体" w:hAnsi="宋体" w:cs="宋体"/>
          <w:color w:val="auto"/>
          <w:kern w:val="0"/>
          <w:sz w:val="24"/>
          <w:highlight w:val="none"/>
        </w:rPr>
        <w:t>响应</w:t>
      </w:r>
      <w:r>
        <w:rPr>
          <w:rFonts w:hint="eastAsia" w:ascii="宋体" w:hAnsi="宋体" w:cs="宋体"/>
          <w:snapToGrid w:val="0"/>
          <w:color w:val="auto"/>
          <w:kern w:val="28"/>
          <w:sz w:val="24"/>
          <w:szCs w:val="20"/>
          <w:highlight w:val="none"/>
        </w:rPr>
        <w:t>人需确定一名项目负责人，具有类似疗休养项目经验，负责与交易发起人就每批次安排具体事宜联系，一旦中标不得随意更换。</w:t>
      </w:r>
    </w:p>
    <w:p w14:paraId="2645C47A">
      <w:pPr>
        <w:spacing w:line="360" w:lineRule="auto"/>
        <w:ind w:firstLine="420" w:firstLineChars="175"/>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2、制定应急预案，发放《行程安排表》和《注意事项》。如遇意外突发事件</w:t>
      </w:r>
      <w:r>
        <w:rPr>
          <w:rFonts w:hint="eastAsia" w:ascii="宋体" w:hAnsi="宋体" w:cs="宋体"/>
          <w:color w:val="auto"/>
          <w:kern w:val="0"/>
          <w:sz w:val="24"/>
          <w:highlight w:val="none"/>
        </w:rPr>
        <w:t>响应</w:t>
      </w:r>
      <w:r>
        <w:rPr>
          <w:rFonts w:hint="eastAsia" w:ascii="宋体" w:hAnsi="宋体" w:cs="宋体"/>
          <w:snapToGrid w:val="0"/>
          <w:color w:val="auto"/>
          <w:kern w:val="28"/>
          <w:sz w:val="24"/>
          <w:szCs w:val="20"/>
          <w:highlight w:val="none"/>
        </w:rPr>
        <w:t>人要在第一时间内进行妥善处理，处理结果要及时与采购人汇报和沟通，并积极配合有关单位做好善后处理工作。</w:t>
      </w:r>
    </w:p>
    <w:p w14:paraId="50894664">
      <w:pPr>
        <w:spacing w:line="360" w:lineRule="auto"/>
        <w:ind w:firstLine="420" w:firstLineChars="175"/>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3、做到有问必答。对疗休养人员反映的情况或投诉，不回避矛盾、不推卸责任，对发生的问题予以及时处理，将问题解决在旅途中。</w:t>
      </w:r>
    </w:p>
    <w:p w14:paraId="116D44D5">
      <w:pPr>
        <w:spacing w:line="360" w:lineRule="auto"/>
        <w:ind w:firstLine="420" w:firstLineChars="175"/>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4、参加疗休养人员名单和个人信息不得外泄。</w:t>
      </w:r>
      <w:bookmarkStart w:id="384" w:name="_GoBack"/>
      <w:bookmarkEnd w:id="384"/>
    </w:p>
    <w:p w14:paraId="2E564128">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（六）服务期限及承诺</w:t>
      </w:r>
    </w:p>
    <w:p w14:paraId="5F84754F">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sz w:val="24"/>
          <w:highlight w:val="none"/>
        </w:rPr>
        <w:t>▲</w:t>
      </w:r>
      <w:r>
        <w:rPr>
          <w:rFonts w:hint="eastAsia" w:ascii="宋体" w:hAnsi="宋体" w:cs="宋体"/>
          <w:b/>
          <w:bCs/>
          <w:color w:val="auto"/>
          <w:kern w:val="0"/>
          <w:sz w:val="24"/>
          <w:highlight w:val="none"/>
        </w:rPr>
        <w:t>6.1服务期限：分批休养。具体以交易发起人实际通知为准。</w:t>
      </w:r>
    </w:p>
    <w:p w14:paraId="4CF128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6.2服务质量承诺：</w:t>
      </w:r>
    </w:p>
    <w:p w14:paraId="17D5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（1）为确保服务质量及与交易发起人沟通联络，成交人须设置兼职主管，负责对承包项目、范围、服务质量的检查监督及与交易发起人日常业务联系；</w:t>
      </w:r>
    </w:p>
    <w:p w14:paraId="2449BE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（2）成交人需提供员工管理服务规范要求及确保服务质量达标的具体措施；</w:t>
      </w:r>
    </w:p>
    <w:p w14:paraId="7CA5F9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（3）成交人需向采购人提供服务承诺；</w:t>
      </w:r>
    </w:p>
    <w:p w14:paraId="3337B5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（4）成交人须主动接受交易发起人的指导、检查、监督及协调；</w:t>
      </w:r>
    </w:p>
    <w:p w14:paraId="693FFA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（5）现有服务范围内，由于调整而增加的工作量，不再增加费用；</w:t>
      </w:r>
    </w:p>
    <w:p w14:paraId="6A0AE1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（6）因成交人工作人员的失误造成的损失由中标人负责；</w:t>
      </w:r>
    </w:p>
    <w:p w14:paraId="4C8BAE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（7）成交人员工在工作及服务期间发生的一切安全事故由成交人负责，与交易发起人无关。</w:t>
      </w:r>
    </w:p>
    <w:p w14:paraId="653A8F66">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（七）付款方式</w:t>
      </w:r>
    </w:p>
    <w:p w14:paraId="59775A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7.1费用结算：统一支付，最终结算价按照实际参加人数*响应单价，按实结算，全部行程结束后一个月内付清，具体在合同中明确。</w:t>
      </w:r>
    </w:p>
    <w:p w14:paraId="5D408C7D">
      <w:pPr>
        <w:spacing w:line="360" w:lineRule="auto"/>
        <w:ind w:firstLine="480" w:firstLineChars="200"/>
        <w:rPr>
          <w:rFonts w:ascii="宋体" w:hAnsi="宋体" w:cs="宋体"/>
          <w:b/>
          <w:color w:val="auto"/>
          <w:sz w:val="36"/>
          <w:szCs w:val="36"/>
          <w:highlight w:val="none"/>
        </w:rPr>
      </w:pPr>
      <w:r>
        <w:rPr>
          <w:rFonts w:hint="eastAsia" w:ascii="宋体" w:hAnsi="宋体" w:cs="宋体"/>
          <w:color w:val="auto"/>
          <w:kern w:val="0"/>
          <w:sz w:val="24"/>
          <w:highlight w:val="none"/>
        </w:rPr>
        <w:t>7.2如遇政策变动，甲方临时取消出行计划，若已支付该批次费用，乙方无条件全额退还。响应人自行承担投标风险。</w:t>
      </w:r>
    </w:p>
    <w:p w14:paraId="5646FFB8">
      <w:pPr>
        <w:spacing w:line="440" w:lineRule="exact"/>
        <w:ind w:firstLine="480" w:firstLineChars="200"/>
        <w:rPr>
          <w:rFonts w:hint="eastAsia" w:asciiTheme="minorEastAsia" w:hAnsiTheme="minorEastAsia" w:eastAsiaTheme="minorEastAsia" w:cstheme="minorEastAsia"/>
          <w:color w:val="auto"/>
          <w:sz w:val="24"/>
          <w:highlight w:val="none"/>
        </w:rPr>
      </w:pPr>
    </w:p>
    <w:p w14:paraId="4A33998E">
      <w:pPr>
        <w:spacing w:line="440" w:lineRule="exact"/>
        <w:ind w:firstLine="480" w:firstLineChars="200"/>
        <w:rPr>
          <w:rFonts w:hint="eastAsia" w:asciiTheme="minorEastAsia" w:hAnsiTheme="minorEastAsia" w:eastAsiaTheme="minorEastAsia" w:cstheme="minorEastAsia"/>
          <w:color w:val="auto"/>
          <w:sz w:val="24"/>
          <w:highlight w:val="none"/>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公开竞争</w:t>
      </w:r>
      <w:r>
        <w:rPr>
          <w:rFonts w:hint="eastAsia" w:asciiTheme="minorEastAsia" w:hAnsiTheme="minorEastAsia" w:eastAsiaTheme="minorEastAsia" w:cstheme="minorEastAsia"/>
          <w:color w:val="auto"/>
          <w:sz w:val="24"/>
          <w:highlight w:val="none"/>
        </w:rPr>
        <w:t>文件中打▲内容为实质性要求，不允许有负偏离，否则将以涉及无效响应条款作无效响应。</w:t>
      </w:r>
    </w:p>
    <w:p w14:paraId="31B485C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7" w:name="_Toc184308045"/>
      <w:bookmarkEnd w:id="17"/>
      <w:bookmarkStart w:id="18" w:name="_Toc184308047"/>
      <w:bookmarkEnd w:id="18"/>
      <w:bookmarkStart w:id="19" w:name="_Toc184310299"/>
      <w:bookmarkEnd w:id="19"/>
      <w:bookmarkStart w:id="20" w:name="_Toc184312121"/>
      <w:bookmarkEnd w:id="20"/>
      <w:bookmarkStart w:id="21" w:name="_Toc184308061"/>
      <w:bookmarkEnd w:id="21"/>
      <w:bookmarkStart w:id="22" w:name="_Toc184314441"/>
      <w:bookmarkEnd w:id="22"/>
      <w:bookmarkStart w:id="23" w:name="_Toc184308059"/>
      <w:bookmarkEnd w:id="23"/>
      <w:bookmarkStart w:id="24" w:name="_Toc184310277"/>
      <w:bookmarkEnd w:id="24"/>
      <w:bookmarkStart w:id="25" w:name="_Toc184310296"/>
      <w:bookmarkEnd w:id="25"/>
      <w:bookmarkStart w:id="26" w:name="_Toc184313261"/>
      <w:bookmarkEnd w:id="26"/>
      <w:bookmarkStart w:id="27" w:name="_Toc184313293"/>
      <w:bookmarkEnd w:id="27"/>
      <w:bookmarkStart w:id="28" w:name="_Toc184312088"/>
      <w:bookmarkEnd w:id="28"/>
      <w:bookmarkStart w:id="29" w:name="_Toc184308048"/>
      <w:bookmarkEnd w:id="29"/>
      <w:bookmarkStart w:id="30" w:name="_Toc184308070"/>
      <w:bookmarkEnd w:id="30"/>
      <w:bookmarkStart w:id="31" w:name="_Toc184314421"/>
      <w:bookmarkEnd w:id="31"/>
      <w:bookmarkStart w:id="32" w:name="_Toc184314429"/>
      <w:bookmarkEnd w:id="32"/>
      <w:bookmarkStart w:id="33" w:name="_Toc184314452"/>
      <w:bookmarkEnd w:id="33"/>
      <w:bookmarkStart w:id="34" w:name="_Toc184310307"/>
      <w:bookmarkEnd w:id="34"/>
      <w:bookmarkStart w:id="35" w:name="_Toc184308055"/>
      <w:bookmarkEnd w:id="35"/>
      <w:bookmarkStart w:id="36" w:name="_Toc184314424"/>
      <w:bookmarkEnd w:id="36"/>
      <w:bookmarkStart w:id="37" w:name="_Toc184310324"/>
      <w:bookmarkEnd w:id="37"/>
      <w:bookmarkStart w:id="38" w:name="_Toc184308039"/>
      <w:bookmarkEnd w:id="38"/>
      <w:bookmarkStart w:id="39" w:name="_Toc184314437"/>
      <w:bookmarkEnd w:id="39"/>
      <w:bookmarkStart w:id="40" w:name="_Toc184310294"/>
      <w:bookmarkEnd w:id="40"/>
      <w:bookmarkStart w:id="41" w:name="_Toc184312134"/>
      <w:bookmarkEnd w:id="41"/>
      <w:bookmarkStart w:id="42" w:name="_Toc184313273"/>
      <w:bookmarkEnd w:id="42"/>
      <w:bookmarkStart w:id="43" w:name="_Toc184308081"/>
      <w:bookmarkEnd w:id="43"/>
      <w:bookmarkStart w:id="44" w:name="_Toc184313265"/>
      <w:bookmarkEnd w:id="44"/>
      <w:bookmarkStart w:id="45" w:name="_Toc184308044"/>
      <w:bookmarkEnd w:id="45"/>
      <w:bookmarkStart w:id="46" w:name="_Toc184313276"/>
      <w:bookmarkEnd w:id="46"/>
      <w:bookmarkStart w:id="47" w:name="_Toc184308054"/>
      <w:bookmarkEnd w:id="47"/>
      <w:bookmarkStart w:id="48" w:name="_Toc184312119"/>
      <w:bookmarkEnd w:id="48"/>
      <w:bookmarkStart w:id="49" w:name="_Toc184313305"/>
      <w:bookmarkEnd w:id="49"/>
      <w:bookmarkStart w:id="50" w:name="_Toc184308096"/>
      <w:bookmarkEnd w:id="50"/>
      <w:bookmarkStart w:id="51" w:name="_Toc184312112"/>
      <w:bookmarkEnd w:id="51"/>
      <w:bookmarkStart w:id="52" w:name="_Toc184308069"/>
      <w:bookmarkEnd w:id="52"/>
      <w:bookmarkStart w:id="53" w:name="_Toc184313245"/>
      <w:bookmarkEnd w:id="53"/>
      <w:bookmarkStart w:id="54" w:name="_Toc184313288"/>
      <w:bookmarkEnd w:id="54"/>
      <w:bookmarkStart w:id="55" w:name="_Toc184314479"/>
      <w:bookmarkEnd w:id="55"/>
      <w:bookmarkStart w:id="56" w:name="_Toc184310288"/>
      <w:bookmarkEnd w:id="56"/>
      <w:bookmarkStart w:id="57" w:name="_Toc184308058"/>
      <w:bookmarkEnd w:id="57"/>
      <w:bookmarkStart w:id="58" w:name="_Toc184314432"/>
      <w:bookmarkEnd w:id="58"/>
      <w:bookmarkStart w:id="59" w:name="_Toc184312139"/>
      <w:bookmarkEnd w:id="59"/>
      <w:bookmarkStart w:id="60" w:name="_Toc184313300"/>
      <w:bookmarkEnd w:id="60"/>
      <w:bookmarkStart w:id="61" w:name="_Toc184310283"/>
      <w:bookmarkEnd w:id="61"/>
      <w:bookmarkStart w:id="62" w:name="_Toc184314467"/>
      <w:bookmarkEnd w:id="62"/>
      <w:bookmarkStart w:id="63" w:name="_Toc184313279"/>
      <w:bookmarkEnd w:id="63"/>
      <w:bookmarkStart w:id="64" w:name="_Toc184312090"/>
      <w:bookmarkEnd w:id="64"/>
      <w:bookmarkStart w:id="65" w:name="_Toc184312114"/>
      <w:bookmarkEnd w:id="65"/>
      <w:bookmarkStart w:id="66" w:name="_Toc184312106"/>
      <w:bookmarkEnd w:id="66"/>
      <w:bookmarkStart w:id="67" w:name="_Toc184308056"/>
      <w:bookmarkEnd w:id="67"/>
      <w:bookmarkStart w:id="68" w:name="_Toc184313285"/>
      <w:bookmarkEnd w:id="68"/>
      <w:bookmarkStart w:id="69" w:name="_Toc184312086"/>
      <w:bookmarkEnd w:id="69"/>
      <w:bookmarkStart w:id="70" w:name="_Toc184313277"/>
      <w:bookmarkEnd w:id="70"/>
      <w:bookmarkStart w:id="71" w:name="_Toc184313253"/>
      <w:bookmarkEnd w:id="71"/>
      <w:bookmarkStart w:id="72" w:name="_Toc184313239"/>
      <w:bookmarkEnd w:id="72"/>
      <w:bookmarkStart w:id="73" w:name="_Toc184313283"/>
      <w:bookmarkEnd w:id="73"/>
      <w:bookmarkStart w:id="74" w:name="_Toc184310323"/>
      <w:bookmarkEnd w:id="74"/>
      <w:bookmarkStart w:id="75" w:name="_Toc184313296"/>
      <w:bookmarkEnd w:id="75"/>
      <w:bookmarkStart w:id="76" w:name="_Toc184310344"/>
      <w:bookmarkEnd w:id="76"/>
      <w:bookmarkStart w:id="77" w:name="_Toc184310336"/>
      <w:bookmarkEnd w:id="77"/>
      <w:bookmarkStart w:id="78" w:name="_Toc184313299"/>
      <w:bookmarkEnd w:id="78"/>
      <w:bookmarkStart w:id="79" w:name="_Toc184314453"/>
      <w:bookmarkEnd w:id="79"/>
      <w:bookmarkStart w:id="80" w:name="_Toc184312133"/>
      <w:bookmarkEnd w:id="80"/>
      <w:bookmarkStart w:id="81" w:name="_Toc184312083"/>
      <w:bookmarkEnd w:id="81"/>
      <w:bookmarkStart w:id="82" w:name="_Toc184314433"/>
      <w:bookmarkEnd w:id="82"/>
      <w:bookmarkStart w:id="83" w:name="_Toc184310316"/>
      <w:bookmarkEnd w:id="83"/>
      <w:bookmarkStart w:id="84" w:name="_Toc184310287"/>
      <w:bookmarkEnd w:id="84"/>
      <w:bookmarkStart w:id="85" w:name="_Toc184313268"/>
      <w:bookmarkEnd w:id="85"/>
      <w:bookmarkStart w:id="86" w:name="_Toc184312123"/>
      <w:bookmarkEnd w:id="86"/>
      <w:bookmarkStart w:id="87" w:name="_Toc184313290"/>
      <w:bookmarkEnd w:id="87"/>
      <w:bookmarkStart w:id="88" w:name="_Toc184310330"/>
      <w:bookmarkEnd w:id="88"/>
      <w:bookmarkStart w:id="89" w:name="_Toc184308097"/>
      <w:bookmarkEnd w:id="89"/>
      <w:bookmarkStart w:id="90" w:name="_Toc184312082"/>
      <w:bookmarkEnd w:id="90"/>
      <w:bookmarkStart w:id="91" w:name="_Toc184313240"/>
      <w:bookmarkEnd w:id="91"/>
      <w:bookmarkStart w:id="92" w:name="_Toc184308037"/>
      <w:bookmarkEnd w:id="92"/>
      <w:bookmarkStart w:id="93" w:name="_Toc184312096"/>
      <w:bookmarkEnd w:id="93"/>
      <w:bookmarkStart w:id="94" w:name="_Toc184308066"/>
      <w:bookmarkEnd w:id="94"/>
      <w:bookmarkStart w:id="95" w:name="_Toc184310314"/>
      <w:bookmarkEnd w:id="95"/>
      <w:bookmarkStart w:id="96" w:name="_Toc184312128"/>
      <w:bookmarkEnd w:id="96"/>
      <w:bookmarkStart w:id="97" w:name="_Toc184312100"/>
      <w:bookmarkEnd w:id="97"/>
      <w:bookmarkStart w:id="98" w:name="_Toc184312124"/>
      <w:bookmarkEnd w:id="98"/>
      <w:bookmarkStart w:id="99" w:name="_Toc184314411"/>
      <w:bookmarkEnd w:id="99"/>
      <w:bookmarkStart w:id="100" w:name="_Toc184310340"/>
      <w:bookmarkEnd w:id="100"/>
      <w:bookmarkStart w:id="101" w:name="_Toc184314475"/>
      <w:bookmarkEnd w:id="101"/>
      <w:bookmarkStart w:id="102" w:name="_Toc184313274"/>
      <w:bookmarkEnd w:id="102"/>
      <w:bookmarkStart w:id="103" w:name="_Toc184314426"/>
      <w:bookmarkEnd w:id="103"/>
      <w:bookmarkStart w:id="104" w:name="_Toc184310338"/>
      <w:bookmarkEnd w:id="104"/>
      <w:bookmarkStart w:id="105" w:name="_Toc184314428"/>
      <w:bookmarkEnd w:id="105"/>
      <w:bookmarkStart w:id="106" w:name="_Toc184308072"/>
      <w:bookmarkEnd w:id="106"/>
      <w:bookmarkStart w:id="107" w:name="_Toc184313275"/>
      <w:bookmarkEnd w:id="107"/>
      <w:bookmarkStart w:id="108" w:name="_Toc184308104"/>
      <w:bookmarkEnd w:id="108"/>
      <w:bookmarkStart w:id="109" w:name="_Toc184308068"/>
      <w:bookmarkEnd w:id="109"/>
      <w:bookmarkStart w:id="110" w:name="_Toc184313267"/>
      <w:bookmarkEnd w:id="110"/>
      <w:bookmarkStart w:id="111" w:name="_Toc184313309"/>
      <w:bookmarkEnd w:id="111"/>
      <w:bookmarkStart w:id="112" w:name="_Toc184314420"/>
      <w:bookmarkEnd w:id="112"/>
      <w:bookmarkStart w:id="113" w:name="_Toc184314443"/>
      <w:bookmarkEnd w:id="113"/>
      <w:bookmarkStart w:id="114" w:name="_Toc184314415"/>
      <w:bookmarkEnd w:id="114"/>
      <w:bookmarkStart w:id="115" w:name="_Toc184312117"/>
      <w:bookmarkEnd w:id="115"/>
      <w:bookmarkStart w:id="116" w:name="_Toc184312089"/>
      <w:bookmarkEnd w:id="116"/>
      <w:bookmarkStart w:id="117" w:name="_Toc184312073"/>
      <w:bookmarkEnd w:id="117"/>
      <w:bookmarkStart w:id="118" w:name="_Toc184314461"/>
      <w:bookmarkEnd w:id="118"/>
      <w:bookmarkStart w:id="119" w:name="_Toc184313280"/>
      <w:bookmarkEnd w:id="119"/>
      <w:bookmarkStart w:id="120" w:name="_Toc184314477"/>
      <w:bookmarkEnd w:id="120"/>
      <w:bookmarkStart w:id="121" w:name="_Toc184312069"/>
      <w:bookmarkEnd w:id="121"/>
      <w:bookmarkStart w:id="122" w:name="_Toc184313255"/>
      <w:bookmarkEnd w:id="122"/>
      <w:bookmarkStart w:id="123" w:name="_Toc184312108"/>
      <w:bookmarkEnd w:id="123"/>
      <w:bookmarkStart w:id="124" w:name="_Toc184312077"/>
      <w:bookmarkEnd w:id="124"/>
      <w:bookmarkStart w:id="125" w:name="_Toc184310308"/>
      <w:bookmarkEnd w:id="125"/>
      <w:bookmarkStart w:id="126" w:name="_Toc184310315"/>
      <w:bookmarkEnd w:id="126"/>
      <w:bookmarkStart w:id="127" w:name="_Toc184313257"/>
      <w:bookmarkEnd w:id="127"/>
      <w:bookmarkStart w:id="128" w:name="_Toc184312072"/>
      <w:bookmarkEnd w:id="128"/>
      <w:bookmarkStart w:id="129" w:name="_Toc184312076"/>
      <w:bookmarkEnd w:id="129"/>
      <w:bookmarkStart w:id="130" w:name="_Toc184312079"/>
      <w:bookmarkEnd w:id="130"/>
      <w:bookmarkStart w:id="131" w:name="_Toc184313242"/>
      <w:bookmarkEnd w:id="131"/>
      <w:bookmarkStart w:id="132" w:name="_Toc184310286"/>
      <w:bookmarkEnd w:id="132"/>
      <w:bookmarkStart w:id="133" w:name="_Toc184310291"/>
      <w:bookmarkEnd w:id="133"/>
      <w:bookmarkStart w:id="134" w:name="_Toc184312109"/>
      <w:bookmarkEnd w:id="134"/>
      <w:bookmarkStart w:id="135" w:name="_Toc184308084"/>
      <w:bookmarkEnd w:id="135"/>
      <w:bookmarkStart w:id="136" w:name="_Toc184313241"/>
      <w:bookmarkEnd w:id="136"/>
      <w:bookmarkStart w:id="137" w:name="_Toc184314445"/>
      <w:bookmarkEnd w:id="137"/>
      <w:bookmarkStart w:id="138" w:name="_Toc184313306"/>
      <w:bookmarkEnd w:id="138"/>
      <w:bookmarkStart w:id="139" w:name="_Toc184313238"/>
      <w:bookmarkEnd w:id="139"/>
      <w:bookmarkStart w:id="140" w:name="_Toc184310321"/>
      <w:bookmarkEnd w:id="140"/>
      <w:bookmarkStart w:id="141" w:name="_Toc184310342"/>
      <w:bookmarkEnd w:id="141"/>
      <w:bookmarkStart w:id="142" w:name="_Toc184313310"/>
      <w:bookmarkEnd w:id="142"/>
      <w:bookmarkStart w:id="143" w:name="_Toc184310298"/>
      <w:bookmarkEnd w:id="143"/>
      <w:bookmarkStart w:id="144" w:name="_Toc184310273"/>
      <w:bookmarkEnd w:id="144"/>
      <w:bookmarkStart w:id="145" w:name="_Toc184310272"/>
      <w:bookmarkEnd w:id="145"/>
      <w:bookmarkStart w:id="146" w:name="_Toc184310280"/>
      <w:bookmarkEnd w:id="146"/>
      <w:bookmarkStart w:id="147" w:name="_Toc184314413"/>
      <w:bookmarkEnd w:id="147"/>
      <w:bookmarkStart w:id="148" w:name="_Toc184310275"/>
      <w:bookmarkEnd w:id="148"/>
      <w:bookmarkStart w:id="149" w:name="_Toc184313287"/>
      <w:bookmarkEnd w:id="149"/>
      <w:bookmarkStart w:id="150" w:name="_Toc184312085"/>
      <w:bookmarkEnd w:id="150"/>
      <w:bookmarkStart w:id="151" w:name="_Toc184308071"/>
      <w:bookmarkEnd w:id="151"/>
      <w:bookmarkStart w:id="152" w:name="_Toc184313278"/>
      <w:bookmarkEnd w:id="152"/>
      <w:bookmarkStart w:id="153" w:name="_Toc184308051"/>
      <w:bookmarkEnd w:id="153"/>
      <w:bookmarkStart w:id="154" w:name="_Toc184310329"/>
      <w:bookmarkEnd w:id="154"/>
      <w:bookmarkStart w:id="155" w:name="_Toc184314447"/>
      <w:bookmarkEnd w:id="155"/>
      <w:bookmarkStart w:id="156" w:name="_Toc184310292"/>
      <w:bookmarkEnd w:id="156"/>
      <w:bookmarkStart w:id="157" w:name="_Toc184308095"/>
      <w:bookmarkEnd w:id="157"/>
      <w:bookmarkStart w:id="158" w:name="_Toc184308094"/>
      <w:bookmarkEnd w:id="158"/>
      <w:bookmarkStart w:id="159" w:name="_Toc184313251"/>
      <w:bookmarkEnd w:id="159"/>
      <w:bookmarkStart w:id="160" w:name="_Toc184310310"/>
      <w:bookmarkEnd w:id="160"/>
      <w:bookmarkStart w:id="161" w:name="_Toc184310331"/>
      <w:bookmarkEnd w:id="161"/>
      <w:bookmarkStart w:id="162" w:name="_Toc184312094"/>
      <w:bookmarkEnd w:id="162"/>
      <w:bookmarkStart w:id="163" w:name="_Toc184314454"/>
      <w:bookmarkEnd w:id="163"/>
      <w:bookmarkStart w:id="164" w:name="_Toc184314478"/>
      <w:bookmarkEnd w:id="164"/>
      <w:bookmarkStart w:id="165" w:name="_Toc184312092"/>
      <w:bookmarkEnd w:id="165"/>
      <w:bookmarkStart w:id="166" w:name="_Toc184310279"/>
      <w:bookmarkEnd w:id="166"/>
      <w:bookmarkStart w:id="167" w:name="_Toc184310309"/>
      <w:bookmarkEnd w:id="167"/>
      <w:bookmarkStart w:id="168" w:name="_Toc184312107"/>
      <w:bookmarkEnd w:id="168"/>
      <w:bookmarkStart w:id="169" w:name="_Toc184313260"/>
      <w:bookmarkEnd w:id="169"/>
      <w:bookmarkStart w:id="170" w:name="_Toc184313307"/>
      <w:bookmarkEnd w:id="170"/>
      <w:bookmarkStart w:id="171" w:name="_Toc184310301"/>
      <w:bookmarkEnd w:id="171"/>
      <w:bookmarkStart w:id="172" w:name="_Toc184308067"/>
      <w:bookmarkEnd w:id="172"/>
      <w:bookmarkStart w:id="173" w:name="_Toc184313282"/>
      <w:bookmarkEnd w:id="173"/>
      <w:bookmarkStart w:id="174" w:name="_Toc184308098"/>
      <w:bookmarkEnd w:id="174"/>
      <w:bookmarkStart w:id="175" w:name="_Toc184310312"/>
      <w:bookmarkEnd w:id="175"/>
      <w:bookmarkStart w:id="176" w:name="_Toc184310282"/>
      <w:bookmarkEnd w:id="176"/>
      <w:bookmarkStart w:id="177" w:name="_Toc184313284"/>
      <w:bookmarkEnd w:id="177"/>
      <w:bookmarkStart w:id="178" w:name="_Toc184310341"/>
      <w:bookmarkEnd w:id="178"/>
      <w:bookmarkStart w:id="179" w:name="_Toc184312093"/>
      <w:bookmarkEnd w:id="179"/>
      <w:bookmarkStart w:id="180" w:name="_Toc184314440"/>
      <w:bookmarkEnd w:id="180"/>
      <w:bookmarkStart w:id="181" w:name="_Toc184310325"/>
      <w:bookmarkEnd w:id="181"/>
      <w:bookmarkStart w:id="182" w:name="_Toc184314436"/>
      <w:bookmarkEnd w:id="182"/>
      <w:bookmarkStart w:id="183" w:name="_Toc184313263"/>
      <w:bookmarkEnd w:id="183"/>
      <w:bookmarkStart w:id="184" w:name="_Toc184308077"/>
      <w:bookmarkEnd w:id="184"/>
      <w:bookmarkStart w:id="185" w:name="_Toc184313289"/>
      <w:bookmarkEnd w:id="185"/>
      <w:bookmarkStart w:id="186" w:name="_Toc184313294"/>
      <w:bookmarkEnd w:id="186"/>
      <w:bookmarkStart w:id="187" w:name="_Toc184312120"/>
      <w:bookmarkEnd w:id="187"/>
      <w:bookmarkStart w:id="188" w:name="_Toc184308063"/>
      <w:bookmarkEnd w:id="188"/>
      <w:bookmarkStart w:id="189" w:name="_Toc184310326"/>
      <w:bookmarkEnd w:id="189"/>
      <w:bookmarkStart w:id="190" w:name="_Toc184313301"/>
      <w:bookmarkEnd w:id="190"/>
      <w:bookmarkStart w:id="191" w:name="_Toc184313259"/>
      <w:bookmarkEnd w:id="191"/>
      <w:bookmarkStart w:id="192" w:name="_Toc184312099"/>
      <w:bookmarkEnd w:id="192"/>
      <w:bookmarkStart w:id="193" w:name="_Toc184314457"/>
      <w:bookmarkEnd w:id="193"/>
      <w:bookmarkStart w:id="194" w:name="_Toc184310327"/>
      <w:bookmarkEnd w:id="194"/>
      <w:bookmarkStart w:id="195" w:name="_Toc184314410"/>
      <w:bookmarkEnd w:id="195"/>
      <w:bookmarkStart w:id="196" w:name="_Toc184312070"/>
      <w:bookmarkEnd w:id="196"/>
      <w:bookmarkStart w:id="197" w:name="_Toc184308078"/>
      <w:bookmarkEnd w:id="197"/>
      <w:bookmarkStart w:id="198" w:name="_Toc184312074"/>
      <w:bookmarkEnd w:id="198"/>
      <w:bookmarkStart w:id="199" w:name="_Toc184308076"/>
      <w:bookmarkEnd w:id="199"/>
      <w:bookmarkStart w:id="200" w:name="_Toc184310274"/>
      <w:bookmarkEnd w:id="200"/>
      <w:bookmarkStart w:id="201" w:name="_Toc184314448"/>
      <w:bookmarkEnd w:id="201"/>
      <w:bookmarkStart w:id="202" w:name="_Toc184308079"/>
      <w:bookmarkEnd w:id="202"/>
      <w:bookmarkStart w:id="203" w:name="_Toc184313246"/>
      <w:bookmarkEnd w:id="203"/>
      <w:bookmarkStart w:id="204" w:name="_Toc184312104"/>
      <w:bookmarkEnd w:id="204"/>
      <w:bookmarkStart w:id="205" w:name="_Toc184314430"/>
      <w:bookmarkEnd w:id="205"/>
      <w:bookmarkStart w:id="206" w:name="_Toc184314438"/>
      <w:bookmarkEnd w:id="206"/>
      <w:bookmarkStart w:id="207" w:name="_Toc184314435"/>
      <w:bookmarkEnd w:id="207"/>
      <w:bookmarkStart w:id="208" w:name="_Toc184308082"/>
      <w:bookmarkEnd w:id="208"/>
      <w:bookmarkStart w:id="209" w:name="_Toc184310343"/>
      <w:bookmarkEnd w:id="209"/>
      <w:bookmarkStart w:id="210" w:name="_Toc184312122"/>
      <w:bookmarkEnd w:id="210"/>
      <w:bookmarkStart w:id="211" w:name="_Toc184313248"/>
      <w:bookmarkEnd w:id="211"/>
      <w:bookmarkStart w:id="212" w:name="_Toc184308064"/>
      <w:bookmarkEnd w:id="212"/>
      <w:bookmarkStart w:id="213" w:name="_Toc184308083"/>
      <w:bookmarkEnd w:id="213"/>
      <w:bookmarkStart w:id="214" w:name="_Toc184308052"/>
      <w:bookmarkEnd w:id="214"/>
      <w:bookmarkStart w:id="215" w:name="_Toc184308100"/>
      <w:bookmarkEnd w:id="215"/>
      <w:bookmarkStart w:id="216" w:name="_Toc184310318"/>
      <w:bookmarkEnd w:id="216"/>
      <w:bookmarkStart w:id="217" w:name="_Toc184308107"/>
      <w:bookmarkEnd w:id="217"/>
      <w:bookmarkStart w:id="218" w:name="_Toc184314444"/>
      <w:bookmarkEnd w:id="218"/>
      <w:bookmarkStart w:id="219" w:name="_Toc184312095"/>
      <w:bookmarkEnd w:id="219"/>
      <w:bookmarkStart w:id="220" w:name="_Toc184310276"/>
      <w:bookmarkEnd w:id="220"/>
      <w:bookmarkStart w:id="221" w:name="_Toc184312115"/>
      <w:bookmarkEnd w:id="221"/>
      <w:bookmarkStart w:id="222" w:name="_Toc184314451"/>
      <w:bookmarkEnd w:id="222"/>
      <w:bookmarkStart w:id="223" w:name="_Toc184313247"/>
      <w:bookmarkEnd w:id="223"/>
      <w:bookmarkStart w:id="224" w:name="_Toc184308036"/>
      <w:bookmarkEnd w:id="224"/>
      <w:bookmarkStart w:id="225" w:name="_Toc184312116"/>
      <w:bookmarkEnd w:id="225"/>
      <w:bookmarkStart w:id="226" w:name="_Toc184310281"/>
      <w:bookmarkEnd w:id="226"/>
      <w:bookmarkStart w:id="227" w:name="_Toc184314450"/>
      <w:bookmarkEnd w:id="227"/>
      <w:bookmarkStart w:id="228" w:name="_Toc184308060"/>
      <w:bookmarkEnd w:id="228"/>
      <w:bookmarkStart w:id="229" w:name="_Toc184314427"/>
      <w:bookmarkEnd w:id="229"/>
      <w:bookmarkStart w:id="230" w:name="_Toc184314470"/>
      <w:bookmarkEnd w:id="230"/>
      <w:bookmarkStart w:id="231" w:name="_Toc184312131"/>
      <w:bookmarkEnd w:id="231"/>
      <w:bookmarkStart w:id="232" w:name="_Toc184308091"/>
      <w:bookmarkEnd w:id="232"/>
      <w:bookmarkStart w:id="233" w:name="_Toc184308075"/>
      <w:bookmarkEnd w:id="233"/>
      <w:bookmarkStart w:id="234" w:name="_Toc184313295"/>
      <w:bookmarkEnd w:id="234"/>
      <w:bookmarkStart w:id="235" w:name="_Toc184308108"/>
      <w:bookmarkEnd w:id="235"/>
      <w:bookmarkStart w:id="236" w:name="_Toc184308089"/>
      <w:bookmarkEnd w:id="236"/>
      <w:bookmarkStart w:id="237" w:name="_Toc184312127"/>
      <w:bookmarkEnd w:id="237"/>
      <w:bookmarkStart w:id="238" w:name="_Toc184313264"/>
      <w:bookmarkEnd w:id="238"/>
      <w:bookmarkStart w:id="239" w:name="_Toc184308042"/>
      <w:bookmarkEnd w:id="239"/>
      <w:bookmarkStart w:id="240" w:name="_Toc184312101"/>
      <w:bookmarkEnd w:id="240"/>
      <w:bookmarkStart w:id="241" w:name="_Toc184310306"/>
      <w:bookmarkEnd w:id="241"/>
      <w:bookmarkStart w:id="242" w:name="_Toc184310295"/>
      <w:bookmarkEnd w:id="242"/>
      <w:bookmarkStart w:id="243" w:name="_Toc184313254"/>
      <w:bookmarkEnd w:id="243"/>
      <w:bookmarkStart w:id="244" w:name="_Toc184312091"/>
      <w:bookmarkEnd w:id="244"/>
      <w:bookmarkStart w:id="245" w:name="_Toc184310337"/>
      <w:bookmarkEnd w:id="245"/>
      <w:bookmarkStart w:id="246" w:name="_Toc184310322"/>
      <w:bookmarkEnd w:id="246"/>
      <w:bookmarkStart w:id="247" w:name="_Toc184313258"/>
      <w:bookmarkEnd w:id="247"/>
      <w:bookmarkStart w:id="248" w:name="_Toc184308092"/>
      <w:bookmarkEnd w:id="248"/>
      <w:bookmarkStart w:id="249" w:name="_Toc184308050"/>
      <w:bookmarkEnd w:id="249"/>
      <w:bookmarkStart w:id="250" w:name="_Toc184308101"/>
      <w:bookmarkEnd w:id="250"/>
      <w:bookmarkStart w:id="251" w:name="_Toc184314455"/>
      <w:bookmarkEnd w:id="251"/>
      <w:bookmarkStart w:id="252" w:name="_Toc184310319"/>
      <w:bookmarkEnd w:id="252"/>
      <w:bookmarkStart w:id="253" w:name="_Toc184312068"/>
      <w:bookmarkEnd w:id="253"/>
      <w:bookmarkStart w:id="254" w:name="_Toc184308080"/>
      <w:bookmarkEnd w:id="254"/>
      <w:bookmarkStart w:id="255" w:name="_Toc184312135"/>
      <w:bookmarkEnd w:id="255"/>
      <w:bookmarkStart w:id="256" w:name="_Toc184312136"/>
      <w:bookmarkEnd w:id="256"/>
      <w:bookmarkStart w:id="257" w:name="_Toc184312080"/>
      <w:bookmarkEnd w:id="257"/>
      <w:bookmarkStart w:id="258" w:name="_Toc184314446"/>
      <w:bookmarkEnd w:id="258"/>
      <w:bookmarkStart w:id="259" w:name="_Toc184314423"/>
      <w:bookmarkEnd w:id="259"/>
      <w:bookmarkStart w:id="260" w:name="_Toc184312081"/>
      <w:bookmarkEnd w:id="260"/>
      <w:bookmarkStart w:id="261" w:name="_Toc184312105"/>
      <w:bookmarkEnd w:id="261"/>
      <w:bookmarkStart w:id="262" w:name="_Toc184310333"/>
      <w:bookmarkEnd w:id="262"/>
      <w:bookmarkStart w:id="263" w:name="_Toc184312110"/>
      <w:bookmarkEnd w:id="263"/>
      <w:bookmarkStart w:id="264" w:name="_Toc184312111"/>
      <w:bookmarkEnd w:id="264"/>
      <w:bookmarkStart w:id="265" w:name="_Toc184308085"/>
      <w:bookmarkEnd w:id="265"/>
      <w:bookmarkStart w:id="266" w:name="_Toc184314414"/>
      <w:bookmarkEnd w:id="266"/>
      <w:bookmarkStart w:id="267" w:name="_Toc184312102"/>
      <w:bookmarkEnd w:id="267"/>
      <w:bookmarkStart w:id="268" w:name="_Toc184313292"/>
      <w:bookmarkEnd w:id="268"/>
      <w:bookmarkStart w:id="269" w:name="_Toc184312132"/>
      <w:bookmarkEnd w:id="269"/>
      <w:bookmarkStart w:id="270" w:name="_Toc184314474"/>
      <w:bookmarkEnd w:id="270"/>
      <w:bookmarkStart w:id="271" w:name="_Toc184313304"/>
      <w:bookmarkEnd w:id="271"/>
      <w:bookmarkStart w:id="272" w:name="_Toc184312084"/>
      <w:bookmarkEnd w:id="272"/>
      <w:bookmarkStart w:id="273" w:name="_Toc184308062"/>
      <w:bookmarkEnd w:id="273"/>
      <w:bookmarkStart w:id="274" w:name="_Toc184310313"/>
      <w:bookmarkEnd w:id="274"/>
      <w:bookmarkStart w:id="275" w:name="_Toc184308074"/>
      <w:bookmarkEnd w:id="275"/>
      <w:bookmarkStart w:id="276" w:name="_Toc184313272"/>
      <w:bookmarkEnd w:id="276"/>
      <w:bookmarkStart w:id="277" w:name="_Toc184308043"/>
      <w:bookmarkEnd w:id="277"/>
      <w:bookmarkStart w:id="278" w:name="_Toc184308057"/>
      <w:bookmarkEnd w:id="278"/>
      <w:bookmarkStart w:id="279" w:name="_Toc184308105"/>
      <w:bookmarkEnd w:id="279"/>
      <w:bookmarkStart w:id="280" w:name="_Toc184314459"/>
      <w:bookmarkEnd w:id="280"/>
      <w:bookmarkStart w:id="281" w:name="_Toc184312098"/>
      <w:bookmarkEnd w:id="281"/>
      <w:bookmarkStart w:id="282" w:name="_Toc184314466"/>
      <w:bookmarkEnd w:id="282"/>
      <w:bookmarkStart w:id="283" w:name="_Toc184314463"/>
      <w:bookmarkEnd w:id="283"/>
      <w:bookmarkStart w:id="284" w:name="_Toc184312097"/>
      <w:bookmarkEnd w:id="284"/>
      <w:bookmarkStart w:id="285" w:name="_Toc184314471"/>
      <w:bookmarkEnd w:id="285"/>
      <w:bookmarkStart w:id="286" w:name="_Toc184314449"/>
      <w:bookmarkEnd w:id="286"/>
      <w:bookmarkStart w:id="287" w:name="_Toc184312126"/>
      <w:bookmarkEnd w:id="287"/>
      <w:bookmarkStart w:id="288" w:name="_Toc184313302"/>
      <w:bookmarkEnd w:id="288"/>
      <w:bookmarkStart w:id="289" w:name="_Toc184314464"/>
      <w:bookmarkEnd w:id="289"/>
      <w:bookmarkStart w:id="290" w:name="_Toc184310328"/>
      <w:bookmarkEnd w:id="290"/>
      <w:bookmarkStart w:id="291" w:name="_Toc184314439"/>
      <w:bookmarkEnd w:id="291"/>
      <w:bookmarkStart w:id="292" w:name="_Toc184310300"/>
      <w:bookmarkEnd w:id="292"/>
      <w:bookmarkStart w:id="293" w:name="_Toc184308102"/>
      <w:bookmarkEnd w:id="293"/>
      <w:bookmarkStart w:id="294" w:name="_Toc184308087"/>
      <w:bookmarkEnd w:id="294"/>
      <w:bookmarkStart w:id="295" w:name="_Toc184310339"/>
      <w:bookmarkEnd w:id="295"/>
      <w:bookmarkStart w:id="296" w:name="_Toc184308088"/>
      <w:bookmarkEnd w:id="296"/>
      <w:bookmarkStart w:id="297" w:name="_Toc184312113"/>
      <w:bookmarkEnd w:id="297"/>
      <w:bookmarkStart w:id="298" w:name="_Toc184314456"/>
      <w:bookmarkEnd w:id="298"/>
      <w:bookmarkStart w:id="299" w:name="_Toc184312078"/>
      <w:bookmarkEnd w:id="299"/>
      <w:bookmarkStart w:id="300" w:name="_Toc184312125"/>
      <w:bookmarkEnd w:id="300"/>
      <w:bookmarkStart w:id="301" w:name="_Toc184313252"/>
      <w:bookmarkEnd w:id="301"/>
      <w:bookmarkStart w:id="302" w:name="_Toc184314460"/>
      <w:bookmarkEnd w:id="302"/>
      <w:bookmarkStart w:id="303" w:name="_Toc184310303"/>
      <w:bookmarkEnd w:id="303"/>
      <w:bookmarkStart w:id="304" w:name="_Toc184308093"/>
      <w:bookmarkEnd w:id="304"/>
      <w:bookmarkStart w:id="305" w:name="_Toc184314472"/>
      <w:bookmarkEnd w:id="305"/>
      <w:bookmarkStart w:id="306" w:name="_Toc184312129"/>
      <w:bookmarkEnd w:id="306"/>
      <w:bookmarkStart w:id="307" w:name="_Toc184314412"/>
      <w:bookmarkEnd w:id="307"/>
      <w:bookmarkStart w:id="308" w:name="_Toc184312067"/>
      <w:bookmarkEnd w:id="308"/>
      <w:bookmarkStart w:id="309" w:name="_Toc184310285"/>
      <w:bookmarkEnd w:id="309"/>
      <w:bookmarkStart w:id="310" w:name="_Toc184313270"/>
      <w:bookmarkEnd w:id="310"/>
      <w:bookmarkStart w:id="311" w:name="_Toc184310334"/>
      <w:bookmarkEnd w:id="311"/>
      <w:bookmarkStart w:id="312" w:name="_Toc184312087"/>
      <w:bookmarkEnd w:id="312"/>
      <w:bookmarkStart w:id="313" w:name="_Toc184313303"/>
      <w:bookmarkEnd w:id="313"/>
      <w:bookmarkStart w:id="314" w:name="_Toc184313308"/>
      <w:bookmarkEnd w:id="314"/>
      <w:bookmarkStart w:id="315" w:name="_Toc184312130"/>
      <w:bookmarkEnd w:id="315"/>
      <w:bookmarkStart w:id="316" w:name="_Toc184310302"/>
      <w:bookmarkEnd w:id="316"/>
      <w:bookmarkStart w:id="317" w:name="_Toc184314431"/>
      <w:bookmarkEnd w:id="317"/>
      <w:bookmarkStart w:id="318" w:name="_Toc184313281"/>
      <w:bookmarkEnd w:id="318"/>
      <w:bookmarkStart w:id="319" w:name="_Toc184310317"/>
      <w:bookmarkEnd w:id="319"/>
      <w:bookmarkStart w:id="320" w:name="_Toc184314465"/>
      <w:bookmarkEnd w:id="320"/>
      <w:bookmarkStart w:id="321" w:name="_Toc184308046"/>
      <w:bookmarkEnd w:id="321"/>
      <w:bookmarkStart w:id="322" w:name="_Toc184312137"/>
      <w:bookmarkEnd w:id="322"/>
      <w:bookmarkStart w:id="323" w:name="_Toc184310332"/>
      <w:bookmarkEnd w:id="323"/>
      <w:bookmarkStart w:id="324" w:name="_Toc184312138"/>
      <w:bookmarkEnd w:id="324"/>
      <w:bookmarkStart w:id="325" w:name="_Toc184308106"/>
      <w:bookmarkEnd w:id="325"/>
      <w:bookmarkStart w:id="326" w:name="_Toc184314425"/>
      <w:bookmarkEnd w:id="326"/>
      <w:bookmarkStart w:id="327" w:name="_Toc184308073"/>
      <w:bookmarkEnd w:id="327"/>
      <w:bookmarkStart w:id="328" w:name="_Toc184313250"/>
      <w:bookmarkEnd w:id="328"/>
      <w:bookmarkStart w:id="329" w:name="_Toc184313291"/>
      <w:bookmarkEnd w:id="329"/>
      <w:bookmarkStart w:id="330" w:name="_Toc184310335"/>
      <w:bookmarkEnd w:id="330"/>
      <w:bookmarkStart w:id="331" w:name="_Toc184313262"/>
      <w:bookmarkEnd w:id="331"/>
      <w:bookmarkStart w:id="332" w:name="_Toc184310278"/>
      <w:bookmarkEnd w:id="332"/>
      <w:bookmarkStart w:id="333" w:name="_Toc184314422"/>
      <w:bookmarkEnd w:id="333"/>
      <w:bookmarkStart w:id="334" w:name="_Toc184310289"/>
      <w:bookmarkEnd w:id="334"/>
      <w:bookmarkStart w:id="335" w:name="_Toc184313286"/>
      <w:bookmarkEnd w:id="335"/>
      <w:bookmarkStart w:id="336" w:name="_Toc184314434"/>
      <w:bookmarkEnd w:id="336"/>
      <w:bookmarkStart w:id="337" w:name="_Toc184308049"/>
      <w:bookmarkEnd w:id="337"/>
      <w:bookmarkStart w:id="338" w:name="_Toc184310297"/>
      <w:bookmarkEnd w:id="338"/>
      <w:bookmarkStart w:id="339" w:name="_Toc184312118"/>
      <w:bookmarkEnd w:id="339"/>
      <w:bookmarkStart w:id="340" w:name="_Toc184308040"/>
      <w:bookmarkEnd w:id="340"/>
      <w:bookmarkStart w:id="341" w:name="_Toc184314417"/>
      <w:bookmarkEnd w:id="341"/>
      <w:bookmarkStart w:id="342" w:name="_Toc184313256"/>
      <w:bookmarkEnd w:id="342"/>
      <w:bookmarkStart w:id="343" w:name="_Toc184308090"/>
      <w:bookmarkEnd w:id="343"/>
      <w:bookmarkStart w:id="344" w:name="_Toc184308099"/>
      <w:bookmarkEnd w:id="344"/>
      <w:bookmarkStart w:id="345" w:name="_Toc184312075"/>
      <w:bookmarkEnd w:id="345"/>
      <w:bookmarkStart w:id="346" w:name="_Toc184314480"/>
      <w:bookmarkEnd w:id="346"/>
      <w:bookmarkStart w:id="347" w:name="_Toc184314442"/>
      <w:bookmarkEnd w:id="347"/>
      <w:bookmarkStart w:id="348" w:name="_Toc184314462"/>
      <w:bookmarkEnd w:id="348"/>
      <w:bookmarkStart w:id="349" w:name="_Toc184310304"/>
      <w:bookmarkEnd w:id="349"/>
      <w:bookmarkStart w:id="350" w:name="_Toc184313271"/>
      <w:bookmarkEnd w:id="350"/>
      <w:bookmarkStart w:id="351" w:name="_Toc184308065"/>
      <w:bookmarkEnd w:id="351"/>
      <w:bookmarkStart w:id="352" w:name="_Toc184314473"/>
      <w:bookmarkEnd w:id="352"/>
      <w:bookmarkStart w:id="353" w:name="_Toc184313266"/>
      <w:bookmarkEnd w:id="353"/>
      <w:bookmarkStart w:id="354" w:name="_Toc184308041"/>
      <w:bookmarkEnd w:id="354"/>
      <w:bookmarkStart w:id="355" w:name="_Toc184313244"/>
      <w:bookmarkEnd w:id="355"/>
      <w:bookmarkStart w:id="356" w:name="_Toc184314458"/>
      <w:bookmarkEnd w:id="356"/>
      <w:bookmarkStart w:id="357" w:name="_Toc184312103"/>
      <w:bookmarkEnd w:id="357"/>
      <w:bookmarkStart w:id="358" w:name="_Toc184308038"/>
      <w:bookmarkEnd w:id="358"/>
      <w:bookmarkStart w:id="359" w:name="_Toc184314416"/>
      <w:bookmarkEnd w:id="359"/>
      <w:bookmarkStart w:id="360" w:name="_Toc184314469"/>
      <w:bookmarkEnd w:id="360"/>
      <w:bookmarkStart w:id="361" w:name="_Toc184310320"/>
      <w:bookmarkEnd w:id="361"/>
      <w:bookmarkStart w:id="362" w:name="_Toc184308053"/>
      <w:bookmarkEnd w:id="362"/>
      <w:bookmarkStart w:id="363" w:name="_Toc184310290"/>
      <w:bookmarkEnd w:id="363"/>
      <w:bookmarkStart w:id="364" w:name="_Toc184313298"/>
      <w:bookmarkEnd w:id="364"/>
      <w:bookmarkStart w:id="365" w:name="_Toc184313249"/>
      <w:bookmarkEnd w:id="365"/>
      <w:bookmarkStart w:id="366" w:name="_Toc184314468"/>
      <w:bookmarkEnd w:id="366"/>
      <w:bookmarkStart w:id="367" w:name="_Toc184312071"/>
      <w:bookmarkEnd w:id="367"/>
      <w:bookmarkStart w:id="368" w:name="_Toc184313243"/>
      <w:bookmarkEnd w:id="368"/>
      <w:bookmarkStart w:id="369" w:name="_Toc184314482"/>
      <w:bookmarkEnd w:id="369"/>
      <w:bookmarkStart w:id="370" w:name="_Toc184310293"/>
      <w:bookmarkEnd w:id="370"/>
      <w:bookmarkStart w:id="371" w:name="_Toc184310284"/>
      <w:bookmarkEnd w:id="371"/>
      <w:bookmarkStart w:id="372" w:name="_Toc184310311"/>
      <w:bookmarkEnd w:id="372"/>
      <w:bookmarkStart w:id="373" w:name="_Toc184308086"/>
      <w:bookmarkEnd w:id="373"/>
      <w:bookmarkStart w:id="374" w:name="_Toc184313297"/>
      <w:bookmarkEnd w:id="374"/>
      <w:bookmarkStart w:id="375" w:name="_Toc184314476"/>
      <w:bookmarkEnd w:id="375"/>
      <w:bookmarkStart w:id="376" w:name="_Toc184310305"/>
      <w:bookmarkEnd w:id="376"/>
      <w:bookmarkStart w:id="377" w:name="_Toc184314418"/>
      <w:bookmarkEnd w:id="377"/>
      <w:bookmarkStart w:id="378" w:name="_Toc184313269"/>
      <w:bookmarkEnd w:id="378"/>
      <w:bookmarkStart w:id="379" w:name="_Toc184314419"/>
      <w:bookmarkEnd w:id="379"/>
      <w:bookmarkStart w:id="380" w:name="_Toc184314481"/>
      <w:bookmarkEnd w:id="380"/>
      <w:bookmarkStart w:id="381" w:name="_Toc184308103"/>
      <w:bookmarkEnd w:id="381"/>
      <w:r>
        <w:rPr>
          <w:rFonts w:hint="eastAsia" w:asciiTheme="minorEastAsia" w:hAnsiTheme="minorEastAsia" w:eastAsiaTheme="minorEastAsia" w:cstheme="minorEastAsia"/>
          <w:b/>
          <w:color w:val="auto"/>
          <w:sz w:val="36"/>
          <w:szCs w:val="36"/>
          <w:highlight w:val="none"/>
        </w:rPr>
        <w:t>交易办法</w:t>
      </w:r>
    </w:p>
    <w:p w14:paraId="2354B50A">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084231E6">
      <w:pPr>
        <w:rPr>
          <w:rFonts w:hint="eastAsia"/>
          <w:color w:val="auto"/>
          <w:highlight w:val="none"/>
        </w:rPr>
      </w:pP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80"/>
        <w:gridCol w:w="1346"/>
        <w:gridCol w:w="5103"/>
        <w:gridCol w:w="1017"/>
        <w:gridCol w:w="1033"/>
      </w:tblGrid>
      <w:tr w14:paraId="1B2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49" w:type="dxa"/>
            <w:noWrap w:val="0"/>
            <w:vAlign w:val="center"/>
          </w:tcPr>
          <w:p w14:paraId="14ACEB93">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7129" w:type="dxa"/>
            <w:gridSpan w:val="3"/>
            <w:noWrap w:val="0"/>
            <w:vAlign w:val="center"/>
          </w:tcPr>
          <w:p w14:paraId="7AA74A3E">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评分内容和标准</w:t>
            </w:r>
          </w:p>
        </w:tc>
        <w:tc>
          <w:tcPr>
            <w:tcW w:w="1017" w:type="dxa"/>
            <w:noWrap w:val="0"/>
            <w:vAlign w:val="center"/>
          </w:tcPr>
          <w:p w14:paraId="7E08626D">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分值区间</w:t>
            </w:r>
          </w:p>
        </w:tc>
        <w:tc>
          <w:tcPr>
            <w:tcW w:w="1033" w:type="dxa"/>
            <w:noWrap w:val="0"/>
            <w:vAlign w:val="center"/>
          </w:tcPr>
          <w:p w14:paraId="3AD39FC6">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主</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rPr>
              <w:t>客</w:t>
            </w:r>
          </w:p>
          <w:p w14:paraId="6B1045F3">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观分</w:t>
            </w:r>
          </w:p>
        </w:tc>
      </w:tr>
      <w:tr w14:paraId="60EC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49" w:type="dxa"/>
            <w:vMerge w:val="restart"/>
            <w:noWrap w:val="0"/>
            <w:vAlign w:val="center"/>
          </w:tcPr>
          <w:p w14:paraId="1C5F7259">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商务资 信分（</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分）</w:t>
            </w:r>
          </w:p>
          <w:p w14:paraId="78842A3E">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4"/>
                <w:highlight w:val="none"/>
              </w:rPr>
            </w:pPr>
          </w:p>
        </w:tc>
        <w:tc>
          <w:tcPr>
            <w:tcW w:w="680" w:type="dxa"/>
            <w:noWrap w:val="0"/>
            <w:vAlign w:val="center"/>
          </w:tcPr>
          <w:p w14:paraId="400A38EB">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449" w:type="dxa"/>
            <w:gridSpan w:val="2"/>
            <w:noWrap w:val="0"/>
            <w:vAlign w:val="center"/>
          </w:tcPr>
          <w:p w14:paraId="626A0402">
            <w:pPr>
              <w:rPr>
                <w:rFonts w:hint="eastAsia" w:ascii="宋体" w:hAnsi="宋体" w:eastAsia="宋体" w:cs="宋体"/>
                <w:color w:val="auto"/>
                <w:sz w:val="24"/>
                <w:highlight w:val="none"/>
              </w:rPr>
            </w:pPr>
            <w:r>
              <w:rPr>
                <w:rFonts w:hint="eastAsia" w:ascii="宋体" w:hAnsi="宋体" w:cs="宋体"/>
                <w:color w:val="auto"/>
                <w:kern w:val="0"/>
                <w:sz w:val="24"/>
                <w:highlight w:val="none"/>
              </w:rPr>
              <w:t>响应人星级评分：被评为五星级品质旅行社的得5分，</w:t>
            </w:r>
            <w:r>
              <w:rPr>
                <w:rFonts w:hint="eastAsia" w:ascii="宋体" w:hAnsi="宋体" w:cs="宋体"/>
                <w:color w:val="auto"/>
                <w:sz w:val="24"/>
                <w:highlight w:val="none"/>
              </w:rPr>
              <w:t>被评为四星级品质旅行社的得4分，</w:t>
            </w:r>
            <w:r>
              <w:rPr>
                <w:rFonts w:hint="eastAsia" w:ascii="宋体" w:hAnsi="宋体" w:cs="宋体"/>
                <w:color w:val="auto"/>
                <w:kern w:val="0"/>
                <w:sz w:val="24"/>
                <w:highlight w:val="none"/>
              </w:rPr>
              <w:t>被评为三星级品质旅行社的得3分，被评为二星级品质旅行社的得2分，二星级以下不得分。（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文件中提供当地旅游局颁发的相关文件，加盖公章。）</w:t>
            </w:r>
          </w:p>
        </w:tc>
        <w:tc>
          <w:tcPr>
            <w:tcW w:w="1017" w:type="dxa"/>
            <w:noWrap w:val="0"/>
            <w:vAlign w:val="center"/>
          </w:tcPr>
          <w:p w14:paraId="1D01C1B7">
            <w:pPr>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5</w:t>
            </w:r>
            <w:r>
              <w:rPr>
                <w:rFonts w:hint="eastAsia" w:ascii="宋体" w:hAnsi="宋体" w:eastAsia="宋体" w:cs="宋体"/>
                <w:color w:val="auto"/>
                <w:kern w:val="0"/>
                <w:sz w:val="24"/>
                <w:szCs w:val="24"/>
                <w:highlight w:val="none"/>
              </w:rPr>
              <w:t>分</w:t>
            </w:r>
          </w:p>
        </w:tc>
        <w:tc>
          <w:tcPr>
            <w:tcW w:w="1033" w:type="dxa"/>
            <w:noWrap w:val="0"/>
            <w:vAlign w:val="center"/>
          </w:tcPr>
          <w:p w14:paraId="26630448">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44F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9" w:type="dxa"/>
            <w:vMerge w:val="continue"/>
            <w:noWrap w:val="0"/>
            <w:vAlign w:val="center"/>
          </w:tcPr>
          <w:p w14:paraId="436B694A">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sz w:val="24"/>
                <w:highlight w:val="none"/>
              </w:rPr>
            </w:pPr>
          </w:p>
        </w:tc>
        <w:tc>
          <w:tcPr>
            <w:tcW w:w="680" w:type="dxa"/>
            <w:noWrap w:val="0"/>
            <w:vAlign w:val="center"/>
          </w:tcPr>
          <w:p w14:paraId="5E98AC00">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449" w:type="dxa"/>
            <w:gridSpan w:val="2"/>
            <w:noWrap w:val="0"/>
            <w:vAlign w:val="center"/>
          </w:tcPr>
          <w:p w14:paraId="211D54AB">
            <w:pPr>
              <w:widowControl/>
              <w:jc w:val="left"/>
              <w:rPr>
                <w:rFonts w:hint="eastAsia" w:ascii="宋体" w:hAnsi="宋体" w:eastAsia="宋体" w:cs="宋体"/>
                <w:color w:val="auto"/>
                <w:sz w:val="24"/>
                <w:highlight w:val="none"/>
              </w:rPr>
            </w:pPr>
            <w:r>
              <w:rPr>
                <w:rFonts w:hint="eastAsia" w:ascii="宋体" w:hAnsi="宋体" w:cs="宋体"/>
                <w:color w:val="auto"/>
                <w:kern w:val="0"/>
                <w:sz w:val="24"/>
                <w:highlight w:val="none"/>
              </w:rPr>
              <w:t>响应人自202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年1月以来，承担类似本项目业绩，每个业绩得0.5分，最高1分，没有的不得分。（同一业绩不同年限不重复得分）</w:t>
            </w:r>
          </w:p>
        </w:tc>
        <w:tc>
          <w:tcPr>
            <w:tcW w:w="1017" w:type="dxa"/>
            <w:noWrap w:val="0"/>
            <w:vAlign w:val="center"/>
          </w:tcPr>
          <w:p w14:paraId="20C11247">
            <w:pPr>
              <w:widowControl/>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1</w:t>
            </w:r>
            <w:r>
              <w:rPr>
                <w:rFonts w:hint="eastAsia" w:ascii="宋体" w:hAnsi="宋体" w:eastAsia="宋体" w:cs="宋体"/>
                <w:color w:val="auto"/>
                <w:kern w:val="0"/>
                <w:sz w:val="24"/>
                <w:szCs w:val="24"/>
                <w:highlight w:val="none"/>
              </w:rPr>
              <w:t>分</w:t>
            </w:r>
          </w:p>
        </w:tc>
        <w:tc>
          <w:tcPr>
            <w:tcW w:w="1033" w:type="dxa"/>
            <w:noWrap w:val="0"/>
            <w:vAlign w:val="center"/>
          </w:tcPr>
          <w:p w14:paraId="2F37C01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418D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9" w:type="dxa"/>
            <w:vMerge w:val="continue"/>
            <w:noWrap w:val="0"/>
            <w:vAlign w:val="center"/>
          </w:tcPr>
          <w:p w14:paraId="0A2AEAAB">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4"/>
                <w:highlight w:val="none"/>
              </w:rPr>
            </w:pPr>
          </w:p>
        </w:tc>
        <w:tc>
          <w:tcPr>
            <w:tcW w:w="680" w:type="dxa"/>
            <w:noWrap w:val="0"/>
            <w:vAlign w:val="center"/>
          </w:tcPr>
          <w:p w14:paraId="19F2E104">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449" w:type="dxa"/>
            <w:gridSpan w:val="2"/>
            <w:noWrap w:val="0"/>
            <w:vAlign w:val="center"/>
          </w:tcPr>
          <w:p w14:paraId="6A704BFF">
            <w:pPr>
              <w:widowControl/>
              <w:jc w:val="left"/>
              <w:rPr>
                <w:rFonts w:hint="eastAsia" w:ascii="宋体" w:hAnsi="宋体" w:eastAsia="宋体" w:cs="宋体"/>
                <w:color w:val="auto"/>
                <w:sz w:val="24"/>
                <w:highlight w:val="none"/>
              </w:rPr>
            </w:pPr>
            <w:r>
              <w:rPr>
                <w:rFonts w:hint="eastAsia" w:ascii="宋体" w:hAnsi="宋体" w:cs="宋体"/>
                <w:color w:val="auto"/>
                <w:kern w:val="0"/>
                <w:sz w:val="24"/>
                <w:highlight w:val="none"/>
              </w:rPr>
              <w:t>响应人具有质量保证体系、环境管理体系认证、职业健康安全管理体系认证（证书须在有效期内）：获得三个体系的3分、任意两个体系的2分、一个体系的1分。（提供证书复印件及全国认证认可信息公共平台证书查询截图）</w:t>
            </w:r>
          </w:p>
        </w:tc>
        <w:tc>
          <w:tcPr>
            <w:tcW w:w="1017" w:type="dxa"/>
            <w:noWrap w:val="0"/>
            <w:vAlign w:val="center"/>
          </w:tcPr>
          <w:p w14:paraId="148CF67E">
            <w:pPr>
              <w:widowControl/>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3</w:t>
            </w:r>
            <w:r>
              <w:rPr>
                <w:rFonts w:hint="eastAsia" w:ascii="宋体" w:hAnsi="宋体" w:eastAsia="宋体" w:cs="宋体"/>
                <w:color w:val="auto"/>
                <w:kern w:val="0"/>
                <w:sz w:val="24"/>
                <w:szCs w:val="24"/>
                <w:highlight w:val="none"/>
              </w:rPr>
              <w:t>分</w:t>
            </w:r>
          </w:p>
        </w:tc>
        <w:tc>
          <w:tcPr>
            <w:tcW w:w="1033" w:type="dxa"/>
            <w:noWrap w:val="0"/>
            <w:vAlign w:val="center"/>
          </w:tcPr>
          <w:p w14:paraId="7F54B4BF">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439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9" w:type="dxa"/>
            <w:vMerge w:val="restart"/>
            <w:noWrap w:val="0"/>
            <w:vAlign w:val="center"/>
          </w:tcPr>
          <w:p w14:paraId="13E2584D">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kern w:val="0"/>
                <w:sz w:val="20"/>
                <w:szCs w:val="22"/>
                <w:highlight w:val="none"/>
              </w:rPr>
            </w:pPr>
            <w:r>
              <w:rPr>
                <w:rFonts w:hint="eastAsia" w:ascii="宋体" w:hAnsi="宋体" w:eastAsia="宋体" w:cs="宋体"/>
                <w:color w:val="auto"/>
                <w:highlight w:val="none"/>
              </w:rPr>
              <w:t>技术分（</w:t>
            </w:r>
            <w:r>
              <w:rPr>
                <w:rFonts w:hint="eastAsia" w:ascii="宋体" w:hAnsi="宋体" w:eastAsia="宋体" w:cs="宋体"/>
                <w:color w:val="auto"/>
                <w:highlight w:val="none"/>
                <w:lang w:val="en-US" w:eastAsia="zh-CN"/>
              </w:rPr>
              <w:t>82</w:t>
            </w:r>
            <w:r>
              <w:rPr>
                <w:rFonts w:hint="eastAsia" w:ascii="宋体" w:hAnsi="宋体" w:eastAsia="宋体" w:cs="宋体"/>
                <w:color w:val="auto"/>
                <w:highlight w:val="none"/>
              </w:rPr>
              <w:t>分）</w:t>
            </w:r>
          </w:p>
        </w:tc>
        <w:tc>
          <w:tcPr>
            <w:tcW w:w="680" w:type="dxa"/>
            <w:vMerge w:val="restart"/>
            <w:noWrap w:val="0"/>
            <w:vAlign w:val="center"/>
          </w:tcPr>
          <w:p w14:paraId="0709E0ED">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346" w:type="dxa"/>
            <w:vMerge w:val="restart"/>
            <w:noWrap w:val="0"/>
            <w:vAlign w:val="center"/>
          </w:tcPr>
          <w:p w14:paraId="30CE4983">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r>
              <w:rPr>
                <w:rFonts w:hint="eastAsia" w:ascii="宋体" w:hAnsi="宋体" w:cs="宋体"/>
                <w:color w:val="auto"/>
                <w:kern w:val="0"/>
                <w:sz w:val="24"/>
                <w:highlight w:val="none"/>
              </w:rPr>
              <w:t>针对本项目线路安排（包括景点安排）</w:t>
            </w:r>
          </w:p>
        </w:tc>
        <w:tc>
          <w:tcPr>
            <w:tcW w:w="5103" w:type="dxa"/>
            <w:noWrap w:val="0"/>
            <w:vAlign w:val="center"/>
          </w:tcPr>
          <w:p w14:paraId="4FC29710">
            <w:pPr>
              <w:jc w:val="left"/>
              <w:rPr>
                <w:rFonts w:ascii="宋体" w:hAnsi="宋体" w:cs="宋体"/>
                <w:color w:val="auto"/>
                <w:kern w:val="0"/>
                <w:sz w:val="24"/>
                <w:highlight w:val="none"/>
              </w:rPr>
            </w:pPr>
            <w:r>
              <w:rPr>
                <w:rFonts w:hint="eastAsia" w:ascii="宋体" w:hAnsi="宋体" w:cs="宋体"/>
                <w:color w:val="auto"/>
                <w:kern w:val="0"/>
                <w:sz w:val="24"/>
                <w:highlight w:val="none"/>
              </w:rPr>
              <w:t>根据本项目要求，提供每条线路必须提供详细的行程单，标明各景点特色等。根据方案可行条理清晰、内容丰富、安排合理等进行评审。</w:t>
            </w:r>
          </w:p>
          <w:p w14:paraId="4A01519B">
            <w:pPr>
              <w:jc w:val="left"/>
              <w:rPr>
                <w:rFonts w:hint="default" w:ascii="宋体" w:hAnsi="宋体" w:eastAsia="宋体" w:cs="宋体"/>
                <w:color w:val="auto"/>
                <w:highlight w:val="none"/>
                <w:lang w:val="en-US" w:eastAsia="zh-CN"/>
              </w:rPr>
            </w:pPr>
            <w:r>
              <w:rPr>
                <w:rFonts w:hint="eastAsia" w:ascii="宋体" w:hAnsi="宋体" w:cs="宋体"/>
                <w:b/>
                <w:bCs/>
                <w:color w:val="auto"/>
                <w:kern w:val="0"/>
                <w:sz w:val="24"/>
                <w:highlight w:val="none"/>
              </w:rPr>
              <w:t>分值：5-4-3-2-1-0</w:t>
            </w:r>
          </w:p>
        </w:tc>
        <w:tc>
          <w:tcPr>
            <w:tcW w:w="1017" w:type="dxa"/>
            <w:noWrap w:val="0"/>
            <w:vAlign w:val="center"/>
          </w:tcPr>
          <w:p w14:paraId="77924E66">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kern w:val="0"/>
                <w:sz w:val="24"/>
                <w:szCs w:val="24"/>
                <w:highlight w:val="none"/>
              </w:rPr>
              <w:t>分</w:t>
            </w:r>
          </w:p>
        </w:tc>
        <w:tc>
          <w:tcPr>
            <w:tcW w:w="1033" w:type="dxa"/>
            <w:noWrap w:val="0"/>
            <w:vAlign w:val="center"/>
          </w:tcPr>
          <w:p w14:paraId="2493550C">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EE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9" w:type="dxa"/>
            <w:vMerge w:val="continue"/>
            <w:noWrap w:val="0"/>
            <w:vAlign w:val="center"/>
          </w:tcPr>
          <w:p w14:paraId="6A836B31">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6F3A7CC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rPr>
            </w:pPr>
          </w:p>
        </w:tc>
        <w:tc>
          <w:tcPr>
            <w:tcW w:w="1346" w:type="dxa"/>
            <w:vMerge w:val="continue"/>
            <w:noWrap w:val="0"/>
            <w:vAlign w:val="center"/>
          </w:tcPr>
          <w:p w14:paraId="6B85B026">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p>
        </w:tc>
        <w:tc>
          <w:tcPr>
            <w:tcW w:w="5103" w:type="dxa"/>
            <w:noWrap w:val="0"/>
            <w:vAlign w:val="center"/>
          </w:tcPr>
          <w:p w14:paraId="39190402">
            <w:pPr>
              <w:jc w:val="left"/>
              <w:rPr>
                <w:rFonts w:ascii="宋体" w:hAnsi="宋体" w:cs="宋体"/>
                <w:color w:val="auto"/>
                <w:kern w:val="0"/>
                <w:sz w:val="24"/>
                <w:highlight w:val="none"/>
              </w:rPr>
            </w:pPr>
            <w:r>
              <w:rPr>
                <w:rFonts w:hint="eastAsia" w:ascii="宋体" w:hAnsi="宋体" w:cs="宋体"/>
                <w:color w:val="auto"/>
                <w:kern w:val="0"/>
                <w:sz w:val="24"/>
                <w:highlight w:val="none"/>
              </w:rPr>
              <w:t>根据本项目要求，提供景点与宾馆之间的车程时间安排及游玩时间安排。根据方案可行条理清晰、内容丰富、安排合理等进行评审。</w:t>
            </w:r>
          </w:p>
          <w:p w14:paraId="0896DE53">
            <w:pPr>
              <w:jc w:val="left"/>
              <w:rPr>
                <w:rFonts w:hint="eastAsia" w:ascii="宋体" w:hAnsi="宋体" w:eastAsia="宋体" w:cs="宋体"/>
                <w:color w:val="auto"/>
                <w:highlight w:val="none"/>
              </w:rPr>
            </w:pPr>
            <w:r>
              <w:rPr>
                <w:rFonts w:hint="eastAsia" w:ascii="宋体" w:hAnsi="宋体" w:cs="宋体"/>
                <w:b/>
                <w:bCs/>
                <w:color w:val="auto"/>
                <w:kern w:val="0"/>
                <w:sz w:val="24"/>
                <w:highlight w:val="none"/>
              </w:rPr>
              <w:t>分值：5-4-3-2-1-0</w:t>
            </w:r>
          </w:p>
        </w:tc>
        <w:tc>
          <w:tcPr>
            <w:tcW w:w="1017" w:type="dxa"/>
            <w:noWrap w:val="0"/>
            <w:vAlign w:val="center"/>
          </w:tcPr>
          <w:p w14:paraId="2772939F">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1033" w:type="dxa"/>
            <w:noWrap w:val="0"/>
            <w:vAlign w:val="center"/>
          </w:tcPr>
          <w:p w14:paraId="6689A67E">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w:t>
            </w:r>
            <w:r>
              <w:rPr>
                <w:rFonts w:hint="eastAsia" w:ascii="宋体" w:hAnsi="宋体" w:eastAsia="宋体" w:cs="宋体"/>
                <w:color w:val="auto"/>
                <w:sz w:val="24"/>
                <w:szCs w:val="24"/>
                <w:highlight w:val="none"/>
              </w:rPr>
              <w:t>分</w:t>
            </w:r>
          </w:p>
        </w:tc>
      </w:tr>
      <w:tr w14:paraId="6DCA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457189D2">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617E4E6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rPr>
            </w:pPr>
          </w:p>
        </w:tc>
        <w:tc>
          <w:tcPr>
            <w:tcW w:w="1346" w:type="dxa"/>
            <w:vMerge w:val="continue"/>
            <w:noWrap w:val="0"/>
            <w:vAlign w:val="center"/>
          </w:tcPr>
          <w:p w14:paraId="74D2D626">
            <w:pPr>
              <w:pStyle w:val="26"/>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宋体" w:hAnsi="宋体" w:eastAsia="宋体" w:cs="宋体"/>
                <w:color w:val="auto"/>
                <w:highlight w:val="none"/>
              </w:rPr>
            </w:pPr>
          </w:p>
        </w:tc>
        <w:tc>
          <w:tcPr>
            <w:tcW w:w="5103" w:type="dxa"/>
            <w:noWrap w:val="0"/>
            <w:vAlign w:val="center"/>
          </w:tcPr>
          <w:p w14:paraId="470F2183">
            <w:pPr>
              <w:jc w:val="left"/>
              <w:rPr>
                <w:rFonts w:ascii="宋体" w:hAnsi="宋体" w:cs="宋体"/>
                <w:color w:val="auto"/>
                <w:kern w:val="0"/>
                <w:sz w:val="24"/>
                <w:highlight w:val="none"/>
              </w:rPr>
            </w:pPr>
            <w:r>
              <w:rPr>
                <w:rFonts w:hint="eastAsia" w:ascii="宋体" w:hAnsi="宋体" w:cs="宋体"/>
                <w:color w:val="auto"/>
                <w:kern w:val="0"/>
                <w:sz w:val="24"/>
                <w:highlight w:val="none"/>
              </w:rPr>
              <w:t>根据本项目要求，提供每条线路的应急措施。根据方案可行条理清晰、内容丰富、安排合理等进行评审。</w:t>
            </w:r>
          </w:p>
          <w:p w14:paraId="3F7D558A">
            <w:pPr>
              <w:jc w:val="left"/>
              <w:rPr>
                <w:rFonts w:hint="eastAsia" w:ascii="宋体" w:hAnsi="宋体" w:eastAsia="宋体" w:cs="宋体"/>
                <w:color w:val="auto"/>
                <w:szCs w:val="24"/>
                <w:highlight w:val="none"/>
                <w:lang w:val="zh-CN"/>
              </w:rPr>
            </w:pPr>
            <w:r>
              <w:rPr>
                <w:rFonts w:hint="eastAsia" w:ascii="宋体" w:hAnsi="宋体" w:cs="宋体"/>
                <w:b/>
                <w:bCs/>
                <w:color w:val="auto"/>
                <w:kern w:val="0"/>
                <w:sz w:val="24"/>
                <w:highlight w:val="none"/>
              </w:rPr>
              <w:t>分值：5-4-3-2-1-0</w:t>
            </w:r>
          </w:p>
        </w:tc>
        <w:tc>
          <w:tcPr>
            <w:tcW w:w="1017" w:type="dxa"/>
            <w:noWrap w:val="0"/>
            <w:vAlign w:val="center"/>
          </w:tcPr>
          <w:p w14:paraId="1F009893">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5</w:t>
            </w:r>
            <w:r>
              <w:rPr>
                <w:rFonts w:hint="eastAsia" w:ascii="宋体" w:hAnsi="宋体" w:eastAsia="宋体" w:cs="宋体"/>
                <w:color w:val="auto"/>
                <w:kern w:val="0"/>
                <w:sz w:val="24"/>
                <w:highlight w:val="none"/>
              </w:rPr>
              <w:t>分</w:t>
            </w:r>
          </w:p>
        </w:tc>
        <w:tc>
          <w:tcPr>
            <w:tcW w:w="1033" w:type="dxa"/>
            <w:noWrap w:val="0"/>
            <w:vAlign w:val="center"/>
          </w:tcPr>
          <w:p w14:paraId="3AF8B00A">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w:t>
            </w:r>
            <w:r>
              <w:rPr>
                <w:rFonts w:hint="eastAsia" w:ascii="宋体" w:hAnsi="宋体" w:eastAsia="宋体" w:cs="宋体"/>
                <w:color w:val="auto"/>
                <w:sz w:val="24"/>
                <w:highlight w:val="none"/>
              </w:rPr>
              <w:t>分</w:t>
            </w:r>
          </w:p>
        </w:tc>
      </w:tr>
      <w:tr w14:paraId="4EF8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1B07AF2F">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restart"/>
            <w:noWrap w:val="0"/>
            <w:vAlign w:val="center"/>
          </w:tcPr>
          <w:p w14:paraId="1A8B5A52">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346" w:type="dxa"/>
            <w:vMerge w:val="restart"/>
            <w:noWrap w:val="0"/>
            <w:vAlign w:val="center"/>
          </w:tcPr>
          <w:p w14:paraId="62B7872C">
            <w:pPr>
              <w:jc w:val="center"/>
              <w:rPr>
                <w:rFonts w:hint="eastAsia" w:ascii="宋体" w:hAnsi="宋体" w:eastAsia="宋体" w:cs="宋体"/>
                <w:color w:val="auto"/>
                <w:highlight w:val="none"/>
              </w:rPr>
            </w:pPr>
            <w:r>
              <w:rPr>
                <w:rFonts w:hint="eastAsia" w:ascii="宋体" w:hAnsi="宋体" w:cs="宋体"/>
                <w:color w:val="auto"/>
                <w:kern w:val="0"/>
                <w:sz w:val="24"/>
                <w:highlight w:val="none"/>
              </w:rPr>
              <w:t>针对本项目酒店住宿安排</w:t>
            </w:r>
          </w:p>
        </w:tc>
        <w:tc>
          <w:tcPr>
            <w:tcW w:w="5103" w:type="dxa"/>
            <w:noWrap w:val="0"/>
            <w:vAlign w:val="center"/>
          </w:tcPr>
          <w:p w14:paraId="6890587B">
            <w:pPr>
              <w:jc w:val="left"/>
              <w:rPr>
                <w:rFonts w:ascii="宋体" w:hAnsi="宋体" w:cs="宋体"/>
                <w:color w:val="auto"/>
                <w:kern w:val="0"/>
                <w:sz w:val="24"/>
                <w:highlight w:val="none"/>
              </w:rPr>
            </w:pPr>
            <w:r>
              <w:rPr>
                <w:rFonts w:hint="eastAsia" w:ascii="宋体" w:hAnsi="宋体" w:cs="宋体"/>
                <w:color w:val="auto"/>
                <w:kern w:val="0"/>
                <w:sz w:val="24"/>
                <w:highlight w:val="none"/>
              </w:rPr>
              <w:t>根据本项目要求，提供住宿酒店星级等方案</w:t>
            </w: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方案可行条理清晰、内容丰富、安排合理等进行评审等进行评审。</w:t>
            </w:r>
          </w:p>
          <w:p w14:paraId="488044E4">
            <w:pPr>
              <w:jc w:val="left"/>
              <w:rPr>
                <w:rFonts w:hint="eastAsia" w:ascii="宋体" w:hAnsi="宋体" w:eastAsia="宋体" w:cs="宋体"/>
                <w:color w:val="auto"/>
                <w:szCs w:val="24"/>
                <w:highlight w:val="none"/>
                <w:lang w:val="zh-CN"/>
              </w:rPr>
            </w:pPr>
            <w:r>
              <w:rPr>
                <w:rFonts w:hint="eastAsia" w:ascii="宋体" w:hAnsi="宋体" w:cs="宋体"/>
                <w:b/>
                <w:bCs/>
                <w:color w:val="auto"/>
                <w:kern w:val="0"/>
                <w:sz w:val="24"/>
                <w:highlight w:val="none"/>
              </w:rPr>
              <w:t>分值：5-4-3-2-1-0</w:t>
            </w:r>
          </w:p>
        </w:tc>
        <w:tc>
          <w:tcPr>
            <w:tcW w:w="1017" w:type="dxa"/>
            <w:noWrap w:val="0"/>
            <w:vAlign w:val="center"/>
          </w:tcPr>
          <w:p w14:paraId="40D837E5">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c>
          <w:tcPr>
            <w:tcW w:w="1033" w:type="dxa"/>
            <w:noWrap w:val="0"/>
            <w:vAlign w:val="center"/>
          </w:tcPr>
          <w:p w14:paraId="60BBB97C">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主观分</w:t>
            </w:r>
          </w:p>
        </w:tc>
      </w:tr>
      <w:tr w14:paraId="314B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22836968">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735D4B7A">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cs="宋体"/>
                <w:color w:val="auto"/>
                <w:kern w:val="0"/>
                <w:sz w:val="24"/>
                <w:highlight w:val="none"/>
                <w:lang w:val="en-US" w:eastAsia="zh-CN"/>
              </w:rPr>
            </w:pPr>
          </w:p>
        </w:tc>
        <w:tc>
          <w:tcPr>
            <w:tcW w:w="1346" w:type="dxa"/>
            <w:vMerge w:val="continue"/>
            <w:noWrap w:val="0"/>
            <w:vAlign w:val="center"/>
          </w:tcPr>
          <w:p w14:paraId="0FCC2D30">
            <w:pPr>
              <w:jc w:val="center"/>
              <w:rPr>
                <w:rFonts w:hint="eastAsia" w:ascii="宋体" w:hAnsi="宋体" w:eastAsia="宋体" w:cs="宋体"/>
                <w:color w:val="auto"/>
                <w:highlight w:val="none"/>
              </w:rPr>
            </w:pPr>
          </w:p>
        </w:tc>
        <w:tc>
          <w:tcPr>
            <w:tcW w:w="5103" w:type="dxa"/>
            <w:noWrap w:val="0"/>
            <w:vAlign w:val="center"/>
          </w:tcPr>
          <w:p w14:paraId="1C2030EB">
            <w:pPr>
              <w:jc w:val="left"/>
              <w:rPr>
                <w:rFonts w:ascii="宋体" w:hAnsi="宋体" w:cs="宋体"/>
                <w:color w:val="auto"/>
                <w:kern w:val="0"/>
                <w:sz w:val="24"/>
                <w:highlight w:val="none"/>
              </w:rPr>
            </w:pPr>
            <w:r>
              <w:rPr>
                <w:rFonts w:hint="eastAsia" w:ascii="宋体" w:hAnsi="宋体" w:cs="宋体"/>
                <w:color w:val="auto"/>
                <w:kern w:val="0"/>
                <w:sz w:val="24"/>
                <w:highlight w:val="none"/>
              </w:rPr>
              <w:t>根据本项目要求，提供</w:t>
            </w:r>
            <w:r>
              <w:rPr>
                <w:rFonts w:hint="eastAsia" w:ascii="宋体" w:hAnsi="宋体" w:cs="宋体"/>
                <w:color w:val="auto"/>
                <w:kern w:val="0"/>
                <w:sz w:val="24"/>
                <w:highlight w:val="none"/>
                <w:lang w:val="zh-CN"/>
              </w:rPr>
              <w:t>住宿条件承诺情况</w:t>
            </w: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方案可行条理清晰、内容丰富、安排合理等进行评审。</w:t>
            </w:r>
          </w:p>
          <w:p w14:paraId="01E49A49">
            <w:pPr>
              <w:jc w:val="left"/>
              <w:rPr>
                <w:rFonts w:hint="eastAsia" w:ascii="宋体" w:hAnsi="宋体" w:eastAsia="宋体" w:cs="宋体"/>
                <w:color w:val="auto"/>
                <w:szCs w:val="24"/>
                <w:highlight w:val="none"/>
                <w:lang w:val="zh-CN"/>
              </w:rPr>
            </w:pPr>
            <w:r>
              <w:rPr>
                <w:rFonts w:hint="eastAsia" w:ascii="宋体" w:hAnsi="宋体" w:cs="宋体"/>
                <w:b/>
                <w:bCs/>
                <w:color w:val="auto"/>
                <w:kern w:val="0"/>
                <w:sz w:val="24"/>
                <w:highlight w:val="none"/>
              </w:rPr>
              <w:t>分值：5-4-3-2-1-0</w:t>
            </w:r>
          </w:p>
        </w:tc>
        <w:tc>
          <w:tcPr>
            <w:tcW w:w="1017" w:type="dxa"/>
            <w:noWrap w:val="0"/>
            <w:vAlign w:val="center"/>
          </w:tcPr>
          <w:p w14:paraId="078947A6">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c>
          <w:tcPr>
            <w:tcW w:w="1033" w:type="dxa"/>
            <w:noWrap w:val="0"/>
            <w:vAlign w:val="center"/>
          </w:tcPr>
          <w:p w14:paraId="46311586">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主观分</w:t>
            </w:r>
          </w:p>
        </w:tc>
      </w:tr>
      <w:tr w14:paraId="075A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09EB5DB0">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restart"/>
            <w:noWrap w:val="0"/>
            <w:vAlign w:val="center"/>
          </w:tcPr>
          <w:p w14:paraId="61BECEE1">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346" w:type="dxa"/>
            <w:vMerge w:val="restart"/>
            <w:noWrap w:val="0"/>
            <w:vAlign w:val="center"/>
          </w:tcPr>
          <w:p w14:paraId="253E7E7D">
            <w:pPr>
              <w:jc w:val="center"/>
              <w:rPr>
                <w:rFonts w:hint="eastAsia" w:ascii="宋体" w:hAnsi="宋体" w:eastAsia="宋体" w:cs="宋体"/>
                <w:color w:val="auto"/>
                <w:szCs w:val="24"/>
                <w:highlight w:val="none"/>
              </w:rPr>
            </w:pPr>
            <w:r>
              <w:rPr>
                <w:rFonts w:hint="eastAsia" w:ascii="宋体" w:hAnsi="宋体" w:cs="宋体"/>
                <w:color w:val="auto"/>
                <w:kern w:val="0"/>
                <w:sz w:val="24"/>
                <w:highlight w:val="none"/>
              </w:rPr>
              <w:t>针对本项目就餐及餐标安排</w:t>
            </w:r>
          </w:p>
        </w:tc>
        <w:tc>
          <w:tcPr>
            <w:tcW w:w="5103" w:type="dxa"/>
            <w:noWrap w:val="0"/>
            <w:vAlign w:val="center"/>
          </w:tcPr>
          <w:p w14:paraId="4E70D989">
            <w:pPr>
              <w:jc w:val="left"/>
              <w:rPr>
                <w:rFonts w:ascii="宋体" w:hAnsi="宋体" w:cs="宋体"/>
                <w:color w:val="auto"/>
                <w:kern w:val="0"/>
                <w:sz w:val="24"/>
                <w:highlight w:val="none"/>
              </w:rPr>
            </w:pPr>
            <w:r>
              <w:rPr>
                <w:rFonts w:hint="eastAsia" w:ascii="宋体" w:hAnsi="宋体" w:cs="宋体"/>
                <w:color w:val="auto"/>
                <w:kern w:val="0"/>
                <w:sz w:val="24"/>
                <w:highlight w:val="none"/>
              </w:rPr>
              <w:t>根据本项目要求，提供就餐方案。根据就餐安排及就餐环境等方案内容可行条理清晰、内容丰富、安排合理等进行评审。</w:t>
            </w:r>
          </w:p>
          <w:p w14:paraId="783BA67C">
            <w:pPr>
              <w:jc w:val="left"/>
              <w:rPr>
                <w:rFonts w:hint="eastAsia" w:ascii="宋体" w:hAnsi="宋体" w:eastAsia="宋体" w:cs="宋体"/>
                <w:color w:val="auto"/>
                <w:szCs w:val="24"/>
                <w:highlight w:val="none"/>
                <w:lang w:val="zh-CN"/>
              </w:rPr>
            </w:pPr>
            <w:r>
              <w:rPr>
                <w:rFonts w:hint="eastAsia" w:ascii="宋体" w:hAnsi="宋体" w:cs="宋体"/>
                <w:b/>
                <w:bCs/>
                <w:color w:val="auto"/>
                <w:kern w:val="0"/>
                <w:sz w:val="24"/>
                <w:highlight w:val="none"/>
              </w:rPr>
              <w:t>分值：5-4-3-2-1-0</w:t>
            </w:r>
          </w:p>
        </w:tc>
        <w:tc>
          <w:tcPr>
            <w:tcW w:w="1017" w:type="dxa"/>
            <w:noWrap w:val="0"/>
            <w:vAlign w:val="center"/>
          </w:tcPr>
          <w:p w14:paraId="09FDDC72">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c>
          <w:tcPr>
            <w:tcW w:w="1033" w:type="dxa"/>
            <w:noWrap w:val="0"/>
            <w:vAlign w:val="center"/>
          </w:tcPr>
          <w:p w14:paraId="1446A021">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主观分</w:t>
            </w:r>
          </w:p>
        </w:tc>
      </w:tr>
      <w:tr w14:paraId="424F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7A0424FD">
            <w:pPr>
              <w:pStyle w:val="26"/>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宋体" w:hAnsi="宋体" w:eastAsia="宋体" w:cs="宋体"/>
                <w:color w:val="auto"/>
                <w:highlight w:val="none"/>
              </w:rPr>
            </w:pPr>
          </w:p>
        </w:tc>
        <w:tc>
          <w:tcPr>
            <w:tcW w:w="680" w:type="dxa"/>
            <w:vMerge w:val="continue"/>
            <w:noWrap w:val="0"/>
            <w:vAlign w:val="center"/>
          </w:tcPr>
          <w:p w14:paraId="6E7062CC">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cs="宋体"/>
                <w:color w:val="auto"/>
                <w:kern w:val="0"/>
                <w:sz w:val="24"/>
                <w:highlight w:val="none"/>
                <w:lang w:val="en-US" w:eastAsia="zh-CN"/>
              </w:rPr>
            </w:pPr>
          </w:p>
        </w:tc>
        <w:tc>
          <w:tcPr>
            <w:tcW w:w="1346" w:type="dxa"/>
            <w:vMerge w:val="continue"/>
            <w:noWrap w:val="0"/>
            <w:vAlign w:val="center"/>
          </w:tcPr>
          <w:p w14:paraId="633C68D3">
            <w:pPr>
              <w:jc w:val="center"/>
              <w:rPr>
                <w:rFonts w:hint="eastAsia" w:ascii="宋体" w:hAnsi="宋体" w:eastAsia="宋体" w:cs="宋体"/>
                <w:color w:val="auto"/>
                <w:szCs w:val="24"/>
                <w:highlight w:val="none"/>
              </w:rPr>
            </w:pPr>
          </w:p>
        </w:tc>
        <w:tc>
          <w:tcPr>
            <w:tcW w:w="5103" w:type="dxa"/>
            <w:noWrap w:val="0"/>
            <w:vAlign w:val="center"/>
          </w:tcPr>
          <w:p w14:paraId="7D7D7C2E">
            <w:pPr>
              <w:jc w:val="left"/>
              <w:rPr>
                <w:rFonts w:hint="eastAsia" w:ascii="宋体" w:hAnsi="宋体" w:eastAsia="宋体" w:cs="宋体"/>
                <w:color w:val="auto"/>
                <w:szCs w:val="24"/>
                <w:highlight w:val="none"/>
              </w:rPr>
            </w:pPr>
            <w:r>
              <w:rPr>
                <w:rFonts w:hint="eastAsia" w:ascii="宋体" w:hAnsi="宋体" w:cs="宋体"/>
                <w:color w:val="auto"/>
                <w:kern w:val="0"/>
                <w:sz w:val="24"/>
                <w:highlight w:val="none"/>
                <w:lang w:val="zh-CN"/>
              </w:rPr>
              <w:t>餐饮优化服务：餐饮承诺</w:t>
            </w:r>
            <w:r>
              <w:rPr>
                <w:rFonts w:hint="eastAsia" w:ascii="宋体" w:hAnsi="宋体" w:cs="宋体"/>
                <w:color w:val="auto"/>
                <w:kern w:val="0"/>
                <w:sz w:val="24"/>
                <w:highlight w:val="none"/>
                <w:lang w:val="en-US" w:eastAsia="zh-CN"/>
              </w:rPr>
              <w:t>交易发起</w:t>
            </w:r>
            <w:r>
              <w:rPr>
                <w:rFonts w:hint="eastAsia" w:ascii="宋体" w:hAnsi="宋体" w:cs="宋体"/>
                <w:color w:val="auto"/>
                <w:kern w:val="0"/>
                <w:sz w:val="24"/>
                <w:highlight w:val="none"/>
                <w:lang w:val="zh-CN"/>
              </w:rPr>
              <w:t>人餐标的费用标准得</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分：每人每</w:t>
            </w:r>
            <w:r>
              <w:rPr>
                <w:rFonts w:hint="eastAsia" w:ascii="宋体" w:hAnsi="宋体" w:cs="宋体"/>
                <w:color w:val="auto"/>
                <w:kern w:val="0"/>
                <w:sz w:val="24"/>
                <w:highlight w:val="none"/>
              </w:rPr>
              <w:t>天</w:t>
            </w:r>
            <w:r>
              <w:rPr>
                <w:rFonts w:hint="eastAsia" w:ascii="宋体" w:hAnsi="宋体" w:cs="宋体"/>
                <w:color w:val="auto"/>
                <w:kern w:val="0"/>
                <w:sz w:val="24"/>
                <w:highlight w:val="none"/>
                <w:lang w:val="zh-CN"/>
              </w:rPr>
              <w:t>提高</w:t>
            </w:r>
            <w:r>
              <w:rPr>
                <w:rFonts w:hint="eastAsia" w:ascii="宋体" w:hAnsi="宋体" w:cs="宋体"/>
                <w:color w:val="auto"/>
                <w:kern w:val="0"/>
                <w:sz w:val="24"/>
                <w:highlight w:val="none"/>
              </w:rPr>
              <w:t>10</w:t>
            </w:r>
            <w:r>
              <w:rPr>
                <w:rFonts w:hint="eastAsia" w:ascii="宋体" w:hAnsi="宋体" w:cs="宋体"/>
                <w:color w:val="auto"/>
                <w:kern w:val="0"/>
                <w:sz w:val="24"/>
                <w:highlight w:val="none"/>
                <w:lang w:val="zh-CN"/>
              </w:rPr>
              <w:t>元</w:t>
            </w:r>
            <w:r>
              <w:rPr>
                <w:rFonts w:hint="eastAsia" w:ascii="宋体" w:hAnsi="宋体" w:cs="宋体"/>
                <w:color w:val="auto"/>
                <w:kern w:val="0"/>
                <w:sz w:val="24"/>
                <w:highlight w:val="none"/>
              </w:rPr>
              <w:t>/餐</w:t>
            </w:r>
            <w:r>
              <w:rPr>
                <w:rFonts w:hint="eastAsia" w:ascii="宋体" w:hAnsi="宋体" w:cs="宋体"/>
                <w:color w:val="auto"/>
                <w:kern w:val="0"/>
                <w:sz w:val="24"/>
                <w:highlight w:val="none"/>
                <w:lang w:val="zh-CN"/>
              </w:rPr>
              <w:t>得</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分，最高加</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分。</w:t>
            </w:r>
          </w:p>
        </w:tc>
        <w:tc>
          <w:tcPr>
            <w:tcW w:w="1017" w:type="dxa"/>
            <w:noWrap w:val="0"/>
            <w:vAlign w:val="center"/>
          </w:tcPr>
          <w:p w14:paraId="6EB97834">
            <w:pPr>
              <w:jc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8分</w:t>
            </w:r>
          </w:p>
        </w:tc>
        <w:tc>
          <w:tcPr>
            <w:tcW w:w="1033" w:type="dxa"/>
            <w:noWrap w:val="0"/>
            <w:vAlign w:val="center"/>
          </w:tcPr>
          <w:p w14:paraId="1941AA31">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客观分</w:t>
            </w:r>
          </w:p>
        </w:tc>
      </w:tr>
      <w:tr w14:paraId="449C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49" w:type="dxa"/>
            <w:vMerge w:val="continue"/>
            <w:noWrap w:val="0"/>
            <w:vAlign w:val="center"/>
          </w:tcPr>
          <w:p w14:paraId="6B907E94">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vMerge w:val="restart"/>
            <w:noWrap w:val="0"/>
            <w:vAlign w:val="center"/>
          </w:tcPr>
          <w:p w14:paraId="65A3E18C">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1346" w:type="dxa"/>
            <w:vMerge w:val="restart"/>
            <w:noWrap w:val="0"/>
            <w:vAlign w:val="center"/>
          </w:tcPr>
          <w:p w14:paraId="0F207778">
            <w:pPr>
              <w:jc w:val="center"/>
              <w:rPr>
                <w:rFonts w:hint="eastAsia" w:ascii="宋体" w:hAnsi="宋体" w:eastAsia="宋体" w:cs="宋体"/>
                <w:color w:val="auto"/>
                <w:highlight w:val="none"/>
              </w:rPr>
            </w:pPr>
            <w:r>
              <w:rPr>
                <w:rFonts w:hint="eastAsia" w:ascii="宋体" w:hAnsi="宋体" w:cs="宋体"/>
                <w:color w:val="auto"/>
                <w:kern w:val="0"/>
                <w:sz w:val="24"/>
                <w:highlight w:val="none"/>
              </w:rPr>
              <w:t>投标方案中提供或使用主要设备的优劣</w:t>
            </w:r>
          </w:p>
        </w:tc>
        <w:tc>
          <w:tcPr>
            <w:tcW w:w="5103" w:type="dxa"/>
            <w:noWrap w:val="0"/>
            <w:vAlign w:val="center"/>
          </w:tcPr>
          <w:p w14:paraId="346795BF">
            <w:pPr>
              <w:pStyle w:val="26"/>
              <w:snapToGrid w:val="0"/>
              <w:spacing w:line="300" w:lineRule="exact"/>
              <w:ind w:firstLine="0" w:firstLineChars="0"/>
              <w:jc w:val="left"/>
              <w:rPr>
                <w:rFonts w:cs="宋体"/>
                <w:color w:val="auto"/>
                <w:highlight w:val="none"/>
              </w:rPr>
            </w:pPr>
            <w:r>
              <w:rPr>
                <w:rFonts w:hint="eastAsia" w:cs="宋体"/>
                <w:color w:val="auto"/>
                <w:highlight w:val="none"/>
              </w:rPr>
              <w:t>根据响应文件中提供车型、车况、座位比较等情况进行评审。</w:t>
            </w:r>
          </w:p>
          <w:p w14:paraId="5B91B807">
            <w:pPr>
              <w:pStyle w:val="26"/>
              <w:snapToGrid w:val="0"/>
              <w:spacing w:line="300" w:lineRule="exact"/>
              <w:ind w:firstLine="0" w:firstLineChars="0"/>
              <w:jc w:val="left"/>
              <w:rPr>
                <w:rFonts w:hint="eastAsia" w:ascii="宋体" w:hAnsi="宋体" w:eastAsia="宋体" w:cs="宋体"/>
                <w:color w:val="auto"/>
                <w:highlight w:val="none"/>
              </w:rPr>
            </w:pPr>
            <w:r>
              <w:rPr>
                <w:rFonts w:hint="eastAsia" w:cs="宋体"/>
                <w:b/>
                <w:bCs/>
                <w:color w:val="auto"/>
                <w:kern w:val="0"/>
                <w:highlight w:val="none"/>
              </w:rPr>
              <w:t>分值：2-1.5-1-0.5-0</w:t>
            </w:r>
          </w:p>
        </w:tc>
        <w:tc>
          <w:tcPr>
            <w:tcW w:w="1017" w:type="dxa"/>
            <w:noWrap w:val="0"/>
            <w:vAlign w:val="center"/>
          </w:tcPr>
          <w:p w14:paraId="6559BAB7">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0-</w:t>
            </w:r>
            <w:r>
              <w:rPr>
                <w:rFonts w:ascii="宋体" w:hAnsi="宋体" w:cs="宋体"/>
                <w:color w:val="auto"/>
                <w:kern w:val="0"/>
                <w:sz w:val="24"/>
                <w:highlight w:val="none"/>
              </w:rPr>
              <w:t>2</w:t>
            </w:r>
            <w:r>
              <w:rPr>
                <w:rFonts w:hint="eastAsia" w:ascii="宋体" w:hAnsi="宋体" w:cs="宋体"/>
                <w:color w:val="auto"/>
                <w:kern w:val="0"/>
                <w:sz w:val="24"/>
                <w:highlight w:val="none"/>
              </w:rPr>
              <w:t>分</w:t>
            </w:r>
          </w:p>
        </w:tc>
        <w:tc>
          <w:tcPr>
            <w:tcW w:w="1033" w:type="dxa"/>
            <w:noWrap w:val="0"/>
            <w:vAlign w:val="center"/>
          </w:tcPr>
          <w:p w14:paraId="0CCCD8B8">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主观分</w:t>
            </w:r>
          </w:p>
        </w:tc>
      </w:tr>
      <w:tr w14:paraId="4B93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9" w:type="dxa"/>
            <w:vMerge w:val="continue"/>
            <w:noWrap w:val="0"/>
            <w:vAlign w:val="center"/>
          </w:tcPr>
          <w:p w14:paraId="56F2CB32">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vMerge w:val="continue"/>
            <w:noWrap w:val="0"/>
            <w:vAlign w:val="center"/>
          </w:tcPr>
          <w:p w14:paraId="6F5A4456">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cs="宋体"/>
                <w:color w:val="auto"/>
                <w:kern w:val="0"/>
                <w:sz w:val="24"/>
                <w:highlight w:val="none"/>
                <w:lang w:val="en-US" w:eastAsia="zh-CN"/>
              </w:rPr>
            </w:pPr>
          </w:p>
        </w:tc>
        <w:tc>
          <w:tcPr>
            <w:tcW w:w="1346" w:type="dxa"/>
            <w:vMerge w:val="continue"/>
            <w:noWrap w:val="0"/>
            <w:vAlign w:val="center"/>
          </w:tcPr>
          <w:p w14:paraId="3D8A9C14">
            <w:pPr>
              <w:jc w:val="center"/>
              <w:rPr>
                <w:rFonts w:hint="eastAsia" w:ascii="宋体" w:hAnsi="宋体" w:eastAsia="宋体" w:cs="宋体"/>
                <w:color w:val="auto"/>
                <w:highlight w:val="none"/>
              </w:rPr>
            </w:pPr>
          </w:p>
        </w:tc>
        <w:tc>
          <w:tcPr>
            <w:tcW w:w="5103" w:type="dxa"/>
            <w:noWrap w:val="0"/>
            <w:vAlign w:val="center"/>
          </w:tcPr>
          <w:p w14:paraId="7010A355">
            <w:pPr>
              <w:pStyle w:val="26"/>
              <w:snapToGrid w:val="0"/>
              <w:spacing w:line="300" w:lineRule="exact"/>
              <w:ind w:firstLine="0" w:firstLineChars="0"/>
              <w:jc w:val="left"/>
              <w:rPr>
                <w:rFonts w:cs="宋体"/>
                <w:color w:val="auto"/>
                <w:highlight w:val="none"/>
              </w:rPr>
            </w:pPr>
            <w:r>
              <w:rPr>
                <w:rFonts w:hint="eastAsia" w:cs="宋体"/>
                <w:color w:val="auto"/>
                <w:highlight w:val="none"/>
              </w:rPr>
              <w:t>根据响应文件中提供的司机驾龄、当地用车情况进行评审。</w:t>
            </w:r>
          </w:p>
          <w:p w14:paraId="5A29B1F3">
            <w:pPr>
              <w:pStyle w:val="26"/>
              <w:snapToGrid w:val="0"/>
              <w:spacing w:line="300" w:lineRule="exact"/>
              <w:ind w:firstLine="0" w:firstLineChars="0"/>
              <w:jc w:val="left"/>
              <w:rPr>
                <w:rFonts w:hint="eastAsia" w:ascii="宋体" w:hAnsi="宋体" w:eastAsia="宋体" w:cs="宋体"/>
                <w:color w:val="auto"/>
                <w:sz w:val="24"/>
                <w:szCs w:val="24"/>
                <w:highlight w:val="none"/>
              </w:rPr>
            </w:pPr>
            <w:r>
              <w:rPr>
                <w:rFonts w:hint="eastAsia" w:cs="宋体"/>
                <w:b/>
                <w:bCs/>
                <w:color w:val="auto"/>
                <w:kern w:val="0"/>
                <w:highlight w:val="none"/>
              </w:rPr>
              <w:t>分值：2-1.5-1-0.5-0</w:t>
            </w:r>
          </w:p>
        </w:tc>
        <w:tc>
          <w:tcPr>
            <w:tcW w:w="1017" w:type="dxa"/>
            <w:noWrap w:val="0"/>
            <w:vAlign w:val="center"/>
          </w:tcPr>
          <w:p w14:paraId="0FE8A6BB">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0-</w:t>
            </w:r>
            <w:r>
              <w:rPr>
                <w:rFonts w:ascii="宋体" w:hAnsi="宋体" w:cs="宋体"/>
                <w:color w:val="auto"/>
                <w:kern w:val="0"/>
                <w:sz w:val="24"/>
                <w:highlight w:val="none"/>
              </w:rPr>
              <w:t>2</w:t>
            </w:r>
            <w:r>
              <w:rPr>
                <w:rFonts w:hint="eastAsia" w:ascii="宋体" w:hAnsi="宋体" w:cs="宋体"/>
                <w:color w:val="auto"/>
                <w:kern w:val="0"/>
                <w:sz w:val="24"/>
                <w:highlight w:val="none"/>
              </w:rPr>
              <w:t>分</w:t>
            </w:r>
          </w:p>
        </w:tc>
        <w:tc>
          <w:tcPr>
            <w:tcW w:w="1033" w:type="dxa"/>
            <w:noWrap w:val="0"/>
            <w:vAlign w:val="center"/>
          </w:tcPr>
          <w:p w14:paraId="4CE9CD19">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主观分</w:t>
            </w:r>
          </w:p>
        </w:tc>
      </w:tr>
      <w:tr w14:paraId="62C0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9" w:type="dxa"/>
            <w:vMerge w:val="continue"/>
            <w:noWrap w:val="0"/>
            <w:vAlign w:val="center"/>
          </w:tcPr>
          <w:p w14:paraId="31C13213">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vMerge w:val="continue"/>
            <w:noWrap w:val="0"/>
            <w:vAlign w:val="center"/>
          </w:tcPr>
          <w:p w14:paraId="3118D8B3">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cs="宋体"/>
                <w:color w:val="auto"/>
                <w:kern w:val="0"/>
                <w:sz w:val="24"/>
                <w:highlight w:val="none"/>
                <w:lang w:val="en-US" w:eastAsia="zh-CN"/>
              </w:rPr>
            </w:pPr>
          </w:p>
        </w:tc>
        <w:tc>
          <w:tcPr>
            <w:tcW w:w="1346" w:type="dxa"/>
            <w:vMerge w:val="continue"/>
            <w:noWrap w:val="0"/>
            <w:vAlign w:val="center"/>
          </w:tcPr>
          <w:p w14:paraId="73E6B780">
            <w:pPr>
              <w:jc w:val="center"/>
              <w:rPr>
                <w:rFonts w:hint="eastAsia" w:ascii="宋体" w:hAnsi="宋体" w:eastAsia="宋体" w:cs="宋体"/>
                <w:color w:val="auto"/>
                <w:highlight w:val="none"/>
              </w:rPr>
            </w:pPr>
          </w:p>
        </w:tc>
        <w:tc>
          <w:tcPr>
            <w:tcW w:w="5103" w:type="dxa"/>
            <w:noWrap w:val="0"/>
            <w:vAlign w:val="center"/>
          </w:tcPr>
          <w:p w14:paraId="7928483D">
            <w:pPr>
              <w:pStyle w:val="26"/>
              <w:snapToGrid w:val="0"/>
              <w:spacing w:line="300" w:lineRule="exact"/>
              <w:ind w:firstLine="0" w:firstLineChars="0"/>
              <w:jc w:val="left"/>
              <w:rPr>
                <w:rFonts w:cs="宋体"/>
                <w:color w:val="auto"/>
                <w:highlight w:val="none"/>
              </w:rPr>
            </w:pPr>
            <w:r>
              <w:rPr>
                <w:rFonts w:hint="eastAsia" w:cs="宋体"/>
                <w:color w:val="auto"/>
                <w:highlight w:val="none"/>
              </w:rPr>
              <w:t>根据车队综合服务能力（例若遇车辆故障，响应人异地调取车辆能力）等情况进行评审。</w:t>
            </w:r>
          </w:p>
          <w:p w14:paraId="5270074B">
            <w:pPr>
              <w:pStyle w:val="26"/>
              <w:snapToGrid w:val="0"/>
              <w:spacing w:line="300" w:lineRule="exact"/>
              <w:ind w:firstLine="0" w:firstLineChars="0"/>
              <w:jc w:val="left"/>
              <w:rPr>
                <w:rFonts w:hint="eastAsia" w:ascii="宋体" w:hAnsi="宋体" w:eastAsia="宋体" w:cs="宋体"/>
                <w:color w:val="auto"/>
                <w:sz w:val="24"/>
                <w:szCs w:val="24"/>
                <w:highlight w:val="none"/>
              </w:rPr>
            </w:pPr>
            <w:r>
              <w:rPr>
                <w:rFonts w:hint="eastAsia" w:cs="宋体"/>
                <w:b/>
                <w:bCs/>
                <w:color w:val="auto"/>
                <w:kern w:val="0"/>
                <w:highlight w:val="none"/>
              </w:rPr>
              <w:t>分值：2-1.5-1-0.5-0</w:t>
            </w:r>
          </w:p>
        </w:tc>
        <w:tc>
          <w:tcPr>
            <w:tcW w:w="1017" w:type="dxa"/>
            <w:noWrap w:val="0"/>
            <w:vAlign w:val="center"/>
          </w:tcPr>
          <w:p w14:paraId="46312D1C">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2分</w:t>
            </w:r>
          </w:p>
        </w:tc>
        <w:tc>
          <w:tcPr>
            <w:tcW w:w="1033" w:type="dxa"/>
            <w:noWrap w:val="0"/>
            <w:vAlign w:val="center"/>
          </w:tcPr>
          <w:p w14:paraId="0FABF7E8">
            <w:pPr>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主观分</w:t>
            </w:r>
          </w:p>
        </w:tc>
      </w:tr>
      <w:tr w14:paraId="0BE4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49" w:type="dxa"/>
            <w:vMerge w:val="continue"/>
            <w:noWrap w:val="0"/>
            <w:vAlign w:val="center"/>
          </w:tcPr>
          <w:p w14:paraId="59211044">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noWrap w:val="0"/>
            <w:vAlign w:val="center"/>
          </w:tcPr>
          <w:p w14:paraId="0F343217">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1346" w:type="dxa"/>
            <w:noWrap w:val="0"/>
            <w:vAlign w:val="center"/>
          </w:tcPr>
          <w:p w14:paraId="27CD1C40">
            <w:pPr>
              <w:jc w:val="center"/>
              <w:rPr>
                <w:rFonts w:hint="eastAsia" w:ascii="宋体" w:hAnsi="宋体" w:eastAsia="宋体" w:cs="宋体"/>
                <w:color w:val="auto"/>
                <w:highlight w:val="none"/>
              </w:rPr>
            </w:pPr>
            <w:r>
              <w:rPr>
                <w:rFonts w:hint="eastAsia" w:ascii="宋体" w:hAnsi="宋体" w:cs="宋体"/>
                <w:color w:val="auto"/>
                <w:kern w:val="0"/>
                <w:sz w:val="24"/>
                <w:highlight w:val="none"/>
              </w:rPr>
              <w:t>保证进度和项目完成的方案和措施等</w:t>
            </w:r>
          </w:p>
        </w:tc>
        <w:tc>
          <w:tcPr>
            <w:tcW w:w="5103" w:type="dxa"/>
            <w:noWrap w:val="0"/>
            <w:vAlign w:val="center"/>
          </w:tcPr>
          <w:p w14:paraId="3FAA4ED0">
            <w:pPr>
              <w:jc w:val="left"/>
              <w:rPr>
                <w:rFonts w:ascii="宋体" w:hAnsi="宋体" w:cs="宋体"/>
                <w:color w:val="auto"/>
                <w:kern w:val="0"/>
                <w:sz w:val="24"/>
                <w:highlight w:val="none"/>
              </w:rPr>
            </w:pPr>
            <w:r>
              <w:rPr>
                <w:rFonts w:hint="eastAsia" w:ascii="宋体" w:hAnsi="宋体" w:cs="宋体"/>
                <w:color w:val="auto"/>
                <w:kern w:val="0"/>
                <w:sz w:val="24"/>
                <w:highlight w:val="none"/>
              </w:rPr>
              <w:t>本次疗休养实施</w:t>
            </w:r>
            <w:r>
              <w:rPr>
                <w:rFonts w:hint="eastAsia" w:ascii="宋体" w:hAnsi="宋体" w:cs="宋体"/>
                <w:color w:val="auto"/>
                <w:sz w:val="24"/>
                <w:highlight w:val="none"/>
                <w:lang w:val="zh-CN"/>
              </w:rPr>
              <w:t>工作程序和步骤、管理和协调方法以及关键步骤和要点等。</w:t>
            </w:r>
            <w:r>
              <w:rPr>
                <w:rFonts w:hint="eastAsia" w:ascii="宋体" w:hAnsi="宋体" w:cs="宋体"/>
                <w:color w:val="auto"/>
                <w:sz w:val="24"/>
                <w:highlight w:val="none"/>
              </w:rPr>
              <w:t>根据提供的</w:t>
            </w:r>
            <w:r>
              <w:rPr>
                <w:rFonts w:hint="eastAsia" w:ascii="宋体" w:hAnsi="宋体" w:cs="宋体"/>
                <w:color w:val="auto"/>
                <w:kern w:val="0"/>
                <w:sz w:val="24"/>
                <w:highlight w:val="none"/>
              </w:rPr>
              <w:t>方案可行条理清晰、内容丰富、安排合理等进行评审。</w:t>
            </w:r>
          </w:p>
          <w:p w14:paraId="3E7F7279">
            <w:pPr>
              <w:jc w:val="left"/>
              <w:rPr>
                <w:rFonts w:hint="eastAsia" w:ascii="宋体" w:hAnsi="宋体" w:eastAsia="宋体" w:cs="宋体"/>
                <w:color w:val="auto"/>
                <w:highlight w:val="none"/>
              </w:rPr>
            </w:pPr>
            <w:r>
              <w:rPr>
                <w:rFonts w:hint="eastAsia" w:ascii="宋体" w:hAnsi="宋体" w:cs="宋体"/>
                <w:b/>
                <w:bCs/>
                <w:color w:val="auto"/>
                <w:kern w:val="0"/>
                <w:sz w:val="24"/>
                <w:highlight w:val="none"/>
              </w:rPr>
              <w:t>分值：5-4-3-2-1-0</w:t>
            </w:r>
          </w:p>
        </w:tc>
        <w:tc>
          <w:tcPr>
            <w:tcW w:w="1017" w:type="dxa"/>
            <w:noWrap w:val="0"/>
            <w:vAlign w:val="center"/>
          </w:tcPr>
          <w:p w14:paraId="59A53311">
            <w:pPr>
              <w:jc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5分</w:t>
            </w:r>
          </w:p>
        </w:tc>
        <w:tc>
          <w:tcPr>
            <w:tcW w:w="1033" w:type="dxa"/>
            <w:noWrap w:val="0"/>
            <w:vAlign w:val="center"/>
          </w:tcPr>
          <w:p w14:paraId="301E6DA5">
            <w:pPr>
              <w:jc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主观分</w:t>
            </w:r>
          </w:p>
        </w:tc>
      </w:tr>
      <w:tr w14:paraId="4CE6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9" w:type="dxa"/>
            <w:vMerge w:val="continue"/>
            <w:noWrap w:val="0"/>
            <w:vAlign w:val="center"/>
          </w:tcPr>
          <w:p w14:paraId="295241E8">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vMerge w:val="restart"/>
            <w:noWrap w:val="0"/>
            <w:vAlign w:val="center"/>
          </w:tcPr>
          <w:p w14:paraId="60D5BFEA">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c>
          <w:tcPr>
            <w:tcW w:w="1346" w:type="dxa"/>
            <w:vMerge w:val="restart"/>
            <w:noWrap w:val="0"/>
            <w:vAlign w:val="center"/>
          </w:tcPr>
          <w:p w14:paraId="57DE7F0D">
            <w:pPr>
              <w:jc w:val="center"/>
              <w:rPr>
                <w:rFonts w:hint="eastAsia" w:ascii="宋体" w:hAnsi="宋体" w:eastAsia="宋体" w:cs="宋体"/>
                <w:color w:val="auto"/>
                <w:szCs w:val="24"/>
                <w:highlight w:val="none"/>
              </w:rPr>
            </w:pPr>
            <w:r>
              <w:rPr>
                <w:rFonts w:hint="eastAsia" w:ascii="宋体" w:hAnsi="宋体" w:cs="宋体"/>
                <w:color w:val="auto"/>
                <w:kern w:val="0"/>
                <w:sz w:val="24"/>
                <w:highlight w:val="none"/>
              </w:rPr>
              <w:t>项目负责人及技术力量安排等</w:t>
            </w:r>
          </w:p>
        </w:tc>
        <w:tc>
          <w:tcPr>
            <w:tcW w:w="5103" w:type="dxa"/>
            <w:noWrap w:val="0"/>
            <w:vAlign w:val="center"/>
          </w:tcPr>
          <w:p w14:paraId="21488457">
            <w:pPr>
              <w:pStyle w:val="26"/>
              <w:snapToGrid w:val="0"/>
              <w:spacing w:line="320" w:lineRule="exact"/>
              <w:ind w:firstLine="0" w:firstLineChars="0"/>
              <w:jc w:val="left"/>
              <w:rPr>
                <w:rFonts w:cs="宋体"/>
                <w:color w:val="auto"/>
                <w:highlight w:val="none"/>
              </w:rPr>
            </w:pPr>
            <w:r>
              <w:rPr>
                <w:rFonts w:hint="eastAsia" w:cs="宋体"/>
                <w:color w:val="auto"/>
                <w:highlight w:val="none"/>
                <w:lang w:val="zh-CN"/>
              </w:rPr>
              <w:t>项目负责人的专业素质、</w:t>
            </w:r>
            <w:r>
              <w:rPr>
                <w:rFonts w:hint="eastAsia" w:cs="宋体"/>
                <w:color w:val="auto"/>
                <w:highlight w:val="none"/>
              </w:rPr>
              <w:t>荣誉</w:t>
            </w:r>
            <w:r>
              <w:rPr>
                <w:rFonts w:hint="eastAsia" w:cs="宋体"/>
                <w:color w:val="auto"/>
                <w:highlight w:val="none"/>
                <w:lang w:val="zh-CN"/>
              </w:rPr>
              <w:t>、经验等情况，是否具有类似项目经验，是否具有调动各项资源的能力等</w:t>
            </w:r>
            <w:r>
              <w:rPr>
                <w:rFonts w:hint="eastAsia" w:cs="宋体"/>
                <w:color w:val="auto"/>
                <w:highlight w:val="none"/>
              </w:rPr>
              <w:t>。</w:t>
            </w:r>
          </w:p>
          <w:p w14:paraId="52B8D775">
            <w:pPr>
              <w:pStyle w:val="26"/>
              <w:snapToGrid w:val="0"/>
              <w:spacing w:line="320" w:lineRule="exact"/>
              <w:ind w:firstLine="0" w:firstLineChars="0"/>
              <w:jc w:val="left"/>
              <w:rPr>
                <w:rFonts w:hint="eastAsia" w:ascii="宋体" w:hAnsi="宋体" w:eastAsia="宋体" w:cs="宋体"/>
                <w:color w:val="auto"/>
                <w:szCs w:val="24"/>
                <w:highlight w:val="none"/>
                <w:lang w:eastAsia="zh-CN"/>
              </w:rPr>
            </w:pPr>
            <w:r>
              <w:rPr>
                <w:rFonts w:hint="eastAsia" w:cs="宋体"/>
                <w:b/>
                <w:bCs/>
                <w:color w:val="auto"/>
                <w:kern w:val="0"/>
                <w:highlight w:val="none"/>
              </w:rPr>
              <w:t>分值：4-3-2-1-0</w:t>
            </w:r>
          </w:p>
        </w:tc>
        <w:tc>
          <w:tcPr>
            <w:tcW w:w="1017" w:type="dxa"/>
            <w:noWrap w:val="0"/>
            <w:vAlign w:val="center"/>
          </w:tcPr>
          <w:p w14:paraId="67F8B079">
            <w:pPr>
              <w:jc w:val="center"/>
              <w:rPr>
                <w:rFonts w:hint="eastAsia" w:ascii="宋体" w:hAnsi="宋体" w:eastAsia="宋体" w:cs="宋体"/>
                <w:b/>
                <w:bCs/>
                <w:color w:val="auto"/>
                <w:kern w:val="0"/>
                <w:sz w:val="24"/>
                <w:szCs w:val="24"/>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4分</w:t>
            </w:r>
          </w:p>
        </w:tc>
        <w:tc>
          <w:tcPr>
            <w:tcW w:w="1033" w:type="dxa"/>
            <w:noWrap w:val="0"/>
            <w:vAlign w:val="center"/>
          </w:tcPr>
          <w:p w14:paraId="191879AB">
            <w:pPr>
              <w:jc w:val="center"/>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主观分</w:t>
            </w:r>
          </w:p>
        </w:tc>
      </w:tr>
      <w:tr w14:paraId="09D7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9" w:type="dxa"/>
            <w:vMerge w:val="continue"/>
            <w:noWrap w:val="0"/>
            <w:vAlign w:val="center"/>
          </w:tcPr>
          <w:p w14:paraId="01D1EDEA">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vMerge w:val="continue"/>
            <w:noWrap w:val="0"/>
            <w:vAlign w:val="center"/>
          </w:tcPr>
          <w:p w14:paraId="52BAC824">
            <w:pPr>
              <w:keepNext w:val="0"/>
              <w:keepLines w:val="0"/>
              <w:pageBreakBefore w:val="0"/>
              <w:widowControl/>
              <w:kinsoku/>
              <w:wordWrap/>
              <w:overflowPunct/>
              <w:topLinePunct w:val="0"/>
              <w:bidi w:val="0"/>
              <w:snapToGrid/>
              <w:spacing w:line="340" w:lineRule="exact"/>
              <w:jc w:val="center"/>
              <w:textAlignment w:val="auto"/>
              <w:rPr>
                <w:rFonts w:hint="eastAsia" w:ascii="宋体" w:hAnsi="宋体" w:eastAsia="宋体" w:cs="宋体"/>
                <w:color w:val="auto"/>
                <w:kern w:val="0"/>
                <w:sz w:val="24"/>
                <w:highlight w:val="none"/>
                <w:lang w:val="en-US" w:eastAsia="zh-CN"/>
              </w:rPr>
            </w:pPr>
          </w:p>
        </w:tc>
        <w:tc>
          <w:tcPr>
            <w:tcW w:w="1346" w:type="dxa"/>
            <w:vMerge w:val="continue"/>
            <w:noWrap w:val="0"/>
            <w:vAlign w:val="center"/>
          </w:tcPr>
          <w:p w14:paraId="57E9B18A">
            <w:pPr>
              <w:jc w:val="center"/>
              <w:rPr>
                <w:rFonts w:hint="eastAsia" w:ascii="宋体" w:hAnsi="宋体" w:eastAsia="宋体" w:cs="宋体"/>
                <w:color w:val="auto"/>
                <w:szCs w:val="24"/>
                <w:highlight w:val="none"/>
              </w:rPr>
            </w:pPr>
          </w:p>
        </w:tc>
        <w:tc>
          <w:tcPr>
            <w:tcW w:w="5103" w:type="dxa"/>
            <w:noWrap w:val="0"/>
            <w:vAlign w:val="center"/>
          </w:tcPr>
          <w:p w14:paraId="42D92F05">
            <w:pPr>
              <w:pStyle w:val="404"/>
              <w:spacing w:after="0" w:afterLines="0" w:line="320" w:lineRule="exact"/>
              <w:ind w:firstLine="0" w:firstLineChars="0"/>
              <w:rPr>
                <w:rFonts w:ascii="宋体" w:hAnsi="宋体" w:cs="宋体"/>
                <w:color w:val="auto"/>
                <w:szCs w:val="24"/>
                <w:highlight w:val="none"/>
                <w:lang w:val="zh-CN"/>
              </w:rPr>
            </w:pPr>
            <w:r>
              <w:rPr>
                <w:rFonts w:hint="eastAsia" w:ascii="宋体" w:hAnsi="宋体" w:cs="宋体"/>
                <w:color w:val="auto"/>
                <w:szCs w:val="24"/>
                <w:highlight w:val="none"/>
              </w:rPr>
              <w:t>响应</w:t>
            </w:r>
            <w:r>
              <w:rPr>
                <w:rFonts w:hint="eastAsia" w:ascii="宋体" w:hAnsi="宋体" w:cs="宋体"/>
                <w:color w:val="auto"/>
                <w:szCs w:val="24"/>
                <w:highlight w:val="none"/>
                <w:lang w:val="zh-CN"/>
              </w:rPr>
              <w:t>人拥有高级导游员</w:t>
            </w:r>
            <w:r>
              <w:rPr>
                <w:rFonts w:hint="eastAsia" w:ascii="宋体" w:hAnsi="宋体" w:cs="宋体"/>
                <w:color w:val="auto"/>
                <w:szCs w:val="24"/>
                <w:highlight w:val="none"/>
              </w:rPr>
              <w:t>的得1分/人，最高得4分</w:t>
            </w:r>
            <w:r>
              <w:rPr>
                <w:rFonts w:hint="eastAsia" w:ascii="宋体" w:hAnsi="宋体" w:cs="宋体"/>
                <w:color w:val="auto"/>
                <w:szCs w:val="24"/>
                <w:highlight w:val="none"/>
                <w:lang w:eastAsia="zh-CN"/>
              </w:rPr>
              <w:t>；</w:t>
            </w:r>
            <w:r>
              <w:rPr>
                <w:rFonts w:hint="eastAsia" w:ascii="宋体" w:hAnsi="宋体" w:cs="宋体"/>
                <w:color w:val="auto"/>
                <w:szCs w:val="24"/>
                <w:highlight w:val="none"/>
                <w:lang w:val="zh-CN"/>
              </w:rPr>
              <w:t>拥有中级导游员</w:t>
            </w:r>
            <w:r>
              <w:rPr>
                <w:rFonts w:hint="eastAsia" w:ascii="宋体" w:hAnsi="宋体" w:cs="宋体"/>
                <w:color w:val="auto"/>
                <w:szCs w:val="24"/>
                <w:highlight w:val="none"/>
              </w:rPr>
              <w:t>的得0.5分/人，最高得1分；</w:t>
            </w:r>
          </w:p>
          <w:p w14:paraId="75846F4A">
            <w:pPr>
              <w:jc w:val="left"/>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color w:val="auto"/>
                <w:sz w:val="24"/>
                <w:highlight w:val="none"/>
              </w:rPr>
              <w:t>响应</w:t>
            </w:r>
            <w:r>
              <w:rPr>
                <w:rFonts w:hint="eastAsia" w:ascii="宋体" w:hAnsi="宋体" w:cs="宋体"/>
                <w:color w:val="auto"/>
                <w:sz w:val="24"/>
                <w:highlight w:val="none"/>
                <w:lang w:val="zh-CN"/>
              </w:rPr>
              <w:t>文件中提供导游员</w:t>
            </w:r>
            <w:r>
              <w:rPr>
                <w:rFonts w:hint="eastAsia" w:ascii="宋体" w:hAnsi="宋体" w:cs="宋体"/>
                <w:color w:val="auto"/>
                <w:sz w:val="24"/>
                <w:highlight w:val="none"/>
              </w:rPr>
              <w:t>在响应人处的</w:t>
            </w:r>
            <w:r>
              <w:rPr>
                <w:rFonts w:hint="eastAsia" w:ascii="宋体" w:hAnsi="宋体" w:cs="宋体"/>
                <w:color w:val="auto"/>
                <w:sz w:val="24"/>
                <w:highlight w:val="none"/>
                <w:lang w:val="zh-CN"/>
              </w:rPr>
              <w:t>参保凭证、导游及</w:t>
            </w:r>
            <w:r>
              <w:rPr>
                <w:rFonts w:hint="eastAsia" w:ascii="宋体" w:hAnsi="宋体" w:cs="宋体"/>
                <w:color w:val="auto"/>
                <w:sz w:val="24"/>
                <w:highlight w:val="none"/>
              </w:rPr>
              <w:t>等级证书</w:t>
            </w:r>
            <w:r>
              <w:rPr>
                <w:rFonts w:hint="eastAsia" w:ascii="宋体" w:hAnsi="宋体" w:cs="宋体"/>
                <w:color w:val="auto"/>
                <w:sz w:val="24"/>
                <w:highlight w:val="none"/>
                <w:lang w:val="zh-CN"/>
              </w:rPr>
              <w:t>复印件</w:t>
            </w:r>
            <w:r>
              <w:rPr>
                <w:rFonts w:hint="eastAsia" w:ascii="宋体" w:hAnsi="宋体" w:cs="宋体"/>
                <w:color w:val="auto"/>
                <w:sz w:val="24"/>
                <w:highlight w:val="none"/>
              </w:rPr>
              <w:t>。</w:t>
            </w:r>
          </w:p>
        </w:tc>
        <w:tc>
          <w:tcPr>
            <w:tcW w:w="1017" w:type="dxa"/>
            <w:noWrap w:val="0"/>
            <w:vAlign w:val="center"/>
          </w:tcPr>
          <w:p w14:paraId="0C3C8E6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5分</w:t>
            </w:r>
          </w:p>
        </w:tc>
        <w:tc>
          <w:tcPr>
            <w:tcW w:w="1033" w:type="dxa"/>
            <w:noWrap w:val="0"/>
            <w:vAlign w:val="center"/>
          </w:tcPr>
          <w:p w14:paraId="0E34DCA9">
            <w:pPr>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客观分</w:t>
            </w:r>
          </w:p>
        </w:tc>
      </w:tr>
      <w:tr w14:paraId="0FC4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49" w:type="dxa"/>
            <w:vMerge w:val="continue"/>
            <w:noWrap w:val="0"/>
            <w:vAlign w:val="center"/>
          </w:tcPr>
          <w:p w14:paraId="6A1D8D27">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noWrap w:val="0"/>
            <w:vAlign w:val="center"/>
          </w:tcPr>
          <w:p w14:paraId="3622D812">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1346" w:type="dxa"/>
            <w:noWrap w:val="0"/>
            <w:vAlign w:val="center"/>
          </w:tcPr>
          <w:p w14:paraId="2A9B9049">
            <w:pPr>
              <w:jc w:val="center"/>
              <w:rPr>
                <w:rFonts w:hint="eastAsia" w:ascii="宋体" w:hAnsi="宋体" w:eastAsia="宋体" w:cs="宋体"/>
                <w:color w:val="auto"/>
                <w:highlight w:val="none"/>
              </w:rPr>
            </w:pPr>
            <w:r>
              <w:rPr>
                <w:rFonts w:hint="eastAsia" w:ascii="宋体" w:hAnsi="宋体" w:cs="宋体"/>
                <w:color w:val="auto"/>
                <w:kern w:val="0"/>
                <w:sz w:val="24"/>
                <w:highlight w:val="none"/>
              </w:rPr>
              <w:t>对本项目的合理化建议</w:t>
            </w:r>
          </w:p>
        </w:tc>
        <w:tc>
          <w:tcPr>
            <w:tcW w:w="5103" w:type="dxa"/>
            <w:noWrap w:val="0"/>
            <w:vAlign w:val="center"/>
          </w:tcPr>
          <w:p w14:paraId="11514037">
            <w:pPr>
              <w:jc w:val="left"/>
              <w:rPr>
                <w:rFonts w:ascii="宋体" w:hAnsi="宋体" w:cs="宋体"/>
                <w:color w:val="auto"/>
                <w:kern w:val="0"/>
                <w:sz w:val="24"/>
                <w:highlight w:val="none"/>
              </w:rPr>
            </w:pPr>
            <w:r>
              <w:rPr>
                <w:rFonts w:hint="eastAsia" w:ascii="宋体" w:hAnsi="宋体" w:cs="宋体"/>
                <w:color w:val="auto"/>
                <w:kern w:val="0"/>
                <w:sz w:val="24"/>
                <w:highlight w:val="none"/>
              </w:rPr>
              <w:t>在标书中规定的线路标准的基础上，根据响应人优化方案，提出合理化建议进行综合评审。</w:t>
            </w:r>
          </w:p>
          <w:p w14:paraId="5BBFCFDC">
            <w:pPr>
              <w:jc w:val="left"/>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
                <w:bCs/>
                <w:color w:val="auto"/>
                <w:kern w:val="0"/>
                <w:sz w:val="24"/>
                <w:highlight w:val="none"/>
              </w:rPr>
              <w:t>分值：5-4-3-2-1-0</w:t>
            </w:r>
          </w:p>
        </w:tc>
        <w:tc>
          <w:tcPr>
            <w:tcW w:w="1017" w:type="dxa"/>
            <w:noWrap w:val="0"/>
            <w:vAlign w:val="center"/>
          </w:tcPr>
          <w:p w14:paraId="77ADE252">
            <w:pPr>
              <w:jc w:val="center"/>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sz w:val="24"/>
                <w:highlight w:val="none"/>
              </w:rPr>
              <w:t>5分</w:t>
            </w:r>
          </w:p>
        </w:tc>
        <w:tc>
          <w:tcPr>
            <w:tcW w:w="1033" w:type="dxa"/>
            <w:noWrap w:val="0"/>
            <w:vAlign w:val="center"/>
          </w:tcPr>
          <w:p w14:paraId="3A252B65">
            <w:pPr>
              <w:jc w:val="center"/>
              <w:rPr>
                <w:rFonts w:hint="eastAsia" w:ascii="宋体" w:hAnsi="宋体" w:eastAsia="宋体" w:cs="宋体"/>
                <w:color w:val="auto"/>
                <w:highlight w:val="none"/>
              </w:rPr>
            </w:pPr>
            <w:r>
              <w:rPr>
                <w:rFonts w:hint="eastAsia" w:ascii="宋体" w:hAnsi="宋体" w:cs="宋体"/>
                <w:color w:val="auto"/>
                <w:kern w:val="0"/>
                <w:sz w:val="24"/>
                <w:highlight w:val="none"/>
              </w:rPr>
              <w:t>主观分</w:t>
            </w:r>
          </w:p>
        </w:tc>
      </w:tr>
      <w:tr w14:paraId="4AC0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9" w:type="dxa"/>
            <w:vMerge w:val="continue"/>
            <w:noWrap w:val="0"/>
            <w:vAlign w:val="center"/>
          </w:tcPr>
          <w:p w14:paraId="2E2D7216">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noWrap w:val="0"/>
            <w:vAlign w:val="center"/>
          </w:tcPr>
          <w:p w14:paraId="3AE66223">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1346" w:type="dxa"/>
            <w:noWrap w:val="0"/>
            <w:vAlign w:val="center"/>
          </w:tcPr>
          <w:p w14:paraId="5B6C2E1A">
            <w:pPr>
              <w:jc w:val="center"/>
              <w:rPr>
                <w:rFonts w:hint="eastAsia" w:ascii="宋体" w:hAnsi="宋体" w:eastAsia="宋体" w:cs="宋体"/>
                <w:color w:val="auto"/>
                <w:highlight w:val="none"/>
              </w:rPr>
            </w:pPr>
            <w:r>
              <w:rPr>
                <w:rFonts w:hint="eastAsia" w:ascii="宋体" w:hAnsi="宋体" w:cs="宋体"/>
                <w:color w:val="auto"/>
                <w:kern w:val="0"/>
                <w:sz w:val="24"/>
                <w:highlight w:val="none"/>
              </w:rPr>
              <w:t>服务承诺</w:t>
            </w:r>
          </w:p>
        </w:tc>
        <w:tc>
          <w:tcPr>
            <w:tcW w:w="5103" w:type="dxa"/>
            <w:noWrap w:val="0"/>
            <w:vAlign w:val="center"/>
          </w:tcPr>
          <w:p w14:paraId="5B14EBDF">
            <w:pPr>
              <w:jc w:val="left"/>
              <w:rPr>
                <w:rFonts w:ascii="宋体" w:hAnsi="宋体" w:cs="宋体"/>
                <w:color w:val="auto"/>
                <w:sz w:val="24"/>
                <w:highlight w:val="none"/>
              </w:rPr>
            </w:pPr>
            <w:r>
              <w:rPr>
                <w:rFonts w:hint="eastAsia" w:ascii="宋体" w:hAnsi="宋体" w:cs="宋体"/>
                <w:color w:val="auto"/>
                <w:kern w:val="0"/>
                <w:sz w:val="24"/>
                <w:highlight w:val="none"/>
              </w:rPr>
              <w:t>根据售后服务方案、措施、响应及服务能力等情况，</w:t>
            </w:r>
            <w:r>
              <w:rPr>
                <w:rFonts w:hint="eastAsia" w:ascii="宋体" w:hAnsi="宋体" w:cs="宋体"/>
                <w:color w:val="auto"/>
                <w:sz w:val="24"/>
                <w:highlight w:val="none"/>
                <w:lang w:val="zh-CN"/>
              </w:rPr>
              <w:t>提供后续服务计划及根据</w:t>
            </w:r>
            <w:r>
              <w:rPr>
                <w:rFonts w:hint="eastAsia" w:ascii="宋体" w:hAnsi="宋体" w:cs="宋体"/>
                <w:color w:val="auto"/>
                <w:sz w:val="24"/>
                <w:highlight w:val="none"/>
              </w:rPr>
              <w:t>响应</w:t>
            </w:r>
            <w:r>
              <w:rPr>
                <w:rFonts w:hint="eastAsia" w:ascii="宋体" w:hAnsi="宋体" w:cs="宋体"/>
                <w:color w:val="auto"/>
                <w:sz w:val="24"/>
                <w:highlight w:val="none"/>
                <w:lang w:val="zh-CN"/>
              </w:rPr>
              <w:t>人注册地等，方便、快捷、优质提供服务等情况</w:t>
            </w:r>
            <w:r>
              <w:rPr>
                <w:rFonts w:hint="eastAsia" w:ascii="宋体" w:hAnsi="宋体" w:cs="宋体"/>
                <w:color w:val="auto"/>
                <w:sz w:val="24"/>
                <w:highlight w:val="none"/>
              </w:rPr>
              <w:t>综合评审。</w:t>
            </w:r>
          </w:p>
          <w:p w14:paraId="5FBDAE59">
            <w:pPr>
              <w:jc w:val="left"/>
              <w:rPr>
                <w:rFonts w:hint="eastAsia" w:ascii="宋体" w:hAnsi="宋体" w:eastAsia="宋体" w:cs="宋体"/>
                <w:color w:val="auto"/>
                <w:szCs w:val="24"/>
                <w:highlight w:val="none"/>
              </w:rPr>
            </w:pPr>
            <w:r>
              <w:rPr>
                <w:rFonts w:hint="eastAsia" w:ascii="宋体" w:hAnsi="宋体" w:cs="宋体"/>
                <w:b/>
                <w:bCs/>
                <w:color w:val="auto"/>
                <w:kern w:val="0"/>
                <w:sz w:val="24"/>
                <w:highlight w:val="none"/>
              </w:rPr>
              <w:t>分值：5-4-3-2-1-0</w:t>
            </w:r>
          </w:p>
        </w:tc>
        <w:tc>
          <w:tcPr>
            <w:tcW w:w="1017" w:type="dxa"/>
            <w:noWrap w:val="0"/>
            <w:vAlign w:val="center"/>
          </w:tcPr>
          <w:p w14:paraId="30785BAC">
            <w:pPr>
              <w:jc w:val="center"/>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sz w:val="24"/>
                <w:highlight w:val="none"/>
              </w:rPr>
              <w:t>5分</w:t>
            </w:r>
          </w:p>
        </w:tc>
        <w:tc>
          <w:tcPr>
            <w:tcW w:w="1033" w:type="dxa"/>
            <w:noWrap w:val="0"/>
            <w:vAlign w:val="center"/>
          </w:tcPr>
          <w:p w14:paraId="0761071E">
            <w:pPr>
              <w:jc w:val="center"/>
              <w:rPr>
                <w:rFonts w:hint="eastAsia" w:ascii="宋体" w:hAnsi="宋体" w:eastAsia="宋体" w:cs="宋体"/>
                <w:color w:val="auto"/>
                <w:highlight w:val="none"/>
              </w:rPr>
            </w:pPr>
            <w:r>
              <w:rPr>
                <w:rFonts w:hint="eastAsia" w:ascii="宋体" w:hAnsi="宋体" w:cs="宋体"/>
                <w:color w:val="auto"/>
                <w:kern w:val="0"/>
                <w:sz w:val="24"/>
                <w:highlight w:val="none"/>
              </w:rPr>
              <w:t>主观分</w:t>
            </w:r>
          </w:p>
        </w:tc>
      </w:tr>
      <w:tr w14:paraId="5521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49" w:type="dxa"/>
            <w:vMerge w:val="continue"/>
            <w:noWrap w:val="0"/>
            <w:vAlign w:val="center"/>
          </w:tcPr>
          <w:p w14:paraId="5177A100">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noWrap w:val="0"/>
            <w:vAlign w:val="center"/>
          </w:tcPr>
          <w:p w14:paraId="1ECD3FED">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1346" w:type="dxa"/>
            <w:noWrap w:val="0"/>
            <w:vAlign w:val="center"/>
          </w:tcPr>
          <w:p w14:paraId="0AE22283">
            <w:pPr>
              <w:jc w:val="center"/>
              <w:rPr>
                <w:rFonts w:hint="eastAsia" w:ascii="宋体" w:hAnsi="宋体" w:eastAsia="宋体" w:cs="宋体"/>
                <w:color w:val="auto"/>
                <w:highlight w:val="none"/>
              </w:rPr>
            </w:pPr>
            <w:r>
              <w:rPr>
                <w:rFonts w:hint="eastAsia" w:ascii="宋体" w:hAnsi="宋体" w:cs="宋体"/>
                <w:color w:val="auto"/>
                <w:kern w:val="0"/>
                <w:sz w:val="24"/>
                <w:highlight w:val="none"/>
              </w:rPr>
              <w:t>安全保障措施</w:t>
            </w:r>
          </w:p>
        </w:tc>
        <w:tc>
          <w:tcPr>
            <w:tcW w:w="5103" w:type="dxa"/>
            <w:noWrap w:val="0"/>
            <w:vAlign w:val="center"/>
          </w:tcPr>
          <w:p w14:paraId="404F2320">
            <w:pPr>
              <w:jc w:val="left"/>
              <w:rPr>
                <w:rFonts w:ascii="宋体" w:hAnsi="宋体" w:cs="宋体"/>
                <w:color w:val="auto"/>
                <w:sz w:val="24"/>
                <w:highlight w:val="none"/>
              </w:rPr>
            </w:pPr>
            <w:r>
              <w:rPr>
                <w:rFonts w:hint="eastAsia" w:ascii="宋体" w:hAnsi="宋体" w:cs="宋体"/>
                <w:color w:val="auto"/>
                <w:sz w:val="24"/>
                <w:highlight w:val="none"/>
              </w:rPr>
              <w:t>响应人提供详细的突发事件处理方案、安防措施、投诉处理、纠纷处理方案等进行评审。</w:t>
            </w:r>
          </w:p>
          <w:p w14:paraId="4F2FB161">
            <w:pPr>
              <w:jc w:val="left"/>
              <w:rPr>
                <w:rFonts w:hint="eastAsia" w:ascii="宋体" w:hAnsi="宋体" w:eastAsia="宋体" w:cs="宋体"/>
                <w:color w:val="auto"/>
                <w:highlight w:val="none"/>
              </w:rPr>
            </w:pPr>
            <w:r>
              <w:rPr>
                <w:rFonts w:hint="eastAsia" w:ascii="宋体" w:hAnsi="宋体" w:cs="宋体"/>
                <w:b/>
                <w:bCs/>
                <w:color w:val="auto"/>
                <w:kern w:val="0"/>
                <w:sz w:val="24"/>
                <w:highlight w:val="none"/>
              </w:rPr>
              <w:t>分值：5-4-3-2-1-0</w:t>
            </w:r>
          </w:p>
        </w:tc>
        <w:tc>
          <w:tcPr>
            <w:tcW w:w="1017" w:type="dxa"/>
            <w:noWrap w:val="0"/>
            <w:vAlign w:val="center"/>
          </w:tcPr>
          <w:p w14:paraId="1A667920">
            <w:pPr>
              <w:jc w:val="center"/>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sz w:val="24"/>
                <w:highlight w:val="none"/>
              </w:rPr>
              <w:t>5分</w:t>
            </w:r>
          </w:p>
        </w:tc>
        <w:tc>
          <w:tcPr>
            <w:tcW w:w="1033" w:type="dxa"/>
            <w:noWrap w:val="0"/>
            <w:vAlign w:val="center"/>
          </w:tcPr>
          <w:p w14:paraId="10D009F3">
            <w:pPr>
              <w:jc w:val="center"/>
              <w:rPr>
                <w:rFonts w:hint="eastAsia" w:ascii="宋体" w:hAnsi="宋体" w:eastAsia="宋体" w:cs="宋体"/>
                <w:color w:val="auto"/>
                <w:highlight w:val="none"/>
              </w:rPr>
            </w:pPr>
            <w:r>
              <w:rPr>
                <w:rFonts w:hint="eastAsia" w:ascii="宋体" w:hAnsi="宋体" w:cs="宋体"/>
                <w:color w:val="auto"/>
                <w:kern w:val="0"/>
                <w:sz w:val="24"/>
                <w:highlight w:val="none"/>
              </w:rPr>
              <w:t>主观分</w:t>
            </w:r>
          </w:p>
        </w:tc>
      </w:tr>
      <w:tr w14:paraId="16B4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9" w:type="dxa"/>
            <w:vMerge w:val="continue"/>
            <w:noWrap w:val="0"/>
            <w:vAlign w:val="center"/>
          </w:tcPr>
          <w:p w14:paraId="3CEC15C2">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noWrap w:val="0"/>
            <w:vAlign w:val="center"/>
          </w:tcPr>
          <w:p w14:paraId="495CB158">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13</w:t>
            </w:r>
          </w:p>
        </w:tc>
        <w:tc>
          <w:tcPr>
            <w:tcW w:w="1346" w:type="dxa"/>
            <w:noWrap w:val="0"/>
            <w:vAlign w:val="center"/>
          </w:tcPr>
          <w:p w14:paraId="024676B1">
            <w:pPr>
              <w:jc w:val="center"/>
              <w:rPr>
                <w:rFonts w:hint="eastAsia" w:ascii="宋体" w:hAnsi="宋体" w:eastAsia="宋体" w:cs="宋体"/>
                <w:color w:val="auto"/>
                <w:highlight w:val="none"/>
              </w:rPr>
            </w:pPr>
            <w:r>
              <w:rPr>
                <w:rFonts w:hint="eastAsia" w:ascii="宋体" w:hAnsi="宋体" w:cs="宋体"/>
                <w:color w:val="auto"/>
                <w:kern w:val="0"/>
                <w:sz w:val="24"/>
                <w:highlight w:val="none"/>
              </w:rPr>
              <w:t>增值服务（综合评定）</w:t>
            </w:r>
          </w:p>
        </w:tc>
        <w:tc>
          <w:tcPr>
            <w:tcW w:w="5103" w:type="dxa"/>
            <w:noWrap w:val="0"/>
            <w:vAlign w:val="center"/>
          </w:tcPr>
          <w:p w14:paraId="185358B9">
            <w:pPr>
              <w:jc w:val="left"/>
              <w:rPr>
                <w:rFonts w:ascii="宋体" w:hAnsi="宋体" w:cs="宋体"/>
                <w:color w:val="auto"/>
                <w:kern w:val="0"/>
                <w:sz w:val="24"/>
                <w:highlight w:val="none"/>
              </w:rPr>
            </w:pPr>
            <w:r>
              <w:rPr>
                <w:rFonts w:hint="eastAsia" w:ascii="宋体" w:hAnsi="宋体" w:cs="宋体"/>
                <w:color w:val="auto"/>
                <w:kern w:val="0"/>
                <w:sz w:val="24"/>
                <w:highlight w:val="none"/>
              </w:rPr>
              <w:t>根据响应人提供的增值（特色）服务、优惠措施等</w:t>
            </w:r>
            <w:r>
              <w:rPr>
                <w:rFonts w:hint="eastAsia" w:ascii="宋体" w:hAnsi="宋体" w:cs="宋体"/>
                <w:color w:val="auto"/>
                <w:sz w:val="24"/>
                <w:highlight w:val="none"/>
              </w:rPr>
              <w:t>进行评审。</w:t>
            </w:r>
          </w:p>
          <w:p w14:paraId="45A6B061">
            <w:pPr>
              <w:spacing w:line="280" w:lineRule="exact"/>
              <w:jc w:val="left"/>
              <w:rPr>
                <w:rFonts w:hint="eastAsia" w:ascii="宋体" w:hAnsi="宋体" w:eastAsia="宋体" w:cs="宋体"/>
                <w:color w:val="auto"/>
                <w:highlight w:val="none"/>
              </w:rPr>
            </w:pPr>
            <w:r>
              <w:rPr>
                <w:rFonts w:hint="eastAsia" w:ascii="宋体" w:hAnsi="宋体" w:cs="宋体"/>
                <w:b/>
                <w:bCs/>
                <w:color w:val="auto"/>
                <w:kern w:val="0"/>
                <w:sz w:val="24"/>
                <w:highlight w:val="none"/>
              </w:rPr>
              <w:t>分值：5-4-3-2-1-0</w:t>
            </w:r>
          </w:p>
        </w:tc>
        <w:tc>
          <w:tcPr>
            <w:tcW w:w="1017" w:type="dxa"/>
            <w:noWrap w:val="0"/>
            <w:vAlign w:val="center"/>
          </w:tcPr>
          <w:p w14:paraId="26A9EDFB">
            <w:pPr>
              <w:autoSpaceDE w:val="0"/>
              <w:autoSpaceDN w:val="0"/>
              <w:spacing w:line="280" w:lineRule="exact"/>
              <w:jc w:val="center"/>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5分</w:t>
            </w:r>
          </w:p>
        </w:tc>
        <w:tc>
          <w:tcPr>
            <w:tcW w:w="1033" w:type="dxa"/>
            <w:noWrap w:val="0"/>
            <w:vAlign w:val="center"/>
          </w:tcPr>
          <w:p w14:paraId="07610F79">
            <w:pPr>
              <w:jc w:val="center"/>
              <w:rPr>
                <w:rFonts w:hint="eastAsia" w:ascii="宋体" w:hAnsi="宋体" w:eastAsia="宋体" w:cs="宋体"/>
                <w:color w:val="auto"/>
                <w:highlight w:val="none"/>
              </w:rPr>
            </w:pPr>
            <w:r>
              <w:rPr>
                <w:rFonts w:hint="eastAsia" w:ascii="宋体" w:hAnsi="宋体" w:cs="宋体"/>
                <w:color w:val="auto"/>
                <w:kern w:val="0"/>
                <w:sz w:val="24"/>
                <w:highlight w:val="none"/>
              </w:rPr>
              <w:t>主观分</w:t>
            </w:r>
          </w:p>
        </w:tc>
      </w:tr>
      <w:tr w14:paraId="08EE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849" w:type="dxa"/>
            <w:vMerge w:val="continue"/>
            <w:noWrap w:val="0"/>
            <w:vAlign w:val="center"/>
          </w:tcPr>
          <w:p w14:paraId="3B322DE9">
            <w:pPr>
              <w:keepNext w:val="0"/>
              <w:keepLines w:val="0"/>
              <w:pageBreakBefore w:val="0"/>
              <w:widowControl/>
              <w:kinsoku/>
              <w:wordWrap/>
              <w:overflowPunct/>
              <w:topLinePunct w:val="0"/>
              <w:bidi w:val="0"/>
              <w:snapToGrid/>
              <w:spacing w:line="340" w:lineRule="exact"/>
              <w:jc w:val="left"/>
              <w:textAlignment w:val="auto"/>
              <w:rPr>
                <w:rFonts w:hint="eastAsia" w:ascii="宋体" w:hAnsi="宋体" w:eastAsia="宋体" w:cs="宋体"/>
                <w:color w:val="auto"/>
                <w:kern w:val="0"/>
                <w:sz w:val="20"/>
                <w:szCs w:val="22"/>
                <w:highlight w:val="none"/>
              </w:rPr>
            </w:pPr>
          </w:p>
        </w:tc>
        <w:tc>
          <w:tcPr>
            <w:tcW w:w="680" w:type="dxa"/>
            <w:noWrap w:val="0"/>
            <w:vAlign w:val="center"/>
          </w:tcPr>
          <w:p w14:paraId="7E72F338">
            <w:pPr>
              <w:keepNext w:val="0"/>
              <w:keepLines w:val="0"/>
              <w:pageBreakBefore w:val="0"/>
              <w:widowControl/>
              <w:kinsoku/>
              <w:wordWrap/>
              <w:overflowPunct/>
              <w:topLinePunct w:val="0"/>
              <w:bidi w:val="0"/>
              <w:snapToGrid/>
              <w:spacing w:line="34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14</w:t>
            </w:r>
          </w:p>
        </w:tc>
        <w:tc>
          <w:tcPr>
            <w:tcW w:w="1346" w:type="dxa"/>
            <w:noWrap w:val="0"/>
            <w:vAlign w:val="center"/>
          </w:tcPr>
          <w:p w14:paraId="1AADE045">
            <w:pPr>
              <w:jc w:val="center"/>
              <w:rPr>
                <w:rFonts w:hint="eastAsia" w:ascii="宋体" w:hAnsi="宋体" w:eastAsia="宋体" w:cs="宋体"/>
                <w:color w:val="auto"/>
                <w:highlight w:val="none"/>
              </w:rPr>
            </w:pPr>
            <w:r>
              <w:rPr>
                <w:rFonts w:hint="eastAsia" w:ascii="宋体" w:hAnsi="宋体" w:cs="宋体"/>
                <w:color w:val="auto"/>
                <w:kern w:val="0"/>
                <w:sz w:val="24"/>
                <w:highlight w:val="none"/>
              </w:rPr>
              <w:t>旅行社责任险</w:t>
            </w:r>
          </w:p>
        </w:tc>
        <w:tc>
          <w:tcPr>
            <w:tcW w:w="5103" w:type="dxa"/>
            <w:noWrap w:val="0"/>
            <w:vAlign w:val="center"/>
          </w:tcPr>
          <w:p w14:paraId="3D6D055A">
            <w:pPr>
              <w:jc w:val="left"/>
              <w:rPr>
                <w:rFonts w:ascii="宋体" w:hAnsi="宋体" w:cs="宋体"/>
                <w:color w:val="auto"/>
                <w:sz w:val="24"/>
                <w:highlight w:val="none"/>
                <w:lang w:val="zh-CN"/>
              </w:rPr>
            </w:pPr>
            <w:r>
              <w:rPr>
                <w:rFonts w:hint="eastAsia" w:ascii="宋体" w:hAnsi="宋体" w:cs="宋体"/>
                <w:color w:val="auto"/>
                <w:sz w:val="24"/>
                <w:highlight w:val="none"/>
              </w:rPr>
              <w:t>责任险：</w:t>
            </w:r>
            <w:r>
              <w:rPr>
                <w:rFonts w:hint="eastAsia" w:ascii="宋体" w:hAnsi="宋体" w:cs="宋体"/>
                <w:color w:val="auto"/>
                <w:sz w:val="24"/>
                <w:highlight w:val="none"/>
                <w:lang w:val="zh-CN"/>
              </w:rPr>
              <w:t>每次事故累计责任限额2000万元及以上且每人责任限额150万/人及以上得3分；</w:t>
            </w:r>
          </w:p>
          <w:p w14:paraId="17BFEF43">
            <w:pPr>
              <w:jc w:val="left"/>
              <w:rPr>
                <w:rFonts w:ascii="宋体" w:hAnsi="宋体" w:cs="宋体"/>
                <w:color w:val="auto"/>
                <w:sz w:val="24"/>
                <w:highlight w:val="none"/>
                <w:lang w:val="zh-CN"/>
              </w:rPr>
            </w:pPr>
            <w:r>
              <w:rPr>
                <w:rFonts w:hint="eastAsia" w:ascii="宋体" w:hAnsi="宋体" w:cs="宋体"/>
                <w:color w:val="auto"/>
                <w:sz w:val="24"/>
                <w:highlight w:val="none"/>
                <w:lang w:val="zh-CN"/>
              </w:rPr>
              <w:t>每次事故累计责任限额2000万（不含）-1500万元（含）且每人责任限额150万/人（不含）-100万元/人（含）得2分；</w:t>
            </w:r>
          </w:p>
          <w:p w14:paraId="37E2606F">
            <w:pPr>
              <w:jc w:val="left"/>
              <w:rPr>
                <w:rFonts w:hint="eastAsia" w:ascii="宋体" w:hAnsi="宋体" w:eastAsia="宋体" w:cs="宋体"/>
                <w:color w:val="auto"/>
                <w:highlight w:val="none"/>
                <w:lang w:val="en-US" w:eastAsia="zh-CN"/>
              </w:rPr>
            </w:pPr>
            <w:r>
              <w:rPr>
                <w:rFonts w:hint="eastAsia" w:ascii="宋体" w:hAnsi="宋体" w:cs="宋体"/>
                <w:color w:val="auto"/>
                <w:sz w:val="24"/>
                <w:highlight w:val="none"/>
                <w:lang w:val="zh-CN"/>
              </w:rPr>
              <w:t>每次事故累计责任限额1500（不含）万元</w:t>
            </w:r>
            <w:r>
              <w:rPr>
                <w:rFonts w:hint="eastAsia" w:ascii="宋体" w:hAnsi="宋体" w:cs="宋体"/>
                <w:color w:val="auto"/>
                <w:sz w:val="24"/>
                <w:highlight w:val="none"/>
              </w:rPr>
              <w:t>以下</w:t>
            </w:r>
            <w:r>
              <w:rPr>
                <w:rFonts w:ascii="宋体" w:hAnsi="宋体" w:cs="宋体"/>
                <w:color w:val="auto"/>
                <w:sz w:val="24"/>
                <w:highlight w:val="none"/>
              </w:rPr>
              <w:t>且</w:t>
            </w:r>
            <w:r>
              <w:rPr>
                <w:rFonts w:hint="eastAsia" w:ascii="宋体" w:hAnsi="宋体" w:cs="宋体"/>
                <w:color w:val="auto"/>
                <w:sz w:val="24"/>
                <w:highlight w:val="none"/>
                <w:lang w:val="zh-CN"/>
              </w:rPr>
              <w:t>每人责任限额100万/人及</w:t>
            </w:r>
            <w:r>
              <w:rPr>
                <w:rFonts w:hint="eastAsia" w:ascii="宋体" w:hAnsi="宋体" w:cs="宋体"/>
                <w:color w:val="auto"/>
                <w:sz w:val="24"/>
                <w:highlight w:val="none"/>
              </w:rPr>
              <w:t>以下</w:t>
            </w:r>
            <w:r>
              <w:rPr>
                <w:rFonts w:hint="eastAsia" w:ascii="宋体" w:hAnsi="宋体" w:cs="宋体"/>
                <w:color w:val="auto"/>
                <w:sz w:val="24"/>
                <w:highlight w:val="none"/>
                <w:lang w:val="zh-CN"/>
              </w:rPr>
              <w:t>得1分。（</w:t>
            </w:r>
            <w:r>
              <w:rPr>
                <w:rFonts w:hint="eastAsia" w:ascii="宋体" w:hAnsi="宋体" w:cs="宋体"/>
                <w:color w:val="auto"/>
                <w:sz w:val="24"/>
                <w:highlight w:val="none"/>
              </w:rPr>
              <w:t>按最高分计，不累计加分）</w:t>
            </w:r>
          </w:p>
        </w:tc>
        <w:tc>
          <w:tcPr>
            <w:tcW w:w="1017" w:type="dxa"/>
            <w:noWrap w:val="0"/>
            <w:vAlign w:val="center"/>
          </w:tcPr>
          <w:p w14:paraId="766A6A15">
            <w:pPr>
              <w:jc w:val="center"/>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0-</w:t>
            </w:r>
            <w:r>
              <w:rPr>
                <w:rFonts w:hint="eastAsia" w:ascii="宋体" w:hAnsi="宋体" w:cs="宋体"/>
                <w:color w:val="auto"/>
                <w:sz w:val="24"/>
                <w:highlight w:val="none"/>
              </w:rPr>
              <w:t>3分</w:t>
            </w:r>
          </w:p>
        </w:tc>
        <w:tc>
          <w:tcPr>
            <w:tcW w:w="1033" w:type="dxa"/>
            <w:noWrap w:val="0"/>
            <w:vAlign w:val="center"/>
          </w:tcPr>
          <w:p w14:paraId="588AA37D">
            <w:pPr>
              <w:jc w:val="center"/>
              <w:rPr>
                <w:rFonts w:hint="eastAsia" w:ascii="宋体" w:hAnsi="宋体" w:eastAsia="宋体" w:cs="宋体"/>
                <w:color w:val="auto"/>
                <w:highlight w:val="none"/>
              </w:rPr>
            </w:pPr>
            <w:r>
              <w:rPr>
                <w:rFonts w:hint="eastAsia" w:ascii="宋体" w:hAnsi="宋体" w:cs="宋体"/>
                <w:color w:val="auto"/>
                <w:kern w:val="0"/>
                <w:sz w:val="24"/>
                <w:highlight w:val="none"/>
              </w:rPr>
              <w:t>客观分</w:t>
            </w:r>
          </w:p>
        </w:tc>
      </w:tr>
    </w:tbl>
    <w:p w14:paraId="0A23C927">
      <w:pPr>
        <w:rPr>
          <w:rFonts w:hint="eastAsia"/>
          <w:color w:val="auto"/>
          <w:highlight w:val="none"/>
        </w:rPr>
      </w:pPr>
    </w:p>
    <w:p w14:paraId="5C3267F1">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14:paraId="06120F3D">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14:paraId="740747B0">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w:t>
      </w:r>
    </w:p>
    <w:p w14:paraId="45B9050C">
      <w:pPr>
        <w:widowControl/>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6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236"/>
      </w:tblGrid>
      <w:tr w14:paraId="3426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vAlign w:val="center"/>
          </w:tcPr>
          <w:p w14:paraId="7D41C1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236" w:type="dxa"/>
            <w:vAlign w:val="center"/>
          </w:tcPr>
          <w:p w14:paraId="5E568F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65D1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7889CE9F">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w:t>
            </w:r>
            <w:r>
              <w:rPr>
                <w:rFonts w:hint="eastAsia" w:ascii="宋体" w:hAnsi="宋体" w:cs="宋体"/>
                <w:color w:val="auto"/>
                <w:kern w:val="2"/>
                <w:sz w:val="24"/>
                <w:szCs w:val="24"/>
                <w:highlight w:val="none"/>
                <w:u w:val="none"/>
                <w:lang w:val="en-US" w:eastAsia="zh-CN" w:bidi="ar-SA"/>
              </w:rPr>
              <w:t>04（线路一）</w:t>
            </w:r>
          </w:p>
        </w:tc>
        <w:tc>
          <w:tcPr>
            <w:tcW w:w="6236" w:type="dxa"/>
            <w:vAlign w:val="center"/>
          </w:tcPr>
          <w:p w14:paraId="1B42D525">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33F3867D">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得分=(评标基准价／</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 xml:space="preserve">)×价格权值×100 </w:t>
            </w:r>
          </w:p>
          <w:p w14:paraId="70F5FD03">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0270576C">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过程中，不得去掉报价中的最高报价和最低报价。</w:t>
            </w:r>
          </w:p>
        </w:tc>
      </w:tr>
      <w:tr w14:paraId="585C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4B52D163">
            <w:pPr>
              <w:autoSpaceDE w:val="0"/>
              <w:autoSpaceDN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w:t>
            </w:r>
            <w:r>
              <w:rPr>
                <w:rFonts w:hint="eastAsia" w:ascii="宋体" w:hAnsi="宋体" w:cs="宋体"/>
                <w:color w:val="auto"/>
                <w:kern w:val="2"/>
                <w:sz w:val="24"/>
                <w:szCs w:val="24"/>
                <w:highlight w:val="none"/>
                <w:u w:val="none"/>
                <w:lang w:val="en-US" w:eastAsia="zh-CN" w:bidi="ar-SA"/>
              </w:rPr>
              <w:t>03（线路二）</w:t>
            </w:r>
          </w:p>
        </w:tc>
        <w:tc>
          <w:tcPr>
            <w:tcW w:w="6236" w:type="dxa"/>
            <w:vAlign w:val="center"/>
          </w:tcPr>
          <w:p w14:paraId="1A1E56D3">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2E95A44C">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得分=(评标基准价／</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 xml:space="preserve">)×价格权值×100 </w:t>
            </w:r>
          </w:p>
          <w:p w14:paraId="787BB491">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02FA3770">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过程中，不得去掉报价中的最高报价和最低报价。</w:t>
            </w:r>
          </w:p>
        </w:tc>
      </w:tr>
      <w:tr w14:paraId="144E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14:paraId="17763742">
            <w:pPr>
              <w:autoSpaceDE w:val="0"/>
              <w:autoSpaceDN w:val="0"/>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价格权值=0.</w:t>
            </w:r>
            <w:r>
              <w:rPr>
                <w:rFonts w:hint="eastAsia" w:ascii="宋体" w:hAnsi="宋体" w:cs="宋体"/>
                <w:color w:val="auto"/>
                <w:kern w:val="2"/>
                <w:sz w:val="24"/>
                <w:szCs w:val="24"/>
                <w:highlight w:val="none"/>
                <w:u w:val="none"/>
                <w:lang w:val="en-US" w:eastAsia="zh-CN" w:bidi="ar-SA"/>
              </w:rPr>
              <w:t>03（线路三）</w:t>
            </w:r>
          </w:p>
        </w:tc>
        <w:tc>
          <w:tcPr>
            <w:tcW w:w="6236" w:type="dxa"/>
            <w:vAlign w:val="center"/>
          </w:tcPr>
          <w:p w14:paraId="43A7BDED">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387225D5">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得分=(评标基准价／</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 xml:space="preserve">)×价格权值×100 </w:t>
            </w:r>
          </w:p>
          <w:p w14:paraId="2EA10B90">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428876AE">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过程中，不得去掉报价中的最高报价和最低报价。</w:t>
            </w:r>
          </w:p>
        </w:tc>
      </w:tr>
    </w:tbl>
    <w:p w14:paraId="44E4B33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column"/>
      </w:r>
      <w:r>
        <w:rPr>
          <w:rFonts w:hint="eastAsia" w:asciiTheme="minorEastAsia" w:hAnsiTheme="minorEastAsia" w:eastAsiaTheme="minorEastAsia" w:cstheme="minorEastAsia"/>
          <w:b/>
          <w:color w:val="auto"/>
          <w:sz w:val="28"/>
          <w:szCs w:val="28"/>
          <w:highlight w:val="none"/>
        </w:rPr>
        <w:t>一、交易方法</w:t>
      </w:r>
    </w:p>
    <w:p w14:paraId="7A9F60B1">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FE56830">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3B46537A">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6B42A9AF">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38020DB">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2" w:name="第五部分"/>
      <w:bookmarkStart w:id="383" w:name="_Toc86217003"/>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273B04C">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3B8AE9D2">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01AD46E">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004C2C61">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A93BEB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39DA20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54EC1694">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401C9005">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2CC12FA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71BDF4C5">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51AEE734">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5E1F6334">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05229EBE">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9D29A8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F7921A1">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5C3E1DF">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5D51D7C">
      <w:pPr>
        <w:pStyle w:val="26"/>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4E57794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651BA734">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2FF50C9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367F1F1A">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28995D43">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6409F15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2E0D2257">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2A56FE7">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2742C669">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44000FB3">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E1A638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4A3B1797">
      <w:pPr>
        <w:pStyle w:val="4"/>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5820F1A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49B12D51">
      <w:pPr>
        <w:pStyle w:val="26"/>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27725505">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330A692A">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71E89C7">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76EACF49">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02991639">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81EBD66">
      <w:pPr>
        <w:pStyle w:val="26"/>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61C03FC">
      <w:pPr>
        <w:pStyle w:val="26"/>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1DF6996C">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7DC9631D">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6445442D">
      <w:pPr>
        <w:pStyle w:val="26"/>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4EF2BFDF">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22BF6A88">
      <w:pPr>
        <w:pStyle w:val="26"/>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16949940">
      <w:pPr>
        <w:pStyle w:val="26"/>
        <w:snapToGrid w:val="0"/>
        <w:spacing w:line="360" w:lineRule="auto"/>
        <w:rPr>
          <w:rFonts w:hint="eastAsia" w:asciiTheme="minorEastAsia" w:hAnsiTheme="minorEastAsia" w:eastAsiaTheme="minorEastAsia" w:cstheme="minorEastAsia"/>
          <w:color w:val="auto"/>
          <w:highlight w:val="none"/>
        </w:rPr>
      </w:pPr>
    </w:p>
    <w:p w14:paraId="1FA0CB06">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4892E797">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3AC0AAA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合同编号：</w:t>
      </w:r>
    </w:p>
    <w:p w14:paraId="51F4222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                                 签订时间：</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年  月  日</w:t>
      </w:r>
    </w:p>
    <w:p w14:paraId="7AC97EC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0CBDB2ED">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甲方（需方）：                                     </w:t>
      </w:r>
    </w:p>
    <w:p w14:paraId="1306AF1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乙方（供方）：                                     </w:t>
      </w:r>
    </w:p>
    <w:p w14:paraId="4666362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供、需双方根据项目（交易编号  -  -   ）成交结果和公开竞争文件的要求，并经双方协调一致，订立本合同。</w:t>
      </w:r>
    </w:p>
    <w:p w14:paraId="6D7F1C6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一、合同文件：</w:t>
      </w:r>
    </w:p>
    <w:p w14:paraId="365987EF">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1、合同条款。</w:t>
      </w:r>
    </w:p>
    <w:p w14:paraId="07EF234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2、成交通知书。</w:t>
      </w:r>
    </w:p>
    <w:p w14:paraId="63FDAAE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3、公开竞争文件。</w:t>
      </w:r>
    </w:p>
    <w:p w14:paraId="179D664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4、更正公告。</w:t>
      </w:r>
    </w:p>
    <w:p w14:paraId="4159E20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5、成交单位响应文件。</w:t>
      </w:r>
    </w:p>
    <w:p w14:paraId="3E86892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w:t>
      </w:r>
    </w:p>
    <w:p w14:paraId="7526F10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二、合同金额: 本合同金额为（大写）</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元）人民币。</w:t>
      </w:r>
    </w:p>
    <w:p w14:paraId="1960CD2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08FBD93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5F6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7BFA5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563A1E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367BFB8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2E8DC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5DBD7A3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成交总价（元）</w:t>
            </w:r>
          </w:p>
        </w:tc>
      </w:tr>
      <w:tr w14:paraId="1D2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D6E375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12B7C6A">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017998">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C4A14A0">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5A965E3">
            <w:pPr>
              <w:spacing w:line="360" w:lineRule="auto"/>
              <w:jc w:val="center"/>
              <w:rPr>
                <w:rFonts w:hint="eastAsia" w:asciiTheme="minorEastAsia" w:hAnsiTheme="minorEastAsia" w:eastAsiaTheme="minorEastAsia" w:cstheme="minorEastAsia"/>
                <w:color w:val="auto"/>
                <w:sz w:val="24"/>
                <w:highlight w:val="none"/>
              </w:rPr>
            </w:pPr>
          </w:p>
        </w:tc>
      </w:tr>
      <w:tr w14:paraId="50A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D4B8F4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C6177F8">
            <w:pPr>
              <w:spacing w:line="360" w:lineRule="auto"/>
              <w:jc w:val="center"/>
              <w:rPr>
                <w:rFonts w:hint="eastAsia" w:asciiTheme="minorEastAsia" w:hAnsiTheme="minorEastAsia" w:eastAsiaTheme="minorEastAsia" w:cstheme="minorEastAsia"/>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1C9ED503">
            <w:pPr>
              <w:spacing w:line="360" w:lineRule="auto"/>
              <w:jc w:val="center"/>
              <w:rPr>
                <w:rFonts w:hint="eastAsia" w:asciiTheme="minorEastAsia" w:hAnsiTheme="minorEastAsia" w:eastAsiaTheme="minorEastAsia" w:cstheme="minorEastAsia"/>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19C1742">
            <w:pPr>
              <w:spacing w:line="360" w:lineRule="auto"/>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24447A3">
            <w:pPr>
              <w:spacing w:line="360" w:lineRule="auto"/>
              <w:jc w:val="center"/>
              <w:rPr>
                <w:rFonts w:hint="eastAsia" w:asciiTheme="minorEastAsia" w:hAnsiTheme="minorEastAsia" w:eastAsiaTheme="minorEastAsia" w:cstheme="minorEastAsia"/>
                <w:color w:val="auto"/>
                <w:sz w:val="24"/>
                <w:highlight w:val="none"/>
              </w:rPr>
            </w:pPr>
          </w:p>
        </w:tc>
      </w:tr>
    </w:tbl>
    <w:p w14:paraId="1618A42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三、技术资料</w:t>
      </w:r>
    </w:p>
    <w:p w14:paraId="212C949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1.乙方应按公开竞争文件规定的时间向甲方提供有关技术资料。</w:t>
      </w:r>
    </w:p>
    <w:p w14:paraId="094A1C4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183D4A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四、转包或分包</w:t>
      </w:r>
    </w:p>
    <w:p w14:paraId="73952751">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1.本合同范围的服务，应由乙方直接提供，乙方不得将本合同范围的服务全部或部分分包给他人供应；</w:t>
      </w:r>
    </w:p>
    <w:p w14:paraId="4948530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2.如有转让和未经甲方同意的分包行为，甲方有权解除合同，追究乙方的违约责任。</w:t>
      </w:r>
    </w:p>
    <w:p w14:paraId="5B106019">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五、服务质量保证期</w:t>
      </w:r>
    </w:p>
    <w:p w14:paraId="33CA840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服务时间：</w:t>
      </w:r>
    </w:p>
    <w:p w14:paraId="4117141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六、合同履行时间、履行方式及履行地点</w:t>
      </w:r>
    </w:p>
    <w:p w14:paraId="060DBEA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履行时间：</w:t>
      </w:r>
    </w:p>
    <w:p w14:paraId="51CD48F6">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履行方式：按合同履行。</w:t>
      </w:r>
    </w:p>
    <w:p w14:paraId="747EE39E">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履行地点：甲方指定地点内。</w:t>
      </w:r>
    </w:p>
    <w:p w14:paraId="7972B3B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七、款项支付</w:t>
      </w:r>
    </w:p>
    <w:p w14:paraId="274F0F1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参照交易需求。</w:t>
      </w:r>
    </w:p>
    <w:p w14:paraId="4BBE59C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八、税费</w:t>
      </w:r>
    </w:p>
    <w:p w14:paraId="616730A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本合同执行中相关的一切税费均由乙方负担。</w:t>
      </w:r>
    </w:p>
    <w:p w14:paraId="6E601EE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九、质量保证及后续服务</w:t>
      </w:r>
    </w:p>
    <w:p w14:paraId="4890614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乙方应按公开竞争文件规定向甲方提供服务。</w:t>
      </w:r>
    </w:p>
    <w:p w14:paraId="1D5E228C">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乙方提供的服务发生问题或产出重大不良影响的，除按招标文件扣除结算金额外，乙方应负责免费提供后续善后服务，同时承担相应责任。</w:t>
      </w:r>
    </w:p>
    <w:p w14:paraId="76506225">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十、违约责任</w:t>
      </w:r>
    </w:p>
    <w:p w14:paraId="4122156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1.甲方无正当理由拒绝接收服务的，甲方向乙方偿付合同款项百分之五作为违约金。</w:t>
      </w:r>
    </w:p>
    <w:p w14:paraId="5D54757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2.乙方未能如期提供服务的，每日向甲方支付合同款项的千分之六作为违约金。乙方超过约定日期3个工作日仍不能提供服务的，甲方可解除本合同，追究乙</w:t>
      </w:r>
      <w:r>
        <w:rPr>
          <w:rFonts w:hint="eastAsia" w:asciiTheme="minorEastAsia" w:hAnsiTheme="minorEastAsia" w:eastAsiaTheme="minorEastAsia" w:cstheme="minorEastAsia"/>
          <w:color w:val="auto"/>
          <w:highlight w:val="none"/>
          <w:lang w:val="en-US" w:eastAsia="zh-CN"/>
        </w:rPr>
        <w:t>方</w:t>
      </w:r>
      <w:r>
        <w:rPr>
          <w:rFonts w:hint="eastAsia" w:asciiTheme="minorEastAsia" w:hAnsiTheme="minorEastAsia" w:eastAsiaTheme="minorEastAsia" w:cstheme="minorEastAsia"/>
          <w:color w:val="auto"/>
          <w:highlight w:val="none"/>
        </w:rPr>
        <w:t>赔偿责任。  3.如发现乙方违反公开竞争文件、响应文件和合同的有关规定，甲方有权根据约定和《杭州市政府采购响应人合同履行和售后服务考核暂行办法》，对乙方进行处罚，并有权提前终止合同。</w:t>
      </w:r>
    </w:p>
    <w:p w14:paraId="0D503F9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十一、争议的解决</w:t>
      </w:r>
    </w:p>
    <w:p w14:paraId="6567ABA3">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因本合同引起的或与本合同有关的任何争议，合同双方应首先通过协商解决，达成书面协议，如协商不成，可选择下列方式解决。</w:t>
      </w:r>
    </w:p>
    <w:p w14:paraId="5698014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1.提请杭州仲裁委员会按照该会仲裁规则进行仲裁，仲裁裁决是终局的，对合同双方均有约束力。</w:t>
      </w:r>
    </w:p>
    <w:p w14:paraId="1E711D3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2.向有管辖权的人民法院提起诉讼。</w:t>
      </w:r>
    </w:p>
    <w:p w14:paraId="465464A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十二、合同生效</w:t>
      </w:r>
    </w:p>
    <w:p w14:paraId="10F0091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1.成交方持成交通知书作为与需方签订合同的凭证。</w:t>
      </w:r>
    </w:p>
    <w:p w14:paraId="05884862">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2.本合同经需、供双方法定代表人或其授权委托人签字并加盖单位公章或合同章后生效。</w:t>
      </w:r>
    </w:p>
    <w:p w14:paraId="166FFA64">
      <w:pPr>
        <w:pStyle w:val="26"/>
        <w:snapToGrid w:val="0"/>
        <w:spacing w:line="360" w:lineRule="auto"/>
        <w:rPr>
          <w:rFonts w:hint="eastAsia" w:asciiTheme="minorEastAsia" w:hAnsiTheme="minorEastAsia" w:eastAsiaTheme="minorEastAsia" w:cstheme="minorEastAsia"/>
          <w:color w:val="auto"/>
          <w:highlight w:val="none"/>
        </w:rPr>
      </w:pPr>
    </w:p>
    <w:p w14:paraId="3AFBFB6F">
      <w:pPr>
        <w:pStyle w:val="26"/>
        <w:snapToGrid w:val="0"/>
        <w:spacing w:line="360" w:lineRule="auto"/>
        <w:rPr>
          <w:rFonts w:hint="eastAsia" w:asciiTheme="minorEastAsia" w:hAnsiTheme="minorEastAsia" w:eastAsiaTheme="minorEastAsia" w:cstheme="minorEastAsia"/>
          <w:color w:val="auto"/>
          <w:highlight w:val="none"/>
        </w:rPr>
      </w:pPr>
    </w:p>
    <w:p w14:paraId="5D549A0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需方（盖章）：                     供方（盖章）：</w:t>
      </w:r>
    </w:p>
    <w:p w14:paraId="03EB2757">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地址：</w:t>
      </w:r>
    </w:p>
    <w:p w14:paraId="3090A2BE">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法定代表人（或委托代理人）签名：   法定代表人（或委托代理人）签名：</w:t>
      </w:r>
    </w:p>
    <w:p w14:paraId="6C1B0ECB">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                         联系电话：</w:t>
      </w:r>
    </w:p>
    <w:p w14:paraId="6F2FDA90">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                         邮政编码：</w:t>
      </w:r>
    </w:p>
    <w:p w14:paraId="684504FA">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开户银行：                         开户银行：      </w:t>
      </w:r>
    </w:p>
    <w:p w14:paraId="654DD9E8">
      <w:pPr>
        <w:pStyle w:val="26"/>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账号</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eastAsia="zh-CN"/>
        </w:rPr>
        <w:t>账号</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br w:type="page"/>
      </w:r>
    </w:p>
    <w:p w14:paraId="1620BFB1">
      <w:pPr>
        <w:rPr>
          <w:rFonts w:hint="eastAsia" w:asciiTheme="minorEastAsia" w:hAnsiTheme="minorEastAsia" w:eastAsiaTheme="minorEastAsia" w:cstheme="minorEastAsia"/>
          <w:color w:val="auto"/>
          <w:highlight w:val="none"/>
        </w:rPr>
      </w:pPr>
    </w:p>
    <w:p w14:paraId="0A9ACF32">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2"/>
      <w:bookmarkEnd w:id="383"/>
      <w:r>
        <w:rPr>
          <w:rFonts w:hint="eastAsia" w:asciiTheme="minorEastAsia" w:hAnsiTheme="minorEastAsia" w:eastAsiaTheme="minorEastAsia" w:cstheme="minorEastAsia"/>
          <w:b/>
          <w:color w:val="auto"/>
          <w:sz w:val="36"/>
          <w:szCs w:val="20"/>
          <w:highlight w:val="none"/>
        </w:rPr>
        <w:t>应提交的有关格式范例</w:t>
      </w:r>
    </w:p>
    <w:p w14:paraId="2EC5382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0D38A3E">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D48F422">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5CDD9C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9C8183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1A89AD3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66DE071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3103486F">
      <w:pPr>
        <w:spacing w:line="360" w:lineRule="auto"/>
        <w:ind w:firstLine="480" w:firstLineChars="200"/>
        <w:rPr>
          <w:rFonts w:hint="eastAsia" w:asciiTheme="minorEastAsia" w:hAnsiTheme="minorEastAsia" w:eastAsiaTheme="minorEastAsia" w:cstheme="minorEastAsia"/>
          <w:color w:val="auto"/>
          <w:sz w:val="24"/>
          <w:highlight w:val="none"/>
        </w:rPr>
      </w:pPr>
    </w:p>
    <w:p w14:paraId="7523AD8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1480BC1A">
      <w:pPr>
        <w:snapToGrid w:val="0"/>
        <w:spacing w:line="360" w:lineRule="auto"/>
        <w:rPr>
          <w:rFonts w:hint="eastAsia" w:asciiTheme="minorEastAsia" w:hAnsiTheme="minorEastAsia" w:eastAsiaTheme="minorEastAsia" w:cstheme="minorEastAsia"/>
          <w:color w:val="auto"/>
          <w:sz w:val="24"/>
          <w:highlight w:val="none"/>
        </w:rPr>
      </w:pPr>
    </w:p>
    <w:p w14:paraId="15969D7E">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BF7D86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22DFF597">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5A74CC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F15C14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339C621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025E83D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011C6BA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5BC8748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5161566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48E69E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278902F">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6C53AF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7314B14E">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507F94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7DB56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1B1C316">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1CC8E42">
      <w:pPr>
        <w:rPr>
          <w:rFonts w:hint="eastAsia" w:asciiTheme="minorEastAsia" w:hAnsiTheme="minorEastAsia" w:eastAsiaTheme="minorEastAsia" w:cstheme="minorEastAsia"/>
          <w:color w:val="auto"/>
          <w:highlight w:val="none"/>
        </w:rPr>
      </w:pPr>
    </w:p>
    <w:p w14:paraId="19C0F0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355C072">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43D33D81">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6A9AB9B6">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12B87ED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24A8A5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8CE03FA">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727076FE">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C0F5D93">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1E884232">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AF334E0">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08C64C0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7446CE8B">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D722A67">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7BC354EF">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5AAA879">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7503667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7B81E6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507C34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D9CC0C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1DE8FC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C1EED8D">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12D375">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2CEC67D8">
      <w:pPr>
        <w:rPr>
          <w:rFonts w:hint="eastAsia" w:asciiTheme="minorEastAsia" w:hAnsiTheme="minorEastAsia" w:eastAsiaTheme="minorEastAsia" w:cstheme="minorEastAsia"/>
          <w:color w:val="auto"/>
          <w:highlight w:val="none"/>
        </w:rPr>
      </w:pPr>
    </w:p>
    <w:p w14:paraId="6AF4EB8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7CA3B86">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57040590">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5992D1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003866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AF3D389">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553834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C1C5C58">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D8B0FC4">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5222C93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1B17100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6F7CBD3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3A90922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314D8AD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5B5ADC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4ABD5E4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2A92ED14">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7F71E7ED">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AE88DAA">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0BBD916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08E372DC">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34E4D0B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1CAF2F91">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0E93277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C33618F">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D1AA73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0625A0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41957447">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259172B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52F19EAD">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63B33143">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78D1799C">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1BFC2F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104920D0">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6F1AC9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694799B">
      <w:pPr>
        <w:pStyle w:val="24"/>
        <w:rPr>
          <w:rFonts w:hint="eastAsia" w:asciiTheme="minorEastAsia" w:hAnsiTheme="minorEastAsia" w:eastAsiaTheme="minorEastAsia" w:cstheme="minorEastAsia"/>
          <w:color w:val="auto"/>
          <w:highlight w:val="none"/>
          <w:lang w:val="en-US"/>
        </w:rPr>
      </w:pPr>
    </w:p>
    <w:p w14:paraId="797BD47D">
      <w:pPr>
        <w:jc w:val="center"/>
        <w:rPr>
          <w:rFonts w:hint="eastAsia" w:asciiTheme="minorEastAsia" w:hAnsiTheme="minorEastAsia" w:eastAsiaTheme="minorEastAsia" w:cstheme="minorEastAsia"/>
          <w:b/>
          <w:color w:val="auto"/>
          <w:kern w:val="0"/>
          <w:sz w:val="32"/>
          <w:szCs w:val="32"/>
          <w:highlight w:val="none"/>
        </w:rPr>
      </w:pPr>
    </w:p>
    <w:p w14:paraId="0254ED17">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B2154">
      <w:pPr>
        <w:snapToGrid w:val="0"/>
        <w:spacing w:line="360" w:lineRule="auto"/>
        <w:rPr>
          <w:rFonts w:hint="eastAsia" w:asciiTheme="minorEastAsia" w:hAnsiTheme="minorEastAsia" w:eastAsiaTheme="minorEastAsia" w:cstheme="minorEastAsia"/>
          <w:color w:val="auto"/>
          <w:sz w:val="24"/>
          <w:highlight w:val="none"/>
        </w:rPr>
      </w:pPr>
    </w:p>
    <w:p w14:paraId="2433AB20">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349C5AD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CEF6E78">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7A85E0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243E06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337E9F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23D10A2E">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1785EBC">
      <w:pPr>
        <w:snapToGrid w:val="0"/>
        <w:spacing w:line="360" w:lineRule="auto"/>
        <w:rPr>
          <w:rFonts w:hint="eastAsia" w:asciiTheme="minorEastAsia" w:hAnsiTheme="minorEastAsia" w:eastAsiaTheme="minorEastAsia" w:cstheme="minorEastAsia"/>
          <w:color w:val="auto"/>
          <w:sz w:val="24"/>
          <w:highlight w:val="none"/>
        </w:rPr>
      </w:pPr>
    </w:p>
    <w:p w14:paraId="56D700C1">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29BB193">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458DCA5F">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315AFCF7">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01DB7C79">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19AF0A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0DDBCF3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5880CDA8">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A7DA043">
      <w:pPr>
        <w:jc w:val="center"/>
        <w:rPr>
          <w:rFonts w:hint="eastAsia" w:asciiTheme="minorEastAsia" w:hAnsiTheme="minorEastAsia" w:eastAsiaTheme="minorEastAsia" w:cstheme="minorEastAsia"/>
          <w:b/>
          <w:color w:val="auto"/>
          <w:kern w:val="0"/>
          <w:sz w:val="32"/>
          <w:szCs w:val="32"/>
          <w:highlight w:val="none"/>
        </w:rPr>
      </w:pPr>
    </w:p>
    <w:p w14:paraId="04C073A3">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7559D3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7FC0B4F2">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C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779D98D">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396E3D87">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1F4915F">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F1E1C1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44DB0634">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DD6DF14">
      <w:pPr>
        <w:jc w:val="center"/>
        <w:rPr>
          <w:rFonts w:hint="eastAsia" w:asciiTheme="minorEastAsia" w:hAnsiTheme="minorEastAsia" w:eastAsiaTheme="minorEastAsia" w:cstheme="minorEastAsia"/>
          <w:b/>
          <w:color w:val="auto"/>
          <w:kern w:val="0"/>
          <w:sz w:val="32"/>
          <w:szCs w:val="32"/>
          <w:highlight w:val="none"/>
        </w:rPr>
      </w:pPr>
    </w:p>
    <w:p w14:paraId="6A787831">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7B034DB">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F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78B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2CF9F15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279E5764">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646AC455">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55590B3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6104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8A82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2BE29A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688BF77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35478C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7A1DB08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DE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0AD81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3069ED2A">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6EF9B69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318287BA">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E1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602D2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12C2589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09F4A4F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71CAA5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E76FDE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5CBB1F2">
      <w:pPr>
        <w:jc w:val="center"/>
        <w:rPr>
          <w:rFonts w:hint="eastAsia" w:asciiTheme="minorEastAsia" w:hAnsiTheme="minorEastAsia" w:eastAsiaTheme="minorEastAsia" w:cstheme="minorEastAsia"/>
          <w:b/>
          <w:color w:val="auto"/>
          <w:kern w:val="0"/>
          <w:sz w:val="32"/>
          <w:szCs w:val="32"/>
          <w:highlight w:val="none"/>
        </w:rPr>
      </w:pPr>
    </w:p>
    <w:p w14:paraId="4BB66AA3">
      <w:pPr>
        <w:jc w:val="center"/>
        <w:rPr>
          <w:rFonts w:hint="eastAsia" w:asciiTheme="minorEastAsia" w:hAnsiTheme="minorEastAsia" w:eastAsiaTheme="minorEastAsia" w:cstheme="minorEastAsia"/>
          <w:b/>
          <w:color w:val="auto"/>
          <w:kern w:val="0"/>
          <w:sz w:val="32"/>
          <w:szCs w:val="32"/>
          <w:highlight w:val="none"/>
        </w:rPr>
      </w:pPr>
    </w:p>
    <w:p w14:paraId="618E576D">
      <w:pPr>
        <w:rPr>
          <w:rFonts w:hint="eastAsia" w:asciiTheme="minorEastAsia" w:hAnsiTheme="minorEastAsia" w:eastAsiaTheme="minorEastAsia" w:cstheme="minorEastAsia"/>
          <w:b/>
          <w:color w:val="auto"/>
          <w:kern w:val="0"/>
          <w:sz w:val="32"/>
          <w:szCs w:val="32"/>
          <w:highlight w:val="none"/>
        </w:rPr>
      </w:pPr>
    </w:p>
    <w:p w14:paraId="0E78ABB5">
      <w:pPr>
        <w:jc w:val="center"/>
        <w:rPr>
          <w:rFonts w:hint="eastAsia" w:asciiTheme="minorEastAsia" w:hAnsiTheme="minorEastAsia" w:eastAsiaTheme="minorEastAsia" w:cstheme="minorEastAsia"/>
          <w:b/>
          <w:color w:val="auto"/>
          <w:kern w:val="0"/>
          <w:sz w:val="32"/>
          <w:szCs w:val="32"/>
          <w:highlight w:val="none"/>
        </w:rPr>
      </w:pPr>
    </w:p>
    <w:p w14:paraId="70D5A721">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33DEA978">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22F47F32">
      <w:pPr>
        <w:jc w:val="center"/>
        <w:rPr>
          <w:rFonts w:hint="eastAsia" w:asciiTheme="minorEastAsia" w:hAnsiTheme="minorEastAsia" w:eastAsiaTheme="minorEastAsia" w:cstheme="minorEastAsia"/>
          <w:b/>
          <w:color w:val="auto"/>
          <w:kern w:val="0"/>
          <w:sz w:val="32"/>
          <w:szCs w:val="32"/>
          <w:highlight w:val="none"/>
        </w:rPr>
      </w:pPr>
    </w:p>
    <w:p w14:paraId="32F3EDB4">
      <w:pPr>
        <w:jc w:val="center"/>
        <w:rPr>
          <w:rFonts w:hint="eastAsia" w:asciiTheme="minorEastAsia" w:hAnsiTheme="minorEastAsia" w:eastAsiaTheme="minorEastAsia" w:cstheme="minorEastAsia"/>
          <w:b/>
          <w:color w:val="auto"/>
          <w:kern w:val="0"/>
          <w:sz w:val="32"/>
          <w:szCs w:val="32"/>
          <w:highlight w:val="none"/>
        </w:rPr>
      </w:pPr>
    </w:p>
    <w:p w14:paraId="59591F6D">
      <w:pPr>
        <w:jc w:val="center"/>
        <w:rPr>
          <w:rFonts w:hint="eastAsia" w:asciiTheme="minorEastAsia" w:hAnsiTheme="minorEastAsia" w:eastAsiaTheme="minorEastAsia" w:cstheme="minorEastAsia"/>
          <w:b/>
          <w:color w:val="auto"/>
          <w:kern w:val="0"/>
          <w:sz w:val="32"/>
          <w:szCs w:val="32"/>
          <w:highlight w:val="none"/>
        </w:rPr>
      </w:pPr>
    </w:p>
    <w:p w14:paraId="21AF9BA2">
      <w:pPr>
        <w:jc w:val="center"/>
        <w:rPr>
          <w:rFonts w:hint="eastAsia" w:asciiTheme="minorEastAsia" w:hAnsiTheme="minorEastAsia" w:eastAsiaTheme="minorEastAsia" w:cstheme="minorEastAsia"/>
          <w:b/>
          <w:color w:val="auto"/>
          <w:kern w:val="0"/>
          <w:sz w:val="32"/>
          <w:szCs w:val="32"/>
          <w:highlight w:val="none"/>
        </w:rPr>
      </w:pPr>
    </w:p>
    <w:p w14:paraId="420EA6C2">
      <w:pPr>
        <w:jc w:val="center"/>
        <w:rPr>
          <w:rFonts w:hint="eastAsia" w:asciiTheme="minorEastAsia" w:hAnsiTheme="minorEastAsia" w:eastAsiaTheme="minorEastAsia" w:cstheme="minorEastAsia"/>
          <w:b/>
          <w:color w:val="auto"/>
          <w:kern w:val="0"/>
          <w:sz w:val="32"/>
          <w:szCs w:val="32"/>
          <w:highlight w:val="none"/>
        </w:rPr>
      </w:pPr>
    </w:p>
    <w:p w14:paraId="186EA0A5">
      <w:pPr>
        <w:pStyle w:val="25"/>
        <w:rPr>
          <w:rFonts w:hint="eastAsia" w:asciiTheme="minorEastAsia" w:hAnsiTheme="minorEastAsia" w:eastAsiaTheme="minorEastAsia" w:cstheme="minorEastAsia"/>
          <w:b/>
          <w:color w:val="auto"/>
          <w:kern w:val="0"/>
          <w:sz w:val="32"/>
          <w:szCs w:val="32"/>
          <w:highlight w:val="none"/>
        </w:rPr>
      </w:pPr>
    </w:p>
    <w:p w14:paraId="2234F745">
      <w:pPr>
        <w:pStyle w:val="53"/>
        <w:rPr>
          <w:rFonts w:hint="eastAsia" w:asciiTheme="minorEastAsia" w:hAnsiTheme="minorEastAsia" w:eastAsiaTheme="minorEastAsia" w:cstheme="minorEastAsia"/>
          <w:color w:val="auto"/>
          <w:highlight w:val="none"/>
        </w:rPr>
      </w:pPr>
    </w:p>
    <w:p w14:paraId="2E48EECB">
      <w:pPr>
        <w:jc w:val="center"/>
        <w:rPr>
          <w:rFonts w:hint="eastAsia" w:asciiTheme="minorEastAsia" w:hAnsiTheme="minorEastAsia" w:eastAsiaTheme="minorEastAsia" w:cstheme="minorEastAsia"/>
          <w:b/>
          <w:color w:val="auto"/>
          <w:kern w:val="0"/>
          <w:sz w:val="32"/>
          <w:szCs w:val="32"/>
          <w:highlight w:val="none"/>
        </w:rPr>
      </w:pPr>
    </w:p>
    <w:p w14:paraId="070C7345">
      <w:pPr>
        <w:jc w:val="center"/>
        <w:rPr>
          <w:rFonts w:hint="eastAsia" w:asciiTheme="minorEastAsia" w:hAnsiTheme="minorEastAsia" w:eastAsiaTheme="minorEastAsia" w:cstheme="minorEastAsia"/>
          <w:b/>
          <w:color w:val="auto"/>
          <w:kern w:val="0"/>
          <w:sz w:val="32"/>
          <w:szCs w:val="32"/>
          <w:highlight w:val="none"/>
        </w:rPr>
      </w:pPr>
    </w:p>
    <w:p w14:paraId="32CC4F74">
      <w:pPr>
        <w:jc w:val="center"/>
        <w:rPr>
          <w:rFonts w:hint="eastAsia" w:asciiTheme="minorEastAsia" w:hAnsiTheme="minorEastAsia" w:eastAsiaTheme="minorEastAsia" w:cstheme="minorEastAsia"/>
          <w:b/>
          <w:color w:val="auto"/>
          <w:kern w:val="0"/>
          <w:sz w:val="32"/>
          <w:szCs w:val="32"/>
          <w:highlight w:val="none"/>
        </w:rPr>
      </w:pPr>
    </w:p>
    <w:p w14:paraId="09934FE9">
      <w:pPr>
        <w:jc w:val="center"/>
        <w:rPr>
          <w:rFonts w:hint="eastAsia" w:asciiTheme="minorEastAsia" w:hAnsiTheme="minorEastAsia" w:eastAsiaTheme="minorEastAsia" w:cstheme="minorEastAsia"/>
          <w:b/>
          <w:color w:val="auto"/>
          <w:kern w:val="0"/>
          <w:sz w:val="32"/>
          <w:szCs w:val="32"/>
          <w:highlight w:val="none"/>
        </w:rPr>
      </w:pPr>
    </w:p>
    <w:p w14:paraId="5EC00A5F">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08DF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58" w:type="dxa"/>
            <w:vAlign w:val="center"/>
          </w:tcPr>
          <w:p w14:paraId="1828CE66">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1" w:type="dxa"/>
            <w:vAlign w:val="center"/>
          </w:tcPr>
          <w:p w14:paraId="78610BE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4" w:type="dxa"/>
            <w:vAlign w:val="center"/>
          </w:tcPr>
          <w:p w14:paraId="23FA9D6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5" w:type="dxa"/>
            <w:vAlign w:val="center"/>
          </w:tcPr>
          <w:p w14:paraId="6600B36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8AA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8" w:type="dxa"/>
          </w:tcPr>
          <w:p w14:paraId="2E6A5459">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1" w:type="dxa"/>
          </w:tcPr>
          <w:p w14:paraId="651DC3B6">
            <w:pPr>
              <w:jc w:val="center"/>
              <w:rPr>
                <w:rFonts w:hint="eastAsia" w:asciiTheme="minorEastAsia" w:hAnsiTheme="minorEastAsia" w:eastAsiaTheme="minorEastAsia" w:cstheme="minorEastAsia"/>
                <w:b/>
                <w:color w:val="auto"/>
                <w:kern w:val="0"/>
                <w:sz w:val="32"/>
                <w:szCs w:val="32"/>
                <w:highlight w:val="none"/>
              </w:rPr>
            </w:pPr>
          </w:p>
        </w:tc>
        <w:tc>
          <w:tcPr>
            <w:tcW w:w="3544" w:type="dxa"/>
          </w:tcPr>
          <w:p w14:paraId="4C165669">
            <w:pPr>
              <w:jc w:val="center"/>
              <w:rPr>
                <w:rFonts w:hint="eastAsia" w:asciiTheme="minorEastAsia" w:hAnsiTheme="minorEastAsia" w:eastAsiaTheme="minorEastAsia" w:cstheme="minorEastAsia"/>
                <w:b/>
                <w:color w:val="auto"/>
                <w:kern w:val="0"/>
                <w:sz w:val="32"/>
                <w:szCs w:val="32"/>
                <w:highlight w:val="none"/>
              </w:rPr>
            </w:pPr>
          </w:p>
        </w:tc>
        <w:tc>
          <w:tcPr>
            <w:tcW w:w="1275" w:type="dxa"/>
          </w:tcPr>
          <w:p w14:paraId="790D2388">
            <w:pPr>
              <w:jc w:val="center"/>
              <w:rPr>
                <w:rFonts w:hint="eastAsia" w:asciiTheme="minorEastAsia" w:hAnsiTheme="minorEastAsia" w:eastAsiaTheme="minorEastAsia" w:cstheme="minorEastAsia"/>
                <w:b/>
                <w:color w:val="auto"/>
                <w:kern w:val="0"/>
                <w:sz w:val="32"/>
                <w:szCs w:val="32"/>
                <w:highlight w:val="none"/>
              </w:rPr>
            </w:pPr>
          </w:p>
        </w:tc>
      </w:tr>
      <w:tr w14:paraId="6D7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8" w:type="dxa"/>
          </w:tcPr>
          <w:p w14:paraId="3D4A731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1" w:type="dxa"/>
          </w:tcPr>
          <w:p w14:paraId="70951BB3">
            <w:pPr>
              <w:jc w:val="center"/>
              <w:rPr>
                <w:rFonts w:hint="eastAsia" w:asciiTheme="minorEastAsia" w:hAnsiTheme="minorEastAsia" w:eastAsiaTheme="minorEastAsia" w:cstheme="minorEastAsia"/>
                <w:b/>
                <w:color w:val="auto"/>
                <w:kern w:val="0"/>
                <w:sz w:val="32"/>
                <w:szCs w:val="32"/>
                <w:highlight w:val="none"/>
              </w:rPr>
            </w:pPr>
          </w:p>
        </w:tc>
        <w:tc>
          <w:tcPr>
            <w:tcW w:w="3544" w:type="dxa"/>
          </w:tcPr>
          <w:p w14:paraId="3E433A48">
            <w:pPr>
              <w:jc w:val="center"/>
              <w:rPr>
                <w:rFonts w:hint="eastAsia" w:asciiTheme="minorEastAsia" w:hAnsiTheme="minorEastAsia" w:eastAsiaTheme="minorEastAsia" w:cstheme="minorEastAsia"/>
                <w:b/>
                <w:color w:val="auto"/>
                <w:kern w:val="0"/>
                <w:sz w:val="32"/>
                <w:szCs w:val="32"/>
                <w:highlight w:val="none"/>
              </w:rPr>
            </w:pPr>
          </w:p>
        </w:tc>
        <w:tc>
          <w:tcPr>
            <w:tcW w:w="1275" w:type="dxa"/>
          </w:tcPr>
          <w:p w14:paraId="78861C35">
            <w:pPr>
              <w:jc w:val="center"/>
              <w:rPr>
                <w:rFonts w:hint="eastAsia" w:asciiTheme="minorEastAsia" w:hAnsiTheme="minorEastAsia" w:eastAsiaTheme="minorEastAsia" w:cstheme="minorEastAsia"/>
                <w:b/>
                <w:color w:val="auto"/>
                <w:kern w:val="0"/>
                <w:sz w:val="32"/>
                <w:szCs w:val="32"/>
                <w:highlight w:val="none"/>
              </w:rPr>
            </w:pPr>
          </w:p>
        </w:tc>
      </w:tr>
      <w:tr w14:paraId="492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8" w:type="dxa"/>
          </w:tcPr>
          <w:p w14:paraId="05595648">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1" w:type="dxa"/>
          </w:tcPr>
          <w:p w14:paraId="3EB0D3BE">
            <w:pPr>
              <w:jc w:val="center"/>
              <w:rPr>
                <w:rFonts w:hint="eastAsia" w:asciiTheme="minorEastAsia" w:hAnsiTheme="minorEastAsia" w:eastAsiaTheme="minorEastAsia" w:cstheme="minorEastAsia"/>
                <w:b/>
                <w:color w:val="auto"/>
                <w:kern w:val="0"/>
                <w:sz w:val="32"/>
                <w:szCs w:val="32"/>
                <w:highlight w:val="none"/>
              </w:rPr>
            </w:pPr>
          </w:p>
        </w:tc>
        <w:tc>
          <w:tcPr>
            <w:tcW w:w="3544" w:type="dxa"/>
          </w:tcPr>
          <w:p w14:paraId="21E3E7F3">
            <w:pPr>
              <w:jc w:val="center"/>
              <w:rPr>
                <w:rFonts w:hint="eastAsia" w:asciiTheme="minorEastAsia" w:hAnsiTheme="minorEastAsia" w:eastAsiaTheme="minorEastAsia" w:cstheme="minorEastAsia"/>
                <w:b/>
                <w:color w:val="auto"/>
                <w:kern w:val="0"/>
                <w:sz w:val="32"/>
                <w:szCs w:val="32"/>
                <w:highlight w:val="none"/>
              </w:rPr>
            </w:pPr>
          </w:p>
        </w:tc>
        <w:tc>
          <w:tcPr>
            <w:tcW w:w="1275" w:type="dxa"/>
          </w:tcPr>
          <w:p w14:paraId="1DFD987B">
            <w:pPr>
              <w:jc w:val="center"/>
              <w:rPr>
                <w:rFonts w:hint="eastAsia" w:asciiTheme="minorEastAsia" w:hAnsiTheme="minorEastAsia" w:eastAsiaTheme="minorEastAsia" w:cstheme="minorEastAsia"/>
                <w:b/>
                <w:color w:val="auto"/>
                <w:kern w:val="0"/>
                <w:sz w:val="32"/>
                <w:szCs w:val="32"/>
                <w:highlight w:val="none"/>
              </w:rPr>
            </w:pPr>
          </w:p>
        </w:tc>
      </w:tr>
    </w:tbl>
    <w:p w14:paraId="1D58BA4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5A8077C7">
      <w:pPr>
        <w:jc w:val="center"/>
        <w:rPr>
          <w:rFonts w:hint="eastAsia" w:asciiTheme="minorEastAsia" w:hAnsiTheme="minorEastAsia" w:eastAsiaTheme="minorEastAsia" w:cstheme="minorEastAsia"/>
          <w:b/>
          <w:color w:val="auto"/>
          <w:kern w:val="0"/>
          <w:sz w:val="32"/>
          <w:szCs w:val="32"/>
          <w:highlight w:val="none"/>
        </w:rPr>
      </w:pPr>
    </w:p>
    <w:p w14:paraId="2A9B1ED7">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1417883">
      <w:pPr>
        <w:jc w:val="center"/>
        <w:rPr>
          <w:rFonts w:hint="eastAsia" w:asciiTheme="minorEastAsia" w:hAnsiTheme="minorEastAsia" w:eastAsiaTheme="minorEastAsia" w:cstheme="minorEastAsia"/>
          <w:b/>
          <w:color w:val="auto"/>
          <w:kern w:val="0"/>
          <w:sz w:val="32"/>
          <w:szCs w:val="32"/>
          <w:highlight w:val="none"/>
        </w:rPr>
      </w:pPr>
    </w:p>
    <w:p w14:paraId="5DDB0BF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5C91535D">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7D5A67B3">
      <w:pPr>
        <w:snapToGrid w:val="0"/>
        <w:spacing w:line="360" w:lineRule="auto"/>
        <w:rPr>
          <w:rFonts w:hint="eastAsia" w:asciiTheme="minorEastAsia" w:hAnsiTheme="minorEastAsia" w:eastAsiaTheme="minorEastAsia" w:cstheme="minorEastAsia"/>
          <w:color w:val="auto"/>
          <w:sz w:val="24"/>
          <w:highlight w:val="none"/>
        </w:rPr>
      </w:pPr>
    </w:p>
    <w:p w14:paraId="498AB780">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0C1730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1D0353E7">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E2F8CB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3C9555D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66C937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26C159F9">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3896038">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1847543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0B08B7D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38EAB773">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87CE48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77C323E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5E43D1D">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0757C96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C85027C">
      <w:pPr>
        <w:spacing w:line="360" w:lineRule="auto"/>
        <w:jc w:val="center"/>
        <w:rPr>
          <w:rFonts w:hint="eastAsia" w:asciiTheme="minorEastAsia" w:hAnsiTheme="minorEastAsia" w:eastAsiaTheme="minorEastAsia" w:cstheme="minorEastAsia"/>
          <w:b/>
          <w:bCs/>
          <w:color w:val="auto"/>
          <w:sz w:val="24"/>
          <w:highlight w:val="none"/>
        </w:rPr>
      </w:pPr>
    </w:p>
    <w:p w14:paraId="3800FEDA">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7ACB6DA">
      <w:pPr>
        <w:spacing w:line="360" w:lineRule="auto"/>
        <w:jc w:val="center"/>
        <w:rPr>
          <w:rFonts w:hint="eastAsia" w:asciiTheme="minorEastAsia" w:hAnsiTheme="minorEastAsia" w:eastAsiaTheme="minorEastAsia" w:cstheme="minorEastAsia"/>
          <w:b/>
          <w:bCs/>
          <w:color w:val="auto"/>
          <w:sz w:val="24"/>
          <w:highlight w:val="none"/>
        </w:rPr>
        <w:sectPr>
          <w:footerReference r:id="rId9"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docGrid w:linePitch="312" w:charSpace="0"/>
        </w:sectPr>
      </w:pPr>
    </w:p>
    <w:p w14:paraId="10F229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9E6DF3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9A193F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C670906">
      <w:pPr>
        <w:snapToGrid w:val="0"/>
        <w:spacing w:line="360" w:lineRule="auto"/>
        <w:rPr>
          <w:rFonts w:hint="eastAsia" w:asciiTheme="minorEastAsia" w:hAnsiTheme="minorEastAsia" w:eastAsiaTheme="minorEastAsia" w:cstheme="minorEastAsia"/>
          <w:color w:val="auto"/>
          <w:sz w:val="24"/>
          <w:highlight w:val="none"/>
        </w:rPr>
        <w:sectPr>
          <w:headerReference r:id="rId11" w:type="first"/>
          <w:footerReference r:id="rId13" w:type="first"/>
          <w:headerReference r:id="rId10" w:type="default"/>
          <w:footerReference r:id="rId12"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21CE2A28">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4ABB58D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F1FF4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2DA22C67">
      <w:pPr>
        <w:snapToGrid w:val="0"/>
        <w:spacing w:line="360" w:lineRule="auto"/>
        <w:ind w:left="480"/>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358"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416"/>
        <w:gridCol w:w="1236"/>
        <w:gridCol w:w="1299"/>
        <w:gridCol w:w="2535"/>
        <w:gridCol w:w="2145"/>
      </w:tblGrid>
      <w:tr w14:paraId="2F3F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38979FBC">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416" w:type="dxa"/>
            <w:tcBorders>
              <w:top w:val="single" w:color="auto" w:sz="4" w:space="0"/>
              <w:left w:val="single" w:color="auto" w:sz="4" w:space="0"/>
              <w:bottom w:val="single" w:color="auto" w:sz="4" w:space="0"/>
              <w:right w:val="single" w:color="auto" w:sz="4" w:space="0"/>
            </w:tcBorders>
            <w:vAlign w:val="center"/>
          </w:tcPr>
          <w:p w14:paraId="40F8FA8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236" w:type="dxa"/>
            <w:tcBorders>
              <w:top w:val="single" w:color="auto" w:sz="4" w:space="0"/>
              <w:left w:val="single" w:color="auto" w:sz="4" w:space="0"/>
              <w:bottom w:val="single" w:color="auto" w:sz="4" w:space="0"/>
              <w:right w:val="single" w:color="auto" w:sz="4" w:space="0"/>
            </w:tcBorders>
            <w:vAlign w:val="center"/>
          </w:tcPr>
          <w:p w14:paraId="3280D28C">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w:t>
            </w:r>
          </w:p>
        </w:tc>
        <w:tc>
          <w:tcPr>
            <w:tcW w:w="1299" w:type="dxa"/>
            <w:tcBorders>
              <w:top w:val="single" w:color="auto" w:sz="4" w:space="0"/>
              <w:left w:val="single" w:color="auto" w:sz="4" w:space="0"/>
              <w:bottom w:val="single" w:color="auto" w:sz="4" w:space="0"/>
              <w:right w:val="single" w:color="auto" w:sz="4" w:space="0"/>
            </w:tcBorders>
            <w:vAlign w:val="center"/>
          </w:tcPr>
          <w:p w14:paraId="755769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535" w:type="dxa"/>
            <w:tcBorders>
              <w:top w:val="single" w:color="auto" w:sz="4" w:space="0"/>
              <w:left w:val="single" w:color="auto" w:sz="4" w:space="0"/>
              <w:bottom w:val="single" w:color="auto" w:sz="4" w:space="0"/>
              <w:right w:val="single" w:color="auto" w:sz="4" w:space="0"/>
            </w:tcBorders>
            <w:vAlign w:val="center"/>
          </w:tcPr>
          <w:p w14:paraId="571612D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响应报价</w:t>
            </w:r>
            <w:r>
              <w:rPr>
                <w:rFonts w:hint="eastAsia" w:ascii="宋体" w:hAnsi="宋体" w:eastAsia="宋体" w:cs="宋体"/>
                <w:b/>
                <w:color w:val="auto"/>
                <w:sz w:val="24"/>
                <w:szCs w:val="24"/>
                <w:highlight w:val="none"/>
              </w:rPr>
              <w:t>（单价）</w:t>
            </w:r>
          </w:p>
        </w:tc>
        <w:tc>
          <w:tcPr>
            <w:tcW w:w="2145" w:type="dxa"/>
            <w:tcBorders>
              <w:top w:val="single" w:color="auto" w:sz="4" w:space="0"/>
              <w:left w:val="single" w:color="auto" w:sz="4" w:space="0"/>
              <w:bottom w:val="single" w:color="auto" w:sz="4" w:space="0"/>
              <w:right w:val="single" w:color="auto" w:sz="4" w:space="0"/>
            </w:tcBorders>
            <w:vAlign w:val="center"/>
          </w:tcPr>
          <w:p w14:paraId="1359C38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r>
      <w:tr w14:paraId="099C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2A2780E9">
            <w:pPr>
              <w:spacing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1</w:t>
            </w:r>
          </w:p>
        </w:tc>
        <w:tc>
          <w:tcPr>
            <w:tcW w:w="6416" w:type="dxa"/>
            <w:tcBorders>
              <w:top w:val="single" w:color="auto" w:sz="4" w:space="0"/>
              <w:left w:val="single" w:color="auto" w:sz="4" w:space="0"/>
              <w:bottom w:val="single" w:color="auto" w:sz="4" w:space="0"/>
              <w:right w:val="single" w:color="auto" w:sz="4" w:space="0"/>
            </w:tcBorders>
            <w:vAlign w:val="center"/>
          </w:tcPr>
          <w:p w14:paraId="27A92CCE">
            <w:pPr>
              <w:spacing w:line="420" w:lineRule="exac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highlight w:val="none"/>
              </w:rPr>
              <w:t>线路一：青海德令哈</w:t>
            </w:r>
            <w:r>
              <w:rPr>
                <w:rFonts w:hint="eastAsia" w:ascii="宋体" w:hAnsi="宋体" w:cs="宋体"/>
                <w:color w:val="auto"/>
                <w:kern w:val="0"/>
                <w:sz w:val="24"/>
                <w:highlight w:val="none"/>
                <w:lang w:val="zh-CN"/>
              </w:rPr>
              <w:t>往返5日疗休养行程</w:t>
            </w:r>
          </w:p>
        </w:tc>
        <w:tc>
          <w:tcPr>
            <w:tcW w:w="1236" w:type="dxa"/>
            <w:tcBorders>
              <w:top w:val="single" w:color="auto" w:sz="4" w:space="0"/>
              <w:left w:val="single" w:color="auto" w:sz="4" w:space="0"/>
              <w:bottom w:val="single" w:color="auto" w:sz="4" w:space="0"/>
              <w:right w:val="single" w:color="auto" w:sz="4" w:space="0"/>
            </w:tcBorders>
            <w:vAlign w:val="center"/>
          </w:tcPr>
          <w:p w14:paraId="6A96CFC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65744CE5">
            <w:pPr>
              <w:snapToGrid w:val="0"/>
              <w:spacing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1</w:t>
            </w:r>
          </w:p>
        </w:tc>
        <w:tc>
          <w:tcPr>
            <w:tcW w:w="2535" w:type="dxa"/>
            <w:tcBorders>
              <w:top w:val="single" w:color="auto" w:sz="4" w:space="0"/>
              <w:left w:val="single" w:color="auto" w:sz="4" w:space="0"/>
              <w:bottom w:val="single" w:color="auto" w:sz="4" w:space="0"/>
              <w:right w:val="single" w:color="auto" w:sz="4" w:space="0"/>
            </w:tcBorders>
            <w:vAlign w:val="center"/>
          </w:tcPr>
          <w:p w14:paraId="76F6046E">
            <w:pPr>
              <w:spacing w:line="420" w:lineRule="exact"/>
              <w:jc w:val="center"/>
              <w:rPr>
                <w:rFonts w:hint="eastAsia" w:ascii="宋体" w:hAnsi="宋体" w:eastAsia="宋体" w:cs="宋体"/>
                <w:color w:val="auto"/>
                <w:sz w:val="24"/>
                <w:szCs w:val="24"/>
                <w:highlight w:val="none"/>
                <w:lang w:eastAsia="zh-CN"/>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元/人次</w:t>
            </w:r>
          </w:p>
        </w:tc>
        <w:tc>
          <w:tcPr>
            <w:tcW w:w="2145" w:type="dxa"/>
            <w:tcBorders>
              <w:top w:val="single" w:color="auto" w:sz="4" w:space="0"/>
              <w:left w:val="single" w:color="auto" w:sz="4" w:space="0"/>
              <w:bottom w:val="single" w:color="auto" w:sz="4" w:space="0"/>
              <w:right w:val="single" w:color="auto" w:sz="4" w:space="0"/>
            </w:tcBorders>
            <w:vAlign w:val="center"/>
          </w:tcPr>
          <w:p w14:paraId="632EB7D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2D1D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6166B6C3">
            <w:pPr>
              <w:tabs>
                <w:tab w:val="center" w:pos="4153"/>
              </w:tabs>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6416" w:type="dxa"/>
            <w:tcBorders>
              <w:top w:val="single" w:color="auto" w:sz="4" w:space="0"/>
              <w:left w:val="single" w:color="auto" w:sz="4" w:space="0"/>
              <w:bottom w:val="single" w:color="auto" w:sz="4" w:space="0"/>
              <w:right w:val="single" w:color="auto" w:sz="4" w:space="0"/>
            </w:tcBorders>
            <w:vAlign w:val="center"/>
          </w:tcPr>
          <w:p w14:paraId="52D03096">
            <w:pPr>
              <w:spacing w:line="420" w:lineRule="exac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55AE761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2F45B36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14:paraId="57CC71B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bCs/>
                <w:color w:val="auto"/>
                <w:sz w:val="24"/>
                <w:szCs w:val="24"/>
                <w:highlight w:val="none"/>
                <w:u w:val="single"/>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14:paraId="2B52D15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1D4E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7EB0A6C9">
            <w:pPr>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2</w:t>
            </w:r>
          </w:p>
        </w:tc>
        <w:tc>
          <w:tcPr>
            <w:tcW w:w="6416" w:type="dxa"/>
            <w:tcBorders>
              <w:top w:val="single" w:color="auto" w:sz="4" w:space="0"/>
              <w:left w:val="single" w:color="auto" w:sz="4" w:space="0"/>
              <w:bottom w:val="single" w:color="auto" w:sz="4" w:space="0"/>
              <w:right w:val="single" w:color="auto" w:sz="4" w:space="0"/>
            </w:tcBorders>
            <w:vAlign w:val="center"/>
          </w:tcPr>
          <w:p w14:paraId="53B3D7F4">
            <w:pPr>
              <w:spacing w:line="420" w:lineRule="exact"/>
              <w:rPr>
                <w:rFonts w:hint="eastAsia" w:ascii="宋体" w:hAnsi="宋体" w:eastAsia="宋体" w:cs="宋体"/>
                <w:color w:val="auto"/>
                <w:kern w:val="0"/>
                <w:sz w:val="24"/>
                <w:szCs w:val="24"/>
                <w:highlight w:val="none"/>
                <w:lang w:val="zh-CN"/>
              </w:rPr>
            </w:pPr>
            <w:r>
              <w:rPr>
                <w:rFonts w:hint="eastAsia"/>
                <w:color w:val="auto"/>
                <w:sz w:val="24"/>
                <w:highlight w:val="none"/>
              </w:rPr>
              <w:t>线路二：湖州</w:t>
            </w:r>
            <w:r>
              <w:rPr>
                <w:rFonts w:hint="eastAsia" w:ascii="宋体" w:hAnsi="宋体" w:cs="宋体"/>
                <w:color w:val="auto"/>
                <w:kern w:val="0"/>
                <w:sz w:val="24"/>
                <w:highlight w:val="none"/>
              </w:rPr>
              <w:t>往返</w:t>
            </w:r>
            <w:r>
              <w:rPr>
                <w:rFonts w:ascii="宋体" w:hAnsi="宋体" w:cs="宋体"/>
                <w:color w:val="auto"/>
                <w:kern w:val="0"/>
                <w:sz w:val="24"/>
                <w:highlight w:val="none"/>
              </w:rPr>
              <w:t>4</w:t>
            </w:r>
            <w:r>
              <w:rPr>
                <w:rFonts w:hint="eastAsia" w:ascii="宋体" w:hAnsi="宋体" w:cs="宋体"/>
                <w:color w:val="auto"/>
                <w:kern w:val="0"/>
                <w:sz w:val="24"/>
                <w:highlight w:val="none"/>
              </w:rPr>
              <w:t>日疗休养行程</w:t>
            </w:r>
          </w:p>
        </w:tc>
        <w:tc>
          <w:tcPr>
            <w:tcW w:w="1236" w:type="dxa"/>
            <w:tcBorders>
              <w:top w:val="single" w:color="auto" w:sz="4" w:space="0"/>
              <w:left w:val="single" w:color="auto" w:sz="4" w:space="0"/>
              <w:bottom w:val="single" w:color="auto" w:sz="4" w:space="0"/>
              <w:right w:val="single" w:color="auto" w:sz="4" w:space="0"/>
            </w:tcBorders>
            <w:vAlign w:val="center"/>
          </w:tcPr>
          <w:p w14:paraId="275B1D7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3D946171">
            <w:pPr>
              <w:snapToGrid w:val="0"/>
              <w:spacing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1</w:t>
            </w:r>
          </w:p>
        </w:tc>
        <w:tc>
          <w:tcPr>
            <w:tcW w:w="2535" w:type="dxa"/>
            <w:tcBorders>
              <w:top w:val="single" w:color="auto" w:sz="4" w:space="0"/>
              <w:left w:val="single" w:color="auto" w:sz="4" w:space="0"/>
              <w:bottom w:val="single" w:color="auto" w:sz="4" w:space="0"/>
              <w:right w:val="single" w:color="auto" w:sz="4" w:space="0"/>
            </w:tcBorders>
            <w:vAlign w:val="center"/>
          </w:tcPr>
          <w:p w14:paraId="7B500842">
            <w:pPr>
              <w:spacing w:line="420" w:lineRule="exact"/>
              <w:jc w:val="center"/>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元/人次</w:t>
            </w:r>
          </w:p>
        </w:tc>
        <w:tc>
          <w:tcPr>
            <w:tcW w:w="2145" w:type="dxa"/>
            <w:tcBorders>
              <w:top w:val="single" w:color="auto" w:sz="4" w:space="0"/>
              <w:left w:val="single" w:color="auto" w:sz="4" w:space="0"/>
              <w:bottom w:val="single" w:color="auto" w:sz="4" w:space="0"/>
              <w:right w:val="single" w:color="auto" w:sz="4" w:space="0"/>
            </w:tcBorders>
            <w:vAlign w:val="center"/>
          </w:tcPr>
          <w:p w14:paraId="30CB2E9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318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2BAB1C44">
            <w:pPr>
              <w:tabs>
                <w:tab w:val="center" w:pos="4153"/>
              </w:tabs>
              <w:spacing w:line="42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2.1</w:t>
            </w:r>
          </w:p>
        </w:tc>
        <w:tc>
          <w:tcPr>
            <w:tcW w:w="6416" w:type="dxa"/>
            <w:tcBorders>
              <w:top w:val="single" w:color="auto" w:sz="4" w:space="0"/>
              <w:left w:val="single" w:color="auto" w:sz="4" w:space="0"/>
              <w:bottom w:val="single" w:color="auto" w:sz="4" w:space="0"/>
              <w:right w:val="single" w:color="auto" w:sz="4" w:space="0"/>
            </w:tcBorders>
            <w:vAlign w:val="center"/>
          </w:tcPr>
          <w:p w14:paraId="77D8B167">
            <w:pPr>
              <w:spacing w:line="420" w:lineRule="exac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1F7AFC8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27A6410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14:paraId="5E5974A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bCs/>
                <w:color w:val="auto"/>
                <w:sz w:val="24"/>
                <w:szCs w:val="24"/>
                <w:highlight w:val="none"/>
                <w:u w:val="single"/>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14:paraId="01D0CB8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187A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4009A426">
            <w:pPr>
              <w:spacing w:line="420" w:lineRule="exact"/>
              <w:jc w:val="center"/>
              <w:rPr>
                <w:rFonts w:hint="eastAsia" w:ascii="宋体" w:hAnsi="宋体" w:cs="宋体"/>
                <w:color w:val="auto"/>
                <w:sz w:val="24"/>
                <w:szCs w:val="24"/>
                <w:highlight w:val="none"/>
                <w:lang w:val="en-US" w:eastAsia="zh-CN"/>
              </w:rPr>
            </w:pPr>
            <w:r>
              <w:rPr>
                <w:rFonts w:ascii="宋体" w:hAnsi="宋体" w:cs="宋体"/>
                <w:color w:val="auto"/>
                <w:sz w:val="24"/>
                <w:highlight w:val="none"/>
              </w:rPr>
              <w:t>3</w:t>
            </w:r>
          </w:p>
        </w:tc>
        <w:tc>
          <w:tcPr>
            <w:tcW w:w="6416" w:type="dxa"/>
            <w:tcBorders>
              <w:top w:val="single" w:color="auto" w:sz="4" w:space="0"/>
              <w:left w:val="single" w:color="auto" w:sz="4" w:space="0"/>
              <w:bottom w:val="single" w:color="auto" w:sz="4" w:space="0"/>
              <w:right w:val="single" w:color="auto" w:sz="4" w:space="0"/>
            </w:tcBorders>
            <w:vAlign w:val="center"/>
          </w:tcPr>
          <w:p w14:paraId="74D8A56C">
            <w:pPr>
              <w:spacing w:line="420" w:lineRule="exact"/>
              <w:rPr>
                <w:rFonts w:hint="eastAsia" w:ascii="宋体" w:hAnsi="宋体" w:cs="宋体"/>
                <w:color w:val="auto"/>
                <w:kern w:val="0"/>
                <w:sz w:val="24"/>
                <w:szCs w:val="24"/>
                <w:highlight w:val="none"/>
                <w:lang w:val="en-US" w:eastAsia="zh-CN"/>
              </w:rPr>
            </w:pPr>
            <w:r>
              <w:rPr>
                <w:rFonts w:hint="eastAsia"/>
                <w:color w:val="auto"/>
                <w:sz w:val="24"/>
                <w:highlight w:val="none"/>
              </w:rPr>
              <w:t>线路三：湖州</w:t>
            </w:r>
            <w:r>
              <w:rPr>
                <w:rFonts w:hint="eastAsia" w:ascii="宋体" w:hAnsi="宋体" w:cs="宋体"/>
                <w:color w:val="auto"/>
                <w:kern w:val="0"/>
                <w:sz w:val="24"/>
                <w:highlight w:val="none"/>
              </w:rPr>
              <w:t>往返</w:t>
            </w:r>
            <w:r>
              <w:rPr>
                <w:rFonts w:ascii="宋体" w:hAnsi="宋体" w:cs="宋体"/>
                <w:color w:val="auto"/>
                <w:kern w:val="0"/>
                <w:sz w:val="24"/>
                <w:highlight w:val="none"/>
              </w:rPr>
              <w:t>4</w:t>
            </w:r>
            <w:r>
              <w:rPr>
                <w:rFonts w:hint="eastAsia" w:ascii="宋体" w:hAnsi="宋体" w:cs="宋体"/>
                <w:color w:val="auto"/>
                <w:kern w:val="0"/>
                <w:sz w:val="24"/>
                <w:highlight w:val="none"/>
              </w:rPr>
              <w:t>日疗休养行程</w:t>
            </w:r>
          </w:p>
        </w:tc>
        <w:tc>
          <w:tcPr>
            <w:tcW w:w="1236" w:type="dxa"/>
            <w:tcBorders>
              <w:top w:val="single" w:color="auto" w:sz="4" w:space="0"/>
              <w:left w:val="single" w:color="auto" w:sz="4" w:space="0"/>
              <w:bottom w:val="single" w:color="auto" w:sz="4" w:space="0"/>
              <w:right w:val="single" w:color="auto" w:sz="4" w:space="0"/>
            </w:tcBorders>
            <w:vAlign w:val="center"/>
          </w:tcPr>
          <w:p w14:paraId="426DC52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0107878F">
            <w:pPr>
              <w:snapToGrid w:val="0"/>
              <w:spacing w:line="420" w:lineRule="exact"/>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1</w:t>
            </w:r>
          </w:p>
        </w:tc>
        <w:tc>
          <w:tcPr>
            <w:tcW w:w="2535" w:type="dxa"/>
            <w:tcBorders>
              <w:top w:val="single" w:color="auto" w:sz="4" w:space="0"/>
              <w:left w:val="single" w:color="auto" w:sz="4" w:space="0"/>
              <w:bottom w:val="single" w:color="auto" w:sz="4" w:space="0"/>
              <w:right w:val="single" w:color="auto" w:sz="4" w:space="0"/>
            </w:tcBorders>
            <w:vAlign w:val="center"/>
          </w:tcPr>
          <w:p w14:paraId="6F2955F3">
            <w:pPr>
              <w:spacing w:line="420" w:lineRule="exact"/>
              <w:jc w:val="center"/>
              <w:rPr>
                <w:rFonts w:hint="eastAsia" w:ascii="宋体" w:hAnsi="宋体" w:eastAsia="宋体" w:cs="宋体"/>
                <w:b/>
                <w:bCs/>
                <w:color w:val="auto"/>
                <w:sz w:val="24"/>
                <w:szCs w:val="24"/>
                <w:highlight w:val="none"/>
                <w:u w:val="single"/>
                <w:lang w:val="en-US" w:eastAsia="zh-CN"/>
              </w:rPr>
            </w:pP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元/人次</w:t>
            </w:r>
          </w:p>
        </w:tc>
        <w:tc>
          <w:tcPr>
            <w:tcW w:w="2145" w:type="dxa"/>
            <w:tcBorders>
              <w:top w:val="single" w:color="auto" w:sz="4" w:space="0"/>
              <w:left w:val="single" w:color="auto" w:sz="4" w:space="0"/>
              <w:bottom w:val="single" w:color="auto" w:sz="4" w:space="0"/>
              <w:right w:val="single" w:color="auto" w:sz="4" w:space="0"/>
            </w:tcBorders>
            <w:vAlign w:val="center"/>
          </w:tcPr>
          <w:p w14:paraId="513C159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r w14:paraId="2815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7" w:type="dxa"/>
            <w:tcBorders>
              <w:top w:val="single" w:color="auto" w:sz="4" w:space="0"/>
              <w:left w:val="single" w:color="auto" w:sz="4" w:space="0"/>
              <w:bottom w:val="single" w:color="auto" w:sz="4" w:space="0"/>
              <w:right w:val="single" w:color="auto" w:sz="4" w:space="0"/>
            </w:tcBorders>
            <w:vAlign w:val="center"/>
          </w:tcPr>
          <w:p w14:paraId="5A9AA726">
            <w:pPr>
              <w:tabs>
                <w:tab w:val="center" w:pos="4153"/>
              </w:tabs>
              <w:spacing w:line="420" w:lineRule="exact"/>
              <w:jc w:val="center"/>
              <w:rPr>
                <w:rFonts w:hint="eastAsia" w:ascii="宋体" w:hAnsi="宋体" w:cs="宋体"/>
                <w:color w:val="auto"/>
                <w:sz w:val="24"/>
                <w:szCs w:val="24"/>
                <w:highlight w:val="none"/>
                <w:lang w:val="en-US" w:eastAsia="zh-CN"/>
              </w:rPr>
            </w:pPr>
            <w:r>
              <w:rPr>
                <w:rFonts w:ascii="宋体" w:hAnsi="宋体" w:cs="宋体"/>
                <w:color w:val="auto"/>
                <w:sz w:val="24"/>
                <w:highlight w:val="none"/>
              </w:rPr>
              <w:t>3</w:t>
            </w:r>
            <w:r>
              <w:rPr>
                <w:rFonts w:hint="eastAsia" w:ascii="宋体" w:hAnsi="宋体" w:cs="宋体"/>
                <w:color w:val="auto"/>
                <w:sz w:val="24"/>
                <w:highlight w:val="none"/>
              </w:rPr>
              <w:t>.1</w:t>
            </w:r>
          </w:p>
        </w:tc>
        <w:tc>
          <w:tcPr>
            <w:tcW w:w="6416" w:type="dxa"/>
            <w:tcBorders>
              <w:top w:val="single" w:color="auto" w:sz="4" w:space="0"/>
              <w:left w:val="single" w:color="auto" w:sz="4" w:space="0"/>
              <w:bottom w:val="single" w:color="auto" w:sz="4" w:space="0"/>
              <w:right w:val="single" w:color="auto" w:sz="4" w:space="0"/>
            </w:tcBorders>
            <w:vAlign w:val="center"/>
          </w:tcPr>
          <w:p w14:paraId="5F83C9B6">
            <w:pPr>
              <w:spacing w:line="420" w:lineRule="exac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highlight w:val="none"/>
                <w:lang w:val="zh-CN"/>
              </w:rPr>
              <w:t>..............</w:t>
            </w:r>
          </w:p>
        </w:tc>
        <w:tc>
          <w:tcPr>
            <w:tcW w:w="1236" w:type="dxa"/>
            <w:tcBorders>
              <w:top w:val="single" w:color="auto" w:sz="4" w:space="0"/>
              <w:left w:val="single" w:color="auto" w:sz="4" w:space="0"/>
              <w:bottom w:val="single" w:color="auto" w:sz="4" w:space="0"/>
              <w:right w:val="single" w:color="auto" w:sz="4" w:space="0"/>
            </w:tcBorders>
            <w:vAlign w:val="center"/>
          </w:tcPr>
          <w:p w14:paraId="02E5170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1299" w:type="dxa"/>
            <w:tcBorders>
              <w:top w:val="single" w:color="auto" w:sz="4" w:space="0"/>
              <w:left w:val="single" w:color="auto" w:sz="4" w:space="0"/>
              <w:bottom w:val="single" w:color="auto" w:sz="4" w:space="0"/>
              <w:right w:val="single" w:color="auto" w:sz="4" w:space="0"/>
            </w:tcBorders>
            <w:vAlign w:val="center"/>
          </w:tcPr>
          <w:p w14:paraId="5DED0B8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color w:val="auto"/>
                <w:sz w:val="24"/>
                <w:szCs w:val="24"/>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14:paraId="75F0789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bCs/>
                <w:color w:val="auto"/>
                <w:sz w:val="24"/>
                <w:szCs w:val="24"/>
                <w:highlight w:val="none"/>
                <w:u w:val="single"/>
                <w:lang w:val="en-US"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14:paraId="02DA29E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color w:val="auto"/>
                <w:sz w:val="24"/>
                <w:szCs w:val="24"/>
                <w:highlight w:val="none"/>
              </w:rPr>
            </w:pPr>
          </w:p>
        </w:tc>
      </w:tr>
    </w:tbl>
    <w:p w14:paraId="36E1C07B">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3A46549B">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4771470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0ABB0FE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73CFBC7A">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5795815D">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4406700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5B3C457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3E1FDB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1108D8D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3A193C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5DE1B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46A8D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A1612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07844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72227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4141D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7D1ED1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9E083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1D3452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015A3E0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14D1606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3B7D9C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75A4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BB087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B7B03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BD602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1464C1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9971AB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34BBA94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D73D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0625A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08B6335">
      <w:pPr>
        <w:spacing w:line="360" w:lineRule="auto"/>
        <w:jc w:val="center"/>
        <w:rPr>
          <w:rFonts w:hint="eastAsia" w:ascii="宋体" w:hAnsi="宋体" w:cs="宋体"/>
          <w:b/>
          <w:bCs/>
          <w:color w:val="auto"/>
          <w:sz w:val="24"/>
          <w:highlight w:val="none"/>
        </w:rPr>
      </w:pPr>
    </w:p>
    <w:p w14:paraId="04572DF4">
      <w:pPr>
        <w:spacing w:line="360" w:lineRule="auto"/>
        <w:rPr>
          <w:rFonts w:hint="eastAsia" w:ascii="宋体" w:hAnsi="宋体" w:cs="宋体"/>
          <w:b/>
          <w:color w:val="auto"/>
          <w:sz w:val="24"/>
          <w:highlight w:val="none"/>
        </w:rPr>
      </w:pPr>
    </w:p>
    <w:p w14:paraId="6851968D">
      <w:pPr>
        <w:spacing w:line="360" w:lineRule="auto"/>
        <w:rPr>
          <w:rFonts w:hint="eastAsia" w:ascii="宋体" w:hAnsi="宋体" w:cs="宋体"/>
          <w:b/>
          <w:color w:val="auto"/>
          <w:sz w:val="24"/>
          <w:highlight w:val="none"/>
        </w:rPr>
      </w:pPr>
    </w:p>
    <w:p w14:paraId="43794CA5">
      <w:pPr>
        <w:spacing w:line="360" w:lineRule="auto"/>
        <w:rPr>
          <w:rFonts w:hint="eastAsia" w:ascii="宋体" w:hAnsi="宋体" w:cs="宋体"/>
          <w:b/>
          <w:color w:val="auto"/>
          <w:sz w:val="24"/>
          <w:highlight w:val="none"/>
        </w:rPr>
      </w:pPr>
    </w:p>
    <w:p w14:paraId="4E81CF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1418B4E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0E55612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7A4AE77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210A0E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7622C3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EA907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47F2CDA">
      <w:pPr>
        <w:widowControl/>
        <w:spacing w:line="360" w:lineRule="auto"/>
        <w:ind w:firstLine="600" w:firstLineChars="200"/>
        <w:jc w:val="left"/>
        <w:rPr>
          <w:rFonts w:hint="eastAsia" w:ascii="宋体" w:hAnsi="宋体" w:cs="宋体"/>
          <w:color w:val="auto"/>
          <w:sz w:val="30"/>
          <w:szCs w:val="30"/>
          <w:highlight w:val="none"/>
        </w:rPr>
      </w:pPr>
    </w:p>
    <w:p w14:paraId="7D58659B">
      <w:pPr>
        <w:spacing w:line="360" w:lineRule="auto"/>
        <w:jc w:val="center"/>
        <w:rPr>
          <w:rFonts w:hint="eastAsia" w:ascii="宋体" w:hAnsi="宋体" w:cs="宋体"/>
          <w:b/>
          <w:color w:val="auto"/>
          <w:spacing w:val="6"/>
          <w:sz w:val="32"/>
          <w:szCs w:val="32"/>
          <w:highlight w:val="none"/>
        </w:rPr>
      </w:pPr>
    </w:p>
    <w:p w14:paraId="268B9794">
      <w:pPr>
        <w:spacing w:line="360" w:lineRule="auto"/>
        <w:jc w:val="center"/>
        <w:rPr>
          <w:rFonts w:hint="eastAsia" w:ascii="宋体" w:hAnsi="宋体" w:cs="宋体"/>
          <w:b/>
          <w:color w:val="auto"/>
          <w:spacing w:val="6"/>
          <w:sz w:val="32"/>
          <w:szCs w:val="32"/>
          <w:highlight w:val="none"/>
        </w:rPr>
      </w:pPr>
    </w:p>
    <w:p w14:paraId="07DC9436">
      <w:pPr>
        <w:spacing w:line="360" w:lineRule="auto"/>
        <w:jc w:val="center"/>
        <w:rPr>
          <w:rFonts w:hint="eastAsia" w:ascii="宋体" w:hAnsi="宋体" w:cs="宋体"/>
          <w:b/>
          <w:color w:val="auto"/>
          <w:spacing w:val="6"/>
          <w:sz w:val="32"/>
          <w:szCs w:val="32"/>
          <w:highlight w:val="none"/>
        </w:rPr>
      </w:pPr>
    </w:p>
    <w:p w14:paraId="0B5CBD63">
      <w:pPr>
        <w:spacing w:line="360" w:lineRule="auto"/>
        <w:jc w:val="center"/>
        <w:rPr>
          <w:rFonts w:hint="eastAsia" w:ascii="宋体" w:hAnsi="宋体" w:cs="宋体"/>
          <w:b/>
          <w:color w:val="auto"/>
          <w:spacing w:val="6"/>
          <w:sz w:val="32"/>
          <w:szCs w:val="32"/>
          <w:highlight w:val="none"/>
        </w:rPr>
      </w:pPr>
    </w:p>
    <w:p w14:paraId="7F49C894">
      <w:pPr>
        <w:spacing w:line="360" w:lineRule="auto"/>
        <w:jc w:val="center"/>
        <w:rPr>
          <w:rFonts w:hint="eastAsia" w:ascii="宋体" w:hAnsi="宋体" w:cs="宋体"/>
          <w:b/>
          <w:color w:val="auto"/>
          <w:spacing w:val="6"/>
          <w:sz w:val="32"/>
          <w:szCs w:val="32"/>
          <w:highlight w:val="none"/>
        </w:rPr>
      </w:pPr>
    </w:p>
    <w:p w14:paraId="3C138F21">
      <w:pPr>
        <w:spacing w:line="360" w:lineRule="auto"/>
        <w:jc w:val="center"/>
        <w:rPr>
          <w:rFonts w:hint="eastAsia" w:ascii="宋体" w:hAnsi="宋体" w:cs="宋体"/>
          <w:b/>
          <w:color w:val="auto"/>
          <w:spacing w:val="6"/>
          <w:sz w:val="32"/>
          <w:szCs w:val="32"/>
          <w:highlight w:val="none"/>
        </w:rPr>
      </w:pPr>
    </w:p>
    <w:p w14:paraId="365B09FC">
      <w:pPr>
        <w:spacing w:line="360" w:lineRule="auto"/>
        <w:jc w:val="center"/>
        <w:rPr>
          <w:rFonts w:hint="eastAsia" w:ascii="宋体" w:hAnsi="宋体" w:cs="宋体"/>
          <w:b/>
          <w:color w:val="auto"/>
          <w:spacing w:val="6"/>
          <w:sz w:val="32"/>
          <w:szCs w:val="32"/>
          <w:highlight w:val="none"/>
        </w:rPr>
      </w:pPr>
    </w:p>
    <w:p w14:paraId="00936A4F">
      <w:pPr>
        <w:spacing w:line="360" w:lineRule="auto"/>
        <w:jc w:val="center"/>
        <w:rPr>
          <w:rFonts w:hint="eastAsia" w:ascii="宋体" w:hAnsi="宋体" w:cs="宋体"/>
          <w:b/>
          <w:color w:val="auto"/>
          <w:spacing w:val="6"/>
          <w:sz w:val="32"/>
          <w:szCs w:val="32"/>
          <w:highlight w:val="none"/>
        </w:rPr>
      </w:pPr>
    </w:p>
    <w:p w14:paraId="030A4D3D">
      <w:pPr>
        <w:spacing w:line="360" w:lineRule="auto"/>
        <w:jc w:val="center"/>
        <w:rPr>
          <w:rFonts w:hint="eastAsia" w:ascii="宋体" w:hAnsi="宋体" w:cs="宋体"/>
          <w:b/>
          <w:color w:val="auto"/>
          <w:spacing w:val="6"/>
          <w:sz w:val="32"/>
          <w:szCs w:val="32"/>
          <w:highlight w:val="none"/>
        </w:rPr>
      </w:pPr>
    </w:p>
    <w:p w14:paraId="7ADA6DFD">
      <w:pPr>
        <w:spacing w:line="360" w:lineRule="auto"/>
        <w:jc w:val="center"/>
        <w:rPr>
          <w:rFonts w:hint="eastAsia" w:ascii="宋体" w:hAnsi="宋体" w:cs="宋体"/>
          <w:b/>
          <w:color w:val="auto"/>
          <w:spacing w:val="6"/>
          <w:sz w:val="32"/>
          <w:szCs w:val="32"/>
          <w:highlight w:val="none"/>
        </w:rPr>
      </w:pPr>
    </w:p>
    <w:p w14:paraId="16B50D59">
      <w:pPr>
        <w:spacing w:line="360" w:lineRule="auto"/>
        <w:jc w:val="center"/>
        <w:rPr>
          <w:rFonts w:hint="eastAsia" w:ascii="宋体" w:hAnsi="宋体" w:cs="宋体"/>
          <w:b/>
          <w:color w:val="auto"/>
          <w:spacing w:val="6"/>
          <w:sz w:val="32"/>
          <w:szCs w:val="32"/>
          <w:highlight w:val="none"/>
        </w:rPr>
      </w:pPr>
    </w:p>
    <w:p w14:paraId="32022246">
      <w:pPr>
        <w:spacing w:line="360" w:lineRule="auto"/>
        <w:jc w:val="center"/>
        <w:rPr>
          <w:rFonts w:hint="eastAsia" w:ascii="宋体" w:hAnsi="宋体" w:cs="宋体"/>
          <w:b/>
          <w:color w:val="auto"/>
          <w:spacing w:val="6"/>
          <w:sz w:val="32"/>
          <w:szCs w:val="32"/>
          <w:highlight w:val="none"/>
        </w:rPr>
      </w:pPr>
    </w:p>
    <w:p w14:paraId="203BF9EA">
      <w:pPr>
        <w:spacing w:line="360" w:lineRule="auto"/>
        <w:jc w:val="left"/>
        <w:rPr>
          <w:rFonts w:hint="eastAsia" w:ascii="宋体" w:hAnsi="宋体" w:cs="宋体"/>
          <w:b/>
          <w:color w:val="auto"/>
          <w:spacing w:val="6"/>
          <w:sz w:val="32"/>
          <w:szCs w:val="32"/>
          <w:highlight w:val="none"/>
        </w:rPr>
      </w:pPr>
    </w:p>
    <w:p w14:paraId="06BA034F">
      <w:pPr>
        <w:spacing w:line="360" w:lineRule="auto"/>
        <w:jc w:val="left"/>
        <w:rPr>
          <w:rFonts w:hint="eastAsia" w:ascii="宋体" w:hAnsi="宋体" w:cs="宋体"/>
          <w:b/>
          <w:color w:val="auto"/>
          <w:spacing w:val="6"/>
          <w:sz w:val="32"/>
          <w:szCs w:val="32"/>
          <w:highlight w:val="none"/>
        </w:rPr>
      </w:pPr>
    </w:p>
    <w:p w14:paraId="3FEBB0B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ED3B0D5">
      <w:pPr>
        <w:spacing w:line="360" w:lineRule="auto"/>
        <w:jc w:val="center"/>
        <w:rPr>
          <w:rFonts w:hint="eastAsia" w:ascii="宋体" w:hAnsi="宋体" w:cs="宋体"/>
          <w:b/>
          <w:color w:val="auto"/>
          <w:sz w:val="24"/>
          <w:highlight w:val="none"/>
        </w:rPr>
      </w:pPr>
    </w:p>
    <w:p w14:paraId="664CBD8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9B9FE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C4287A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618A7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34EF2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F02C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E8C8C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F8604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852A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8C6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49B8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68A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533D0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4FFD37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8E35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B26E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AD2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5EBF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A62D00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511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7E0C9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1DA9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7CF85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E880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353E1DA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136E71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C3508F">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1C9393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FD7BAA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1F3D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68D8A6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BAB66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4283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1B04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481E2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71A54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628E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BE881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6D6B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2E92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EF43D8">
      <w:pPr>
        <w:spacing w:line="360" w:lineRule="auto"/>
        <w:rPr>
          <w:rFonts w:hint="eastAsia" w:ascii="宋体" w:hAnsi="宋体" w:cs="宋体"/>
          <w:b/>
          <w:color w:val="auto"/>
          <w:sz w:val="24"/>
          <w:highlight w:val="none"/>
        </w:rPr>
      </w:pPr>
    </w:p>
    <w:p w14:paraId="05B7EA1E">
      <w:pPr>
        <w:spacing w:line="360" w:lineRule="auto"/>
        <w:rPr>
          <w:rFonts w:hint="eastAsia" w:ascii="宋体" w:hAnsi="宋体" w:cs="宋体"/>
          <w:b/>
          <w:color w:val="auto"/>
          <w:sz w:val="24"/>
          <w:highlight w:val="none"/>
        </w:rPr>
      </w:pPr>
    </w:p>
    <w:p w14:paraId="14907B5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406F4D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305189B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E49EB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D7E8F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66CD8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823B0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8E57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F859FA">
      <w:pPr>
        <w:spacing w:line="360" w:lineRule="auto"/>
        <w:rPr>
          <w:rFonts w:hint="eastAsia" w:asciiTheme="minorEastAsia" w:hAnsiTheme="minorEastAsia" w:eastAsiaTheme="minorEastAsia" w:cstheme="minorEastAsia"/>
          <w:b/>
          <w:color w:val="auto"/>
          <w:sz w:val="24"/>
          <w:highlight w:val="none"/>
        </w:rPr>
      </w:pPr>
    </w:p>
    <w:p w14:paraId="743D036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69547E">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65ADF8F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369BFF1">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61BF8202">
      <w:pPr>
        <w:autoSpaceDE w:val="0"/>
        <w:autoSpaceDN w:val="0"/>
        <w:jc w:val="center"/>
        <w:rPr>
          <w:rFonts w:hint="eastAsia" w:asciiTheme="minorEastAsia" w:hAnsiTheme="minorEastAsia" w:eastAsiaTheme="minorEastAsia" w:cstheme="minorEastAsia"/>
          <w:b/>
          <w:bCs/>
          <w:color w:val="auto"/>
          <w:sz w:val="32"/>
          <w:szCs w:val="32"/>
          <w:highlight w:val="none"/>
        </w:rPr>
      </w:pPr>
    </w:p>
    <w:p w14:paraId="2ADF5AAA">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78CE3D35">
      <w:pPr>
        <w:spacing w:line="360" w:lineRule="auto"/>
        <w:rPr>
          <w:rFonts w:hint="eastAsia" w:asciiTheme="minorEastAsia" w:hAnsiTheme="minorEastAsia" w:eastAsiaTheme="minorEastAsia" w:cstheme="minorEastAsia"/>
          <w:color w:val="auto"/>
          <w:sz w:val="24"/>
          <w:highlight w:val="none"/>
          <w:u w:val="single"/>
        </w:rPr>
      </w:pPr>
    </w:p>
    <w:p w14:paraId="648915B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5D1BD2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D87A8B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1F3629">
      <w:pPr>
        <w:spacing w:line="360" w:lineRule="auto"/>
        <w:ind w:firstLine="494"/>
        <w:rPr>
          <w:rFonts w:hint="eastAsia" w:asciiTheme="minorEastAsia" w:hAnsiTheme="minorEastAsia" w:eastAsiaTheme="minorEastAsia" w:cstheme="minorEastAsia"/>
          <w:color w:val="auto"/>
          <w:sz w:val="24"/>
          <w:highlight w:val="none"/>
        </w:rPr>
      </w:pPr>
    </w:p>
    <w:p w14:paraId="0DEB86B4">
      <w:pPr>
        <w:spacing w:line="360" w:lineRule="auto"/>
        <w:ind w:firstLine="494"/>
        <w:rPr>
          <w:rFonts w:hint="eastAsia" w:asciiTheme="minorEastAsia" w:hAnsiTheme="minorEastAsia" w:eastAsiaTheme="minorEastAsia" w:cstheme="minorEastAsia"/>
          <w:color w:val="auto"/>
          <w:sz w:val="24"/>
          <w:highlight w:val="none"/>
        </w:rPr>
      </w:pPr>
    </w:p>
    <w:p w14:paraId="1E095461">
      <w:pPr>
        <w:spacing w:line="360" w:lineRule="auto"/>
        <w:ind w:firstLine="494"/>
        <w:rPr>
          <w:rFonts w:hint="eastAsia" w:asciiTheme="minorEastAsia" w:hAnsiTheme="minorEastAsia" w:eastAsiaTheme="minorEastAsia" w:cstheme="minorEastAsia"/>
          <w:color w:val="auto"/>
          <w:sz w:val="24"/>
          <w:highlight w:val="none"/>
        </w:rPr>
      </w:pPr>
    </w:p>
    <w:p w14:paraId="50357F72">
      <w:pPr>
        <w:spacing w:line="360" w:lineRule="auto"/>
        <w:ind w:firstLine="494"/>
        <w:rPr>
          <w:rFonts w:hint="eastAsia" w:asciiTheme="minorEastAsia" w:hAnsiTheme="minorEastAsia" w:eastAsiaTheme="minorEastAsia" w:cstheme="minorEastAsia"/>
          <w:color w:val="auto"/>
          <w:sz w:val="24"/>
          <w:highlight w:val="none"/>
        </w:rPr>
      </w:pPr>
    </w:p>
    <w:p w14:paraId="1457371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94DA5F4">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19176BC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6EE4473">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5F0CA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05F0CAD">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3206C85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4BD44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1478C2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E17F13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05B8B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1AADA1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CB4B30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C8B8D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6C2BF6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047CE4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B10A8C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62B993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50DC855">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headerReference r:id="rId15" w:type="first"/>
      <w:footerReference r:id="rId17" w:type="first"/>
      <w:headerReference r:id="rId14" w:type="default"/>
      <w:footerReference r:id="rId16" w:type="default"/>
      <w:pgSz w:w="11906" w:h="16838"/>
      <w:pgMar w:top="1247" w:right="1417" w:bottom="1247" w:left="1417"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字由点字浩魂"/>
    <w:panose1 w:val="00000000000000000000"/>
    <w:charset w:val="00"/>
    <w:family w:val="modern"/>
    <w:pitch w:val="default"/>
    <w:sig w:usb0="00000000" w:usb1="00000000" w:usb2="00000000" w:usb3="00000000" w:csb0="00040001" w:csb1="00000000"/>
  </w:font>
  <w:font w:name="字由点字浩魂">
    <w:panose1 w:val="02000009000000000000"/>
    <w:charset w:val="86"/>
    <w:family w:val="auto"/>
    <w:pitch w:val="default"/>
    <w:sig w:usb0="00000000" w:usb1="08000000" w:usb2="00000000" w:usb3="00000000" w:csb0="0004009F"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9BF2">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DB1A">
    <w:pPr>
      <w:pStyle w:val="41"/>
      <w:jc w:val="center"/>
      <w:rPr>
        <w:rFonts w:ascii="仿宋_GB2312" w:eastAsia="仿宋_GB2312"/>
      </w:rPr>
    </w:pPr>
  </w:p>
  <w:p w14:paraId="531968F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D4C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793A8">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FB793A8">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79AB">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54C311">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54C311">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B9ABCC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4054">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2AD04">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5D2AD04">
                    <w:pPr>
                      <w:pStyle w:val="41"/>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0993">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926026">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0926026">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680A3BE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6056">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2461B1">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12461B1">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03EB4B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00DD">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CA019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48CA0192">
                    <w:pPr>
                      <w:pStyle w:val="41"/>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358">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FAFED">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6FAFED">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5153">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CFAF">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066F">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FFE7">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EAE5">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E9A9">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68E0C"/>
    <w:multiLevelType w:val="singleLevel"/>
    <w:tmpl w:val="C9068E0C"/>
    <w:lvl w:ilvl="0" w:tentative="0">
      <w:start w:val="5"/>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2311BA"/>
    <w:rsid w:val="042B157A"/>
    <w:rsid w:val="048F763B"/>
    <w:rsid w:val="049F330E"/>
    <w:rsid w:val="04AA775C"/>
    <w:rsid w:val="04AF1889"/>
    <w:rsid w:val="04B85F11"/>
    <w:rsid w:val="04EE3F9B"/>
    <w:rsid w:val="04F66F48"/>
    <w:rsid w:val="051E28A6"/>
    <w:rsid w:val="05222265"/>
    <w:rsid w:val="05251E14"/>
    <w:rsid w:val="05507636"/>
    <w:rsid w:val="05770BD6"/>
    <w:rsid w:val="058806C7"/>
    <w:rsid w:val="05A16594"/>
    <w:rsid w:val="05A7762D"/>
    <w:rsid w:val="05BF4603"/>
    <w:rsid w:val="05C04DC2"/>
    <w:rsid w:val="060E5941"/>
    <w:rsid w:val="06110FAF"/>
    <w:rsid w:val="06493CA7"/>
    <w:rsid w:val="065A6178"/>
    <w:rsid w:val="066D3597"/>
    <w:rsid w:val="066F1CF3"/>
    <w:rsid w:val="06734B80"/>
    <w:rsid w:val="06930BB8"/>
    <w:rsid w:val="06956198"/>
    <w:rsid w:val="07245D42"/>
    <w:rsid w:val="07264C62"/>
    <w:rsid w:val="072F6604"/>
    <w:rsid w:val="074460BC"/>
    <w:rsid w:val="0779354C"/>
    <w:rsid w:val="077F0C95"/>
    <w:rsid w:val="07C300BD"/>
    <w:rsid w:val="07C51FB8"/>
    <w:rsid w:val="07EC6682"/>
    <w:rsid w:val="07F3638F"/>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91283"/>
    <w:rsid w:val="0B76461B"/>
    <w:rsid w:val="0B7F3F11"/>
    <w:rsid w:val="0B884417"/>
    <w:rsid w:val="0B93709B"/>
    <w:rsid w:val="0BA212C6"/>
    <w:rsid w:val="0BF6188C"/>
    <w:rsid w:val="0BF73C91"/>
    <w:rsid w:val="0BF80826"/>
    <w:rsid w:val="0C170175"/>
    <w:rsid w:val="0C3D5BFB"/>
    <w:rsid w:val="0C41327A"/>
    <w:rsid w:val="0C516EA9"/>
    <w:rsid w:val="0C571A41"/>
    <w:rsid w:val="0C5C1171"/>
    <w:rsid w:val="0C5E1CBC"/>
    <w:rsid w:val="0C615B50"/>
    <w:rsid w:val="0C6E0EEC"/>
    <w:rsid w:val="0C8445DA"/>
    <w:rsid w:val="0C87121B"/>
    <w:rsid w:val="0CAE0BF3"/>
    <w:rsid w:val="0CC007F7"/>
    <w:rsid w:val="0CC617AC"/>
    <w:rsid w:val="0CCD7D2D"/>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A3C4E"/>
    <w:rsid w:val="10156805"/>
    <w:rsid w:val="10646583"/>
    <w:rsid w:val="107D4B15"/>
    <w:rsid w:val="10841832"/>
    <w:rsid w:val="108A3C80"/>
    <w:rsid w:val="10A15184"/>
    <w:rsid w:val="10C26171"/>
    <w:rsid w:val="10DC700E"/>
    <w:rsid w:val="10E36BBF"/>
    <w:rsid w:val="10F33360"/>
    <w:rsid w:val="10F4083A"/>
    <w:rsid w:val="10FC16EA"/>
    <w:rsid w:val="110F1D40"/>
    <w:rsid w:val="11266F33"/>
    <w:rsid w:val="112B1AB9"/>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825A1"/>
    <w:rsid w:val="135F4BE2"/>
    <w:rsid w:val="13692E64"/>
    <w:rsid w:val="13913864"/>
    <w:rsid w:val="139B1A0A"/>
    <w:rsid w:val="139B5BDE"/>
    <w:rsid w:val="139D25C7"/>
    <w:rsid w:val="13BF3CE4"/>
    <w:rsid w:val="13E47441"/>
    <w:rsid w:val="13E674F4"/>
    <w:rsid w:val="140F0A5D"/>
    <w:rsid w:val="141008D8"/>
    <w:rsid w:val="14125FE6"/>
    <w:rsid w:val="141804B7"/>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DC6F1B"/>
    <w:rsid w:val="15F56AC3"/>
    <w:rsid w:val="1608540D"/>
    <w:rsid w:val="16204A74"/>
    <w:rsid w:val="166C515D"/>
    <w:rsid w:val="169000E9"/>
    <w:rsid w:val="16932D64"/>
    <w:rsid w:val="16A8729C"/>
    <w:rsid w:val="16B33777"/>
    <w:rsid w:val="16BC70A7"/>
    <w:rsid w:val="16C25E91"/>
    <w:rsid w:val="16C6339E"/>
    <w:rsid w:val="16C730F7"/>
    <w:rsid w:val="16D6012D"/>
    <w:rsid w:val="16FE2244"/>
    <w:rsid w:val="172F2D79"/>
    <w:rsid w:val="17557BEF"/>
    <w:rsid w:val="176D1E2A"/>
    <w:rsid w:val="177E46A7"/>
    <w:rsid w:val="17852075"/>
    <w:rsid w:val="17860D50"/>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4F565A"/>
    <w:rsid w:val="197524E7"/>
    <w:rsid w:val="19761DA4"/>
    <w:rsid w:val="19932372"/>
    <w:rsid w:val="19A07A88"/>
    <w:rsid w:val="19A20DD5"/>
    <w:rsid w:val="19AE03F1"/>
    <w:rsid w:val="19D16EBE"/>
    <w:rsid w:val="19DA1A78"/>
    <w:rsid w:val="19E05098"/>
    <w:rsid w:val="1A071A03"/>
    <w:rsid w:val="1A1A5A79"/>
    <w:rsid w:val="1A1A697E"/>
    <w:rsid w:val="1A1F16AE"/>
    <w:rsid w:val="1A3B5C77"/>
    <w:rsid w:val="1A4C4FFA"/>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EF84201"/>
    <w:rsid w:val="1F0A0FF3"/>
    <w:rsid w:val="1F313724"/>
    <w:rsid w:val="1F366677"/>
    <w:rsid w:val="1F5771FF"/>
    <w:rsid w:val="1F803199"/>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636C9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C572F"/>
    <w:rsid w:val="24CF5825"/>
    <w:rsid w:val="24D663E6"/>
    <w:rsid w:val="24D77F2B"/>
    <w:rsid w:val="24E4449F"/>
    <w:rsid w:val="24E64937"/>
    <w:rsid w:val="25050C41"/>
    <w:rsid w:val="252B4E42"/>
    <w:rsid w:val="254F52B1"/>
    <w:rsid w:val="25571FF4"/>
    <w:rsid w:val="258B00E2"/>
    <w:rsid w:val="258D6809"/>
    <w:rsid w:val="25A34E23"/>
    <w:rsid w:val="25A917A6"/>
    <w:rsid w:val="25BE27CC"/>
    <w:rsid w:val="25E92F53"/>
    <w:rsid w:val="25EA3C74"/>
    <w:rsid w:val="25F74A5C"/>
    <w:rsid w:val="260A76CB"/>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4A09B4"/>
    <w:rsid w:val="2A6D6092"/>
    <w:rsid w:val="2A7A1CCA"/>
    <w:rsid w:val="2A7D76B4"/>
    <w:rsid w:val="2A830ABD"/>
    <w:rsid w:val="2A9F43B4"/>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816386"/>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BE5C2C"/>
    <w:rsid w:val="32FB6478"/>
    <w:rsid w:val="330D3A66"/>
    <w:rsid w:val="331E793D"/>
    <w:rsid w:val="332637C2"/>
    <w:rsid w:val="33263B3F"/>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4D7158"/>
    <w:rsid w:val="358D5588"/>
    <w:rsid w:val="36136070"/>
    <w:rsid w:val="363924A3"/>
    <w:rsid w:val="363A3B40"/>
    <w:rsid w:val="365302AE"/>
    <w:rsid w:val="36605FE5"/>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BD1A5A"/>
    <w:rsid w:val="37E1109A"/>
    <w:rsid w:val="37E16E9C"/>
    <w:rsid w:val="37EE7094"/>
    <w:rsid w:val="38296C89"/>
    <w:rsid w:val="382A0C93"/>
    <w:rsid w:val="383002EB"/>
    <w:rsid w:val="385839A6"/>
    <w:rsid w:val="38586797"/>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70F2B"/>
    <w:rsid w:val="3D5A1DE7"/>
    <w:rsid w:val="3D64467C"/>
    <w:rsid w:val="3D7E0A99"/>
    <w:rsid w:val="3D8734BB"/>
    <w:rsid w:val="3D9A11D4"/>
    <w:rsid w:val="3DA16D89"/>
    <w:rsid w:val="3DA364BE"/>
    <w:rsid w:val="3DA475D8"/>
    <w:rsid w:val="3DB02A4F"/>
    <w:rsid w:val="3DB67810"/>
    <w:rsid w:val="3DD50C8A"/>
    <w:rsid w:val="3DD548B4"/>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411B9"/>
    <w:rsid w:val="3F5707E4"/>
    <w:rsid w:val="3F6363FE"/>
    <w:rsid w:val="3F756B8F"/>
    <w:rsid w:val="3F8D4B70"/>
    <w:rsid w:val="3F95482B"/>
    <w:rsid w:val="3FAF4907"/>
    <w:rsid w:val="400B2468"/>
    <w:rsid w:val="4019136A"/>
    <w:rsid w:val="4019356B"/>
    <w:rsid w:val="401E1828"/>
    <w:rsid w:val="402B19D5"/>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06AB8"/>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8641EA"/>
    <w:rsid w:val="43977AB6"/>
    <w:rsid w:val="43A3342B"/>
    <w:rsid w:val="43AA2F9D"/>
    <w:rsid w:val="43C77C27"/>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54BAE"/>
    <w:rsid w:val="45C63B94"/>
    <w:rsid w:val="45F134FD"/>
    <w:rsid w:val="460E7DA5"/>
    <w:rsid w:val="461A57AC"/>
    <w:rsid w:val="461B579A"/>
    <w:rsid w:val="46422483"/>
    <w:rsid w:val="4659254A"/>
    <w:rsid w:val="465B0637"/>
    <w:rsid w:val="465E3F0D"/>
    <w:rsid w:val="466A16E6"/>
    <w:rsid w:val="466D0DD7"/>
    <w:rsid w:val="46791209"/>
    <w:rsid w:val="46893F2B"/>
    <w:rsid w:val="46A212C0"/>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5E0F27"/>
    <w:rsid w:val="4B6D6E85"/>
    <w:rsid w:val="4B707271"/>
    <w:rsid w:val="4B9739F7"/>
    <w:rsid w:val="4B974368"/>
    <w:rsid w:val="4B9A5ABA"/>
    <w:rsid w:val="4B9A6B21"/>
    <w:rsid w:val="4B9C1FA2"/>
    <w:rsid w:val="4BE96C25"/>
    <w:rsid w:val="4BEE2503"/>
    <w:rsid w:val="4BF80D38"/>
    <w:rsid w:val="4C245A30"/>
    <w:rsid w:val="4C2B4C6A"/>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23735"/>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414803"/>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4470DB"/>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47691A"/>
    <w:rsid w:val="5B843A1C"/>
    <w:rsid w:val="5B873E3F"/>
    <w:rsid w:val="5BC9690A"/>
    <w:rsid w:val="5C02690E"/>
    <w:rsid w:val="5C196DA7"/>
    <w:rsid w:val="5C2A048C"/>
    <w:rsid w:val="5C2A578C"/>
    <w:rsid w:val="5C35640B"/>
    <w:rsid w:val="5C641793"/>
    <w:rsid w:val="5C7422AE"/>
    <w:rsid w:val="5C80234E"/>
    <w:rsid w:val="5C8A680C"/>
    <w:rsid w:val="5C990941"/>
    <w:rsid w:val="5CDE5BAD"/>
    <w:rsid w:val="5CE45C2B"/>
    <w:rsid w:val="5CEB387F"/>
    <w:rsid w:val="5D0C4701"/>
    <w:rsid w:val="5D0F0395"/>
    <w:rsid w:val="5D221076"/>
    <w:rsid w:val="5D307D5D"/>
    <w:rsid w:val="5D397964"/>
    <w:rsid w:val="5D551783"/>
    <w:rsid w:val="5D5A391C"/>
    <w:rsid w:val="5D5F10C0"/>
    <w:rsid w:val="5D891B7B"/>
    <w:rsid w:val="5D893FC3"/>
    <w:rsid w:val="5D8A5E82"/>
    <w:rsid w:val="5D930F65"/>
    <w:rsid w:val="5D945FAA"/>
    <w:rsid w:val="5DAD38EE"/>
    <w:rsid w:val="5E006862"/>
    <w:rsid w:val="5E0207B9"/>
    <w:rsid w:val="5E093CEF"/>
    <w:rsid w:val="5E1834A1"/>
    <w:rsid w:val="5E261785"/>
    <w:rsid w:val="5E4A7017"/>
    <w:rsid w:val="5E552BBA"/>
    <w:rsid w:val="5E5F0EBF"/>
    <w:rsid w:val="5E611C10"/>
    <w:rsid w:val="5E626095"/>
    <w:rsid w:val="5E74631F"/>
    <w:rsid w:val="5E765627"/>
    <w:rsid w:val="5E7A0F3F"/>
    <w:rsid w:val="5E866777"/>
    <w:rsid w:val="5EF50A1B"/>
    <w:rsid w:val="5EFC7377"/>
    <w:rsid w:val="5F012A1A"/>
    <w:rsid w:val="5F06174D"/>
    <w:rsid w:val="5F1D042B"/>
    <w:rsid w:val="5F217E98"/>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FA2EE8"/>
    <w:rsid w:val="60FD48E7"/>
    <w:rsid w:val="61054A27"/>
    <w:rsid w:val="610A52BC"/>
    <w:rsid w:val="611D2366"/>
    <w:rsid w:val="61421856"/>
    <w:rsid w:val="61436331"/>
    <w:rsid w:val="615227C4"/>
    <w:rsid w:val="61654E3F"/>
    <w:rsid w:val="617514F6"/>
    <w:rsid w:val="6182292A"/>
    <w:rsid w:val="618B5F69"/>
    <w:rsid w:val="61920318"/>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42993"/>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736CB8"/>
    <w:rsid w:val="67990D3E"/>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461D0"/>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65790"/>
    <w:rsid w:val="6C8C2DF7"/>
    <w:rsid w:val="6C8C67B7"/>
    <w:rsid w:val="6C9D744C"/>
    <w:rsid w:val="6CFD6256"/>
    <w:rsid w:val="6CFE67A8"/>
    <w:rsid w:val="6D167928"/>
    <w:rsid w:val="6D261515"/>
    <w:rsid w:val="6D26299B"/>
    <w:rsid w:val="6D4772EC"/>
    <w:rsid w:val="6D497D69"/>
    <w:rsid w:val="6D6D4FC1"/>
    <w:rsid w:val="6D8007DE"/>
    <w:rsid w:val="6D9078AF"/>
    <w:rsid w:val="6DAA3FEF"/>
    <w:rsid w:val="6DC0172B"/>
    <w:rsid w:val="6DCB690C"/>
    <w:rsid w:val="6DD41A5B"/>
    <w:rsid w:val="6DF43C2E"/>
    <w:rsid w:val="6DF4670C"/>
    <w:rsid w:val="6DF51CA3"/>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C02C76"/>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2E404CC"/>
    <w:rsid w:val="730F9D4A"/>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4B4BDD"/>
    <w:rsid w:val="7551380D"/>
    <w:rsid w:val="75600BE5"/>
    <w:rsid w:val="7564475C"/>
    <w:rsid w:val="75834A5C"/>
    <w:rsid w:val="7583797F"/>
    <w:rsid w:val="75D20F1D"/>
    <w:rsid w:val="75DA2C18"/>
    <w:rsid w:val="75F54412"/>
    <w:rsid w:val="75FF1B9F"/>
    <w:rsid w:val="761969BC"/>
    <w:rsid w:val="761B37BC"/>
    <w:rsid w:val="761D08E0"/>
    <w:rsid w:val="76400B70"/>
    <w:rsid w:val="765D347C"/>
    <w:rsid w:val="76826699"/>
    <w:rsid w:val="7688753D"/>
    <w:rsid w:val="76B651F6"/>
    <w:rsid w:val="76C87133"/>
    <w:rsid w:val="76CD08D5"/>
    <w:rsid w:val="76DB4B92"/>
    <w:rsid w:val="76DF1372"/>
    <w:rsid w:val="76FF4961"/>
    <w:rsid w:val="77052AA4"/>
    <w:rsid w:val="77136511"/>
    <w:rsid w:val="77340A39"/>
    <w:rsid w:val="77351FD0"/>
    <w:rsid w:val="77472422"/>
    <w:rsid w:val="777F31F2"/>
    <w:rsid w:val="77BC4C63"/>
    <w:rsid w:val="77C24C2D"/>
    <w:rsid w:val="77D1700D"/>
    <w:rsid w:val="77E4568D"/>
    <w:rsid w:val="77EC04CC"/>
    <w:rsid w:val="78006A23"/>
    <w:rsid w:val="781E6205"/>
    <w:rsid w:val="78775729"/>
    <w:rsid w:val="78A00DDE"/>
    <w:rsid w:val="78A42DB0"/>
    <w:rsid w:val="78A656AB"/>
    <w:rsid w:val="78B2245C"/>
    <w:rsid w:val="78E172CC"/>
    <w:rsid w:val="78E33000"/>
    <w:rsid w:val="78EA1D1F"/>
    <w:rsid w:val="7904172F"/>
    <w:rsid w:val="79062AD2"/>
    <w:rsid w:val="790F7E27"/>
    <w:rsid w:val="79206DB4"/>
    <w:rsid w:val="792A231A"/>
    <w:rsid w:val="79316829"/>
    <w:rsid w:val="79404FE3"/>
    <w:rsid w:val="797C7409"/>
    <w:rsid w:val="797E66A9"/>
    <w:rsid w:val="79A97383"/>
    <w:rsid w:val="79E27E8B"/>
    <w:rsid w:val="79F850CE"/>
    <w:rsid w:val="79FD443C"/>
    <w:rsid w:val="7A077253"/>
    <w:rsid w:val="7A0A787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D65779"/>
    <w:rsid w:val="7BE64CF7"/>
    <w:rsid w:val="7BEE0103"/>
    <w:rsid w:val="7C0A0FE4"/>
    <w:rsid w:val="7C254906"/>
    <w:rsid w:val="7C5022FF"/>
    <w:rsid w:val="7C590818"/>
    <w:rsid w:val="7C6E0182"/>
    <w:rsid w:val="7C7C10F6"/>
    <w:rsid w:val="7C7F58ED"/>
    <w:rsid w:val="7C853BEA"/>
    <w:rsid w:val="7C881368"/>
    <w:rsid w:val="7CC935DE"/>
    <w:rsid w:val="7CE27788"/>
    <w:rsid w:val="7CE64D74"/>
    <w:rsid w:val="7CF548F1"/>
    <w:rsid w:val="7D0357E5"/>
    <w:rsid w:val="7D0C32F1"/>
    <w:rsid w:val="7D0F408D"/>
    <w:rsid w:val="7D491C6C"/>
    <w:rsid w:val="7D5429C0"/>
    <w:rsid w:val="7D6E6D43"/>
    <w:rsid w:val="7D7069D2"/>
    <w:rsid w:val="7D7F1989"/>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62236"/>
    <w:rsid w:val="7F886E69"/>
    <w:rsid w:val="7F9E2EC6"/>
    <w:rsid w:val="7FCF2D12"/>
    <w:rsid w:val="7FFA1DC8"/>
    <w:rsid w:val="97CE612B"/>
    <w:rsid w:val="BB7FA927"/>
    <w:rsid w:val="CC77C5DA"/>
    <w:rsid w:val="D2D91C26"/>
    <w:rsid w:val="DF9E3C60"/>
    <w:rsid w:val="DFFE9AD6"/>
    <w:rsid w:val="E4FD4C39"/>
    <w:rsid w:val="EDDFDB86"/>
    <w:rsid w:val="F1CF01B1"/>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8"/>
    <w:autoRedefine/>
    <w:qFormat/>
    <w:uiPriority w:val="0"/>
    <w:pPr>
      <w:ind w:firstLine="420"/>
    </w:pPr>
    <w:rPr>
      <w:rFonts w:hAnsi="Calibri" w:cs="Times New Roman"/>
      <w:snapToGrid/>
      <w:szCs w:val="20"/>
    </w:rPr>
  </w:style>
  <w:style w:type="paragraph" w:styleId="26">
    <w:name w:val="Body Text Indent"/>
    <w:basedOn w:val="1"/>
    <w:next w:val="16"/>
    <w:link w:val="27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33"/>
    <w:autoRedefine/>
    <w:qFormat/>
    <w:uiPriority w:val="0"/>
    <w:rPr>
      <w:rFonts w:ascii="宋体" w:hAnsi="Courier New" w:cs="Arial"/>
      <w:snapToGrid w:val="0"/>
      <w:szCs w:val="21"/>
    </w:rPr>
  </w:style>
  <w:style w:type="paragraph" w:styleId="35">
    <w:name w:val="Date"/>
    <w:basedOn w:val="1"/>
    <w:next w:val="1"/>
    <w:link w:val="189"/>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8"/>
    <w:autoRedefine/>
    <w:qFormat/>
    <w:uiPriority w:val="0"/>
    <w:rPr>
      <w:lang w:val="zh-CN"/>
    </w:rPr>
  </w:style>
  <w:style w:type="paragraph" w:styleId="40">
    <w:name w:val="Balloon Text"/>
    <w:basedOn w:val="1"/>
    <w:link w:val="196"/>
    <w:autoRedefine/>
    <w:qFormat/>
    <w:uiPriority w:val="0"/>
    <w:rPr>
      <w:sz w:val="18"/>
      <w:szCs w:val="18"/>
    </w:rPr>
  </w:style>
  <w:style w:type="paragraph" w:styleId="41">
    <w:name w:val="footer"/>
    <w:basedOn w:val="1"/>
    <w:link w:val="390"/>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2"/>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9"/>
    <w:autoRedefine/>
    <w:qFormat/>
    <w:uiPriority w:val="0"/>
    <w:pPr>
      <w:spacing w:after="120" w:line="480" w:lineRule="auto"/>
    </w:pPr>
  </w:style>
  <w:style w:type="paragraph" w:styleId="59">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4"/>
    <w:autoRedefine/>
    <w:qFormat/>
    <w:uiPriority w:val="0"/>
    <w:rPr>
      <w:b/>
      <w:bCs/>
    </w:rPr>
  </w:style>
  <w:style w:type="paragraph" w:styleId="63">
    <w:name w:val="Body Text First Indent 2"/>
    <w:basedOn w:val="26"/>
    <w:next w:val="1"/>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next w:val="83"/>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5">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6">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6"/>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9"/>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4"/>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5"/>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0"/>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1"/>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6"/>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3"/>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1"/>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9"/>
    <w:autoRedefine/>
    <w:qFormat/>
    <w:uiPriority w:val="0"/>
    <w:rPr>
      <w:rFonts w:ascii="黑体" w:hAnsi="Courier New" w:eastAsia="黑体"/>
    </w:rPr>
  </w:style>
  <w:style w:type="character" w:customStyle="1" w:styleId="309">
    <w:name w:val="正文文本 2 字符1"/>
    <w:link w:val="58"/>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8"/>
    <w:autoRedefine/>
    <w:qFormat/>
    <w:uiPriority w:val="0"/>
    <w:rPr>
      <w:b/>
      <w:bCs/>
      <w:kern w:val="2"/>
      <w:sz w:val="24"/>
      <w:szCs w:val="24"/>
    </w:rPr>
  </w:style>
  <w:style w:type="character" w:customStyle="1" w:styleId="315">
    <w:name w:val="正文文本缩进 2 字符"/>
    <w:link w:val="38"/>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2"/>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25"/>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0"/>
    <w:rPr>
      <w:kern w:val="2"/>
      <w:sz w:val="21"/>
      <w:szCs w:val="24"/>
    </w:rPr>
  </w:style>
  <w:style w:type="character" w:customStyle="1" w:styleId="352">
    <w:name w:val="签名 字符"/>
    <w:link w:val="44"/>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2"/>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2"/>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2"/>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0"/>
    <w:pPr>
      <w:tabs>
        <w:tab w:val="left" w:pos="1080"/>
      </w:tabs>
      <w:ind w:left="1080" w:hanging="1080"/>
    </w:pPr>
  </w:style>
  <w:style w:type="paragraph" w:customStyle="1" w:styleId="903">
    <w:name w:val="数字标题1"/>
    <w:basedOn w:val="3"/>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9"/>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L_正文"/>
    <w:basedOn w:val="1"/>
    <w:qFormat/>
    <w:uiPriority w:val="0"/>
    <w:pPr>
      <w:wordWrap w:val="0"/>
      <w:jc w:val="left"/>
    </w:pPr>
    <w:rPr>
      <w:kern w:val="0"/>
      <w:szCs w:val="21"/>
      <w:lang w:val="zh-CN" w:eastAsia="zh-CN"/>
    </w:rPr>
  </w:style>
  <w:style w:type="paragraph" w:customStyle="1" w:styleId="981">
    <w:name w:val="NormalIndent"/>
    <w:basedOn w:val="1"/>
    <w:qFormat/>
    <w:uiPriority w:val="0"/>
    <w:pPr>
      <w:widowControl/>
      <w:spacing w:after="200" w:line="240" w:lineRule="auto"/>
      <w:ind w:firstLine="420" w:firstLineChars="0"/>
      <w:jc w:val="left"/>
    </w:pPr>
    <w:rPr>
      <w:rFonts w:cstheme="majorBidi"/>
      <w:kern w:val="0"/>
    </w:rPr>
  </w:style>
  <w:style w:type="paragraph" w:customStyle="1" w:styleId="982">
    <w:name w:val="列出段落6"/>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1648</Words>
  <Characters>1846</Characters>
  <Lines>206</Lines>
  <Paragraphs>58</Paragraphs>
  <TotalTime>26</TotalTime>
  <ScaleCrop>false</ScaleCrop>
  <LinksUpToDate>false</LinksUpToDate>
  <CharactersWithSpaces>1890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2024-10-11T03:26:00Z</dcterms:created>
  <dc:creator>玥</dc:creator>
  <cp:lastModifiedBy>admin</cp:lastModifiedBy>
  <cp:lastPrinted>2021-12-27T19:06:00Z</cp:lastPrinted>
  <dcterms:modified xsi:type="dcterms:W3CDTF">2025-06-26T00:53:08Z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1673AEA80E704AAA8C08D275B8830561_13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