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CC759">
      <w:pPr>
        <w:spacing w:line="360" w:lineRule="auto"/>
        <w:jc w:val="center"/>
        <w:rPr>
          <w:rFonts w:hint="eastAsia" w:asciiTheme="minorEastAsia" w:hAnsiTheme="minorEastAsia" w:eastAsiaTheme="minorEastAsia" w:cstheme="minorEastAsia"/>
          <w:b/>
          <w:color w:val="auto"/>
          <w:sz w:val="24"/>
          <w:highlight w:val="none"/>
        </w:rPr>
      </w:pPr>
    </w:p>
    <w:p w14:paraId="5CB8819D">
      <w:pPr>
        <w:pStyle w:val="972"/>
        <w:spacing w:line="760" w:lineRule="exact"/>
        <w:rPr>
          <w:rFonts w:hint="eastAsia" w:asciiTheme="minorEastAsia" w:hAnsiTheme="minorEastAsia" w:eastAsiaTheme="minorEastAsia" w:cstheme="minorEastAsia"/>
          <w:color w:val="auto"/>
          <w:sz w:val="72"/>
          <w:szCs w:val="72"/>
          <w:highlight w:val="none"/>
        </w:rPr>
      </w:pPr>
    </w:p>
    <w:p w14:paraId="115152B9">
      <w:pPr>
        <w:pStyle w:val="24"/>
        <w:jc w:val="center"/>
        <w:rPr>
          <w:rFonts w:hint="eastAsia" w:asciiTheme="minorEastAsia" w:hAnsiTheme="minorEastAsia" w:eastAsiaTheme="minorEastAsia" w:cstheme="minorEastAsia"/>
          <w:b/>
          <w:bCs/>
          <w:color w:val="auto"/>
          <w:sz w:val="48"/>
          <w:szCs w:val="48"/>
          <w:highlight w:val="none"/>
          <w:lang w:val="en-US" w:eastAsia="zh-CN"/>
        </w:rPr>
      </w:pPr>
      <w:r>
        <w:rPr>
          <w:rFonts w:hint="eastAsia" w:asciiTheme="minorEastAsia" w:hAnsiTheme="minorEastAsia" w:eastAsiaTheme="minorEastAsia" w:cstheme="minorEastAsia"/>
          <w:b/>
          <w:bCs/>
          <w:color w:val="auto"/>
          <w:sz w:val="48"/>
          <w:szCs w:val="48"/>
          <w:highlight w:val="none"/>
          <w:lang w:val="en-US" w:eastAsia="zh-CN"/>
        </w:rPr>
        <w:t>杭州市萧山区第一人民医院</w:t>
      </w:r>
    </w:p>
    <w:p w14:paraId="2D514D89">
      <w:pPr>
        <w:pStyle w:val="24"/>
        <w:jc w:val="center"/>
        <w:rPr>
          <w:rFonts w:hint="eastAsia" w:asciiTheme="minorEastAsia" w:hAnsiTheme="minorEastAsia" w:eastAsiaTheme="minorEastAsia" w:cstheme="minorEastAsia"/>
          <w:b/>
          <w:bCs/>
          <w:color w:val="auto"/>
          <w:sz w:val="48"/>
          <w:szCs w:val="48"/>
          <w:highlight w:val="none"/>
          <w:lang w:val="en-US" w:eastAsia="zh-CN"/>
        </w:rPr>
      </w:pPr>
      <w:r>
        <w:rPr>
          <w:rFonts w:hint="eastAsia" w:asciiTheme="minorEastAsia" w:hAnsiTheme="minorEastAsia" w:eastAsiaTheme="minorEastAsia" w:cstheme="minorEastAsia"/>
          <w:b/>
          <w:bCs/>
          <w:color w:val="auto"/>
          <w:sz w:val="48"/>
          <w:szCs w:val="48"/>
          <w:highlight w:val="none"/>
          <w:lang w:val="en-US" w:eastAsia="zh-CN"/>
        </w:rPr>
        <w:t>劳尔水处理保修采购项目</w:t>
      </w:r>
    </w:p>
    <w:p w14:paraId="23185105">
      <w:pPr>
        <w:pStyle w:val="85"/>
        <w:rPr>
          <w:rFonts w:hint="eastAsia" w:asciiTheme="minorEastAsia" w:hAnsiTheme="minorEastAsia" w:eastAsiaTheme="minorEastAsia" w:cstheme="minorEastAsia"/>
          <w:color w:val="auto"/>
          <w:highlight w:val="none"/>
          <w:lang w:eastAsia="zh-CN"/>
        </w:rPr>
      </w:pPr>
    </w:p>
    <w:p w14:paraId="76E8F4E5">
      <w:pPr>
        <w:adjustRightInd/>
        <w:spacing w:line="360" w:lineRule="auto"/>
        <w:jc w:val="center"/>
        <w:rPr>
          <w:rFonts w:hint="eastAsia" w:asciiTheme="minorEastAsia" w:hAnsiTheme="minorEastAsia" w:eastAsiaTheme="minorEastAsia" w:cstheme="minorEastAsia"/>
          <w:b/>
          <w:bCs/>
          <w:color w:val="auto"/>
          <w:sz w:val="72"/>
          <w:szCs w:val="72"/>
          <w:highlight w:val="none"/>
        </w:rPr>
      </w:pPr>
    </w:p>
    <w:p w14:paraId="6207EB5A">
      <w:pPr>
        <w:adjustRightInd/>
        <w:spacing w:line="360" w:lineRule="auto"/>
        <w:jc w:val="center"/>
        <w:rPr>
          <w:rFonts w:hint="eastAsia"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b/>
          <w:bCs/>
          <w:color w:val="auto"/>
          <w:sz w:val="72"/>
          <w:szCs w:val="72"/>
          <w:highlight w:val="none"/>
        </w:rPr>
        <w:t>公开竞争</w:t>
      </w:r>
    </w:p>
    <w:p w14:paraId="64DCC6C4">
      <w:pPr>
        <w:adjustRightInd/>
        <w:spacing w:line="360" w:lineRule="auto"/>
        <w:jc w:val="center"/>
        <w:rPr>
          <w:rFonts w:hint="eastAsia"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b/>
          <w:bCs/>
          <w:color w:val="auto"/>
          <w:sz w:val="32"/>
          <w:szCs w:val="32"/>
          <w:highlight w:val="none"/>
        </w:rPr>
        <w:t>（电子交易文件）</w:t>
      </w:r>
    </w:p>
    <w:p w14:paraId="04C23CB3">
      <w:pPr>
        <w:adjustRightInd/>
        <w:spacing w:line="360" w:lineRule="auto"/>
        <w:jc w:val="center"/>
        <w:rPr>
          <w:rFonts w:hint="eastAsia" w:asciiTheme="minorEastAsia" w:hAnsiTheme="minorEastAsia" w:eastAsiaTheme="minorEastAsia" w:cstheme="minorEastAsia"/>
          <w:b/>
          <w:color w:val="auto"/>
          <w:sz w:val="44"/>
          <w:szCs w:val="44"/>
          <w:highlight w:val="none"/>
        </w:rPr>
      </w:pPr>
    </w:p>
    <w:p w14:paraId="2A9F5D4B">
      <w:pPr>
        <w:snapToGrid w:val="0"/>
        <w:spacing w:line="360" w:lineRule="auto"/>
        <w:jc w:val="center"/>
        <w:rPr>
          <w:rFonts w:hint="eastAsia" w:asciiTheme="minorEastAsia" w:hAnsiTheme="minorEastAsia" w:eastAsiaTheme="minorEastAsia" w:cstheme="minorEastAsia"/>
          <w:b/>
          <w:bCs/>
          <w:color w:val="auto"/>
          <w:sz w:val="30"/>
          <w:szCs w:val="30"/>
          <w:highlight w:val="none"/>
          <w:lang w:val="en-US" w:eastAsia="zh-CN"/>
        </w:rPr>
      </w:pPr>
      <w:r>
        <w:rPr>
          <w:rFonts w:hint="eastAsia" w:asciiTheme="minorEastAsia" w:hAnsiTheme="minorEastAsia" w:eastAsiaTheme="minorEastAsia" w:cstheme="minorEastAsia"/>
          <w:b/>
          <w:bCs/>
          <w:color w:val="auto"/>
          <w:sz w:val="30"/>
          <w:szCs w:val="30"/>
          <w:highlight w:val="none"/>
        </w:rPr>
        <w:t>交易编号：</w:t>
      </w:r>
      <w:r>
        <w:rPr>
          <w:rFonts w:hint="eastAsia" w:asciiTheme="minorEastAsia" w:hAnsiTheme="minorEastAsia" w:eastAsiaTheme="minorEastAsia" w:cstheme="minorEastAsia"/>
          <w:b/>
          <w:bCs/>
          <w:color w:val="auto"/>
          <w:sz w:val="30"/>
          <w:szCs w:val="30"/>
          <w:highlight w:val="none"/>
          <w:lang w:eastAsia="zh-CN"/>
        </w:rPr>
        <w:t>XSYY2025-GJ-12（2）</w:t>
      </w:r>
    </w:p>
    <w:p w14:paraId="3ECADDEA">
      <w:pPr>
        <w:adjustRightInd/>
        <w:spacing w:line="360" w:lineRule="auto"/>
        <w:rPr>
          <w:rFonts w:hint="eastAsia" w:asciiTheme="minorEastAsia" w:hAnsiTheme="minorEastAsia" w:eastAsiaTheme="minorEastAsia" w:cstheme="minorEastAsia"/>
          <w:color w:val="auto"/>
          <w:sz w:val="28"/>
          <w:szCs w:val="20"/>
          <w:highlight w:val="none"/>
        </w:rPr>
      </w:pPr>
    </w:p>
    <w:p w14:paraId="07B0216B">
      <w:pPr>
        <w:spacing w:line="360" w:lineRule="auto"/>
        <w:jc w:val="center"/>
        <w:rPr>
          <w:rFonts w:hint="eastAsia" w:asciiTheme="minorEastAsia" w:hAnsiTheme="minorEastAsia" w:eastAsiaTheme="minorEastAsia" w:cstheme="minorEastAsia"/>
          <w:b/>
          <w:color w:val="auto"/>
          <w:sz w:val="44"/>
          <w:szCs w:val="44"/>
          <w:highlight w:val="none"/>
        </w:rPr>
      </w:pPr>
    </w:p>
    <w:p w14:paraId="0AFEBD52">
      <w:pPr>
        <w:spacing w:line="360" w:lineRule="auto"/>
        <w:jc w:val="center"/>
        <w:rPr>
          <w:rFonts w:hint="eastAsia" w:asciiTheme="minorEastAsia" w:hAnsiTheme="minorEastAsia" w:eastAsiaTheme="minorEastAsia" w:cstheme="minorEastAsia"/>
          <w:b/>
          <w:color w:val="auto"/>
          <w:sz w:val="44"/>
          <w:szCs w:val="44"/>
          <w:highlight w:val="none"/>
        </w:rPr>
      </w:pPr>
    </w:p>
    <w:p w14:paraId="69B1B626">
      <w:pPr>
        <w:pStyle w:val="87"/>
        <w:rPr>
          <w:rFonts w:hint="eastAsia" w:asciiTheme="minorEastAsia" w:hAnsiTheme="minorEastAsia" w:eastAsiaTheme="minorEastAsia" w:cstheme="minorEastAsia"/>
          <w:color w:val="auto"/>
          <w:highlight w:val="none"/>
        </w:rPr>
      </w:pPr>
    </w:p>
    <w:p w14:paraId="61A5B4F5">
      <w:pPr>
        <w:pStyle w:val="87"/>
        <w:rPr>
          <w:rFonts w:hint="eastAsia" w:asciiTheme="minorEastAsia" w:hAnsiTheme="minorEastAsia" w:eastAsiaTheme="minorEastAsia" w:cstheme="minorEastAsia"/>
          <w:color w:val="auto"/>
          <w:highlight w:val="none"/>
        </w:rPr>
      </w:pPr>
    </w:p>
    <w:p w14:paraId="2D1BFD16">
      <w:pPr>
        <w:pStyle w:val="85"/>
        <w:ind w:firstLine="0"/>
        <w:rPr>
          <w:rFonts w:hint="eastAsia" w:asciiTheme="minorEastAsia" w:hAnsiTheme="minorEastAsia" w:eastAsiaTheme="minorEastAsia" w:cstheme="minorEastAsia"/>
          <w:color w:val="auto"/>
          <w:highlight w:val="none"/>
          <w:lang w:eastAsia="zh-CN"/>
        </w:rPr>
      </w:pPr>
    </w:p>
    <w:p w14:paraId="25C905EB">
      <w:pPr>
        <w:spacing w:line="360" w:lineRule="auto"/>
        <w:ind w:firstLine="964" w:firstLineChars="300"/>
        <w:rPr>
          <w:rFonts w:hint="eastAsia" w:asciiTheme="minorEastAsia" w:hAnsiTheme="minorEastAsia" w:eastAsiaTheme="minorEastAsia" w:cstheme="minorEastAsia"/>
          <w:b/>
          <w:color w:val="auto"/>
          <w:sz w:val="32"/>
          <w:szCs w:val="30"/>
          <w:highlight w:val="none"/>
        </w:rPr>
      </w:pPr>
      <w:r>
        <w:rPr>
          <w:rFonts w:hint="eastAsia" w:asciiTheme="minorEastAsia" w:hAnsiTheme="minorEastAsia" w:eastAsiaTheme="minorEastAsia" w:cstheme="minorEastAsia"/>
          <w:b/>
          <w:color w:val="auto"/>
          <w:sz w:val="32"/>
          <w:szCs w:val="30"/>
          <w:highlight w:val="none"/>
        </w:rPr>
        <w:t>交易发起人：杭州市萧山区第一人民医院</w:t>
      </w:r>
    </w:p>
    <w:p w14:paraId="2BF4C271">
      <w:pPr>
        <w:spacing w:line="360" w:lineRule="auto"/>
        <w:ind w:firstLine="964" w:firstLineChars="3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0"/>
          <w:highlight w:val="none"/>
        </w:rPr>
        <w:t>代理机构：杭州博望建设工程招标投标代理有限公司</w:t>
      </w:r>
    </w:p>
    <w:p w14:paraId="67D43A1F">
      <w:pPr>
        <w:snapToGri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二〇二</w:t>
      </w:r>
      <w:r>
        <w:rPr>
          <w:rFonts w:hint="eastAsia" w:asciiTheme="minorEastAsia" w:hAnsiTheme="minorEastAsia" w:eastAsiaTheme="minorEastAsia" w:cstheme="minorEastAsia"/>
          <w:b/>
          <w:color w:val="auto"/>
          <w:sz w:val="32"/>
          <w:szCs w:val="32"/>
          <w:highlight w:val="none"/>
          <w:lang w:eastAsia="zh-CN"/>
        </w:rPr>
        <w:t>五</w:t>
      </w:r>
      <w:r>
        <w:rPr>
          <w:rFonts w:hint="eastAsia" w:asciiTheme="minorEastAsia" w:hAnsiTheme="minorEastAsia" w:eastAsiaTheme="minorEastAsia" w:cstheme="minorEastAsia"/>
          <w:b/>
          <w:color w:val="auto"/>
          <w:sz w:val="32"/>
          <w:szCs w:val="32"/>
          <w:highlight w:val="none"/>
        </w:rPr>
        <w:t>年</w:t>
      </w:r>
      <w:r>
        <w:rPr>
          <w:rFonts w:hint="eastAsia" w:asciiTheme="minorEastAsia" w:hAnsiTheme="minorEastAsia" w:eastAsiaTheme="minorEastAsia" w:cstheme="minorEastAsia"/>
          <w:b/>
          <w:color w:val="auto"/>
          <w:sz w:val="32"/>
          <w:szCs w:val="32"/>
          <w:highlight w:val="none"/>
          <w:lang w:val="en-US" w:eastAsia="zh-CN"/>
        </w:rPr>
        <w:t>六</w:t>
      </w:r>
      <w:r>
        <w:rPr>
          <w:rFonts w:hint="eastAsia" w:asciiTheme="minorEastAsia" w:hAnsiTheme="minorEastAsia" w:eastAsiaTheme="minorEastAsia" w:cstheme="minorEastAsia"/>
          <w:b/>
          <w:color w:val="auto"/>
          <w:sz w:val="32"/>
          <w:szCs w:val="32"/>
          <w:highlight w:val="none"/>
        </w:rPr>
        <w:t>月</w:t>
      </w:r>
      <w:r>
        <w:rPr>
          <w:rFonts w:hint="eastAsia" w:asciiTheme="minorEastAsia" w:hAnsiTheme="minorEastAsia" w:eastAsiaTheme="minorEastAsia" w:cstheme="minorEastAsia"/>
          <w:b/>
          <w:color w:val="auto"/>
          <w:sz w:val="32"/>
          <w:szCs w:val="32"/>
          <w:highlight w:val="none"/>
          <w:lang w:val="en-US" w:eastAsia="zh-CN"/>
        </w:rPr>
        <w:t>二十</w:t>
      </w:r>
      <w:r>
        <w:rPr>
          <w:rFonts w:hint="eastAsia" w:asciiTheme="minorEastAsia" w:hAnsiTheme="minorEastAsia" w:eastAsiaTheme="minorEastAsia" w:cstheme="minorEastAsia"/>
          <w:b/>
          <w:color w:val="auto"/>
          <w:sz w:val="32"/>
          <w:szCs w:val="32"/>
          <w:highlight w:val="none"/>
        </w:rPr>
        <w:t>日</w:t>
      </w:r>
    </w:p>
    <w:p w14:paraId="47224DDD">
      <w:pPr>
        <w:jc w:val="center"/>
        <w:rPr>
          <w:rFonts w:hint="eastAsia" w:asciiTheme="minorEastAsia" w:hAnsiTheme="minorEastAsia" w:eastAsiaTheme="minorEastAsia" w:cstheme="minorEastAsia"/>
          <w:b/>
          <w:color w:val="auto"/>
          <w:sz w:val="48"/>
          <w:szCs w:val="48"/>
          <w:highlight w:val="none"/>
        </w:rPr>
        <w:sectPr>
          <w:headerReference r:id="rId4" w:type="first"/>
          <w:footerReference r:id="rId6" w:type="first"/>
          <w:headerReference r:id="rId3" w:type="default"/>
          <w:footerReference r:id="rId5" w:type="default"/>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p>
    <w:p w14:paraId="37938623">
      <w:pPr>
        <w:jc w:val="center"/>
        <w:rPr>
          <w:rFonts w:hint="eastAsia" w:asciiTheme="minorEastAsia" w:hAnsiTheme="minorEastAsia" w:eastAsiaTheme="minorEastAsia" w:cstheme="minorEastAsia"/>
          <w:b/>
          <w:color w:val="auto"/>
          <w:sz w:val="48"/>
          <w:szCs w:val="48"/>
          <w:highlight w:val="none"/>
        </w:rPr>
      </w:pPr>
    </w:p>
    <w:p w14:paraId="06CD00B0">
      <w:pPr>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01A00255">
      <w:pPr>
        <w:spacing w:line="360" w:lineRule="auto"/>
        <w:rPr>
          <w:rFonts w:hint="eastAsia" w:asciiTheme="minorEastAsia" w:hAnsiTheme="minorEastAsia" w:eastAsiaTheme="minorEastAsia" w:cstheme="minorEastAsia"/>
          <w:color w:val="auto"/>
          <w:sz w:val="32"/>
          <w:szCs w:val="32"/>
          <w:highlight w:val="none"/>
        </w:rPr>
      </w:pPr>
    </w:p>
    <w:p w14:paraId="728638AA">
      <w:pPr>
        <w:spacing w:line="360" w:lineRule="auto"/>
        <w:rPr>
          <w:rFonts w:hint="eastAsia" w:asciiTheme="minorEastAsia" w:hAnsiTheme="minorEastAsia" w:eastAsiaTheme="minorEastAsia" w:cstheme="minorEastAsia"/>
          <w:color w:val="auto"/>
          <w:sz w:val="32"/>
          <w:szCs w:val="32"/>
          <w:highlight w:val="none"/>
        </w:rPr>
      </w:pPr>
    </w:p>
    <w:p w14:paraId="2238BE08">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交易公告</w:t>
      </w:r>
    </w:p>
    <w:p w14:paraId="75DF0A0D">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响应人须知</w:t>
      </w:r>
    </w:p>
    <w:p w14:paraId="08918A10">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交易需求</w:t>
      </w:r>
    </w:p>
    <w:p w14:paraId="526A4CAC">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交易办法</w:t>
      </w:r>
    </w:p>
    <w:p w14:paraId="530C398D">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1708B29D">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43B8E316">
      <w:pPr>
        <w:spacing w:line="360" w:lineRule="auto"/>
        <w:ind w:firstLine="549" w:firstLineChars="229"/>
        <w:rPr>
          <w:rFonts w:hint="eastAsia" w:asciiTheme="minorEastAsia" w:hAnsiTheme="minorEastAsia" w:eastAsiaTheme="minorEastAsia" w:cstheme="minorEastAsia"/>
          <w:color w:val="auto"/>
          <w:sz w:val="24"/>
          <w:highlight w:val="none"/>
        </w:rPr>
      </w:pPr>
      <w:bookmarkStart w:id="0" w:name="_Hlt91233176"/>
      <w:bookmarkEnd w:id="0"/>
      <w:bookmarkStart w:id="1" w:name="_Toc91899869"/>
    </w:p>
    <w:p w14:paraId="26ECA9B9">
      <w:pPr>
        <w:spacing w:line="360" w:lineRule="auto"/>
        <w:ind w:firstLine="549" w:firstLineChars="229"/>
        <w:rPr>
          <w:rFonts w:hint="eastAsia" w:asciiTheme="minorEastAsia" w:hAnsiTheme="minorEastAsia" w:eastAsiaTheme="minorEastAsia" w:cstheme="minorEastAsia"/>
          <w:color w:val="auto"/>
          <w:sz w:val="24"/>
          <w:highlight w:val="none"/>
        </w:rPr>
      </w:pPr>
    </w:p>
    <w:p w14:paraId="6037D2CE">
      <w:pPr>
        <w:spacing w:line="360" w:lineRule="auto"/>
        <w:ind w:firstLine="549" w:firstLineChars="229"/>
        <w:rPr>
          <w:rFonts w:hint="eastAsia" w:asciiTheme="minorEastAsia" w:hAnsiTheme="minorEastAsia" w:eastAsiaTheme="minorEastAsia" w:cstheme="minorEastAsia"/>
          <w:color w:val="auto"/>
          <w:sz w:val="24"/>
          <w:highlight w:val="none"/>
        </w:rPr>
      </w:pPr>
    </w:p>
    <w:p w14:paraId="589F164E">
      <w:pPr>
        <w:spacing w:line="360" w:lineRule="auto"/>
        <w:ind w:firstLine="549" w:firstLineChars="229"/>
        <w:rPr>
          <w:rFonts w:hint="eastAsia" w:asciiTheme="minorEastAsia" w:hAnsiTheme="minorEastAsia" w:eastAsiaTheme="minorEastAsia" w:cstheme="minorEastAsia"/>
          <w:color w:val="auto"/>
          <w:sz w:val="24"/>
          <w:highlight w:val="none"/>
        </w:rPr>
      </w:pPr>
    </w:p>
    <w:p w14:paraId="6A2796A2">
      <w:pPr>
        <w:spacing w:line="360" w:lineRule="auto"/>
        <w:ind w:firstLine="549" w:firstLineChars="229"/>
        <w:rPr>
          <w:rFonts w:hint="eastAsia" w:asciiTheme="minorEastAsia" w:hAnsiTheme="minorEastAsia" w:eastAsiaTheme="minorEastAsia" w:cstheme="minorEastAsia"/>
          <w:color w:val="auto"/>
          <w:sz w:val="24"/>
          <w:highlight w:val="none"/>
        </w:rPr>
      </w:pPr>
    </w:p>
    <w:p w14:paraId="0BCABF10">
      <w:pPr>
        <w:spacing w:line="360" w:lineRule="auto"/>
        <w:ind w:firstLine="549" w:firstLineChars="229"/>
        <w:rPr>
          <w:rFonts w:hint="eastAsia" w:asciiTheme="minorEastAsia" w:hAnsiTheme="minorEastAsia" w:eastAsiaTheme="minorEastAsia" w:cstheme="minorEastAsia"/>
          <w:color w:val="auto"/>
          <w:sz w:val="24"/>
          <w:highlight w:val="none"/>
        </w:rPr>
      </w:pPr>
    </w:p>
    <w:p w14:paraId="7C10861A">
      <w:pPr>
        <w:spacing w:line="360" w:lineRule="auto"/>
        <w:ind w:firstLine="549" w:firstLineChars="229"/>
        <w:rPr>
          <w:rFonts w:hint="eastAsia" w:asciiTheme="minorEastAsia" w:hAnsiTheme="minorEastAsia" w:eastAsiaTheme="minorEastAsia" w:cstheme="minorEastAsia"/>
          <w:color w:val="auto"/>
          <w:sz w:val="24"/>
          <w:highlight w:val="none"/>
        </w:rPr>
      </w:pPr>
    </w:p>
    <w:p w14:paraId="20F5839D">
      <w:pPr>
        <w:spacing w:line="360" w:lineRule="auto"/>
        <w:ind w:firstLine="549" w:firstLineChars="229"/>
        <w:rPr>
          <w:rFonts w:hint="eastAsia" w:asciiTheme="minorEastAsia" w:hAnsiTheme="minorEastAsia" w:eastAsiaTheme="minorEastAsia" w:cstheme="minorEastAsia"/>
          <w:color w:val="auto"/>
          <w:sz w:val="24"/>
          <w:highlight w:val="none"/>
        </w:rPr>
      </w:pPr>
    </w:p>
    <w:p w14:paraId="05C6F4BB">
      <w:pPr>
        <w:spacing w:line="360" w:lineRule="auto"/>
        <w:ind w:firstLine="549" w:firstLineChars="229"/>
        <w:rPr>
          <w:rFonts w:hint="eastAsia" w:asciiTheme="minorEastAsia" w:hAnsiTheme="minorEastAsia" w:eastAsiaTheme="minorEastAsia" w:cstheme="minorEastAsia"/>
          <w:color w:val="auto"/>
          <w:sz w:val="24"/>
          <w:highlight w:val="none"/>
        </w:rPr>
      </w:pPr>
    </w:p>
    <w:p w14:paraId="3CA7637B">
      <w:pPr>
        <w:spacing w:line="360" w:lineRule="auto"/>
        <w:ind w:firstLine="549" w:firstLineChars="229"/>
        <w:rPr>
          <w:rFonts w:hint="eastAsia" w:asciiTheme="minorEastAsia" w:hAnsiTheme="minorEastAsia" w:eastAsiaTheme="minorEastAsia" w:cstheme="minorEastAsia"/>
          <w:color w:val="auto"/>
          <w:sz w:val="24"/>
          <w:highlight w:val="none"/>
        </w:rPr>
      </w:pPr>
    </w:p>
    <w:p w14:paraId="7CA02C56">
      <w:pPr>
        <w:spacing w:line="360" w:lineRule="auto"/>
        <w:ind w:firstLine="549" w:firstLineChars="229"/>
        <w:rPr>
          <w:rFonts w:hint="eastAsia" w:asciiTheme="minorEastAsia" w:hAnsiTheme="minorEastAsia" w:eastAsiaTheme="minorEastAsia" w:cstheme="minorEastAsia"/>
          <w:color w:val="auto"/>
          <w:sz w:val="24"/>
          <w:highlight w:val="none"/>
        </w:rPr>
      </w:pPr>
    </w:p>
    <w:p w14:paraId="27D1EA76">
      <w:pPr>
        <w:spacing w:line="360" w:lineRule="auto"/>
        <w:ind w:firstLine="549" w:firstLineChars="229"/>
        <w:rPr>
          <w:rFonts w:hint="eastAsia" w:asciiTheme="minorEastAsia" w:hAnsiTheme="minorEastAsia" w:eastAsiaTheme="minorEastAsia" w:cstheme="minorEastAsia"/>
          <w:color w:val="auto"/>
          <w:sz w:val="24"/>
          <w:highlight w:val="none"/>
        </w:rPr>
      </w:pPr>
    </w:p>
    <w:p w14:paraId="3B1C773A">
      <w:pPr>
        <w:spacing w:line="360" w:lineRule="auto"/>
        <w:ind w:firstLine="549" w:firstLineChars="229"/>
        <w:rPr>
          <w:rFonts w:hint="eastAsia" w:asciiTheme="minorEastAsia" w:hAnsiTheme="minorEastAsia" w:eastAsiaTheme="minorEastAsia" w:cstheme="minorEastAsia"/>
          <w:color w:val="auto"/>
          <w:sz w:val="24"/>
          <w:highlight w:val="none"/>
        </w:rPr>
      </w:pPr>
    </w:p>
    <w:p w14:paraId="4E16B50D">
      <w:pPr>
        <w:spacing w:line="360" w:lineRule="auto"/>
        <w:rPr>
          <w:rFonts w:hint="eastAsia" w:asciiTheme="minorEastAsia" w:hAnsiTheme="minorEastAsia" w:eastAsiaTheme="minorEastAsia" w:cstheme="minorEastAsia"/>
          <w:color w:val="auto"/>
          <w:sz w:val="24"/>
          <w:highlight w:val="none"/>
        </w:rPr>
      </w:pPr>
    </w:p>
    <w:p w14:paraId="582C8A6A">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2" w:name="第一部分"/>
      <w:r>
        <w:rPr>
          <w:rFonts w:hint="eastAsia" w:asciiTheme="minorEastAsia" w:hAnsiTheme="minorEastAsia" w:eastAsiaTheme="minorEastAsia" w:cstheme="minorEastAsia"/>
          <w:b/>
          <w:color w:val="auto"/>
          <w:sz w:val="36"/>
          <w:szCs w:val="36"/>
          <w:highlight w:val="none"/>
        </w:rPr>
        <w:br w:type="page"/>
      </w:r>
      <w:bookmarkEnd w:id="1"/>
      <w:bookmarkEnd w:id="2"/>
      <w:bookmarkStart w:id="3" w:name="_Hlt74729822"/>
      <w:bookmarkEnd w:id="3"/>
      <w:bookmarkStart w:id="4" w:name="_Hlt74707423"/>
      <w:bookmarkEnd w:id="4"/>
      <w:bookmarkStart w:id="5" w:name="_Hlt74649545"/>
      <w:bookmarkEnd w:id="5"/>
      <w:bookmarkStart w:id="6" w:name="_Hlt74728647"/>
      <w:bookmarkEnd w:id="6"/>
      <w:bookmarkStart w:id="7" w:name="第二部分"/>
      <w:bookmarkStart w:id="8" w:name="_Toc91899870"/>
      <w:bookmarkStart w:id="9" w:name="_Toc91899871"/>
      <w:r>
        <w:rPr>
          <w:rFonts w:hint="eastAsia" w:asciiTheme="minorEastAsia" w:hAnsiTheme="minorEastAsia" w:eastAsiaTheme="minorEastAsia" w:cstheme="minorEastAsia"/>
          <w:b/>
          <w:color w:val="auto"/>
          <w:sz w:val="36"/>
          <w:szCs w:val="20"/>
          <w:highlight w:val="none"/>
        </w:rPr>
        <w:t>第一部分 交易公告</w:t>
      </w:r>
    </w:p>
    <w:p w14:paraId="3FC6E46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一、基本情况</w:t>
      </w:r>
    </w:p>
    <w:p w14:paraId="4C35A387">
      <w:pPr>
        <w:spacing w:line="360" w:lineRule="auto"/>
        <w:ind w:firstLine="482" w:firstLineChars="20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rPr>
        <w:t>交易编号：</w:t>
      </w:r>
      <w:r>
        <w:rPr>
          <w:rFonts w:hint="eastAsia" w:asciiTheme="minorEastAsia" w:hAnsiTheme="minorEastAsia" w:eastAsiaTheme="minorEastAsia" w:cstheme="minorEastAsia"/>
          <w:bCs/>
          <w:color w:val="auto"/>
          <w:sz w:val="24"/>
          <w:highlight w:val="none"/>
          <w:lang w:eastAsia="zh-CN"/>
        </w:rPr>
        <w:t>XSYY2025-GJ-12（2）</w:t>
      </w:r>
    </w:p>
    <w:p w14:paraId="40CF56E6">
      <w:pPr>
        <w:spacing w:line="360" w:lineRule="auto"/>
        <w:ind w:firstLine="482" w:firstLineChars="200"/>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
          <w:color w:val="auto"/>
          <w:sz w:val="24"/>
          <w:highlight w:val="none"/>
        </w:rPr>
        <w:t>交易名称：</w:t>
      </w:r>
      <w:r>
        <w:rPr>
          <w:rFonts w:hint="eastAsia" w:asciiTheme="minorEastAsia" w:hAnsiTheme="minorEastAsia" w:eastAsiaTheme="minorEastAsia" w:cstheme="minorEastAsia"/>
          <w:bCs/>
          <w:color w:val="auto"/>
          <w:sz w:val="24"/>
          <w:highlight w:val="none"/>
          <w:lang w:eastAsia="zh-CN"/>
        </w:rPr>
        <w:t>杭州市萧山区第一人民医院劳尔水处理保修采购项目</w:t>
      </w:r>
    </w:p>
    <w:p w14:paraId="6D457BC3">
      <w:pPr>
        <w:spacing w:line="360" w:lineRule="auto"/>
        <w:ind w:firstLine="482" w:firstLineChars="200"/>
        <w:rPr>
          <w:rFonts w:hint="default" w:asciiTheme="minorEastAsia" w:hAnsiTheme="minorEastAsia" w:eastAsiaTheme="minorEastAsia" w:cstheme="minorEastAsia"/>
          <w:color w:val="auto"/>
          <w:sz w:val="24"/>
          <w:szCs w:val="28"/>
          <w:highlight w:val="none"/>
          <w:lang w:val="en-US"/>
        </w:rPr>
      </w:pPr>
      <w:r>
        <w:rPr>
          <w:rFonts w:hint="eastAsia" w:asciiTheme="minorEastAsia" w:hAnsiTheme="minorEastAsia" w:eastAsiaTheme="minorEastAsia" w:cstheme="minorEastAsia"/>
          <w:b/>
          <w:color w:val="auto"/>
          <w:sz w:val="24"/>
          <w:highlight w:val="none"/>
        </w:rPr>
        <w:t>预算金额（元）：</w:t>
      </w:r>
      <w:r>
        <w:rPr>
          <w:rFonts w:hint="eastAsia" w:ascii="宋体" w:hAnsi="宋体" w:cs="宋体"/>
          <w:color w:val="auto"/>
          <w:sz w:val="24"/>
          <w:szCs w:val="28"/>
          <w:highlight w:val="none"/>
          <w:u w:val="none"/>
          <w:lang w:val="en-US" w:eastAsia="zh-CN"/>
        </w:rPr>
        <w:t>330000.00</w:t>
      </w:r>
    </w:p>
    <w:p w14:paraId="1DA9C940">
      <w:pPr>
        <w:spacing w:line="360" w:lineRule="auto"/>
        <w:ind w:firstLine="482" w:firstLineChars="200"/>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b/>
          <w:color w:val="auto"/>
          <w:sz w:val="24"/>
          <w:highlight w:val="none"/>
        </w:rPr>
        <w:t>最高限价（元）：</w:t>
      </w:r>
      <w:r>
        <w:rPr>
          <w:rFonts w:hint="eastAsia" w:ascii="宋体" w:hAnsi="宋体" w:cs="宋体"/>
          <w:color w:val="auto"/>
          <w:sz w:val="24"/>
          <w:szCs w:val="24"/>
          <w:highlight w:val="none"/>
          <w:lang w:val="en-US" w:eastAsia="zh-CN"/>
        </w:rPr>
        <w:t>330000</w:t>
      </w:r>
      <w:r>
        <w:rPr>
          <w:rFonts w:hint="eastAsia" w:ascii="宋体" w:hAnsi="宋体" w:eastAsia="宋体" w:cs="宋体"/>
          <w:color w:val="auto"/>
          <w:sz w:val="24"/>
          <w:szCs w:val="24"/>
          <w:highlight w:val="none"/>
          <w:lang w:val="en-US" w:eastAsia="zh-CN"/>
        </w:rPr>
        <w:t>.00</w:t>
      </w:r>
    </w:p>
    <w:p w14:paraId="159A54D3">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交易需求：</w:t>
      </w:r>
      <w:r>
        <w:rPr>
          <w:rFonts w:hint="eastAsia" w:asciiTheme="minorEastAsia" w:hAnsiTheme="minorEastAsia" w:eastAsiaTheme="minorEastAsia" w:cstheme="minorEastAsia"/>
          <w:bCs/>
          <w:color w:val="auto"/>
          <w:sz w:val="24"/>
          <w:highlight w:val="none"/>
          <w:lang w:eastAsia="zh-CN"/>
        </w:rPr>
        <w:t>杭州市萧山区第一人民医院劳尔水处理保修采购项目</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服务期3年，</w:t>
      </w:r>
      <w:r>
        <w:rPr>
          <w:rFonts w:hint="eastAsia" w:asciiTheme="minorEastAsia" w:hAnsiTheme="minorEastAsia" w:eastAsiaTheme="minorEastAsia" w:cstheme="minorEastAsia"/>
          <w:color w:val="auto"/>
          <w:sz w:val="24"/>
          <w:highlight w:val="none"/>
        </w:rPr>
        <w:t>详见交易需求。</w:t>
      </w:r>
    </w:p>
    <w:p w14:paraId="5CB4DB72">
      <w:pPr>
        <w:pStyle w:val="16"/>
        <w:spacing w:line="360" w:lineRule="auto"/>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szCs w:val="18"/>
          <w:highlight w:val="none"/>
        </w:rPr>
        <w:t>合同履约期限：</w:t>
      </w:r>
      <w:r>
        <w:rPr>
          <w:rFonts w:hint="eastAsia" w:asciiTheme="minorEastAsia" w:hAnsiTheme="minorEastAsia" w:eastAsiaTheme="minorEastAsia" w:cstheme="minorEastAsia"/>
          <w:color w:val="auto"/>
          <w:sz w:val="24"/>
          <w:szCs w:val="28"/>
          <w:highlight w:val="none"/>
        </w:rPr>
        <w:t>详见公开竞争文件</w:t>
      </w:r>
    </w:p>
    <w:p w14:paraId="2153987B">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本项目接受联合体投标：</w:t>
      </w:r>
      <w:r>
        <w:rPr>
          <w:rFonts w:hint="eastAsia" w:asciiTheme="minorEastAsia" w:hAnsiTheme="minorEastAsia" w:eastAsiaTheme="minorEastAsia" w:cstheme="minorEastAsia"/>
          <w:bCs/>
          <w:color w:val="auto"/>
          <w:sz w:val="24"/>
          <w:highlight w:val="none"/>
        </w:rPr>
        <w:t>（ ）是；（√）否。</w:t>
      </w:r>
    </w:p>
    <w:p w14:paraId="1F0D680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605C70A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555A21D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14:paraId="7DD0FBE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555D0C6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6DB2E2A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02AE02D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6、法律、行政法规规定的其他条件；</w:t>
      </w:r>
    </w:p>
    <w:p w14:paraId="68AF30B1">
      <w:pPr>
        <w:pStyle w:val="62"/>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rPr>
        <w:t>7、本项目的特定资格要求：</w:t>
      </w:r>
      <w:r>
        <w:rPr>
          <w:rFonts w:hint="eastAsia" w:asciiTheme="minorEastAsia" w:hAnsiTheme="minorEastAsia" w:eastAsiaTheme="minorEastAsia" w:cstheme="minorEastAsia"/>
          <w:color w:val="auto"/>
          <w:highlight w:val="none"/>
          <w:lang w:val="en-US"/>
        </w:rPr>
        <w:t>无；</w:t>
      </w:r>
    </w:p>
    <w:p w14:paraId="23EBE08E">
      <w:pPr>
        <w:pStyle w:val="62"/>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highlight w:val="none"/>
          <w:lang w:val="en-US"/>
        </w:rPr>
        <w:t>8、</w:t>
      </w:r>
      <w:r>
        <w:rPr>
          <w:rFonts w:hint="eastAsia" w:asciiTheme="minorEastAsia" w:hAnsiTheme="minorEastAsia" w:eastAsiaTheme="minorEastAsia" w:cstheme="minorEastAsia"/>
          <w:color w:val="auto"/>
          <w:highlight w:val="none"/>
        </w:rPr>
        <w:t>本项目不接受联合体参与（潜在响应人能独立完成本项目）。</w:t>
      </w:r>
    </w:p>
    <w:p w14:paraId="2B12616F">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三、获取公开竞争文件</w:t>
      </w:r>
    </w:p>
    <w:p w14:paraId="7B309B7D">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01</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w:t>
      </w:r>
    </w:p>
    <w:p w14:paraId="12CA0525">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乐采云平台（www.lecaiyun.com）</w:t>
      </w:r>
    </w:p>
    <w:p w14:paraId="6B34244C">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 xml:space="preserve">响应人登录乐采云平台（www.lecaiyun.com）在线申请获取公开竞争文件（进入“项目采购”应用，在获取采购文件菜单中选择项目，申请获取公开竞争文件）。 </w:t>
      </w:r>
    </w:p>
    <w:p w14:paraId="4A6158DE">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0</w:t>
      </w:r>
    </w:p>
    <w:p w14:paraId="139B0DCC">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四、提交响应文件截止时间、交易时间和地点</w:t>
      </w:r>
    </w:p>
    <w:p w14:paraId="3E6D1A16">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提交响应文件截止时间：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01</w:t>
      </w:r>
      <w:r>
        <w:rPr>
          <w:rFonts w:hint="eastAsia" w:asciiTheme="minorEastAsia" w:hAnsiTheme="minorEastAsia" w:eastAsiaTheme="minorEastAsia" w:cstheme="minorEastAsia"/>
          <w:color w:val="auto"/>
          <w:sz w:val="24"/>
          <w:highlight w:val="none"/>
          <w:u w:val="single"/>
        </w:rPr>
        <w:t>日14点</w:t>
      </w:r>
      <w:r>
        <w:rPr>
          <w:rFonts w:hint="eastAsia" w:asciiTheme="minorEastAsia" w:hAnsiTheme="minorEastAsia" w:eastAsiaTheme="minorEastAsia" w:cstheme="minorEastAsia"/>
          <w:color w:val="auto"/>
          <w:sz w:val="24"/>
          <w:highlight w:val="none"/>
          <w:u w:val="single"/>
          <w:lang w:val="en-US" w:eastAsia="zh-CN"/>
        </w:rPr>
        <w:t>0</w:t>
      </w:r>
      <w:r>
        <w:rPr>
          <w:rFonts w:hint="eastAsia" w:asciiTheme="minorEastAsia" w:hAnsiTheme="minorEastAsia" w:eastAsiaTheme="minorEastAsia" w:cstheme="minorEastAsia"/>
          <w:color w:val="auto"/>
          <w:sz w:val="24"/>
          <w:highlight w:val="none"/>
          <w:u w:val="single"/>
        </w:rPr>
        <w:t>0分</w:t>
      </w:r>
      <w:r>
        <w:rPr>
          <w:rFonts w:hint="eastAsia" w:asciiTheme="minorEastAsia" w:hAnsiTheme="minorEastAsia" w:eastAsiaTheme="minorEastAsia" w:cstheme="minorEastAsia"/>
          <w:color w:val="auto"/>
          <w:sz w:val="24"/>
          <w:highlight w:val="none"/>
        </w:rPr>
        <w:t>（北京时间）</w:t>
      </w:r>
    </w:p>
    <w:p w14:paraId="7A8E82B3">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交易</w:t>
      </w: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rPr>
        <w:t xml:space="preserve">乐采云平台（www.lecaiyun.com） </w:t>
      </w:r>
    </w:p>
    <w:p w14:paraId="4838FC85">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rPr>
        <w:t>交易时间：</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01</w:t>
      </w:r>
      <w:r>
        <w:rPr>
          <w:rFonts w:hint="eastAsia" w:asciiTheme="minorEastAsia" w:hAnsiTheme="minorEastAsia" w:eastAsiaTheme="minorEastAsia" w:cstheme="minorEastAsia"/>
          <w:color w:val="auto"/>
          <w:sz w:val="24"/>
          <w:highlight w:val="none"/>
          <w:u w:val="single"/>
        </w:rPr>
        <w:t>日14点</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rPr>
        <w:t>分</w:t>
      </w:r>
    </w:p>
    <w:p w14:paraId="4D3C5EF2">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开标地点（网址）：</w:t>
      </w:r>
      <w:r>
        <w:rPr>
          <w:rFonts w:hint="eastAsia" w:asciiTheme="minorEastAsia" w:hAnsiTheme="minorEastAsia" w:eastAsiaTheme="minorEastAsia" w:cstheme="minorEastAsia"/>
          <w:color w:val="auto"/>
          <w:sz w:val="24"/>
          <w:highlight w:val="none"/>
        </w:rPr>
        <w:t>乐采云平台（www.lecaiyun.com）</w:t>
      </w:r>
    </w:p>
    <w:p w14:paraId="20134195">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五、其他补充事宜</w:t>
      </w:r>
    </w:p>
    <w:p w14:paraId="1DC7B88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11FF3D9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其他事项：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w:t>
      </w:r>
    </w:p>
    <w:p w14:paraId="07EA407E">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六、对本次交易提出异议、投诉，请按以下方式联系</w:t>
      </w:r>
    </w:p>
    <w:p w14:paraId="40B8E090">
      <w:pPr>
        <w:widowControl/>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1、交易发起人信息</w:t>
      </w:r>
    </w:p>
    <w:p w14:paraId="0F8BD666">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bCs/>
          <w:color w:val="auto"/>
          <w:sz w:val="24"/>
          <w:highlight w:val="none"/>
        </w:rPr>
        <w:t>杭州市萧山区第一人民医院</w:t>
      </w:r>
    </w:p>
    <w:p w14:paraId="02ACB19E">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地址：杭州市萧山区市心南路199号</w:t>
      </w:r>
    </w:p>
    <w:p w14:paraId="3626B478">
      <w:pPr>
        <w:spacing w:line="360" w:lineRule="auto"/>
        <w:ind w:firstLine="480" w:firstLineChars="20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项目联系人（询问）：周建设</w:t>
      </w:r>
    </w:p>
    <w:p w14:paraId="5BF0FB29">
      <w:pPr>
        <w:spacing w:line="360" w:lineRule="auto"/>
        <w:ind w:firstLine="480" w:firstLineChars="200"/>
        <w:jc w:val="left"/>
        <w:rPr>
          <w:rFonts w:hint="default" w:ascii="宋体" w:hAnsi="宋体" w:cs="宋体"/>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项目联系方式（询问）：</w:t>
      </w:r>
      <w:bookmarkStart w:id="10" w:name="_Toc28359086"/>
      <w:bookmarkStart w:id="11" w:name="_Toc28359009"/>
      <w:r>
        <w:rPr>
          <w:rFonts w:hint="eastAsia" w:asciiTheme="minorEastAsia" w:hAnsiTheme="minorEastAsia" w:eastAsiaTheme="minorEastAsia" w:cstheme="minorEastAsia"/>
          <w:color w:val="auto"/>
          <w:sz w:val="24"/>
          <w:highlight w:val="none"/>
        </w:rPr>
        <w:t>0571-83807102</w:t>
      </w:r>
    </w:p>
    <w:p w14:paraId="6AE5EF21">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w:t>
      </w:r>
      <w:bookmarkEnd w:id="10"/>
      <w:bookmarkEnd w:id="11"/>
      <w:r>
        <w:rPr>
          <w:rFonts w:hint="eastAsia" w:asciiTheme="minorEastAsia" w:hAnsiTheme="minorEastAsia" w:eastAsiaTheme="minorEastAsia" w:cstheme="minorEastAsia"/>
          <w:color w:val="auto"/>
          <w:sz w:val="24"/>
          <w:szCs w:val="28"/>
          <w:highlight w:val="none"/>
        </w:rPr>
        <w:t>、代理机构信息</w:t>
      </w:r>
    </w:p>
    <w:p w14:paraId="1213AB1E">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名称：杭州博望建设工程招标投标代理有限公司</w:t>
      </w:r>
    </w:p>
    <w:p w14:paraId="1798678E">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地址：杭州市萧山区金城路433号天汇园一幢A座5楼</w:t>
      </w:r>
    </w:p>
    <w:p w14:paraId="4CC97B44">
      <w:pPr>
        <w:spacing w:line="360" w:lineRule="auto"/>
        <w:ind w:firstLine="480" w:firstLineChars="200"/>
        <w:jc w:val="lef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项目联系人（询问）：范梦迪</w:t>
      </w:r>
    </w:p>
    <w:p w14:paraId="688AC0E2">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项目联系方式（询问）：0571-83881208</w:t>
      </w:r>
    </w:p>
    <w:p w14:paraId="2E168E7F">
      <w:pPr>
        <w:spacing w:line="360" w:lineRule="auto"/>
        <w:ind w:firstLine="480" w:firstLineChars="200"/>
        <w:rPr>
          <w:rFonts w:hint="eastAsia" w:asciiTheme="minorEastAsia" w:hAnsiTheme="minorEastAsia" w:eastAsiaTheme="minorEastAsia" w:cstheme="minorEastAsia"/>
          <w:color w:val="auto"/>
          <w:sz w:val="24"/>
          <w:highlight w:val="none"/>
        </w:rPr>
      </w:pPr>
    </w:p>
    <w:p w14:paraId="3265634C">
      <w:pPr>
        <w:spacing w:line="360" w:lineRule="auto"/>
        <w:ind w:firstLine="480" w:firstLineChars="200"/>
        <w:rPr>
          <w:rFonts w:hint="eastAsia" w:asciiTheme="minorEastAsia" w:hAnsiTheme="minorEastAsia" w:eastAsiaTheme="minorEastAsia" w:cstheme="minorEastAsia"/>
          <w:color w:val="auto"/>
          <w:sz w:val="24"/>
          <w:highlight w:val="none"/>
        </w:rPr>
      </w:pPr>
    </w:p>
    <w:p w14:paraId="769F272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若对项目电子交易系统操作有疑问，可登录乐采云平台（www.lecaiyun.com），点击右侧咨询小采，获取采小蜜智能服务管家帮助，或拨打乐采云服务热线95763获取热线服务帮助。</w:t>
      </w:r>
    </w:p>
    <w:p w14:paraId="52AF285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24AB6B99">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r>
        <w:rPr>
          <w:rFonts w:hint="eastAsia" w:asciiTheme="minorEastAsia" w:hAnsiTheme="minorEastAsia" w:eastAsiaTheme="minorEastAsia" w:cstheme="minorEastAsia"/>
          <w:b/>
          <w:color w:val="auto"/>
          <w:sz w:val="36"/>
          <w:szCs w:val="20"/>
          <w:highlight w:val="none"/>
        </w:rPr>
        <w:t>第二部分</w:t>
      </w:r>
      <w:bookmarkEnd w:id="7"/>
      <w:r>
        <w:rPr>
          <w:rFonts w:hint="eastAsia" w:asciiTheme="minorEastAsia" w:hAnsiTheme="minorEastAsia" w:eastAsiaTheme="minorEastAsia" w:cstheme="minorEastAsia"/>
          <w:b/>
          <w:color w:val="auto"/>
          <w:sz w:val="36"/>
          <w:szCs w:val="20"/>
          <w:highlight w:val="none"/>
        </w:rPr>
        <w:t>响应人须知</w:t>
      </w:r>
      <w:bookmarkEnd w:id="8"/>
    </w:p>
    <w:p w14:paraId="5F4B85D3">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706"/>
      </w:tblGrid>
      <w:tr w14:paraId="3D44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6F59E729">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843" w:type="dxa"/>
            <w:vAlign w:val="center"/>
          </w:tcPr>
          <w:p w14:paraId="6706053B">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706" w:type="dxa"/>
            <w:vAlign w:val="center"/>
          </w:tcPr>
          <w:p w14:paraId="6D0393A7">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3971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4" w:hRule="atLeast"/>
          <w:jc w:val="center"/>
        </w:trPr>
        <w:tc>
          <w:tcPr>
            <w:tcW w:w="629" w:type="dxa"/>
            <w:vAlign w:val="center"/>
          </w:tcPr>
          <w:p w14:paraId="04CD7A9F">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843" w:type="dxa"/>
            <w:vAlign w:val="center"/>
          </w:tcPr>
          <w:p w14:paraId="59E5E5C0">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6706" w:type="dxa"/>
            <w:vAlign w:val="center"/>
          </w:tcPr>
          <w:p w14:paraId="63ABD53C">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sz w:val="24"/>
                <w:highlight w:val="none"/>
                <w:lang w:val="en-US" w:eastAsia="zh-CN"/>
              </w:rPr>
              <w:t xml:space="preserve">  </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A货物类</w:t>
            </w:r>
            <w:r>
              <w:rPr>
                <w:rFonts w:hint="eastAsia" w:asciiTheme="minorEastAsia" w:hAnsiTheme="minorEastAsia" w:eastAsiaTheme="minorEastAsia" w:cstheme="minorEastAsia"/>
                <w:color w:val="auto"/>
                <w:sz w:val="24"/>
                <w:highlight w:val="none"/>
              </w:rPr>
              <w:t>。</w:t>
            </w:r>
          </w:p>
          <w:p w14:paraId="52203A82">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B服务类</w:t>
            </w:r>
            <w:r>
              <w:rPr>
                <w:rFonts w:hint="eastAsia" w:asciiTheme="minorEastAsia" w:hAnsiTheme="minorEastAsia" w:eastAsiaTheme="minorEastAsia" w:cstheme="minorEastAsia"/>
                <w:color w:val="auto"/>
                <w:sz w:val="24"/>
                <w:highlight w:val="none"/>
              </w:rPr>
              <w:t>。</w:t>
            </w:r>
          </w:p>
        </w:tc>
      </w:tr>
      <w:tr w14:paraId="011B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jc w:val="center"/>
        </w:trPr>
        <w:tc>
          <w:tcPr>
            <w:tcW w:w="629" w:type="dxa"/>
            <w:vAlign w:val="center"/>
          </w:tcPr>
          <w:p w14:paraId="770128FE">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843" w:type="dxa"/>
            <w:vAlign w:val="center"/>
          </w:tcPr>
          <w:p w14:paraId="028EA092">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采购标的对应的中小企业划分标准所属行业</w:t>
            </w:r>
          </w:p>
        </w:tc>
        <w:tc>
          <w:tcPr>
            <w:tcW w:w="6706" w:type="dxa"/>
            <w:vAlign w:val="center"/>
          </w:tcPr>
          <w:p w14:paraId="34B2C41A">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  ）</w:t>
            </w:r>
            <w:r>
              <w:rPr>
                <w:rFonts w:hint="eastAsia" w:asciiTheme="minorEastAsia" w:hAnsiTheme="minorEastAsia" w:eastAsiaTheme="minorEastAsia" w:cstheme="minorEastAsia"/>
                <w:color w:val="auto"/>
                <w:kern w:val="0"/>
                <w:sz w:val="24"/>
                <w:highlight w:val="none"/>
              </w:rPr>
              <w:t>A适用</w:t>
            </w:r>
            <w:r>
              <w:rPr>
                <w:rFonts w:hint="eastAsia" w:asciiTheme="minorEastAsia" w:hAnsiTheme="minorEastAsia" w:eastAsiaTheme="minorEastAsia" w:cstheme="minorEastAsia"/>
                <w:color w:val="auto"/>
                <w:sz w:val="24"/>
                <w:highlight w:val="none"/>
              </w:rPr>
              <w:t>。</w:t>
            </w:r>
          </w:p>
          <w:p w14:paraId="4919E2BA">
            <w:pPr>
              <w:spacing w:line="400" w:lineRule="exac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kern w:val="0"/>
                <w:sz w:val="24"/>
                <w:highlight w:val="none"/>
              </w:rPr>
              <w:t>B不适用</w:t>
            </w:r>
            <w:r>
              <w:rPr>
                <w:rFonts w:hint="eastAsia" w:asciiTheme="minorEastAsia" w:hAnsiTheme="minorEastAsia" w:eastAsiaTheme="minorEastAsia" w:cstheme="minorEastAsia"/>
                <w:color w:val="auto"/>
                <w:sz w:val="24"/>
                <w:highlight w:val="none"/>
              </w:rPr>
              <w:t>。</w:t>
            </w:r>
          </w:p>
        </w:tc>
      </w:tr>
      <w:tr w14:paraId="71FD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629" w:type="dxa"/>
            <w:vAlign w:val="center"/>
          </w:tcPr>
          <w:p w14:paraId="24F184A7">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843" w:type="dxa"/>
            <w:vAlign w:val="center"/>
          </w:tcPr>
          <w:p w14:paraId="607AC3A6">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6706" w:type="dxa"/>
            <w:vAlign w:val="center"/>
          </w:tcPr>
          <w:p w14:paraId="60B0997F">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szCs w:val="32"/>
                <w:highlight w:val="none"/>
              </w:rPr>
              <w:t>本项目不允许采购进口产品。</w:t>
            </w:r>
          </w:p>
        </w:tc>
      </w:tr>
      <w:tr w14:paraId="11B0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jc w:val="center"/>
        </w:trPr>
        <w:tc>
          <w:tcPr>
            <w:tcW w:w="629" w:type="dxa"/>
            <w:vAlign w:val="center"/>
          </w:tcPr>
          <w:p w14:paraId="26E662AC">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843" w:type="dxa"/>
            <w:vAlign w:val="center"/>
          </w:tcPr>
          <w:p w14:paraId="6F641CF3">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6706" w:type="dxa"/>
            <w:vAlign w:val="center"/>
          </w:tcPr>
          <w:p w14:paraId="6EB78684">
            <w:pPr>
              <w:spacing w:line="400" w:lineRule="exac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B</w:t>
            </w:r>
            <w:r>
              <w:rPr>
                <w:rFonts w:hint="eastAsia" w:asciiTheme="minorEastAsia" w:hAnsiTheme="minorEastAsia" w:eastAsiaTheme="minorEastAsia" w:cstheme="minorEastAsia"/>
                <w:bCs/>
                <w:color w:val="auto"/>
                <w:sz w:val="24"/>
                <w:highlight w:val="none"/>
              </w:rPr>
              <w:t>不同意分包。</w:t>
            </w:r>
          </w:p>
        </w:tc>
      </w:tr>
      <w:tr w14:paraId="05E6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jc w:val="center"/>
        </w:trPr>
        <w:tc>
          <w:tcPr>
            <w:tcW w:w="629" w:type="dxa"/>
            <w:vAlign w:val="center"/>
          </w:tcPr>
          <w:p w14:paraId="3A47278E">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843" w:type="dxa"/>
            <w:vAlign w:val="center"/>
          </w:tcPr>
          <w:p w14:paraId="56C53C77">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交易</w:t>
            </w:r>
            <w:r>
              <w:rPr>
                <w:rFonts w:hint="eastAsia" w:asciiTheme="minorEastAsia" w:hAnsiTheme="minorEastAsia" w:eastAsiaTheme="minorEastAsia" w:cstheme="minorEastAsia"/>
                <w:b/>
                <w:color w:val="auto"/>
                <w:sz w:val="24"/>
                <w:highlight w:val="none"/>
              </w:rPr>
              <w:t>前答疑会或现场考察</w:t>
            </w:r>
          </w:p>
        </w:tc>
        <w:tc>
          <w:tcPr>
            <w:tcW w:w="6706" w:type="dxa"/>
            <w:vAlign w:val="center"/>
          </w:tcPr>
          <w:p w14:paraId="67AD7ED0">
            <w:pPr>
              <w:spacing w:line="400" w:lineRule="exact"/>
              <w:rPr>
                <w:rFonts w:hint="eastAsia"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bCs/>
                <w:color w:val="auto"/>
                <w:kern w:val="0"/>
                <w:sz w:val="24"/>
                <w:highlight w:val="none"/>
              </w:rPr>
              <w:t>A</w:t>
            </w:r>
            <w:r>
              <w:rPr>
                <w:rFonts w:hint="eastAsia" w:asciiTheme="minorEastAsia" w:hAnsiTheme="minorEastAsia" w:eastAsiaTheme="minorEastAsia" w:cstheme="minorEastAsia"/>
                <w:bCs/>
                <w:color w:val="auto"/>
                <w:sz w:val="24"/>
                <w:highlight w:val="none"/>
              </w:rPr>
              <w:t>不组织。</w:t>
            </w:r>
          </w:p>
        </w:tc>
      </w:tr>
      <w:tr w14:paraId="1B8D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0715268B">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843" w:type="dxa"/>
            <w:vAlign w:val="center"/>
          </w:tcPr>
          <w:p w14:paraId="51745D17">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706" w:type="dxa"/>
            <w:vAlign w:val="center"/>
          </w:tcPr>
          <w:p w14:paraId="41CC409F">
            <w:pPr>
              <w:spacing w:line="360" w:lineRule="auto"/>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（√）A不要求提供。</w:t>
            </w:r>
          </w:p>
          <w:p w14:paraId="752D5C1F">
            <w:pPr>
              <w:spacing w:line="360" w:lineRule="auto"/>
              <w:rPr>
                <w:rFonts w:hint="eastAsia" w:eastAsia="宋体" w:asciiTheme="minorEastAsia" w:hAnsiTheme="minorEastAsia" w:cstheme="minorEastAsia"/>
                <w:bCs/>
                <w:color w:val="auto"/>
                <w:sz w:val="24"/>
                <w:highlight w:val="none"/>
                <w:lang w:eastAsia="zh-CN"/>
              </w:rPr>
            </w:pPr>
            <w:r>
              <w:rPr>
                <w:rFonts w:hint="eastAsia" w:asciiTheme="minorEastAsia" w:hAnsiTheme="minorEastAsia" w:eastAsiaTheme="minorEastAsia" w:cstheme="minorEastAsia"/>
                <w:b w:val="0"/>
                <w:bCs/>
                <w:color w:val="auto"/>
                <w:sz w:val="24"/>
                <w:highlight w:val="none"/>
              </w:rPr>
              <w:t>（</w:t>
            </w:r>
            <w:r>
              <w:rPr>
                <w:rFonts w:hint="eastAsia" w:asciiTheme="minorEastAsia" w:hAnsiTheme="minorEastAsia" w:eastAsiaTheme="minorEastAsia" w:cstheme="minorEastAsia"/>
                <w:b w:val="0"/>
                <w:bCs/>
                <w:color w:val="auto"/>
                <w:sz w:val="24"/>
                <w:highlight w:val="none"/>
                <w:lang w:val="en-US" w:eastAsia="zh-CN"/>
              </w:rPr>
              <w:t xml:space="preserve">  </w:t>
            </w:r>
            <w:r>
              <w:rPr>
                <w:rFonts w:hint="eastAsia" w:asciiTheme="minorEastAsia" w:hAnsiTheme="minorEastAsia" w:eastAsiaTheme="minorEastAsia" w:cstheme="minorEastAsia"/>
                <w:b w:val="0"/>
                <w:bCs/>
                <w:color w:val="auto"/>
                <w:sz w:val="24"/>
                <w:highlight w:val="none"/>
              </w:rPr>
              <w:t>）</w:t>
            </w:r>
            <w:r>
              <w:rPr>
                <w:rFonts w:hint="eastAsia" w:asciiTheme="minorEastAsia" w:hAnsiTheme="minorEastAsia" w:eastAsiaTheme="minorEastAsia" w:cstheme="minorEastAsia"/>
                <w:b w:val="0"/>
                <w:bCs/>
                <w:color w:val="auto"/>
                <w:kern w:val="0"/>
                <w:sz w:val="24"/>
                <w:highlight w:val="none"/>
              </w:rPr>
              <w:t>B</w:t>
            </w:r>
            <w:r>
              <w:rPr>
                <w:rFonts w:hint="eastAsia" w:asciiTheme="minorEastAsia" w:hAnsiTheme="minorEastAsia" w:eastAsiaTheme="minorEastAsia" w:cstheme="minorEastAsia"/>
                <w:b w:val="0"/>
                <w:bCs/>
                <w:color w:val="auto"/>
                <w:sz w:val="24"/>
                <w:highlight w:val="none"/>
                <w:lang w:val="en-US" w:eastAsia="zh-CN"/>
              </w:rPr>
              <w:t>要求提供</w:t>
            </w:r>
            <w:r>
              <w:rPr>
                <w:rFonts w:hint="eastAsia" w:asciiTheme="minorEastAsia" w:hAnsiTheme="minorEastAsia" w:eastAsiaTheme="minorEastAsia" w:cstheme="minorEastAsia"/>
                <w:b w:val="0"/>
                <w:bCs/>
                <w:color w:val="auto"/>
                <w:sz w:val="24"/>
                <w:highlight w:val="none"/>
              </w:rPr>
              <w:t>。</w:t>
            </w:r>
          </w:p>
        </w:tc>
      </w:tr>
      <w:tr w14:paraId="2757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jc w:val="center"/>
        </w:trPr>
        <w:tc>
          <w:tcPr>
            <w:tcW w:w="629" w:type="dxa"/>
            <w:vAlign w:val="center"/>
          </w:tcPr>
          <w:p w14:paraId="122A34BB">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843" w:type="dxa"/>
            <w:vAlign w:val="center"/>
          </w:tcPr>
          <w:p w14:paraId="78359A09">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现场讲解</w:t>
            </w:r>
          </w:p>
        </w:tc>
        <w:tc>
          <w:tcPr>
            <w:tcW w:w="6706" w:type="dxa"/>
            <w:vAlign w:val="center"/>
          </w:tcPr>
          <w:p w14:paraId="3B633CA3">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（√）A不组织。</w:t>
            </w:r>
          </w:p>
          <w:p w14:paraId="691A0C4F">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  ）B组织。</w:t>
            </w:r>
          </w:p>
        </w:tc>
      </w:tr>
      <w:tr w14:paraId="67D7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540F9EB5">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843" w:type="dxa"/>
            <w:vAlign w:val="center"/>
          </w:tcPr>
          <w:p w14:paraId="7648589F">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响应人应当提供的资格证明文件</w:t>
            </w:r>
          </w:p>
        </w:tc>
        <w:tc>
          <w:tcPr>
            <w:tcW w:w="6706" w:type="dxa"/>
            <w:vAlign w:val="center"/>
          </w:tcPr>
          <w:p w14:paraId="507CC7EB">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（1）资格证明文件：见公开竞争文件第二部分10.1。</w:t>
            </w:r>
          </w:p>
          <w:p w14:paraId="5E0E5B76">
            <w:pPr>
              <w:spacing w:line="400" w:lineRule="exact"/>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kern w:val="0"/>
                <w:sz w:val="24"/>
                <w:highlight w:val="none"/>
                <w:lang w:val="zh-CN"/>
              </w:rPr>
              <w:t>响应人未提供有效的资格证明文件的，视为响应人不具备公开竞争文件中规定的资格要求，交易无效。</w:t>
            </w:r>
          </w:p>
        </w:tc>
      </w:tr>
      <w:tr w14:paraId="641C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54B8AE5D">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843" w:type="dxa"/>
            <w:vAlign w:val="center"/>
          </w:tcPr>
          <w:p w14:paraId="4C0616A0">
            <w:pPr>
              <w:snapToGrid w:val="0"/>
              <w:spacing w:line="40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6706" w:type="dxa"/>
            <w:vAlign w:val="center"/>
          </w:tcPr>
          <w:p w14:paraId="209EE719">
            <w:pPr>
              <w:spacing w:line="400" w:lineRule="exact"/>
              <w:ind w:firstLine="480" w:firstLineChars="200"/>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Cs/>
                <w:color w:val="auto"/>
                <w:kern w:val="0"/>
                <w:sz w:val="24"/>
                <w:highlight w:val="none"/>
              </w:rPr>
              <w:t>交易一览表（报价表）是报价的唯一载体</w:t>
            </w:r>
            <w:r>
              <w:rPr>
                <w:rFonts w:hint="eastAsia" w:asciiTheme="minorEastAsia" w:hAnsiTheme="minorEastAsia" w:eastAsiaTheme="minorEastAsia" w:cstheme="minorEastAsia"/>
                <w:bCs/>
                <w:color w:val="auto"/>
                <w:kern w:val="0"/>
                <w:sz w:val="24"/>
                <w:highlight w:val="none"/>
                <w:lang w:val="zh-CN"/>
              </w:rPr>
              <w:t>。响应文件中价格全部采用人民币报价。公开竞争文件未列明，而响应人认为必需的费用也需列入报价。</w:t>
            </w:r>
          </w:p>
          <w:p w14:paraId="0B145DF0">
            <w:pPr>
              <w:spacing w:line="400" w:lineRule="exact"/>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交易报价出现下列情形的，交易无效：</w:t>
            </w:r>
          </w:p>
          <w:p w14:paraId="276467FA">
            <w:pPr>
              <w:spacing w:line="400" w:lineRule="exact"/>
              <w:ind w:firstLine="480" w:firstLineChars="200"/>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响应文件出现不是唯一的、有选择性交易报价的；</w:t>
            </w:r>
          </w:p>
          <w:p w14:paraId="51F5A69B">
            <w:pPr>
              <w:spacing w:line="400" w:lineRule="exact"/>
              <w:ind w:firstLine="480" w:firstLineChars="200"/>
              <w:rPr>
                <w:rFonts w:hint="eastAsia" w:asciiTheme="minorEastAsia" w:hAnsiTheme="minorEastAsia" w:eastAsiaTheme="minorEastAsia" w:cstheme="minorEastAsia"/>
                <w:bCs/>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lang w:val="zh-CN"/>
              </w:rPr>
              <w:t>交易报价超过公开竞争文件中规定的预算金额或者最高限价的；</w:t>
            </w:r>
          </w:p>
          <w:p w14:paraId="58055868">
            <w:pPr>
              <w:spacing w:line="400" w:lineRule="exact"/>
              <w:ind w:firstLine="480" w:firstLineChars="200"/>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601D6E4A">
            <w:pPr>
              <w:spacing w:line="40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Cs/>
                <w:color w:val="auto"/>
                <w:kern w:val="0"/>
                <w:sz w:val="24"/>
                <w:highlight w:val="none"/>
              </w:rPr>
              <w:t>响应人对根据修正原则修正后的报价不确认的。</w:t>
            </w:r>
          </w:p>
        </w:tc>
      </w:tr>
      <w:tr w14:paraId="46B5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jc w:val="center"/>
        </w:trPr>
        <w:tc>
          <w:tcPr>
            <w:tcW w:w="629" w:type="dxa"/>
            <w:vAlign w:val="center"/>
          </w:tcPr>
          <w:p w14:paraId="43871BFC">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843" w:type="dxa"/>
            <w:vAlign w:val="center"/>
          </w:tcPr>
          <w:p w14:paraId="31495BC1">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备份响应文件</w:t>
            </w:r>
          </w:p>
        </w:tc>
        <w:tc>
          <w:tcPr>
            <w:tcW w:w="6706" w:type="dxa"/>
            <w:vAlign w:val="center"/>
          </w:tcPr>
          <w:p w14:paraId="6651C058">
            <w:pPr>
              <w:pStyle w:val="33"/>
              <w:spacing w:line="400" w:lineRule="exact"/>
              <w:ind w:hanging="4"/>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color w:val="auto"/>
                <w:kern w:val="28"/>
                <w:sz w:val="24"/>
                <w:szCs w:val="24"/>
                <w:highlight w:val="none"/>
              </w:rPr>
              <w:t>备份文件是否收取：不收取。</w:t>
            </w:r>
          </w:p>
          <w:p w14:paraId="694CE9E0">
            <w:pPr>
              <w:pStyle w:val="33"/>
              <w:spacing w:line="400" w:lineRule="exact"/>
              <w:ind w:hanging="4"/>
              <w:rPr>
                <w:rFonts w:hint="eastAsia" w:asciiTheme="minorEastAsia" w:hAnsiTheme="minorEastAsia" w:eastAsiaTheme="minorEastAsia" w:cstheme="minorEastAsia"/>
                <w:color w:val="auto"/>
                <w:kern w:val="28"/>
                <w:sz w:val="24"/>
                <w:szCs w:val="24"/>
                <w:highlight w:val="none"/>
              </w:rPr>
            </w:pPr>
            <w:r>
              <w:rPr>
                <w:rFonts w:hint="eastAsia" w:asciiTheme="minorEastAsia" w:hAnsiTheme="minorEastAsia" w:eastAsiaTheme="minorEastAsia" w:cstheme="minorEastAsia"/>
                <w:b/>
                <w:color w:val="auto"/>
                <w:sz w:val="24"/>
                <w:highlight w:val="none"/>
              </w:rPr>
              <w:t>成交单位在成交后提供纸质响应文件一正二副。</w:t>
            </w:r>
          </w:p>
        </w:tc>
      </w:tr>
      <w:tr w14:paraId="4D49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atLeast"/>
          <w:jc w:val="center"/>
        </w:trPr>
        <w:tc>
          <w:tcPr>
            <w:tcW w:w="629" w:type="dxa"/>
            <w:vAlign w:val="center"/>
          </w:tcPr>
          <w:p w14:paraId="2E46DC9B">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843" w:type="dxa"/>
            <w:vAlign w:val="center"/>
          </w:tcPr>
          <w:p w14:paraId="6F89FB6D">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代理机构代理费用</w:t>
            </w:r>
          </w:p>
        </w:tc>
        <w:tc>
          <w:tcPr>
            <w:tcW w:w="6706" w:type="dxa"/>
            <w:vAlign w:val="center"/>
          </w:tcPr>
          <w:p w14:paraId="1B7F6BA0">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
                <w:color w:val="auto"/>
                <w:kern w:val="0"/>
                <w:sz w:val="24"/>
                <w:highlight w:val="none"/>
              </w:rPr>
              <w:t>本项目采购代理费由成交人支付。</w:t>
            </w:r>
            <w:r>
              <w:rPr>
                <w:rFonts w:hint="eastAsia" w:asciiTheme="minorEastAsia" w:hAnsiTheme="minorEastAsia" w:eastAsiaTheme="minorEastAsia" w:cstheme="minorEastAsia"/>
                <w:bCs/>
                <w:color w:val="auto"/>
                <w:kern w:val="0"/>
                <w:sz w:val="24"/>
                <w:highlight w:val="none"/>
              </w:rPr>
              <w:t>本次委托代理费按国家发展计划委员会的计价格[2002]1980号文件收费标准下浮70%结算收取（单项不足2000元的按2000元计算）。</w:t>
            </w:r>
          </w:p>
          <w:p w14:paraId="0250A9AD">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服务费缴纳账号：</w:t>
            </w:r>
          </w:p>
          <w:p w14:paraId="6B8A0F70">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开户银行：上海浦东发展银行萧山支行</w:t>
            </w:r>
          </w:p>
          <w:p w14:paraId="2A7F215F">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帐户名称：杭州博望建设工程招标投标代理有限公司</w:t>
            </w:r>
          </w:p>
          <w:p w14:paraId="6A2FF048">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银行帐号：95070154740001005</w:t>
            </w:r>
          </w:p>
          <w:p w14:paraId="4C21F1E4">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联系电话：0571-82373980</w:t>
            </w:r>
          </w:p>
        </w:tc>
      </w:tr>
      <w:tr w14:paraId="5E10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629" w:type="dxa"/>
            <w:vAlign w:val="center"/>
          </w:tcPr>
          <w:p w14:paraId="1BE74D77">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12</w:t>
            </w:r>
          </w:p>
        </w:tc>
        <w:tc>
          <w:tcPr>
            <w:tcW w:w="1843" w:type="dxa"/>
            <w:vAlign w:val="center"/>
          </w:tcPr>
          <w:p w14:paraId="1393987D">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履约保证金</w:t>
            </w:r>
          </w:p>
        </w:tc>
        <w:tc>
          <w:tcPr>
            <w:tcW w:w="6706" w:type="dxa"/>
            <w:vAlign w:val="center"/>
          </w:tcPr>
          <w:p w14:paraId="204DA71D">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履约保证金：不收取。</w:t>
            </w:r>
          </w:p>
        </w:tc>
      </w:tr>
      <w:tr w14:paraId="364A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3" w:hRule="atLeast"/>
          <w:jc w:val="center"/>
        </w:trPr>
        <w:tc>
          <w:tcPr>
            <w:tcW w:w="629" w:type="dxa"/>
            <w:vAlign w:val="center"/>
          </w:tcPr>
          <w:p w14:paraId="443269C7">
            <w:pPr>
              <w:snapToGrid w:val="0"/>
              <w:spacing w:line="40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13</w:t>
            </w:r>
          </w:p>
        </w:tc>
        <w:tc>
          <w:tcPr>
            <w:tcW w:w="1843" w:type="dxa"/>
            <w:vAlign w:val="center"/>
          </w:tcPr>
          <w:p w14:paraId="5D10C6A4">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资格审查和信用信息审查</w:t>
            </w:r>
          </w:p>
        </w:tc>
        <w:tc>
          <w:tcPr>
            <w:tcW w:w="6706" w:type="dxa"/>
            <w:vAlign w:val="center"/>
          </w:tcPr>
          <w:p w14:paraId="67A16920">
            <w:pPr>
              <w:snapToGrid w:val="0"/>
              <w:spacing w:line="400" w:lineRule="exact"/>
              <w:rPr>
                <w:rFonts w:hint="eastAsia"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本项目由交易发起人进行资格文件及信用信息查询。</w:t>
            </w:r>
          </w:p>
        </w:tc>
      </w:tr>
      <w:tr w14:paraId="4CE9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14:paraId="742E04E0">
            <w:pPr>
              <w:snapToGrid w:val="0"/>
              <w:spacing w:line="400" w:lineRule="exact"/>
              <w:jc w:val="center"/>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14</w:t>
            </w:r>
          </w:p>
        </w:tc>
        <w:tc>
          <w:tcPr>
            <w:tcW w:w="1843" w:type="dxa"/>
            <w:vAlign w:val="center"/>
          </w:tcPr>
          <w:p w14:paraId="247DF1CC">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异议接收人及答复</w:t>
            </w:r>
          </w:p>
        </w:tc>
        <w:tc>
          <w:tcPr>
            <w:tcW w:w="6706" w:type="dxa"/>
            <w:vAlign w:val="center"/>
          </w:tcPr>
          <w:p w14:paraId="0EB1F2A8">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代理机构异议接收人：</w:t>
            </w:r>
            <w:r>
              <w:rPr>
                <w:rFonts w:hint="eastAsia" w:asciiTheme="minorEastAsia" w:hAnsiTheme="minorEastAsia" w:eastAsiaTheme="minorEastAsia" w:cstheme="minorEastAsia"/>
                <w:color w:val="auto"/>
                <w:sz w:val="24"/>
                <w:highlight w:val="none"/>
                <w:u w:val="single"/>
              </w:rPr>
              <w:t>高华萍</w:t>
            </w:r>
            <w:r>
              <w:rPr>
                <w:rFonts w:hint="eastAsia" w:asciiTheme="minorEastAsia" w:hAnsiTheme="minorEastAsia" w:eastAsiaTheme="minorEastAsia" w:cstheme="minorEastAsia"/>
                <w:color w:val="auto"/>
                <w:sz w:val="24"/>
                <w:highlight w:val="none"/>
              </w:rPr>
              <w:t xml:space="preserve"> 联系方式：</w:t>
            </w:r>
            <w:r>
              <w:rPr>
                <w:rFonts w:hint="eastAsia" w:asciiTheme="minorEastAsia" w:hAnsiTheme="minorEastAsia" w:eastAsiaTheme="minorEastAsia" w:cstheme="minorEastAsia"/>
                <w:color w:val="auto"/>
                <w:sz w:val="24"/>
                <w:highlight w:val="none"/>
                <w:u w:val="single"/>
              </w:rPr>
              <w:t>0571-83881208</w:t>
            </w:r>
          </w:p>
          <w:p w14:paraId="5BB6DED0">
            <w:pPr>
              <w:snapToGrid w:val="0"/>
              <w:spacing w:line="400" w:lineRule="exac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杭州市萧山区金城路433号天汇园一幢A座5楼</w:t>
            </w:r>
          </w:p>
          <w:p w14:paraId="118EABDB">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邮箱：</w:t>
            </w:r>
            <w:r>
              <w:rPr>
                <w:rFonts w:hint="eastAsia" w:asciiTheme="minorEastAsia" w:hAnsiTheme="minorEastAsia" w:eastAsiaTheme="minorEastAsia" w:cstheme="minorEastAsia"/>
                <w:color w:val="auto"/>
                <w:sz w:val="24"/>
                <w:highlight w:val="none"/>
                <w:u w:val="single"/>
              </w:rPr>
              <w:t>751200605@qq.com</w:t>
            </w:r>
          </w:p>
          <w:p w14:paraId="29639F51">
            <w:pPr>
              <w:snapToGrid w:val="0"/>
              <w:spacing w:line="40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6DE3A716">
            <w:pPr>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本项目涉及资格条件、交易需求、评分办法及交易过程中有关现场考察或开标前答疑会事项由交易发起人进行答复。</w:t>
            </w:r>
          </w:p>
          <w:p w14:paraId="518DEDD4">
            <w:pPr>
              <w:pStyle w:val="33"/>
              <w:spacing w:line="400" w:lineRule="exact"/>
              <w:ind w:hanging="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涉及流程组织等相关事项，由代理机构进行答复。</w:t>
            </w:r>
          </w:p>
        </w:tc>
      </w:tr>
      <w:tr w14:paraId="08A1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jc w:val="center"/>
        </w:trPr>
        <w:tc>
          <w:tcPr>
            <w:tcW w:w="629" w:type="dxa"/>
            <w:vAlign w:val="center"/>
          </w:tcPr>
          <w:p w14:paraId="3DBD988A">
            <w:pPr>
              <w:snapToGrid w:val="0"/>
              <w:spacing w:line="40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843" w:type="dxa"/>
            <w:vAlign w:val="center"/>
          </w:tcPr>
          <w:p w14:paraId="2D91CA04">
            <w:pPr>
              <w:snapToGrid w:val="0"/>
              <w:spacing w:line="40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6706" w:type="dxa"/>
            <w:vAlign w:val="center"/>
          </w:tcPr>
          <w:p w14:paraId="4CFFB3CC">
            <w:pPr>
              <w:spacing w:line="400" w:lineRule="exact"/>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color w:val="auto"/>
                <w:sz w:val="24"/>
                <w:highlight w:val="none"/>
              </w:rPr>
              <w:t>本项目通用总则条款与前附表等专用特别规定有冲突之处，以专用条款（特别规定）为准。</w:t>
            </w:r>
          </w:p>
        </w:tc>
      </w:tr>
    </w:tbl>
    <w:p w14:paraId="382D7EA3">
      <w:pP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9"/>
    <w:p w14:paraId="445FF36E">
      <w:pPr>
        <w:rPr>
          <w:rFonts w:hint="eastAsia" w:asciiTheme="minorEastAsia" w:hAnsiTheme="minorEastAsia" w:eastAsiaTheme="minorEastAsia" w:cstheme="minorEastAsia"/>
          <w:b/>
          <w:color w:val="auto"/>
          <w:sz w:val="32"/>
          <w:szCs w:val="20"/>
          <w:highlight w:val="none"/>
        </w:rPr>
      </w:pPr>
      <w:bookmarkStart w:id="12" w:name="_Toc164416483"/>
      <w:bookmarkStart w:id="13" w:name="第三部分"/>
      <w:r>
        <w:rPr>
          <w:rFonts w:hint="eastAsia" w:asciiTheme="minorEastAsia" w:hAnsiTheme="minorEastAsia" w:eastAsiaTheme="minorEastAsia" w:cstheme="minorEastAsia"/>
          <w:b/>
          <w:color w:val="auto"/>
          <w:sz w:val="32"/>
          <w:szCs w:val="20"/>
          <w:highlight w:val="none"/>
        </w:rPr>
        <w:br w:type="page"/>
      </w:r>
    </w:p>
    <w:p w14:paraId="300A8FFD">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2042AC43">
      <w:pPr>
        <w:snapToGrid w:val="0"/>
        <w:spacing w:line="460" w:lineRule="exact"/>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14:paraId="38D74787">
      <w:pPr>
        <w:snapToGrid w:val="0"/>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本公开竞争文件适用于该项目的交易、响应、评审、资格审查及信用信息查询、评审、定标、合同、验收等行为（法律、法规另有规定的，从其规定）。</w:t>
      </w:r>
    </w:p>
    <w:p w14:paraId="35DFE0EF">
      <w:pPr>
        <w:adjustRightInd/>
        <w:spacing w:line="460" w:lineRule="exact"/>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2.定义</w:t>
      </w:r>
    </w:p>
    <w:p w14:paraId="68C4F0F6">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2.1“交易发起人”系指交易公告中载明的本项目的交易发起人。</w:t>
      </w:r>
    </w:p>
    <w:p w14:paraId="665CF9C9">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2.2“代理机构”系指交易公告中载明的本项目的代理机构。</w:t>
      </w:r>
    </w:p>
    <w:p w14:paraId="17E78DDB">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2.3“响应人”系指响应招标、参加投标竞争的法人、其他组织或者自然人。</w:t>
      </w:r>
    </w:p>
    <w:p w14:paraId="2939CB60">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2.4“负责人”系指法人企业的法定负责人，或其他组织为法律、行政法规规定代表单位行使职权的主要负责人，或自然人本人。</w:t>
      </w:r>
    </w:p>
    <w:p w14:paraId="293BD9EC">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7824077A">
      <w:pPr>
        <w:spacing w:line="460" w:lineRule="exact"/>
        <w:ind w:firstLine="420" w:firstLineChars="175"/>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2.6“电子交易平台”是指本项目交易活动所依托的乐采云平台（www.lecaiyun.com）。</w:t>
      </w:r>
    </w:p>
    <w:p w14:paraId="193FBDDF">
      <w:pPr>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系指实质性要求条款，“（</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 系指适用本项目的要求，“（  ）”系指不适用本项目的要求。</w:t>
      </w:r>
    </w:p>
    <w:p w14:paraId="3D63D2E1">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3.异议、投诉</w:t>
      </w:r>
    </w:p>
    <w:p w14:paraId="399DC46D">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.1响应人异议</w:t>
      </w:r>
    </w:p>
    <w:p w14:paraId="74855665">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响应人对</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3A5067DD">
      <w:pPr>
        <w:autoSpaceDE w:val="0"/>
        <w:autoSpaceDN w:val="0"/>
        <w:spacing w:line="460" w:lineRule="exact"/>
        <w:ind w:firstLine="420" w:firstLineChars="175"/>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.2响应人异议</w:t>
      </w:r>
    </w:p>
    <w:p w14:paraId="39AD56D6">
      <w:pPr>
        <w:pStyle w:val="33"/>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.1提出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的响应人应当是参与所质</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项目交易活动的响应人。潜在响应人已依法获取其可</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的公开竞争文件的，可以对该文件提出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w:t>
      </w:r>
    </w:p>
    <w:p w14:paraId="49E92982">
      <w:pPr>
        <w:pStyle w:val="33"/>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w:t>
      </w:r>
      <w:r>
        <w:rPr>
          <w:rFonts w:hint="eastAsia" w:asciiTheme="minorEastAsia" w:hAnsiTheme="minorEastAsia" w:eastAsiaTheme="minorEastAsia" w:cstheme="minorEastAsia"/>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，否则，交易发起人或者代理机构不予受理：</w:t>
      </w:r>
    </w:p>
    <w:p w14:paraId="10EA2AEF">
      <w:pPr>
        <w:pStyle w:val="33"/>
        <w:spacing w:line="460" w:lineRule="exact"/>
        <w:ind w:firstLine="420" w:firstLineChars="17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3.2.2.1对交易过程提出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期限为各交易程序环节结束之日起计算。对同一交易程序环节的</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，响应人须一次性提出。</w:t>
      </w:r>
    </w:p>
    <w:p w14:paraId="027DC9FA">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w:t>
      </w:r>
      <w:r>
        <w:rPr>
          <w:rFonts w:hint="eastAsia" w:asciiTheme="minorEastAsia" w:hAnsiTheme="minorEastAsia" w:eastAsiaTheme="minorEastAsia" w:cstheme="minorEastAsia"/>
          <w:color w:val="auto"/>
          <w:sz w:val="24"/>
          <w:highlight w:val="none"/>
        </w:rPr>
        <w:t>响应人提出</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应当提交</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函和必要的证明材料。</w:t>
      </w:r>
      <w:r>
        <w:rPr>
          <w:rFonts w:hint="eastAsia" w:asciiTheme="minorEastAsia" w:hAnsiTheme="minorEastAsia" w:eastAsiaTheme="minorEastAsia" w:cstheme="minorEastAsia"/>
          <w:color w:val="auto"/>
          <w:kern w:val="0"/>
          <w:sz w:val="24"/>
          <w:highlight w:val="none"/>
          <w:lang w:val="zh-CN"/>
        </w:rPr>
        <w:t>异议</w:t>
      </w:r>
      <w:r>
        <w:rPr>
          <w:rFonts w:hint="eastAsia" w:asciiTheme="minorEastAsia" w:hAnsiTheme="minorEastAsia" w:eastAsiaTheme="minorEastAsia" w:cstheme="minorEastAsia"/>
          <w:color w:val="auto"/>
          <w:sz w:val="24"/>
          <w:highlight w:val="none"/>
        </w:rPr>
        <w:t>函应当包括下列内容：</w:t>
      </w:r>
    </w:p>
    <w:p w14:paraId="2EBA234F">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.2.3.1响应人的姓名或者名称、地址、邮编、联系人及联系电话；</w:t>
      </w:r>
    </w:p>
    <w:p w14:paraId="35E95CFA">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.2.3.2异议项目的名称、编号；</w:t>
      </w:r>
    </w:p>
    <w:p w14:paraId="54A0B40B">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.2.3.3具体、明确的异议事项和与异议事项相关的请求；</w:t>
      </w:r>
    </w:p>
    <w:p w14:paraId="3427DFF1">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.2.3.4事实依据；</w:t>
      </w:r>
    </w:p>
    <w:p w14:paraId="78C6E123">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.2.3.5必要的法律依据；</w:t>
      </w:r>
    </w:p>
    <w:p w14:paraId="00B7EB96">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.2.3.6提出异议的日期。</w:t>
      </w:r>
    </w:p>
    <w:p w14:paraId="2AD59450">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5EA78B17">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异议函范本及制作说明详见附件</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w:t>
      </w:r>
    </w:p>
    <w:p w14:paraId="5C8FE861">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.2.4交易发起人或者代理机构应当在收到响应人的书面异议后</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日内作出答复，并以书面形式通知异议响应人和其他与异议处理结果有利害关系的交易当事人，但答复的内容不得涉及商业秘密。</w:t>
      </w:r>
    </w:p>
    <w:p w14:paraId="17D2AC81">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.2.5询问或者异议事项可能影响</w:t>
      </w:r>
      <w:r>
        <w:rPr>
          <w:rFonts w:hint="eastAsia" w:asciiTheme="minorEastAsia" w:hAnsiTheme="minorEastAsia" w:eastAsiaTheme="minorEastAsia" w:cstheme="minorEastAsia"/>
          <w:color w:val="auto"/>
          <w:kern w:val="0"/>
          <w:sz w:val="24"/>
          <w:highlight w:val="none"/>
        </w:rPr>
        <w:t>交易</w:t>
      </w:r>
      <w:r>
        <w:rPr>
          <w:rFonts w:hint="eastAsia" w:asciiTheme="minorEastAsia" w:hAnsiTheme="minorEastAsia" w:eastAsiaTheme="minorEastAsia" w:cstheme="minorEastAsia"/>
          <w:color w:val="auto"/>
          <w:kern w:val="0"/>
          <w:sz w:val="24"/>
          <w:highlight w:val="none"/>
          <w:lang w:val="zh-CN"/>
        </w:rPr>
        <w:t>结果的，交易发起人应当暂停签订合同，已经签订合同的，应当中止履行合同。</w:t>
      </w:r>
    </w:p>
    <w:p w14:paraId="08308D7C">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.3响应人投诉</w:t>
      </w:r>
    </w:p>
    <w:p w14:paraId="49B07F80">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Theme="minorEastAsia" w:hAnsiTheme="minorEastAsia" w:eastAsiaTheme="minorEastAsia" w:cstheme="minorEastAsia"/>
          <w:color w:val="auto"/>
          <w:kern w:val="0"/>
          <w:sz w:val="24"/>
          <w:highlight w:val="none"/>
        </w:rPr>
        <w:t>10</w:t>
      </w:r>
      <w:r>
        <w:rPr>
          <w:rFonts w:hint="eastAsia" w:asciiTheme="minorEastAsia" w:hAnsiTheme="minorEastAsia" w:eastAsiaTheme="minorEastAsia" w:cstheme="minorEastAsia"/>
          <w:color w:val="auto"/>
          <w:kern w:val="0"/>
          <w:sz w:val="24"/>
          <w:highlight w:val="none"/>
          <w:lang w:val="zh-CN"/>
        </w:rPr>
        <w:t>日内向基层监督机构部门提出投诉。</w:t>
      </w:r>
    </w:p>
    <w:p w14:paraId="131826D9">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.3.2响应人投诉的事项不得超出已异议事项的范围，基于异议答复内容提出的投诉事项除外。</w:t>
      </w:r>
    </w:p>
    <w:p w14:paraId="2097020A">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.3.3响应人投诉应当有明确的请求和必要的证明材料。</w:t>
      </w:r>
    </w:p>
    <w:p w14:paraId="5C35FDBE">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lang w:val="zh-CN"/>
        </w:rPr>
        <w:t>.3.</w:t>
      </w: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lang w:val="zh-CN"/>
        </w:rPr>
        <w:t>以联合体形式参加交易活动的，其投诉应当由组成联合体的所有响应人共同提出。</w:t>
      </w:r>
    </w:p>
    <w:p w14:paraId="1E544023">
      <w:pPr>
        <w:pStyle w:val="33"/>
        <w:spacing w:line="460" w:lineRule="exact"/>
        <w:ind w:firstLine="420" w:firstLineChars="175"/>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投诉书范本及制作说明详见附件</w:t>
      </w: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lang w:val="zh-CN"/>
        </w:rPr>
        <w:t>。</w:t>
      </w:r>
    </w:p>
    <w:p w14:paraId="212D3796">
      <w:pPr>
        <w:pStyle w:val="139"/>
        <w:snapToGrid w:val="0"/>
        <w:spacing w:before="0" w:line="460" w:lineRule="exact"/>
        <w:ind w:firstLine="360"/>
        <w:rPr>
          <w:rFonts w:hint="eastAsia" w:asciiTheme="minorEastAsia" w:hAnsiTheme="minorEastAsia" w:eastAsiaTheme="minorEastAsia" w:cstheme="minorEastAsia"/>
          <w:color w:val="auto"/>
          <w:sz w:val="18"/>
          <w:szCs w:val="18"/>
          <w:highlight w:val="none"/>
        </w:rPr>
      </w:pPr>
    </w:p>
    <w:p w14:paraId="5EBA4A29">
      <w:pPr>
        <w:adjustRightInd/>
        <w:spacing w:line="460" w:lineRule="exact"/>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二、公开竞争文件的构成、澄清、修改</w:t>
      </w:r>
    </w:p>
    <w:p w14:paraId="2BBBEA7A">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4．公开竞争文件的构成</w:t>
      </w:r>
    </w:p>
    <w:p w14:paraId="631F0D28">
      <w:pPr>
        <w:pStyle w:val="33"/>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4.1公开竞争文件包括下列文件及附件：</w:t>
      </w:r>
    </w:p>
    <w:p w14:paraId="39489245">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4.1.1交易公告；</w:t>
      </w:r>
    </w:p>
    <w:p w14:paraId="302039A2">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4.1.2响应人须知；</w:t>
      </w:r>
    </w:p>
    <w:p w14:paraId="5F4FCA26">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4.1.3交易需求；</w:t>
      </w:r>
    </w:p>
    <w:p w14:paraId="130B0CE4">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4.1.4交易办法；</w:t>
      </w:r>
    </w:p>
    <w:p w14:paraId="29FA4EB0">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4.1.5拟签订的合同文本；</w:t>
      </w:r>
    </w:p>
    <w:p w14:paraId="02A970D6">
      <w:pPr>
        <w:pStyle w:val="33"/>
        <w:tabs>
          <w:tab w:val="left" w:pos="840"/>
        </w:tabs>
        <w:spacing w:line="460" w:lineRule="exact"/>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4.1.6</w:t>
      </w:r>
      <w:r>
        <w:rPr>
          <w:rFonts w:hint="eastAsia" w:asciiTheme="minorEastAsia" w:hAnsiTheme="minorEastAsia" w:eastAsiaTheme="minorEastAsia" w:cstheme="minorEastAsia"/>
          <w:color w:val="auto"/>
          <w:sz w:val="24"/>
          <w:szCs w:val="24"/>
          <w:highlight w:val="none"/>
        </w:rPr>
        <w:t>应提交的有关格式范例。</w:t>
      </w:r>
    </w:p>
    <w:p w14:paraId="395A6C61">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4.2与本项目有关的</w:t>
      </w:r>
      <w:r>
        <w:rPr>
          <w:rFonts w:hint="eastAsia" w:asciiTheme="minorEastAsia" w:hAnsiTheme="minorEastAsia" w:eastAsiaTheme="minorEastAsia" w:cstheme="minorEastAsia"/>
          <w:bCs/>
          <w:color w:val="auto"/>
          <w:sz w:val="24"/>
          <w:highlight w:val="none"/>
        </w:rPr>
        <w:t>澄清或者修改的内容为公开竞争文件的组成部分</w:t>
      </w:r>
      <w:r>
        <w:rPr>
          <w:rFonts w:hint="eastAsia" w:asciiTheme="minorEastAsia" w:hAnsiTheme="minorEastAsia" w:eastAsiaTheme="minorEastAsia" w:cstheme="minorEastAsia"/>
          <w:color w:val="auto"/>
          <w:sz w:val="24"/>
          <w:highlight w:val="none"/>
        </w:rPr>
        <w:t>。</w:t>
      </w:r>
    </w:p>
    <w:p w14:paraId="5CFC8647">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5.公开竞争文件的澄清、修改</w:t>
      </w:r>
    </w:p>
    <w:p w14:paraId="5EB835BF">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5.1已获取公开竞争文件的潜在响应人，若有问题需要澄清，应于响应截止时间前，以书面形式向代理机构提出。</w:t>
      </w:r>
    </w:p>
    <w:p w14:paraId="5BF2C610">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0BA54050">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p>
    <w:p w14:paraId="5DA0F123">
      <w:pPr>
        <w:adjustRightInd/>
        <w:spacing w:line="460" w:lineRule="exact"/>
        <w:jc w:val="center"/>
        <w:outlineLvl w:val="0"/>
        <w:rPr>
          <w:rFonts w:hint="eastAsia"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三、响应</w:t>
      </w:r>
    </w:p>
    <w:p w14:paraId="024FAEC6">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6.公开竞争文件的获取</w:t>
      </w:r>
    </w:p>
    <w:p w14:paraId="45F09A5A">
      <w:pPr>
        <w:spacing w:line="460" w:lineRule="exact"/>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详见交易公告中获取公开竞争文件的时间期限、地点、方式及公开竞争文件售价。</w:t>
      </w:r>
    </w:p>
    <w:p w14:paraId="3A5E3FEC">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7.交易前答疑会或现场考察</w:t>
      </w:r>
    </w:p>
    <w:p w14:paraId="4CC70751">
      <w:pPr>
        <w:pStyle w:val="33"/>
        <w:spacing w:line="46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本项目不组织交易前答疑会或现场考察。</w:t>
      </w:r>
    </w:p>
    <w:p w14:paraId="0A708C51">
      <w:pPr>
        <w:pStyle w:val="33"/>
        <w:spacing w:line="460" w:lineRule="exact"/>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8.交易保证金</w:t>
      </w:r>
    </w:p>
    <w:p w14:paraId="1AC3A365">
      <w:pPr>
        <w:pStyle w:val="16"/>
        <w:spacing w:line="460" w:lineRule="exact"/>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本项目不需缴纳交易保证金。</w:t>
      </w:r>
    </w:p>
    <w:p w14:paraId="5E60145C">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9.响应文件的语言</w:t>
      </w:r>
    </w:p>
    <w:p w14:paraId="26F9EFE1">
      <w:pPr>
        <w:autoSpaceDE w:val="0"/>
        <w:autoSpaceDN w:val="0"/>
        <w:spacing w:line="460" w:lineRule="exact"/>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响应文件及响应人与交易有关的来往通知、函件和文件均应使用中文。</w:t>
      </w:r>
    </w:p>
    <w:p w14:paraId="5D745823">
      <w:pPr>
        <w:pStyle w:val="33"/>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10.响应文件的组成</w:t>
      </w:r>
    </w:p>
    <w:p w14:paraId="536628E8">
      <w:pPr>
        <w:snapToGrid w:val="0"/>
        <w:spacing w:line="460" w:lineRule="exact"/>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10.1资格文件：</w:t>
      </w:r>
    </w:p>
    <w:p w14:paraId="113C1F3B">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10.1.1符合参加交易活动应当具备的一般条件的承诺函；</w:t>
      </w:r>
    </w:p>
    <w:p w14:paraId="4A86D0D5">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10.1.2本项目的特定资格要求。</w:t>
      </w:r>
    </w:p>
    <w:p w14:paraId="31065046">
      <w:pPr>
        <w:snapToGrid w:val="0"/>
        <w:spacing w:line="460" w:lineRule="exact"/>
        <w:ind w:firstLine="482" w:firstLineChars="200"/>
        <w:rPr>
          <w:rFonts w:hint="eastAsia" w:asciiTheme="minorEastAsia" w:hAnsiTheme="minorEastAsia" w:eastAsiaTheme="minorEastAsia" w:cstheme="minorEastAsia"/>
          <w:b/>
          <w:bCs/>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1</w:t>
      </w:r>
      <w:r>
        <w:rPr>
          <w:rFonts w:hint="eastAsia" w:asciiTheme="minorEastAsia" w:hAnsiTheme="minorEastAsia" w:eastAsiaTheme="minorEastAsia" w:cstheme="minorEastAsia"/>
          <w:b/>
          <w:bCs/>
          <w:color w:val="auto"/>
          <w:sz w:val="24"/>
          <w:highlight w:val="none"/>
        </w:rPr>
        <w:t>0</w:t>
      </w:r>
      <w:r>
        <w:rPr>
          <w:rFonts w:hint="eastAsia" w:asciiTheme="minorEastAsia" w:hAnsiTheme="minorEastAsia" w:eastAsiaTheme="minorEastAsia" w:cstheme="minorEastAsia"/>
          <w:b/>
          <w:bCs/>
          <w:color w:val="auto"/>
          <w:sz w:val="24"/>
          <w:highlight w:val="none"/>
          <w:lang w:val="zh-CN"/>
        </w:rPr>
        <w:t>.</w:t>
      </w:r>
      <w:r>
        <w:rPr>
          <w:rFonts w:hint="eastAsia" w:asciiTheme="minorEastAsia" w:hAnsiTheme="minorEastAsia" w:eastAsiaTheme="minorEastAsia" w:cstheme="minorEastAsia"/>
          <w:b/>
          <w:bCs/>
          <w:color w:val="auto"/>
          <w:sz w:val="24"/>
          <w:highlight w:val="none"/>
        </w:rPr>
        <w:t>2商务技术</w:t>
      </w:r>
      <w:r>
        <w:rPr>
          <w:rFonts w:hint="eastAsia" w:asciiTheme="minorEastAsia" w:hAnsiTheme="minorEastAsia" w:eastAsiaTheme="minorEastAsia" w:cstheme="minorEastAsia"/>
          <w:b/>
          <w:bCs/>
          <w:color w:val="auto"/>
          <w:sz w:val="24"/>
          <w:highlight w:val="none"/>
          <w:lang w:val="zh-CN"/>
        </w:rPr>
        <w:t>文件：</w:t>
      </w:r>
    </w:p>
    <w:p w14:paraId="5A425F8D">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10.2.1交易函；</w:t>
      </w:r>
    </w:p>
    <w:p w14:paraId="3F58810F">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10.2.2授权委托书或法定代表人（单位负责人、自然人本人）身份证明；</w:t>
      </w:r>
    </w:p>
    <w:p w14:paraId="415BF850">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10.2.3营业执照；</w:t>
      </w:r>
    </w:p>
    <w:p w14:paraId="0051E311">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10.2.4符合性审查资料；</w:t>
      </w:r>
    </w:p>
    <w:p w14:paraId="6080BA06">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10.2.5评审标准相应的商务技术资料；</w:t>
      </w:r>
    </w:p>
    <w:p w14:paraId="456D5086">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10.2.6商务技术偏离表；</w:t>
      </w:r>
    </w:p>
    <w:p w14:paraId="0DB6EC77">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10.2.7</w:t>
      </w:r>
      <w:r>
        <w:rPr>
          <w:rFonts w:hint="eastAsia" w:asciiTheme="minorEastAsia" w:hAnsiTheme="minorEastAsia" w:eastAsiaTheme="minorEastAsia" w:cstheme="minorEastAsia"/>
          <w:color w:val="auto"/>
          <w:sz w:val="24"/>
          <w:highlight w:val="none"/>
          <w:lang w:val="zh-CN"/>
        </w:rPr>
        <w:t>响应人廉洁自律承诺书。</w:t>
      </w:r>
    </w:p>
    <w:p w14:paraId="3D9A4528">
      <w:pPr>
        <w:snapToGrid w:val="0"/>
        <w:spacing w:line="460" w:lineRule="exact"/>
        <w:ind w:firstLine="482" w:firstLineChars="200"/>
        <w:rPr>
          <w:rFonts w:hint="eastAsia" w:asciiTheme="minorEastAsia" w:hAnsiTheme="minorEastAsia" w:eastAsiaTheme="minorEastAsia" w:cstheme="minorEastAsia"/>
          <w:b/>
          <w:bCs/>
          <w:color w:val="auto"/>
          <w:sz w:val="24"/>
          <w:highlight w:val="none"/>
          <w:u w:val="single"/>
          <w:lang w:val="zh-CN"/>
        </w:rPr>
      </w:pPr>
      <w:r>
        <w:rPr>
          <w:rFonts w:hint="eastAsia" w:asciiTheme="minorEastAsia" w:hAnsiTheme="minorEastAsia" w:eastAsiaTheme="minorEastAsia" w:cstheme="minorEastAsia"/>
          <w:b/>
          <w:bCs/>
          <w:color w:val="auto"/>
          <w:kern w:val="0"/>
          <w:sz w:val="24"/>
          <w:highlight w:val="none"/>
          <w:lang w:val="zh-CN"/>
        </w:rPr>
        <w:t>1</w:t>
      </w:r>
      <w:r>
        <w:rPr>
          <w:rFonts w:hint="eastAsia" w:asciiTheme="minorEastAsia" w:hAnsiTheme="minorEastAsia" w:eastAsiaTheme="minorEastAsia" w:cstheme="minorEastAsia"/>
          <w:b/>
          <w:bCs/>
          <w:color w:val="auto"/>
          <w:kern w:val="0"/>
          <w:sz w:val="24"/>
          <w:highlight w:val="none"/>
        </w:rPr>
        <w:t>0</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rPr>
        <w:t>3</w:t>
      </w:r>
      <w:r>
        <w:rPr>
          <w:rFonts w:hint="eastAsia" w:asciiTheme="minorEastAsia" w:hAnsiTheme="minorEastAsia" w:eastAsiaTheme="minorEastAsia" w:cstheme="minorEastAsia"/>
          <w:b/>
          <w:bCs/>
          <w:color w:val="auto"/>
          <w:sz w:val="24"/>
          <w:highlight w:val="none"/>
        </w:rPr>
        <w:t>报价文件：</w:t>
      </w:r>
    </w:p>
    <w:p w14:paraId="625BE4A6">
      <w:pPr>
        <w:snapToGrid w:val="0"/>
        <w:spacing w:line="460" w:lineRule="exact"/>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10.3.1交易一览表（报价表）。</w:t>
      </w:r>
    </w:p>
    <w:p w14:paraId="7A5F9B54">
      <w:pPr>
        <w:spacing w:line="460" w:lineRule="exact"/>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40D6DC5A">
      <w:pPr>
        <w:spacing w:line="460" w:lineRule="exact"/>
        <w:ind w:firstLine="723" w:firstLineChars="3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响应人提供虚假材料投标的，交易无效。</w:t>
      </w:r>
    </w:p>
    <w:p w14:paraId="0DD045D6">
      <w:pPr>
        <w:pStyle w:val="139"/>
        <w:snapToGrid w:val="0"/>
        <w:spacing w:before="0" w:line="460" w:lineRule="exact"/>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11</w:t>
      </w:r>
      <w:r>
        <w:rPr>
          <w:rFonts w:hint="eastAsia" w:asciiTheme="minorEastAsia" w:hAnsiTheme="minorEastAsia" w:eastAsiaTheme="minorEastAsia" w:cstheme="minorEastAsia"/>
          <w:b/>
          <w:color w:val="auto"/>
          <w:kern w:val="0"/>
          <w:szCs w:val="24"/>
          <w:highlight w:val="none"/>
          <w:lang w:val="zh-CN"/>
        </w:rPr>
        <w:t>.</w:t>
      </w:r>
      <w:r>
        <w:rPr>
          <w:rFonts w:hint="eastAsia" w:asciiTheme="minorEastAsia" w:hAnsiTheme="minorEastAsia" w:eastAsiaTheme="minorEastAsia" w:cstheme="minorEastAsia"/>
          <w:b/>
          <w:color w:val="auto"/>
          <w:szCs w:val="24"/>
          <w:highlight w:val="none"/>
        </w:rPr>
        <w:t>响应文件的编制</w:t>
      </w:r>
    </w:p>
    <w:p w14:paraId="0A13CDC1">
      <w:pPr>
        <w:spacing w:line="46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34C922A1">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.2响应人进行电子投标应安装客户端软件—“</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云电子交易客户端”，并按照公开竞争文件和电子交易平台的要求编制并加密响应文件。响应人未按规定加密的响应文件，电子交易平台将拒收并提示。</w:t>
      </w:r>
    </w:p>
    <w:p w14:paraId="23425933">
      <w:pPr>
        <w:spacing w:line="460" w:lineRule="exact"/>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zh-CN"/>
        </w:rPr>
        <w:t>.3使用“</w:t>
      </w:r>
      <w:r>
        <w:rPr>
          <w:rFonts w:hint="eastAsia" w:asciiTheme="minorEastAsia" w:hAnsiTheme="minorEastAsia" w:eastAsiaTheme="minorEastAsia" w:cstheme="minorEastAsia"/>
          <w:color w:val="auto"/>
          <w:kern w:val="0"/>
          <w:sz w:val="24"/>
          <w:highlight w:val="none"/>
        </w:rPr>
        <w:t>乐采</w:t>
      </w:r>
      <w:r>
        <w:rPr>
          <w:rFonts w:hint="eastAsia" w:asciiTheme="minorEastAsia" w:hAnsiTheme="minorEastAsia" w:eastAsiaTheme="minorEastAsia" w:cstheme="minorEastAsia"/>
          <w:color w:val="auto"/>
          <w:kern w:val="0"/>
          <w:sz w:val="24"/>
          <w:highlight w:val="none"/>
          <w:lang w:val="zh-CN"/>
        </w:rPr>
        <w:t>云电子交易客户端”需要提前申领CA数字证书，申领流程请自行前往“</w:t>
      </w:r>
      <w:r>
        <w:rPr>
          <w:rFonts w:hint="eastAsia" w:asciiTheme="minorEastAsia" w:hAnsiTheme="minorEastAsia" w:eastAsiaTheme="minorEastAsia" w:cstheme="minorEastAsia"/>
          <w:color w:val="auto"/>
          <w:sz w:val="24"/>
          <w:highlight w:val="none"/>
        </w:rPr>
        <w:t>浙江企业采购信息服务网-下载专区-电子交易客户端</w:t>
      </w:r>
      <w:r>
        <w:rPr>
          <w:rFonts w:hint="eastAsia" w:asciiTheme="minorEastAsia" w:hAnsiTheme="minorEastAsia" w:eastAsiaTheme="minorEastAsia" w:cstheme="minorEastAsia"/>
          <w:color w:val="auto"/>
          <w:kern w:val="0"/>
          <w:sz w:val="24"/>
          <w:highlight w:val="none"/>
          <w:lang w:val="zh-CN"/>
        </w:rPr>
        <w:t>-CA驱动和申领流程”进行查阅。</w:t>
      </w:r>
    </w:p>
    <w:p w14:paraId="4364C3C8">
      <w:pPr>
        <w:snapToGrid w:val="0"/>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12.响应文件的签署、盖章</w:t>
      </w:r>
    </w:p>
    <w:p w14:paraId="0BB7A9B9">
      <w:pPr>
        <w:pStyle w:val="139"/>
        <w:snapToGrid w:val="0"/>
        <w:spacing w:before="0" w:line="460" w:lineRule="exact"/>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12.1响应文件按照公开竞争文件第六部分格式要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▲响应人的响应文件未按照公开竞争文件要求签署、盖章的，其交易无效</w:t>
      </w:r>
      <w:r>
        <w:rPr>
          <w:rFonts w:hint="eastAsia" w:asciiTheme="minorEastAsia" w:hAnsiTheme="minorEastAsia" w:eastAsiaTheme="minorEastAsia" w:cstheme="minorEastAsia"/>
          <w:color w:val="auto"/>
          <w:szCs w:val="24"/>
          <w:highlight w:val="none"/>
        </w:rPr>
        <w:t>。</w:t>
      </w:r>
    </w:p>
    <w:p w14:paraId="1FF6DE6C">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12.2为确保网上操作合法、有效和安全，响应人应当在响应截止时间前完成在“乐采云平台”的身份认证，确保在电子投标过程中能够对相关数据电文进行加密和使用电子签名。</w:t>
      </w:r>
    </w:p>
    <w:p w14:paraId="5CBFA242">
      <w:pPr>
        <w:pStyle w:val="139"/>
        <w:snapToGrid w:val="0"/>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12.3公开竞争文件对响应文件签署、盖章的要求适用于电子签名。</w:t>
      </w:r>
    </w:p>
    <w:p w14:paraId="3EC0B3B0">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13.响应文件的提交、补充、修改、撤回</w:t>
      </w:r>
    </w:p>
    <w:p w14:paraId="01BA4E7E">
      <w:pPr>
        <w:pStyle w:val="139"/>
        <w:spacing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6361EC4C">
      <w:pPr>
        <w:pStyle w:val="139"/>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3EB3061D">
      <w:pPr>
        <w:pStyle w:val="139"/>
        <w:spacing w:before="0" w:line="46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74FE6398">
      <w:pPr>
        <w:pStyle w:val="33"/>
        <w:numPr>
          <w:ilvl w:val="0"/>
          <w:numId w:val="1"/>
        </w:numPr>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备份响应文件</w:t>
      </w:r>
    </w:p>
    <w:p w14:paraId="5E3FAEFC">
      <w:pPr>
        <w:pStyle w:val="33"/>
        <w:spacing w:line="46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28"/>
          <w:sz w:val="24"/>
          <w:szCs w:val="24"/>
          <w:highlight w:val="none"/>
        </w:rPr>
        <w:t>不收取备份响应文件。</w:t>
      </w:r>
    </w:p>
    <w:p w14:paraId="4C28E19F">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15.响应文件的无效处理</w:t>
      </w:r>
    </w:p>
    <w:p w14:paraId="57647610">
      <w:pPr>
        <w:pStyle w:val="25"/>
        <w:spacing w:line="46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有公开竞争文件第四部分</w:t>
      </w:r>
      <w:r>
        <w:rPr>
          <w:rFonts w:hint="eastAsia" w:asciiTheme="minorEastAsia" w:hAnsiTheme="minorEastAsia" w:eastAsiaTheme="minorEastAsia" w:cstheme="minorEastAsia"/>
          <w:color w:val="auto"/>
          <w:highlight w:val="none"/>
        </w:rPr>
        <w:t>4.2规定</w:t>
      </w:r>
      <w:r>
        <w:rPr>
          <w:rFonts w:hint="eastAsia" w:asciiTheme="minorEastAsia" w:hAnsiTheme="minorEastAsia" w:eastAsiaTheme="minorEastAsia" w:cstheme="minorEastAsia"/>
          <w:color w:val="auto"/>
          <w:szCs w:val="21"/>
          <w:highlight w:val="none"/>
        </w:rPr>
        <w:t>的情形之一的，交易无效：</w:t>
      </w:r>
    </w:p>
    <w:p w14:paraId="441233D5">
      <w:pPr>
        <w:pStyle w:val="139"/>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16.交易有效期</w:t>
      </w:r>
    </w:p>
    <w:p w14:paraId="095B3B10">
      <w:pPr>
        <w:spacing w:line="460" w:lineRule="exact"/>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16.1交易有效期为从提交响应文件的截止之日起90天。▲</w:t>
      </w:r>
      <w:r>
        <w:rPr>
          <w:rFonts w:hint="eastAsia" w:asciiTheme="minorEastAsia" w:hAnsiTheme="minorEastAsia" w:eastAsiaTheme="minorEastAsia" w:cstheme="minorEastAsia"/>
          <w:b/>
          <w:color w:val="auto"/>
          <w:sz w:val="24"/>
          <w:szCs w:val="20"/>
          <w:highlight w:val="none"/>
        </w:rPr>
        <w:t>响应人的响应文件中承</w:t>
      </w:r>
      <w:r>
        <w:rPr>
          <w:rFonts w:hint="eastAsia" w:asciiTheme="minorEastAsia" w:hAnsiTheme="minorEastAsia" w:eastAsiaTheme="minorEastAsia" w:cstheme="minorEastAsia"/>
          <w:b/>
          <w:color w:val="auto"/>
          <w:sz w:val="24"/>
          <w:szCs w:val="21"/>
          <w:highlight w:val="none"/>
        </w:rPr>
        <w:t>诺的交易有效期少于公开竞争文件中载明的交易有效期的，交易无效。</w:t>
      </w:r>
    </w:p>
    <w:p w14:paraId="0BF58FA2">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16.2响应文件合格投递后，自投标截止日期起，在交易有效期内有效。</w:t>
      </w:r>
    </w:p>
    <w:p w14:paraId="669403E1">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5765BA42">
      <w:pPr>
        <w:pStyle w:val="139"/>
        <w:spacing w:before="0" w:line="460" w:lineRule="exact"/>
        <w:ind w:firstLine="643"/>
        <w:rPr>
          <w:rFonts w:hint="eastAsia" w:asciiTheme="minorEastAsia" w:hAnsiTheme="minorEastAsia" w:eastAsiaTheme="minorEastAsia" w:cstheme="minorEastAsia"/>
          <w:b/>
          <w:color w:val="auto"/>
          <w:sz w:val="32"/>
          <w:highlight w:val="none"/>
        </w:rPr>
      </w:pPr>
    </w:p>
    <w:p w14:paraId="74A768EA">
      <w:pPr>
        <w:pStyle w:val="139"/>
        <w:spacing w:before="0" w:line="460" w:lineRule="exact"/>
        <w:ind w:firstLine="0" w:firstLineChars="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四、交易、资格审查</w:t>
      </w:r>
    </w:p>
    <w:p w14:paraId="5570CB46">
      <w:pPr>
        <w:pStyle w:val="564"/>
        <w:spacing w:before="0" w:line="460" w:lineRule="exact"/>
        <w:ind w:left="0" w:firstLine="0"/>
        <w:contextualSpacing/>
        <w:rPr>
          <w:rFonts w:hint="eastAsia" w:asciiTheme="minorEastAsia" w:hAnsiTheme="minorEastAsia" w:eastAsiaTheme="minorEastAsia" w:cstheme="minorEastAsia"/>
          <w:b/>
          <w:color w:val="auto"/>
          <w:kern w:val="2"/>
          <w:sz w:val="24"/>
          <w:szCs w:val="24"/>
          <w:highlight w:val="none"/>
        </w:rPr>
      </w:pPr>
      <w:r>
        <w:rPr>
          <w:rFonts w:hint="eastAsia" w:asciiTheme="minorEastAsia" w:hAnsiTheme="minorEastAsia" w:eastAsiaTheme="minorEastAsia" w:cstheme="minorEastAsia"/>
          <w:b/>
          <w:color w:val="auto"/>
          <w:kern w:val="2"/>
          <w:sz w:val="24"/>
          <w:szCs w:val="24"/>
          <w:highlight w:val="none"/>
        </w:rPr>
        <w:t xml:space="preserve">17.交易 </w:t>
      </w:r>
    </w:p>
    <w:p w14:paraId="6333166B">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17.1代理机构按照公开竞争文件规定的时间通过电子交易平台组织开标，所有响应人均应当准时在线参加。响应人不足3家的，不得开标。</w:t>
      </w:r>
    </w:p>
    <w:p w14:paraId="39EFE67B">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4369CDD5">
      <w:pPr>
        <w:pStyle w:val="564"/>
        <w:spacing w:before="0" w:line="460" w:lineRule="exact"/>
        <w:ind w:left="0" w:firstLine="420" w:firstLineChars="175"/>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17.3响应文件未按时解密，视为响应文件撤回。</w:t>
      </w:r>
    </w:p>
    <w:p w14:paraId="4D0A335A">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18、资格审查</w:t>
      </w:r>
    </w:p>
    <w:p w14:paraId="1B60EEC5">
      <w:pPr>
        <w:pStyle w:val="139"/>
        <w:spacing w:before="0" w:line="46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18.1交易后，交易发起人或代理机构将依法对响应人的资格进行审查。</w:t>
      </w:r>
    </w:p>
    <w:p w14:paraId="70B4C4B2">
      <w:pPr>
        <w:snapToGrid w:val="0"/>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18.2</w:t>
      </w:r>
      <w:r>
        <w:rPr>
          <w:rFonts w:hint="eastAsia" w:asciiTheme="minorEastAsia" w:hAnsiTheme="minorEastAsia" w:eastAsiaTheme="minorEastAsia" w:cstheme="minorEastAsia"/>
          <w:color w:val="auto"/>
          <w:sz w:val="24"/>
          <w:highlight w:val="none"/>
        </w:rPr>
        <w:t>交易发起人或代理机构依据法律法规和公开竞争文件的规定，对响应人的基本资格条件、特定资格条件进行审查。</w:t>
      </w:r>
    </w:p>
    <w:p w14:paraId="61EAC54B">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18.3响应人未按照公开竞争文件要求提供与</w:t>
      </w:r>
      <w:r>
        <w:rPr>
          <w:rFonts w:hint="eastAsia" w:asciiTheme="minorEastAsia" w:hAnsiTheme="minorEastAsia" w:eastAsiaTheme="minorEastAsia" w:cstheme="minorEastAsia"/>
          <w:color w:val="auto"/>
          <w:highlight w:val="none"/>
        </w:rPr>
        <w:t>基本资格条件、特定资格条件相应的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响应人不具备公开竞争文件中规定的资格要求，其交易无效。</w:t>
      </w:r>
    </w:p>
    <w:p w14:paraId="069FA5FE">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4对未通过资格审查的响应人，交易发起人或代理机构告知其未通过的原因。</w:t>
      </w:r>
    </w:p>
    <w:p w14:paraId="35AFA949">
      <w:pPr>
        <w:pStyle w:val="139"/>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18.</w:t>
      </w:r>
      <w:r>
        <w:rPr>
          <w:rFonts w:hint="eastAsia" w:asciiTheme="minorEastAsia" w:hAnsiTheme="minorEastAsia" w:eastAsiaTheme="minorEastAsia" w:cstheme="minorEastAsia"/>
          <w:color w:val="auto"/>
          <w:highlight w:val="none"/>
        </w:rPr>
        <w:t>5合格响应人不足3家的，不再评标。</w:t>
      </w:r>
    </w:p>
    <w:p w14:paraId="2EFE2F36">
      <w:pPr>
        <w:pStyle w:val="139"/>
        <w:spacing w:before="0" w:line="460" w:lineRule="exact"/>
        <w:ind w:firstLine="0" w:firstLineChars="0"/>
        <w:rPr>
          <w:rFonts w:hint="eastAsia" w:asciiTheme="minorEastAsia" w:hAnsiTheme="minorEastAsia" w:eastAsiaTheme="minorEastAsia" w:cstheme="minorEastAsia"/>
          <w:color w:val="auto"/>
          <w:kern w:val="0"/>
          <w:szCs w:val="24"/>
          <w:highlight w:val="none"/>
        </w:rPr>
      </w:pPr>
    </w:p>
    <w:p w14:paraId="6865EE5A">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五、评审</w:t>
      </w:r>
    </w:p>
    <w:p w14:paraId="2975D454">
      <w:pPr>
        <w:spacing w:line="460" w:lineRule="exact"/>
        <w:rPr>
          <w:rFonts w:hint="eastAsia" w:asciiTheme="minorEastAsia" w:hAnsiTheme="minorEastAsia" w:eastAsiaTheme="minorEastAsia" w:cstheme="minorEastAsia"/>
          <w:color w:val="auto"/>
          <w:sz w:val="24"/>
          <w:highlight w:val="none"/>
        </w:rPr>
      </w:pPr>
      <w:bookmarkStart w:id="14" w:name="_Toc91899903"/>
      <w:r>
        <w:rPr>
          <w:rFonts w:hint="eastAsia" w:asciiTheme="minorEastAsia" w:hAnsiTheme="minorEastAsia" w:eastAsiaTheme="minorEastAsia" w:cstheme="minorEastAsia"/>
          <w:b/>
          <w:color w:val="auto"/>
          <w:sz w:val="24"/>
          <w:highlight w:val="none"/>
        </w:rPr>
        <w:t>19.</w:t>
      </w:r>
      <w:r>
        <w:rPr>
          <w:rFonts w:hint="eastAsia" w:asciiTheme="minorEastAsia" w:hAnsiTheme="minorEastAsia" w:eastAsiaTheme="minorEastAsia" w:cstheme="minorEastAsia"/>
          <w:color w:val="auto"/>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14:paraId="285F67FE">
      <w:pPr>
        <w:spacing w:line="460" w:lineRule="exac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详见公开竞争文件第四部分交易办法。</w:t>
      </w:r>
    </w:p>
    <w:p w14:paraId="6F254E11">
      <w:pPr>
        <w:spacing w:line="460" w:lineRule="exact"/>
        <w:rPr>
          <w:rFonts w:hint="eastAsia" w:asciiTheme="minorEastAsia" w:hAnsiTheme="minorEastAsia" w:eastAsiaTheme="minorEastAsia" w:cstheme="minorEastAsia"/>
          <w:b/>
          <w:color w:val="auto"/>
          <w:sz w:val="24"/>
          <w:highlight w:val="none"/>
        </w:rPr>
      </w:pPr>
    </w:p>
    <w:p w14:paraId="0530D75E">
      <w:pPr>
        <w:snapToGrid w:val="0"/>
        <w:spacing w:line="460" w:lineRule="exact"/>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六、定标</w:t>
      </w:r>
    </w:p>
    <w:p w14:paraId="3DC2E7EC">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20.确定成交响应人</w:t>
      </w:r>
    </w:p>
    <w:p w14:paraId="79481A1A">
      <w:pPr>
        <w:pStyle w:val="139"/>
        <w:snapToGrid w:val="0"/>
        <w:spacing w:before="0" w:line="460" w:lineRule="exact"/>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交易发起人将自收到评审报告之日起5个工作日内通过电子交易平台在评审报告推荐的成交候选人中按顺序确定成交响应人。</w:t>
      </w:r>
    </w:p>
    <w:p w14:paraId="5E1E61B0">
      <w:pPr>
        <w:pStyle w:val="139"/>
        <w:snapToGrid w:val="0"/>
        <w:spacing w:before="0" w:line="460" w:lineRule="exact"/>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21.成交通知与成交结果公告</w:t>
      </w:r>
    </w:p>
    <w:p w14:paraId="4E967BB9">
      <w:pPr>
        <w:widowControl/>
        <w:shd w:val="clear" w:color="auto" w:fill="FFFFFF"/>
        <w:spacing w:line="46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21.1自成交人确定之日起3天内，代理机构通过电子交易平台向成交人发出成交通知书，同时编制发布成交结果公告。代理机构也可以以纸质形式进行成交通知。</w:t>
      </w:r>
    </w:p>
    <w:p w14:paraId="7E15396D">
      <w:pPr>
        <w:widowControl/>
        <w:shd w:val="clear" w:color="auto" w:fill="FFFFFF"/>
        <w:spacing w:line="46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21.2成交结果公告内容包括交易发起人及其委托的代理机构的名称、地址、联系方式，项目名称和交易编号，成交人名称、地址和成交金额。</w:t>
      </w:r>
    </w:p>
    <w:p w14:paraId="0F4906E8">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p>
    <w:p w14:paraId="7F9AB2F1">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6CCFBE62">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w:t>
      </w:r>
      <w:r>
        <w:rPr>
          <w:rFonts w:hint="eastAsia" w:asciiTheme="minorEastAsia" w:hAnsiTheme="minorEastAsia" w:eastAsiaTheme="minorEastAsia" w:cstheme="minorEastAsia"/>
          <w:color w:val="auto"/>
          <w:highlight w:val="none"/>
        </w:rPr>
        <w:t>合同主要条款详见第五部分拟签订的合同文本。</w:t>
      </w:r>
    </w:p>
    <w:p w14:paraId="78C7B919">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23.合同的签订</w:t>
      </w:r>
    </w:p>
    <w:p w14:paraId="2114EBE5">
      <w:pPr>
        <w:widowControl/>
        <w:shd w:val="clear" w:color="auto" w:fill="FFFFFF"/>
        <w:spacing w:line="46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23.1</w:t>
      </w:r>
      <w:r>
        <w:rPr>
          <w:rFonts w:hint="eastAsia" w:asciiTheme="minorEastAsia" w:hAnsiTheme="minorEastAsia" w:eastAsiaTheme="minorEastAsia" w:cstheme="minorEastAsia"/>
          <w:color w:val="auto"/>
          <w:kern w:val="0"/>
          <w:sz w:val="24"/>
          <w:highlight w:val="none"/>
        </w:rPr>
        <w:t>交易发起人与成交人应当通过电子交易平台在成交通知书发出之日起三十日内，按照公开竞争文件确定的事项签订书面合同。</w:t>
      </w:r>
    </w:p>
    <w:p w14:paraId="3AAA74C0">
      <w:pPr>
        <w:pStyle w:val="139"/>
        <w:snapToGrid w:val="0"/>
        <w:spacing w:before="0" w:line="460" w:lineRule="exact"/>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w:t>
      </w:r>
      <w:r>
        <w:rPr>
          <w:rFonts w:hint="eastAsia" w:asciiTheme="minorEastAsia" w:hAnsiTheme="minorEastAsia" w:eastAsiaTheme="minorEastAsia" w:cstheme="minorEastAsia"/>
          <w:color w:val="auto"/>
          <w:kern w:val="0"/>
          <w:highlight w:val="none"/>
        </w:rPr>
        <w:t>3</w:t>
      </w:r>
      <w:r>
        <w:rPr>
          <w:rFonts w:hint="eastAsia" w:asciiTheme="minorEastAsia" w:hAnsiTheme="minorEastAsia" w:eastAsiaTheme="minorEastAsia" w:cstheme="minorEastAsia"/>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384DCB4F">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23.3如签订合同并生效后，响应人无故拒绝或延期，除按照合同条款处理外，列入不良行为记录一次，并给予通报。</w:t>
      </w:r>
    </w:p>
    <w:p w14:paraId="1B7D5C36">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23.4成交响应人拒绝与交易发起人签订合同的，交易发起人可以按照评审报告推荐的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或者成交候选人名单排序，确定下一候选人为成交响应人，也可以重新开展交易活动。</w:t>
      </w:r>
    </w:p>
    <w:p w14:paraId="3347342C">
      <w:pPr>
        <w:pStyle w:val="139"/>
        <w:snapToGrid w:val="0"/>
        <w:spacing w:before="0" w:after="12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23.5书面合同由交易发起人与成交响应人根据公开竞争文件、响应文件等内容签订合同。</w:t>
      </w:r>
    </w:p>
    <w:p w14:paraId="4DA94A6F">
      <w:pPr>
        <w:pStyle w:val="25"/>
        <w:spacing w:line="460" w:lineRule="exact"/>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24.履约保证金：</w:t>
      </w:r>
      <w:r>
        <w:rPr>
          <w:rFonts w:hint="eastAsia" w:asciiTheme="minorEastAsia" w:hAnsiTheme="minorEastAsia" w:eastAsiaTheme="minorEastAsia" w:cstheme="minorEastAsia"/>
          <w:bCs/>
          <w:color w:val="auto"/>
          <w:highlight w:val="none"/>
        </w:rPr>
        <w:t>详见前附表。</w:t>
      </w:r>
    </w:p>
    <w:p w14:paraId="729964FB">
      <w:pPr>
        <w:snapToGrid w:val="0"/>
        <w:spacing w:line="460" w:lineRule="exact"/>
        <w:ind w:firstLine="3357" w:firstLineChars="1045"/>
        <w:rPr>
          <w:rFonts w:hint="eastAsia" w:asciiTheme="minorEastAsia" w:hAnsiTheme="minorEastAsia" w:eastAsiaTheme="minorEastAsia" w:cstheme="minorEastAsia"/>
          <w:b/>
          <w:color w:val="auto"/>
          <w:sz w:val="32"/>
          <w:highlight w:val="none"/>
        </w:rPr>
      </w:pPr>
    </w:p>
    <w:p w14:paraId="01C3D72A">
      <w:pPr>
        <w:snapToGrid w:val="0"/>
        <w:spacing w:line="460" w:lineRule="exact"/>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512221FA">
      <w:pPr>
        <w:pStyle w:val="139"/>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color w:val="auto"/>
          <w:szCs w:val="24"/>
          <w:highlight w:val="none"/>
        </w:rPr>
        <w:t>5.电子交易活动的中止。</w:t>
      </w:r>
      <w:r>
        <w:rPr>
          <w:rFonts w:hint="eastAsia" w:asciiTheme="minorEastAsia" w:hAnsiTheme="minorEastAsia" w:eastAsiaTheme="minorEastAsia" w:cstheme="minorEastAsia"/>
          <w:bCs/>
          <w:color w:val="auto"/>
          <w:szCs w:val="24"/>
          <w:highlight w:val="none"/>
        </w:rPr>
        <w:t>交易</w:t>
      </w:r>
      <w:r>
        <w:rPr>
          <w:rFonts w:hint="eastAsia" w:asciiTheme="minorEastAsia" w:hAnsiTheme="minorEastAsia" w:eastAsiaTheme="minorEastAsia" w:cstheme="minorEastAsia"/>
          <w:color w:val="auto"/>
          <w:highlight w:val="none"/>
        </w:rPr>
        <w:t>过程中出现以下情形，导致电子交易平台无法正常运行，或者无法保证电子交易的公平、公正和安全时，代理机构可中止电子交易活动：</w:t>
      </w:r>
    </w:p>
    <w:p w14:paraId="257E44BF">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25.1电子交易平台发生故障而无法登录访问的； </w:t>
      </w:r>
    </w:p>
    <w:p w14:paraId="78202475">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25.2电子交易平台应用或数据库出现错误，不能进行正常操作的；</w:t>
      </w:r>
    </w:p>
    <w:p w14:paraId="04238AE1">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25.3电子交易平台发现严重安全漏洞，有潜在泄密危险的；</w:t>
      </w:r>
    </w:p>
    <w:p w14:paraId="62937C47">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25.4病毒发作导致不能进行正常操作的； </w:t>
      </w:r>
    </w:p>
    <w:p w14:paraId="4F13A5E1">
      <w:pPr>
        <w:pStyle w:val="139"/>
        <w:snapToGrid w:val="0"/>
        <w:spacing w:before="0" w:line="46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25.5其他无法保证电子交易的公平、公正和安全的情况。</w:t>
      </w:r>
    </w:p>
    <w:p w14:paraId="3FCF8CC5">
      <w:pPr>
        <w:pStyle w:val="139"/>
        <w:snapToGrid w:val="0"/>
        <w:spacing w:before="0" w:line="460" w:lineRule="exact"/>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26.</w:t>
      </w:r>
      <w:r>
        <w:rPr>
          <w:rFonts w:hint="eastAsia" w:asciiTheme="minorEastAsia" w:hAnsiTheme="minorEastAsia" w:eastAsiaTheme="minorEastAsia" w:cstheme="minorEastAsia"/>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185827DA">
      <w:pPr>
        <w:snapToGrid w:val="0"/>
        <w:spacing w:line="460" w:lineRule="exact"/>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08FD9836">
      <w:pPr>
        <w:pStyle w:val="25"/>
        <w:spacing w:line="460" w:lineRule="exact"/>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27.验收</w:t>
      </w:r>
    </w:p>
    <w:p w14:paraId="03C50412">
      <w:pPr>
        <w:tabs>
          <w:tab w:val="left" w:pos="0"/>
        </w:tabs>
        <w:spacing w:line="460" w:lineRule="exact"/>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27.1交易发起人应当组织对响应人履约的验收。</w:t>
      </w:r>
    </w:p>
    <w:bookmarkEnd w:id="12"/>
    <w:bookmarkEnd w:id="13"/>
    <w:bookmarkEnd w:id="14"/>
    <w:p w14:paraId="3839DFB6">
      <w:pPr>
        <w:rPr>
          <w:rFonts w:hint="eastAsia" w:asciiTheme="minorEastAsia" w:hAnsiTheme="minorEastAsia" w:eastAsiaTheme="minorEastAsia" w:cstheme="minorEastAsia"/>
          <w:b/>
          <w:color w:val="auto"/>
          <w:sz w:val="36"/>
          <w:szCs w:val="36"/>
          <w:highlight w:val="none"/>
        </w:rPr>
      </w:pPr>
      <w:bookmarkStart w:id="15" w:name="第四部分"/>
      <w:r>
        <w:rPr>
          <w:rFonts w:hint="eastAsia" w:asciiTheme="minorEastAsia" w:hAnsiTheme="minorEastAsia" w:eastAsiaTheme="minorEastAsia" w:cstheme="minorEastAsia"/>
          <w:b/>
          <w:color w:val="auto"/>
          <w:sz w:val="36"/>
          <w:szCs w:val="36"/>
          <w:highlight w:val="none"/>
        </w:rPr>
        <w:br w:type="page"/>
      </w:r>
    </w:p>
    <w:p w14:paraId="1F48134C">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36"/>
          <w:szCs w:val="36"/>
          <w:highlight w:val="none"/>
        </w:rPr>
        <w:t>第三部分   交易需求</w:t>
      </w:r>
    </w:p>
    <w:p w14:paraId="2B191DB5">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属于实质性要求条款的，请用符号“▲”标明，否则属于非实质性要求。</w:t>
      </w:r>
    </w:p>
    <w:p w14:paraId="7D956D16">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一、交易一览表</w:t>
      </w:r>
    </w:p>
    <w:p w14:paraId="694C30E7">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4"/>
          <w:highlight w:val="none"/>
        </w:rPr>
        <w:t>标项</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eastAsia="zh-CN"/>
        </w:rPr>
        <w:t>杭州市萧山区第一人民医院劳尔水处理保修采购项目</w:t>
      </w:r>
    </w:p>
    <w:tbl>
      <w:tblPr>
        <w:tblStyle w:val="64"/>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680"/>
        <w:gridCol w:w="590"/>
        <w:gridCol w:w="585"/>
        <w:gridCol w:w="1287"/>
        <w:gridCol w:w="1783"/>
        <w:gridCol w:w="1455"/>
      </w:tblGrid>
      <w:tr w14:paraId="3A58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0" w:hRule="atLeast"/>
        </w:trPr>
        <w:tc>
          <w:tcPr>
            <w:tcW w:w="523" w:type="dxa"/>
            <w:tcMar>
              <w:top w:w="15" w:type="dxa"/>
              <w:left w:w="15" w:type="dxa"/>
              <w:bottom w:w="0" w:type="dxa"/>
              <w:right w:w="15" w:type="dxa"/>
            </w:tcMar>
            <w:vAlign w:val="center"/>
          </w:tcPr>
          <w:p w14:paraId="4BE65098">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80" w:type="dxa"/>
            <w:tcMar>
              <w:top w:w="15" w:type="dxa"/>
              <w:left w:w="15" w:type="dxa"/>
              <w:bottom w:w="0" w:type="dxa"/>
              <w:right w:w="15" w:type="dxa"/>
            </w:tcMar>
            <w:vAlign w:val="center"/>
          </w:tcPr>
          <w:p w14:paraId="3F01E47F">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590" w:type="dxa"/>
            <w:tcMar>
              <w:top w:w="15" w:type="dxa"/>
              <w:left w:w="15" w:type="dxa"/>
              <w:bottom w:w="0" w:type="dxa"/>
              <w:right w:w="15" w:type="dxa"/>
            </w:tcMar>
            <w:vAlign w:val="center"/>
          </w:tcPr>
          <w:p w14:paraId="7325ED95">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585" w:type="dxa"/>
            <w:tcMar>
              <w:top w:w="15" w:type="dxa"/>
              <w:left w:w="15" w:type="dxa"/>
              <w:bottom w:w="0" w:type="dxa"/>
              <w:right w:w="15" w:type="dxa"/>
            </w:tcMar>
            <w:vAlign w:val="center"/>
          </w:tcPr>
          <w:p w14:paraId="153CC243">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87" w:type="dxa"/>
            <w:vAlign w:val="center"/>
          </w:tcPr>
          <w:p w14:paraId="1B858FAB">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预算（元）</w:t>
            </w:r>
          </w:p>
        </w:tc>
        <w:tc>
          <w:tcPr>
            <w:tcW w:w="1783" w:type="dxa"/>
            <w:vAlign w:val="center"/>
          </w:tcPr>
          <w:p w14:paraId="510E1919">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简要规格描述或基本情况介绍</w:t>
            </w:r>
          </w:p>
        </w:tc>
        <w:tc>
          <w:tcPr>
            <w:tcW w:w="1455" w:type="dxa"/>
            <w:vAlign w:val="center"/>
          </w:tcPr>
          <w:p w14:paraId="2EC0E811">
            <w:pPr>
              <w:tabs>
                <w:tab w:val="left" w:pos="0"/>
              </w:tabs>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最高限价（元）</w:t>
            </w:r>
          </w:p>
        </w:tc>
      </w:tr>
      <w:tr w14:paraId="1B0C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2" w:hRule="atLeast"/>
        </w:trPr>
        <w:tc>
          <w:tcPr>
            <w:tcW w:w="523" w:type="dxa"/>
            <w:tcMar>
              <w:top w:w="15" w:type="dxa"/>
              <w:left w:w="15" w:type="dxa"/>
              <w:bottom w:w="0" w:type="dxa"/>
              <w:right w:w="15" w:type="dxa"/>
            </w:tcMar>
            <w:vAlign w:val="center"/>
          </w:tcPr>
          <w:p w14:paraId="4D0C1BF4">
            <w:pPr>
              <w:tabs>
                <w:tab w:val="left" w:pos="0"/>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80" w:type="dxa"/>
            <w:tcMar>
              <w:top w:w="15" w:type="dxa"/>
              <w:left w:w="15" w:type="dxa"/>
              <w:bottom w:w="0" w:type="dxa"/>
              <w:right w:w="15" w:type="dxa"/>
            </w:tcMar>
            <w:vAlign w:val="center"/>
          </w:tcPr>
          <w:p w14:paraId="7F06C2D4">
            <w:pPr>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杭州市萧山区第一人民医院劳尔水处理保修采购项目</w:t>
            </w:r>
          </w:p>
        </w:tc>
        <w:tc>
          <w:tcPr>
            <w:tcW w:w="590" w:type="dxa"/>
            <w:tcMar>
              <w:top w:w="15" w:type="dxa"/>
              <w:left w:w="15" w:type="dxa"/>
              <w:bottom w:w="0" w:type="dxa"/>
              <w:right w:w="15" w:type="dxa"/>
            </w:tcMar>
            <w:vAlign w:val="center"/>
          </w:tcPr>
          <w:p w14:paraId="2B8F105E">
            <w:pPr>
              <w:jc w:val="center"/>
              <w:textAlignment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3</w:t>
            </w:r>
          </w:p>
        </w:tc>
        <w:tc>
          <w:tcPr>
            <w:tcW w:w="585" w:type="dxa"/>
            <w:tcMar>
              <w:top w:w="15" w:type="dxa"/>
              <w:left w:w="15" w:type="dxa"/>
              <w:bottom w:w="0" w:type="dxa"/>
              <w:right w:w="15" w:type="dxa"/>
            </w:tcMar>
            <w:vAlign w:val="center"/>
          </w:tcPr>
          <w:p w14:paraId="19F397DD">
            <w:pPr>
              <w:jc w:val="center"/>
              <w:textAlignment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年</w:t>
            </w:r>
          </w:p>
        </w:tc>
        <w:tc>
          <w:tcPr>
            <w:tcW w:w="1287" w:type="dxa"/>
            <w:vAlign w:val="center"/>
          </w:tcPr>
          <w:p w14:paraId="2CC8E924">
            <w:pPr>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8"/>
                <w:highlight w:val="none"/>
                <w:u w:val="none"/>
                <w:lang w:val="en-US" w:eastAsia="zh-CN"/>
              </w:rPr>
              <w:t>330000.00</w:t>
            </w:r>
          </w:p>
        </w:tc>
        <w:tc>
          <w:tcPr>
            <w:tcW w:w="1783" w:type="dxa"/>
            <w:vAlign w:val="center"/>
          </w:tcPr>
          <w:p w14:paraId="790358F2">
            <w:pPr>
              <w:tabs>
                <w:tab w:val="left" w:pos="0"/>
              </w:tabs>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详见</w:t>
            </w:r>
            <w:r>
              <w:rPr>
                <w:rFonts w:hint="eastAsia" w:ascii="宋体" w:hAnsi="宋体" w:cs="宋体"/>
                <w:b w:val="0"/>
                <w:bCs w:val="0"/>
                <w:color w:val="auto"/>
                <w:sz w:val="24"/>
                <w:szCs w:val="24"/>
                <w:highlight w:val="none"/>
                <w:lang w:val="en-US" w:eastAsia="zh-CN"/>
              </w:rPr>
              <w:t>交易</w:t>
            </w:r>
            <w:r>
              <w:rPr>
                <w:rFonts w:hint="eastAsia" w:ascii="宋体" w:hAnsi="宋体" w:eastAsia="宋体" w:cs="宋体"/>
                <w:b w:val="0"/>
                <w:bCs w:val="0"/>
                <w:color w:val="auto"/>
                <w:sz w:val="24"/>
                <w:szCs w:val="24"/>
                <w:highlight w:val="none"/>
              </w:rPr>
              <w:t>需求</w:t>
            </w:r>
          </w:p>
        </w:tc>
        <w:tc>
          <w:tcPr>
            <w:tcW w:w="1455" w:type="dxa"/>
            <w:vAlign w:val="center"/>
          </w:tcPr>
          <w:p w14:paraId="53547E87">
            <w:pPr>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8"/>
                <w:highlight w:val="none"/>
                <w:u w:val="none"/>
                <w:lang w:val="en-US" w:eastAsia="zh-CN"/>
              </w:rPr>
              <w:t>330000.00</w:t>
            </w:r>
          </w:p>
        </w:tc>
      </w:tr>
    </w:tbl>
    <w:p w14:paraId="58FAE9BE">
      <w:pPr>
        <w:spacing w:line="360" w:lineRule="auto"/>
        <w:jc w:val="center"/>
        <w:rPr>
          <w:rFonts w:hint="eastAsia" w:asciiTheme="minorEastAsia" w:hAnsiTheme="minorEastAsia" w:eastAsiaTheme="minorEastAsia" w:cstheme="minorEastAsia"/>
          <w:b/>
          <w:color w:val="auto"/>
          <w:sz w:val="28"/>
          <w:szCs w:val="28"/>
          <w:highlight w:val="none"/>
        </w:rPr>
      </w:pPr>
    </w:p>
    <w:p w14:paraId="569E495E">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二、交易需求</w:t>
      </w:r>
    </w:p>
    <w:p w14:paraId="0FEB5A49">
      <w:pPr>
        <w:snapToGrid w:val="0"/>
        <w:spacing w:line="360" w:lineRule="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一</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技术需求</w:t>
      </w:r>
    </w:p>
    <w:p w14:paraId="0F975256">
      <w:pPr>
        <w:spacing w:line="500" w:lineRule="exac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1、保修设备名称</w:t>
      </w:r>
    </w:p>
    <w:tbl>
      <w:tblPr>
        <w:tblStyle w:val="65"/>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1860"/>
        <w:gridCol w:w="1860"/>
        <w:gridCol w:w="1860"/>
        <w:gridCol w:w="1860"/>
      </w:tblGrid>
      <w:tr w14:paraId="5E92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vAlign w:val="center"/>
          </w:tcPr>
          <w:p w14:paraId="394D1745">
            <w:pPr>
              <w:spacing w:line="500" w:lineRule="exact"/>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名称</w:t>
            </w:r>
          </w:p>
        </w:tc>
        <w:tc>
          <w:tcPr>
            <w:tcW w:w="1860" w:type="dxa"/>
            <w:vAlign w:val="center"/>
          </w:tcPr>
          <w:p w14:paraId="4AC05731">
            <w:pPr>
              <w:spacing w:line="500" w:lineRule="exact"/>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lang w:eastAsia="zh-CN"/>
              </w:rPr>
              <w:t>品牌</w:t>
            </w:r>
          </w:p>
        </w:tc>
        <w:tc>
          <w:tcPr>
            <w:tcW w:w="1860" w:type="dxa"/>
            <w:vAlign w:val="center"/>
          </w:tcPr>
          <w:p w14:paraId="0BE0B8FE">
            <w:pPr>
              <w:spacing w:line="500" w:lineRule="exact"/>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lang w:eastAsia="zh-CN"/>
              </w:rPr>
              <w:t>型号</w:t>
            </w:r>
          </w:p>
        </w:tc>
        <w:tc>
          <w:tcPr>
            <w:tcW w:w="1860" w:type="dxa"/>
            <w:vAlign w:val="center"/>
          </w:tcPr>
          <w:p w14:paraId="1D3F9DFD">
            <w:pPr>
              <w:spacing w:line="5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系列号</w:t>
            </w:r>
          </w:p>
        </w:tc>
        <w:tc>
          <w:tcPr>
            <w:tcW w:w="1860" w:type="dxa"/>
            <w:vAlign w:val="center"/>
          </w:tcPr>
          <w:p w14:paraId="65E3A37C">
            <w:pPr>
              <w:spacing w:line="5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数量</w:t>
            </w:r>
          </w:p>
        </w:tc>
      </w:tr>
      <w:tr w14:paraId="70EB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vMerge w:val="restart"/>
            <w:vAlign w:val="center"/>
          </w:tcPr>
          <w:p w14:paraId="3B798509">
            <w:pPr>
              <w:spacing w:line="500" w:lineRule="exact"/>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lang w:eastAsia="zh-CN"/>
              </w:rPr>
              <w:t>透析用水处理设备</w:t>
            </w:r>
          </w:p>
        </w:tc>
        <w:tc>
          <w:tcPr>
            <w:tcW w:w="1860" w:type="dxa"/>
            <w:vAlign w:val="center"/>
          </w:tcPr>
          <w:p w14:paraId="3FA2C0CD">
            <w:pPr>
              <w:spacing w:line="500" w:lineRule="exact"/>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lang w:eastAsia="zh-CN"/>
              </w:rPr>
              <w:t>劳</w:t>
            </w:r>
            <w:r>
              <w:rPr>
                <w:rFonts w:hint="eastAsia" w:ascii="宋体" w:hAnsi="宋体" w:cs="宋体"/>
                <w:color w:val="auto"/>
                <w:sz w:val="24"/>
                <w:szCs w:val="24"/>
                <w:highlight w:val="none"/>
                <w:lang w:val="en-US" w:eastAsia="zh-CN"/>
              </w:rPr>
              <w:t>尔</w:t>
            </w:r>
          </w:p>
        </w:tc>
        <w:tc>
          <w:tcPr>
            <w:tcW w:w="1860" w:type="dxa"/>
            <w:vAlign w:val="center"/>
          </w:tcPr>
          <w:p w14:paraId="39971E17">
            <w:pPr>
              <w:spacing w:line="500" w:lineRule="exact"/>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lang w:eastAsia="zh-CN"/>
              </w:rPr>
              <w:t>LA1104246</w:t>
            </w:r>
          </w:p>
        </w:tc>
        <w:tc>
          <w:tcPr>
            <w:tcW w:w="1860" w:type="dxa"/>
            <w:vAlign w:val="center"/>
          </w:tcPr>
          <w:p w14:paraId="2A03630A">
            <w:pPr>
              <w:spacing w:line="5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200644</w:t>
            </w:r>
          </w:p>
        </w:tc>
        <w:tc>
          <w:tcPr>
            <w:tcW w:w="1860" w:type="dxa"/>
            <w:vAlign w:val="center"/>
          </w:tcPr>
          <w:p w14:paraId="21C39EBD">
            <w:pPr>
              <w:spacing w:line="5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r>
      <w:tr w14:paraId="3FEC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vMerge w:val="continue"/>
            <w:vAlign w:val="center"/>
          </w:tcPr>
          <w:p w14:paraId="41D927BA">
            <w:pPr>
              <w:spacing w:line="500" w:lineRule="exact"/>
              <w:jc w:val="center"/>
              <w:rPr>
                <w:rFonts w:hint="eastAsia" w:ascii="宋体" w:hAnsi="宋体" w:eastAsia="宋体" w:cs="宋体"/>
                <w:color w:val="auto"/>
                <w:sz w:val="24"/>
                <w:szCs w:val="24"/>
                <w:highlight w:val="none"/>
                <w:lang w:eastAsia="zh-CN"/>
              </w:rPr>
            </w:pPr>
          </w:p>
        </w:tc>
        <w:tc>
          <w:tcPr>
            <w:tcW w:w="1860" w:type="dxa"/>
            <w:vAlign w:val="center"/>
          </w:tcPr>
          <w:p w14:paraId="79AF2C1C">
            <w:pPr>
              <w:spacing w:line="5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劳</w:t>
            </w:r>
            <w:r>
              <w:rPr>
                <w:rFonts w:hint="eastAsia" w:ascii="宋体" w:hAnsi="宋体" w:cs="宋体"/>
                <w:color w:val="auto"/>
                <w:sz w:val="24"/>
                <w:szCs w:val="24"/>
                <w:highlight w:val="none"/>
                <w:lang w:val="en-US" w:eastAsia="zh-CN"/>
              </w:rPr>
              <w:t>尔</w:t>
            </w:r>
          </w:p>
        </w:tc>
        <w:tc>
          <w:tcPr>
            <w:tcW w:w="1860" w:type="dxa"/>
            <w:vAlign w:val="center"/>
          </w:tcPr>
          <w:p w14:paraId="659FA562">
            <w:pPr>
              <w:spacing w:line="5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LA1105211</w:t>
            </w:r>
          </w:p>
        </w:tc>
        <w:tc>
          <w:tcPr>
            <w:tcW w:w="1860" w:type="dxa"/>
            <w:vAlign w:val="center"/>
          </w:tcPr>
          <w:p w14:paraId="3E96A2F9">
            <w:pPr>
              <w:spacing w:line="5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200641</w:t>
            </w:r>
          </w:p>
        </w:tc>
        <w:tc>
          <w:tcPr>
            <w:tcW w:w="1860" w:type="dxa"/>
            <w:vAlign w:val="center"/>
          </w:tcPr>
          <w:p w14:paraId="06A0989D">
            <w:pPr>
              <w:spacing w:line="5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r>
    </w:tbl>
    <w:p w14:paraId="4F969E98">
      <w:pPr>
        <w:spacing w:line="500" w:lineRule="exact"/>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项目包括：</w:t>
      </w: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lang w:eastAsia="zh-CN"/>
        </w:rPr>
        <w:t>2号楼2楼血透室劳尔水处理设备的</w:t>
      </w:r>
      <w:r>
        <w:rPr>
          <w:rFonts w:hint="eastAsia" w:ascii="宋体" w:hAnsi="宋体" w:eastAsia="宋体" w:cs="宋体"/>
          <w:color w:val="auto"/>
          <w:sz w:val="24"/>
          <w:szCs w:val="24"/>
          <w:highlight w:val="none"/>
          <w:lang w:val="en-US" w:eastAsia="zh-CN"/>
        </w:rPr>
        <w:t>维护保养，服务包含</w:t>
      </w:r>
      <w:r>
        <w:rPr>
          <w:rFonts w:hint="eastAsia" w:ascii="宋体" w:hAnsi="宋体" w:eastAsia="宋体" w:cs="宋体"/>
          <w:color w:val="auto"/>
          <w:sz w:val="24"/>
          <w:szCs w:val="24"/>
          <w:highlight w:val="none"/>
          <w:lang w:eastAsia="zh-CN"/>
        </w:rPr>
        <w:t>维护、维修及相关耗材（不含消毒液）和配件、人工费等所有费用，设备使用和维护的技术支持。3年全保。</w:t>
      </w:r>
    </w:p>
    <w:p w14:paraId="6BEFB8DA">
      <w:pPr>
        <w:spacing w:line="50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2、技术要求：</w:t>
      </w:r>
    </w:p>
    <w:tbl>
      <w:tblPr>
        <w:tblStyle w:val="64"/>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8036"/>
      </w:tblGrid>
      <w:tr w14:paraId="5B9B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3" w:type="dxa"/>
            <w:shd w:val="clear" w:color="auto" w:fill="auto"/>
          </w:tcPr>
          <w:p w14:paraId="1F37DB2F">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036" w:type="dxa"/>
            <w:shd w:val="clear" w:color="auto" w:fill="auto"/>
          </w:tcPr>
          <w:p w14:paraId="6105C192">
            <w:pPr>
              <w:keepNext w:val="0"/>
              <w:keepLines w:val="0"/>
              <w:pageBreakBefore w:val="0"/>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技术需求</w:t>
            </w:r>
          </w:p>
        </w:tc>
      </w:tr>
      <w:tr w14:paraId="7CD5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3" w:type="dxa"/>
            <w:shd w:val="clear" w:color="auto" w:fill="auto"/>
            <w:vAlign w:val="center"/>
          </w:tcPr>
          <w:p w14:paraId="35CD17AA">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p>
        </w:tc>
        <w:tc>
          <w:tcPr>
            <w:tcW w:w="8036" w:type="dxa"/>
            <w:shd w:val="clear" w:color="auto" w:fill="auto"/>
            <w:vAlign w:val="center"/>
          </w:tcPr>
          <w:p w14:paraId="42D9969C">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服务要求</w:t>
            </w:r>
          </w:p>
        </w:tc>
      </w:tr>
      <w:tr w14:paraId="036E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963" w:type="dxa"/>
            <w:shd w:val="clear" w:color="auto" w:fill="auto"/>
            <w:vAlign w:val="center"/>
          </w:tcPr>
          <w:p w14:paraId="61F663EE">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p>
        </w:tc>
        <w:tc>
          <w:tcPr>
            <w:tcW w:w="8036" w:type="dxa"/>
            <w:shd w:val="clear" w:color="auto" w:fill="auto"/>
          </w:tcPr>
          <w:p w14:paraId="35F85E1C">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服务商应根据设备运行状况，</w:t>
            </w:r>
            <w:r>
              <w:rPr>
                <w:rFonts w:hint="eastAsia" w:ascii="宋体" w:hAnsi="宋体" w:eastAsia="宋体" w:cs="宋体"/>
                <w:color w:val="auto"/>
                <w:sz w:val="24"/>
                <w:szCs w:val="24"/>
                <w:highlight w:val="none"/>
                <w:lang w:eastAsia="zh-CN"/>
              </w:rPr>
              <w:t>每季度提供至少</w:t>
            </w:r>
            <w:r>
              <w:rPr>
                <w:rFonts w:hint="eastAsia" w:ascii="宋体" w:hAnsi="宋体" w:eastAsia="宋体" w:cs="宋体"/>
                <w:color w:val="auto"/>
                <w:sz w:val="24"/>
                <w:szCs w:val="24"/>
                <w:highlight w:val="none"/>
                <w:lang w:val="en-US" w:eastAsia="zh-CN"/>
              </w:rPr>
              <w:t>1次</w:t>
            </w:r>
            <w:r>
              <w:rPr>
                <w:rFonts w:hint="eastAsia" w:ascii="宋体" w:hAnsi="宋体" w:eastAsia="宋体" w:cs="宋体"/>
                <w:color w:val="auto"/>
                <w:sz w:val="24"/>
                <w:szCs w:val="24"/>
                <w:highlight w:val="none"/>
              </w:rPr>
              <w:t>定期保养服务，包括机器清洁、性能测试及校准、必要的机械或电气检查，设备外观检查，压力，电导度检查，内部电子器件检查以及非紧急性质的补救性维修</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每次服务到</w:t>
            </w:r>
            <w:r>
              <w:rPr>
                <w:rFonts w:hint="eastAsia" w:ascii="宋体" w:hAnsi="宋体" w:eastAsia="宋体" w:cs="宋体"/>
                <w:color w:val="auto"/>
                <w:sz w:val="24"/>
                <w:szCs w:val="24"/>
                <w:highlight w:val="none"/>
              </w:rPr>
              <w:t>设备科备案，并提供详细记录报告</w:t>
            </w:r>
            <w:r>
              <w:rPr>
                <w:rFonts w:hint="eastAsia" w:ascii="宋体" w:hAnsi="宋体" w:eastAsia="宋体" w:cs="宋体"/>
                <w:color w:val="auto"/>
                <w:sz w:val="24"/>
                <w:szCs w:val="24"/>
                <w:highlight w:val="none"/>
                <w:lang w:eastAsia="zh-CN"/>
              </w:rPr>
              <w:t>。</w:t>
            </w:r>
          </w:p>
        </w:tc>
      </w:tr>
      <w:tr w14:paraId="3E54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3" w:type="dxa"/>
            <w:shd w:val="clear" w:color="auto" w:fill="auto"/>
            <w:vAlign w:val="center"/>
          </w:tcPr>
          <w:p w14:paraId="41E04E5E">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8036" w:type="dxa"/>
            <w:shd w:val="clear" w:color="auto" w:fill="auto"/>
          </w:tcPr>
          <w:p w14:paraId="02AC3F5A">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一年至少1次化学消毒，确保无消毒液残留，满足质控要求，水质要求：确保水质结果符合YY0572-2015水质标准，透析用水的细菌总数≤100CFU/ml，内毒素含量≤0.25EU/mL。（消毒液由医院提供）</w:t>
            </w:r>
          </w:p>
        </w:tc>
      </w:tr>
      <w:tr w14:paraId="5946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3" w:type="dxa"/>
            <w:shd w:val="clear" w:color="auto" w:fill="auto"/>
            <w:vAlign w:val="center"/>
          </w:tcPr>
          <w:p w14:paraId="143EEDE8">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8036" w:type="dxa"/>
            <w:shd w:val="clear" w:color="auto" w:fill="auto"/>
          </w:tcPr>
          <w:p w14:paraId="03A52EB8">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当净化水系统出现故障时，在接到</w:t>
            </w:r>
            <w:r>
              <w:rPr>
                <w:rFonts w:hint="eastAsia" w:ascii="宋体" w:hAnsi="宋体" w:eastAsia="宋体" w:cs="宋体"/>
                <w:color w:val="auto"/>
                <w:sz w:val="24"/>
                <w:szCs w:val="24"/>
                <w:highlight w:val="none"/>
                <w:lang w:val="en-US" w:eastAsia="zh-CN"/>
              </w:rPr>
              <w:t>交易发起</w:t>
            </w:r>
            <w:r>
              <w:rPr>
                <w:rFonts w:hint="eastAsia" w:ascii="宋体" w:hAnsi="宋体" w:eastAsia="宋体" w:cs="宋体"/>
                <w:color w:val="auto"/>
                <w:sz w:val="24"/>
                <w:szCs w:val="24"/>
                <w:highlight w:val="none"/>
              </w:rPr>
              <w:t>人电话通知后，如需要现场处理则</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小时之内派工程师到现场维修；供货同时需提供原厂配件证明文件。</w:t>
            </w:r>
          </w:p>
        </w:tc>
      </w:tr>
      <w:tr w14:paraId="6EDE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shd w:val="clear" w:color="auto" w:fill="auto"/>
            <w:vAlign w:val="center"/>
          </w:tcPr>
          <w:p w14:paraId="134FB195">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p>
        </w:tc>
        <w:tc>
          <w:tcPr>
            <w:tcW w:w="8036" w:type="dxa"/>
            <w:shd w:val="clear" w:color="auto" w:fill="auto"/>
            <w:vAlign w:val="center"/>
          </w:tcPr>
          <w:p w14:paraId="68399EB3">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服务商</w:t>
            </w:r>
            <w:r>
              <w:rPr>
                <w:rFonts w:hint="eastAsia" w:ascii="宋体" w:hAnsi="宋体" w:eastAsia="宋体" w:cs="宋体"/>
                <w:color w:val="auto"/>
                <w:sz w:val="24"/>
                <w:szCs w:val="24"/>
                <w:highlight w:val="none"/>
              </w:rPr>
              <w:t>须保证制水设备及设备场所卫生整洁。</w:t>
            </w:r>
          </w:p>
        </w:tc>
      </w:tr>
      <w:tr w14:paraId="27EF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63" w:type="dxa"/>
            <w:shd w:val="clear" w:color="auto" w:fill="auto"/>
            <w:vAlign w:val="center"/>
          </w:tcPr>
          <w:p w14:paraId="64A7B8F7">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5</w:t>
            </w:r>
          </w:p>
        </w:tc>
        <w:tc>
          <w:tcPr>
            <w:tcW w:w="8036" w:type="dxa"/>
            <w:shd w:val="clear" w:color="auto" w:fill="auto"/>
            <w:vAlign w:val="center"/>
          </w:tcPr>
          <w:p w14:paraId="2363914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期内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必须确保相应净化水系统的水质符合国家规定的相关净化水的水质要求。</w:t>
            </w:r>
          </w:p>
        </w:tc>
      </w:tr>
      <w:tr w14:paraId="2A20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shd w:val="clear" w:color="auto" w:fill="auto"/>
            <w:vAlign w:val="center"/>
          </w:tcPr>
          <w:p w14:paraId="4CFBCF94">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p>
        </w:tc>
        <w:tc>
          <w:tcPr>
            <w:tcW w:w="8036" w:type="dxa"/>
            <w:shd w:val="clear" w:color="auto" w:fill="auto"/>
            <w:vAlign w:val="center"/>
          </w:tcPr>
          <w:p w14:paraId="7C9D5C34">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当抽检有水质质量不合格项，</w:t>
            </w:r>
            <w:r>
              <w:rPr>
                <w:rFonts w:hint="eastAsia" w:ascii="宋体" w:hAnsi="宋体" w:eastAsia="宋体" w:cs="宋体"/>
                <w:color w:val="auto"/>
                <w:sz w:val="24"/>
                <w:szCs w:val="24"/>
                <w:highlight w:val="none"/>
                <w:lang w:eastAsia="zh-CN"/>
              </w:rPr>
              <w:t>服务商</w:t>
            </w:r>
            <w:r>
              <w:rPr>
                <w:rFonts w:hint="eastAsia" w:ascii="宋体" w:hAnsi="宋体" w:eastAsia="宋体" w:cs="宋体"/>
                <w:color w:val="auto"/>
                <w:sz w:val="24"/>
                <w:szCs w:val="24"/>
                <w:highlight w:val="none"/>
              </w:rPr>
              <w:t>必须立即整改至第三方检测合格</w:t>
            </w:r>
            <w:r>
              <w:rPr>
                <w:rFonts w:hint="eastAsia" w:ascii="宋体" w:hAnsi="宋体" w:eastAsia="宋体" w:cs="宋体"/>
                <w:color w:val="auto"/>
                <w:sz w:val="24"/>
                <w:szCs w:val="24"/>
                <w:highlight w:val="none"/>
                <w:lang w:eastAsia="zh-CN"/>
              </w:rPr>
              <w:t>。如</w:t>
            </w: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lang w:eastAsia="zh-CN"/>
              </w:rPr>
              <w:t>整改后仍无法达标，</w:t>
            </w:r>
            <w:r>
              <w:rPr>
                <w:rFonts w:hint="eastAsia" w:ascii="宋体" w:hAnsi="宋体" w:eastAsia="宋体" w:cs="宋体"/>
                <w:b w:val="0"/>
                <w:bCs w:val="0"/>
                <w:color w:val="auto"/>
                <w:sz w:val="24"/>
                <w:szCs w:val="24"/>
                <w:highlight w:val="none"/>
                <w:lang w:val="en-US" w:eastAsia="zh-CN"/>
              </w:rPr>
              <w:t>交易发起人有权邀请第三方机构进行整改，期间所产生的费用由响应人承担。</w:t>
            </w:r>
          </w:p>
        </w:tc>
      </w:tr>
      <w:tr w14:paraId="33DE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3" w:type="dxa"/>
            <w:shd w:val="clear" w:color="auto" w:fill="auto"/>
            <w:vAlign w:val="center"/>
          </w:tcPr>
          <w:p w14:paraId="07FD1714">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p>
        </w:tc>
        <w:tc>
          <w:tcPr>
            <w:tcW w:w="8036" w:type="dxa"/>
            <w:shd w:val="clear" w:color="auto" w:fill="auto"/>
            <w:vAlign w:val="center"/>
          </w:tcPr>
          <w:p w14:paraId="3D28BB1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每季度提供一份净化水处理系统情况评价报告，报告应包含净化水处理系统状况、建议等，并由双方签字确认。</w:t>
            </w:r>
          </w:p>
        </w:tc>
      </w:tr>
      <w:tr w14:paraId="221D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shd w:val="clear" w:color="auto" w:fill="auto"/>
            <w:vAlign w:val="center"/>
          </w:tcPr>
          <w:p w14:paraId="43E5D97D">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8036" w:type="dxa"/>
            <w:shd w:val="clear" w:color="auto" w:fill="auto"/>
            <w:vAlign w:val="center"/>
          </w:tcPr>
          <w:p w14:paraId="6D41791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提供至少每年</w:t>
            </w:r>
            <w:r>
              <w:rPr>
                <w:rFonts w:hint="eastAsia" w:ascii="宋体" w:hAnsi="宋体" w:eastAsia="宋体" w:cs="宋体"/>
                <w:color w:val="auto"/>
                <w:sz w:val="24"/>
                <w:szCs w:val="24"/>
                <w:highlight w:val="none"/>
                <w:lang w:val="en-US" w:eastAsia="zh-CN"/>
              </w:rPr>
              <w:t>1次第三方水质检测，第三方水质检测方需具备相应资质。</w:t>
            </w:r>
            <w:r>
              <w:rPr>
                <w:rFonts w:hint="eastAsia" w:ascii="宋体" w:hAnsi="宋体" w:eastAsia="宋体" w:cs="宋体"/>
                <w:color w:val="auto"/>
                <w:sz w:val="24"/>
                <w:szCs w:val="24"/>
                <w:highlight w:val="none"/>
              </w:rPr>
              <w:t>第三方水质检测报告，如有未达标检测项须立即整改，直至第三方检测合格，增加的费用由</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人承担。</w:t>
            </w:r>
          </w:p>
        </w:tc>
      </w:tr>
      <w:tr w14:paraId="11B2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3" w:type="dxa"/>
            <w:shd w:val="clear" w:color="auto" w:fill="auto"/>
            <w:vAlign w:val="center"/>
          </w:tcPr>
          <w:p w14:paraId="1FDEF3CD">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8036" w:type="dxa"/>
            <w:shd w:val="clear" w:color="auto" w:fill="auto"/>
            <w:vAlign w:val="center"/>
          </w:tcPr>
          <w:p w14:paraId="0C63E87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零备件供应：所有更换的零部件必须为原厂</w:t>
            </w:r>
            <w:r>
              <w:rPr>
                <w:rFonts w:hint="eastAsia" w:ascii="宋体" w:hAnsi="宋体" w:eastAsia="宋体" w:cs="宋体"/>
                <w:color w:val="auto"/>
                <w:sz w:val="24"/>
                <w:szCs w:val="24"/>
                <w:highlight w:val="none"/>
                <w:lang w:eastAsia="zh-CN"/>
              </w:rPr>
              <w:t>全新配件。</w:t>
            </w:r>
          </w:p>
        </w:tc>
      </w:tr>
      <w:tr w14:paraId="50BC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3" w:type="dxa"/>
            <w:shd w:val="clear" w:color="auto" w:fill="auto"/>
            <w:vAlign w:val="center"/>
          </w:tcPr>
          <w:p w14:paraId="2E473D2A">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1.10</w:t>
            </w:r>
          </w:p>
        </w:tc>
        <w:tc>
          <w:tcPr>
            <w:tcW w:w="8036" w:type="dxa"/>
            <w:shd w:val="clear" w:color="auto" w:fill="auto"/>
            <w:vAlign w:val="center"/>
          </w:tcPr>
          <w:p w14:paraId="25AEDEC5">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有全职的应用培训专家和维修专家，满足设备维修保障服务。</w:t>
            </w:r>
          </w:p>
        </w:tc>
      </w:tr>
      <w:tr w14:paraId="7547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 w:type="dxa"/>
            <w:shd w:val="clear" w:color="auto" w:fill="auto"/>
            <w:vAlign w:val="center"/>
          </w:tcPr>
          <w:p w14:paraId="3CE9A58F">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△1.11</w:t>
            </w:r>
          </w:p>
        </w:tc>
        <w:tc>
          <w:tcPr>
            <w:tcW w:w="8036" w:type="dxa"/>
            <w:shd w:val="clear" w:color="auto" w:fill="auto"/>
            <w:vAlign w:val="center"/>
          </w:tcPr>
          <w:p w14:paraId="33D8BD7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rPr>
              <w:t>服务商需</w:t>
            </w:r>
            <w:r>
              <w:rPr>
                <w:rFonts w:hint="eastAsia" w:ascii="宋体" w:hAnsi="宋体" w:eastAsia="宋体" w:cs="宋体"/>
                <w:b w:val="0"/>
                <w:bCs w:val="0"/>
                <w:color w:val="auto"/>
                <w:sz w:val="24"/>
                <w:szCs w:val="24"/>
                <w:highlight w:val="none"/>
                <w:lang w:val="en-US" w:eastAsia="zh-CN"/>
              </w:rPr>
              <w:t>有</w:t>
            </w:r>
            <w:r>
              <w:rPr>
                <w:rFonts w:hint="eastAsia" w:ascii="宋体" w:hAnsi="宋体" w:eastAsia="宋体" w:cs="宋体"/>
                <w:b w:val="0"/>
                <w:bCs w:val="0"/>
                <w:color w:val="auto"/>
                <w:sz w:val="24"/>
                <w:szCs w:val="24"/>
                <w:highlight w:val="none"/>
              </w:rPr>
              <w:t>不少于3名</w:t>
            </w:r>
            <w:r>
              <w:rPr>
                <w:rFonts w:hint="eastAsia" w:ascii="宋体" w:hAnsi="宋体" w:eastAsia="宋体" w:cs="宋体"/>
                <w:b w:val="0"/>
                <w:bCs w:val="0"/>
                <w:color w:val="auto"/>
                <w:sz w:val="24"/>
                <w:szCs w:val="24"/>
                <w:highlight w:val="none"/>
                <w:lang w:eastAsia="zh-CN"/>
              </w:rPr>
              <w:t>具有原厂培训证明的</w:t>
            </w:r>
            <w:r>
              <w:rPr>
                <w:rFonts w:hint="eastAsia" w:ascii="宋体" w:hAnsi="宋体" w:eastAsia="宋体" w:cs="宋体"/>
                <w:b w:val="0"/>
                <w:bCs w:val="0"/>
                <w:color w:val="auto"/>
                <w:sz w:val="24"/>
                <w:szCs w:val="24"/>
                <w:highlight w:val="none"/>
              </w:rPr>
              <w:t>维修工程师</w:t>
            </w:r>
            <w:r>
              <w:rPr>
                <w:rFonts w:hint="eastAsia" w:ascii="宋体" w:hAnsi="宋体" w:eastAsia="宋体" w:cs="宋体"/>
                <w:b w:val="0"/>
                <w:bCs w:val="0"/>
                <w:color w:val="auto"/>
                <w:sz w:val="24"/>
                <w:szCs w:val="24"/>
                <w:highlight w:val="none"/>
                <w:lang w:eastAsia="zh-CN"/>
              </w:rPr>
              <w:t>，提供相应证明材料。</w:t>
            </w:r>
          </w:p>
        </w:tc>
      </w:tr>
      <w:tr w14:paraId="49F2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3" w:type="dxa"/>
            <w:shd w:val="clear" w:color="auto" w:fill="auto"/>
            <w:vAlign w:val="center"/>
          </w:tcPr>
          <w:p w14:paraId="557C4E11">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1.12</w:t>
            </w:r>
          </w:p>
        </w:tc>
        <w:tc>
          <w:tcPr>
            <w:tcW w:w="8036" w:type="dxa"/>
            <w:shd w:val="clear" w:color="auto" w:fill="auto"/>
            <w:vAlign w:val="center"/>
          </w:tcPr>
          <w:p w14:paraId="0305855F">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kern w:val="0"/>
                <w:sz w:val="24"/>
                <w:szCs w:val="24"/>
                <w:highlight w:val="none"/>
                <w:lang w:val="en-US" w:eastAsia="zh-CN" w:bidi="ar"/>
              </w:rPr>
              <w:t>水质测试所需的</w:t>
            </w:r>
            <w:r>
              <w:rPr>
                <w:rFonts w:hint="eastAsia" w:ascii="宋体" w:hAnsi="宋体" w:eastAsia="宋体" w:cs="宋体"/>
                <w:bCs/>
                <w:color w:val="auto"/>
                <w:sz w:val="24"/>
                <w:szCs w:val="24"/>
                <w:highlight w:val="none"/>
              </w:rPr>
              <w:t>硬度试剂</w:t>
            </w:r>
            <w:r>
              <w:rPr>
                <w:rFonts w:hint="eastAsia" w:ascii="宋体" w:hAnsi="宋体" w:eastAsia="宋体" w:cs="宋体"/>
                <w:bCs/>
                <w:color w:val="auto"/>
                <w:sz w:val="24"/>
                <w:szCs w:val="24"/>
                <w:highlight w:val="none"/>
                <w:lang w:val="en-US" w:eastAsia="zh-CN"/>
              </w:rPr>
              <w:t>和</w:t>
            </w:r>
            <w:r>
              <w:rPr>
                <w:rFonts w:hint="eastAsia" w:ascii="宋体" w:hAnsi="宋体" w:eastAsia="宋体" w:cs="宋体"/>
                <w:bCs/>
                <w:color w:val="auto"/>
                <w:sz w:val="24"/>
                <w:szCs w:val="24"/>
                <w:highlight w:val="none"/>
              </w:rPr>
              <w:t>总氯试剂</w:t>
            </w:r>
            <w:r>
              <w:rPr>
                <w:rFonts w:hint="eastAsia" w:ascii="宋体" w:hAnsi="宋体" w:eastAsia="宋体" w:cs="宋体"/>
                <w:bCs/>
                <w:color w:val="auto"/>
                <w:sz w:val="24"/>
                <w:szCs w:val="24"/>
                <w:highlight w:val="none"/>
                <w:lang w:val="en-US" w:eastAsia="zh-CN"/>
              </w:rPr>
              <w:t>由乙方自备。</w:t>
            </w:r>
          </w:p>
        </w:tc>
      </w:tr>
      <w:tr w14:paraId="1A37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3" w:type="dxa"/>
            <w:shd w:val="clear" w:color="auto" w:fill="auto"/>
            <w:vAlign w:val="center"/>
          </w:tcPr>
          <w:p w14:paraId="6F22E188">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1.13</w:t>
            </w:r>
          </w:p>
        </w:tc>
        <w:tc>
          <w:tcPr>
            <w:tcW w:w="8036" w:type="dxa"/>
            <w:shd w:val="clear" w:color="auto" w:fill="auto"/>
            <w:vAlign w:val="center"/>
          </w:tcPr>
          <w:p w14:paraId="350D0066">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须在每次完成设备维修、PM保养或升级等保修</w:t>
            </w:r>
            <w:r>
              <w:rPr>
                <w:rFonts w:hint="eastAsia" w:ascii="宋体" w:hAnsi="宋体" w:eastAsia="宋体" w:cs="宋体"/>
                <w:color w:val="auto"/>
                <w:sz w:val="24"/>
                <w:szCs w:val="24"/>
                <w:highlight w:val="none"/>
                <w:lang w:eastAsia="zh-CN"/>
              </w:rPr>
              <w:t>或保养</w:t>
            </w:r>
            <w:r>
              <w:rPr>
                <w:rFonts w:hint="eastAsia" w:ascii="宋体" w:hAnsi="宋体" w:eastAsia="宋体" w:cs="宋体"/>
                <w:color w:val="auto"/>
                <w:sz w:val="24"/>
                <w:szCs w:val="24"/>
                <w:highlight w:val="none"/>
              </w:rPr>
              <w:t>任务后，均应在7个工作日内向</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人提交详细工作报告单，年底装订成册给</w:t>
            </w:r>
            <w:r>
              <w:rPr>
                <w:rFonts w:hint="eastAsia" w:ascii="宋体" w:hAnsi="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存档。报告单的内容将作为</w:t>
            </w:r>
            <w:r>
              <w:rPr>
                <w:rFonts w:hint="eastAsia" w:ascii="宋体" w:hAnsi="宋体" w:eastAsia="宋体" w:cs="宋体"/>
                <w:b w:val="0"/>
                <w:bCs w:val="0"/>
                <w:color w:val="auto"/>
                <w:sz w:val="24"/>
                <w:szCs w:val="24"/>
                <w:highlight w:val="none"/>
                <w:lang w:val="en-US" w:eastAsia="zh-CN"/>
              </w:rPr>
              <w:t>交易发起人</w:t>
            </w:r>
            <w:r>
              <w:rPr>
                <w:rFonts w:hint="eastAsia" w:ascii="宋体" w:hAnsi="宋体" w:eastAsia="宋体" w:cs="宋体"/>
                <w:color w:val="auto"/>
                <w:sz w:val="24"/>
                <w:szCs w:val="24"/>
                <w:highlight w:val="none"/>
              </w:rPr>
              <w:t>对保修服务内容验收的依据。</w:t>
            </w:r>
            <w:r>
              <w:rPr>
                <w:rFonts w:hint="eastAsia" w:ascii="宋体" w:hAnsi="宋体" w:eastAsia="宋体" w:cs="宋体"/>
                <w:b w:val="0"/>
                <w:bCs w:val="0"/>
                <w:color w:val="auto"/>
                <w:sz w:val="24"/>
                <w:szCs w:val="24"/>
                <w:highlight w:val="none"/>
                <w:lang w:val="en-US" w:eastAsia="zh-CN"/>
              </w:rPr>
              <w:t>每次维修或维护后需要提供影像留底及</w:t>
            </w:r>
            <w:r>
              <w:rPr>
                <w:rFonts w:hint="eastAsia" w:ascii="宋体" w:hAnsi="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lang w:val="en-US" w:eastAsia="zh-CN"/>
              </w:rPr>
              <w:t>方签字（</w:t>
            </w:r>
            <w:r>
              <w:rPr>
                <w:rFonts w:hint="eastAsia" w:ascii="宋体" w:hAnsi="宋体" w:cs="宋体"/>
                <w:b w:val="0"/>
                <w:bCs w:val="0"/>
                <w:color w:val="auto"/>
                <w:sz w:val="24"/>
                <w:szCs w:val="24"/>
                <w:highlight w:val="none"/>
                <w:lang w:val="en-US" w:eastAsia="zh-CN"/>
              </w:rPr>
              <w:t>临床、</w:t>
            </w:r>
            <w:r>
              <w:rPr>
                <w:rFonts w:hint="eastAsia" w:ascii="宋体" w:hAnsi="宋体" w:eastAsia="宋体" w:cs="宋体"/>
                <w:b w:val="0"/>
                <w:bCs w:val="0"/>
                <w:color w:val="auto"/>
                <w:sz w:val="24"/>
                <w:szCs w:val="24"/>
                <w:highlight w:val="none"/>
                <w:lang w:val="en-US" w:eastAsia="zh-CN"/>
              </w:rPr>
              <w:t>服务商、设备科）。</w:t>
            </w:r>
          </w:p>
        </w:tc>
      </w:tr>
      <w:tr w14:paraId="54C6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3" w:type="dxa"/>
            <w:shd w:val="clear" w:color="auto" w:fill="auto"/>
            <w:vAlign w:val="center"/>
          </w:tcPr>
          <w:p w14:paraId="3FA9E1EF">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1.14</w:t>
            </w:r>
          </w:p>
        </w:tc>
        <w:tc>
          <w:tcPr>
            <w:tcW w:w="8036" w:type="dxa"/>
            <w:shd w:val="clear" w:color="auto" w:fill="auto"/>
            <w:vAlign w:val="center"/>
          </w:tcPr>
          <w:p w14:paraId="034396F4">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单次故障超过5个工作日未修复，交易发起人有权邀请第三方机构进行维修，期间所产生的费用由响应人承担。</w:t>
            </w:r>
          </w:p>
        </w:tc>
      </w:tr>
      <w:tr w14:paraId="2016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3" w:type="dxa"/>
            <w:shd w:val="clear" w:color="auto" w:fill="auto"/>
            <w:vAlign w:val="center"/>
          </w:tcPr>
          <w:p w14:paraId="2E1867D1">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1.15</w:t>
            </w:r>
          </w:p>
        </w:tc>
        <w:tc>
          <w:tcPr>
            <w:tcW w:w="8036" w:type="dxa"/>
            <w:shd w:val="clear" w:color="auto" w:fill="auto"/>
            <w:vAlign w:val="center"/>
          </w:tcPr>
          <w:p w14:paraId="794BDDB6">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对设备维保所需耗材进行更换，包括但不限于每月更换一次的</w:t>
            </w:r>
            <w:r>
              <w:rPr>
                <w:rFonts w:hint="eastAsia" w:ascii="宋体" w:hAnsi="宋体" w:eastAsia="宋体" w:cs="宋体"/>
                <w:color w:val="auto"/>
                <w:kern w:val="0"/>
                <w:sz w:val="24"/>
                <w:szCs w:val="24"/>
                <w:highlight w:val="none"/>
                <w:lang w:val="en-US" w:eastAsia="zh-CN" w:bidi="ar"/>
              </w:rPr>
              <w:t>20寸</w:t>
            </w:r>
            <w:r>
              <w:rPr>
                <w:rFonts w:hint="eastAsia" w:ascii="宋体" w:hAnsi="宋体" w:eastAsia="宋体" w:cs="宋体"/>
                <w:bCs/>
                <w:color w:val="auto"/>
                <w:sz w:val="24"/>
                <w:szCs w:val="24"/>
                <w:highlight w:val="none"/>
              </w:rPr>
              <w:t>，5微米</w:t>
            </w:r>
            <w:r>
              <w:rPr>
                <w:rFonts w:hint="eastAsia" w:ascii="宋体" w:hAnsi="宋体" w:eastAsia="宋体" w:cs="宋体"/>
                <w:bCs/>
                <w:color w:val="auto"/>
                <w:sz w:val="24"/>
                <w:szCs w:val="24"/>
                <w:highlight w:val="none"/>
                <w:lang w:val="en-US" w:eastAsia="zh-CN"/>
              </w:rPr>
              <w:t>规格和</w:t>
            </w:r>
            <w:r>
              <w:rPr>
                <w:rFonts w:hint="eastAsia" w:ascii="宋体" w:hAnsi="宋体" w:eastAsia="宋体" w:cs="宋体"/>
                <w:bCs/>
                <w:color w:val="auto"/>
                <w:sz w:val="24"/>
                <w:szCs w:val="24"/>
                <w:highlight w:val="none"/>
              </w:rPr>
              <w:t>30</w:t>
            </w:r>
            <w:r>
              <w:rPr>
                <w:rFonts w:hint="eastAsia" w:ascii="宋体" w:hAnsi="宋体" w:eastAsia="宋体" w:cs="宋体"/>
                <w:bCs/>
                <w:color w:val="auto"/>
                <w:sz w:val="24"/>
                <w:szCs w:val="24"/>
                <w:highlight w:val="none"/>
                <w:lang w:eastAsia="zh-CN"/>
              </w:rPr>
              <w:t>寸</w:t>
            </w:r>
            <w:r>
              <w:rPr>
                <w:rFonts w:hint="eastAsia" w:ascii="宋体" w:hAnsi="宋体" w:eastAsia="宋体" w:cs="宋体"/>
                <w:bCs/>
                <w:color w:val="auto"/>
                <w:sz w:val="24"/>
                <w:szCs w:val="24"/>
                <w:highlight w:val="none"/>
              </w:rPr>
              <w:t>，5微米</w:t>
            </w:r>
            <w:r>
              <w:rPr>
                <w:rFonts w:hint="eastAsia" w:ascii="宋体" w:hAnsi="宋体" w:eastAsia="宋体" w:cs="宋体"/>
                <w:bCs/>
                <w:color w:val="auto"/>
                <w:sz w:val="24"/>
                <w:szCs w:val="24"/>
                <w:highlight w:val="none"/>
                <w:lang w:val="en-US" w:eastAsia="zh-CN"/>
              </w:rPr>
              <w:t>规格的</w:t>
            </w:r>
            <w:r>
              <w:rPr>
                <w:rFonts w:hint="eastAsia" w:ascii="宋体" w:hAnsi="宋体" w:eastAsia="宋体" w:cs="宋体"/>
                <w:bCs/>
                <w:color w:val="auto"/>
                <w:sz w:val="24"/>
                <w:szCs w:val="24"/>
                <w:highlight w:val="none"/>
              </w:rPr>
              <w:t>前处理PP滤芯</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三年内更换两次</w:t>
            </w:r>
            <w:r>
              <w:rPr>
                <w:rFonts w:hint="eastAsia" w:ascii="宋体" w:hAnsi="宋体" w:eastAsia="宋体" w:cs="宋体"/>
                <w:bCs/>
                <w:color w:val="auto"/>
                <w:sz w:val="24"/>
                <w:szCs w:val="24"/>
                <w:highlight w:val="none"/>
              </w:rPr>
              <w:t>2162</w:t>
            </w:r>
            <w:r>
              <w:rPr>
                <w:rFonts w:hint="eastAsia" w:ascii="宋体" w:hAnsi="宋体" w:eastAsia="宋体" w:cs="宋体"/>
                <w:color w:val="auto"/>
                <w:kern w:val="0"/>
                <w:sz w:val="24"/>
                <w:szCs w:val="24"/>
                <w:highlight w:val="none"/>
                <w:lang w:bidi="ar"/>
              </w:rPr>
              <w:t>活性炭罐填料</w:t>
            </w:r>
            <w:r>
              <w:rPr>
                <w:rFonts w:hint="eastAsia" w:ascii="宋体" w:hAnsi="宋体" w:cs="宋体"/>
                <w:color w:val="auto"/>
                <w:kern w:val="0"/>
                <w:sz w:val="24"/>
                <w:szCs w:val="24"/>
                <w:highlight w:val="none"/>
                <w:lang w:eastAsia="zh-CN" w:bidi="ar"/>
              </w:rPr>
              <w:t>，</w:t>
            </w:r>
            <w:r>
              <w:rPr>
                <w:rFonts w:hint="eastAsia" w:ascii="宋体" w:hAnsi="宋体" w:eastAsia="宋体" w:cs="宋体"/>
                <w:bCs/>
                <w:color w:val="auto"/>
                <w:sz w:val="24"/>
                <w:szCs w:val="24"/>
                <w:highlight w:val="none"/>
                <w:lang w:val="en-US" w:eastAsia="zh-CN"/>
              </w:rPr>
              <w:t>每三年更换一次</w:t>
            </w:r>
            <w:r>
              <w:rPr>
                <w:rFonts w:hint="eastAsia" w:ascii="宋体" w:hAnsi="宋体" w:eastAsia="宋体" w:cs="宋体"/>
                <w:bCs/>
                <w:color w:val="auto"/>
                <w:sz w:val="24"/>
                <w:szCs w:val="24"/>
                <w:highlight w:val="none"/>
              </w:rPr>
              <w:t>2162</w:t>
            </w:r>
            <w:r>
              <w:rPr>
                <w:rFonts w:hint="eastAsia" w:ascii="宋体" w:hAnsi="宋体" w:eastAsia="宋体" w:cs="宋体"/>
                <w:color w:val="auto"/>
                <w:kern w:val="0"/>
                <w:sz w:val="24"/>
                <w:szCs w:val="24"/>
                <w:highlight w:val="none"/>
                <w:lang w:bidi="ar"/>
              </w:rPr>
              <w:t>多介质罐填料</w:t>
            </w:r>
            <w:r>
              <w:rPr>
                <w:rFonts w:hint="eastAsia" w:ascii="宋体" w:hAnsi="宋体" w:cs="宋体"/>
                <w:color w:val="auto"/>
                <w:kern w:val="0"/>
                <w:sz w:val="24"/>
                <w:szCs w:val="24"/>
                <w:highlight w:val="none"/>
                <w:lang w:eastAsia="zh-CN" w:bidi="ar"/>
              </w:rPr>
              <w:t>、</w:t>
            </w:r>
            <w:r>
              <w:rPr>
                <w:rFonts w:hint="eastAsia" w:ascii="宋体" w:hAnsi="宋体" w:eastAsia="宋体" w:cs="宋体"/>
                <w:bCs/>
                <w:color w:val="auto"/>
                <w:sz w:val="24"/>
                <w:szCs w:val="24"/>
                <w:highlight w:val="none"/>
              </w:rPr>
              <w:t>1865</w:t>
            </w:r>
            <w:r>
              <w:rPr>
                <w:rFonts w:hint="eastAsia" w:ascii="宋体" w:hAnsi="宋体" w:eastAsia="宋体" w:cs="宋体"/>
                <w:color w:val="auto"/>
                <w:kern w:val="0"/>
                <w:sz w:val="24"/>
                <w:szCs w:val="24"/>
                <w:highlight w:val="none"/>
                <w:lang w:bidi="ar"/>
              </w:rPr>
              <w:t>树脂罐填料</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8040E1膜</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8040E2膜</w:t>
            </w:r>
            <w:r>
              <w:rPr>
                <w:rFonts w:hint="eastAsia" w:ascii="宋体" w:hAnsi="宋体" w:eastAsia="宋体" w:cs="宋体"/>
                <w:color w:val="auto"/>
                <w:kern w:val="0"/>
                <w:sz w:val="24"/>
                <w:szCs w:val="24"/>
                <w:highlight w:val="none"/>
                <w:lang w:eastAsia="zh-CN" w:bidi="ar"/>
              </w:rPr>
              <w:t>。</w:t>
            </w:r>
          </w:p>
        </w:tc>
      </w:tr>
    </w:tbl>
    <w:p w14:paraId="51190261">
      <w:pPr>
        <w:snapToGrid w:val="0"/>
        <w:spacing w:line="360" w:lineRule="auto"/>
        <w:rPr>
          <w:rFonts w:hint="eastAsia" w:asciiTheme="minorEastAsia" w:hAnsiTheme="minorEastAsia" w:eastAsiaTheme="minorEastAsia" w:cstheme="minorEastAsia"/>
          <w:b/>
          <w:bCs w:val="0"/>
          <w:color w:val="auto"/>
          <w:sz w:val="24"/>
          <w:szCs w:val="24"/>
          <w:highlight w:val="none"/>
          <w:lang w:val="en-US" w:eastAsia="zh-CN"/>
        </w:rPr>
      </w:pPr>
    </w:p>
    <w:p w14:paraId="6C137385">
      <w:pPr>
        <w:snapToGrid w:val="0"/>
        <w:spacing w:line="360" w:lineRule="auto"/>
        <w:rPr>
          <w:rFonts w:hint="default"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二</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商务需求</w:t>
      </w:r>
    </w:p>
    <w:p w14:paraId="71D6837E">
      <w:pPr>
        <w:spacing w:line="440" w:lineRule="exact"/>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1、服务期：3年（具体起止时间以合同签订为准）。</w:t>
      </w:r>
    </w:p>
    <w:p w14:paraId="61C9D485">
      <w:pPr>
        <w:spacing w:line="440" w:lineRule="exact"/>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付款方式：合同服务期限为三年，合同签订具备实施条件后，甲方在收到乙方增值税发票后的7个工作日内，支付当年维保全款；第二年按第一年支付的同月份，经甲方考核合格、收到乙方增值税发票后的7个工作日内，甲方支付乙方当年维保全款（扣除上一服务周期考核的扣款）；第三年按第二年支付的同月份，经甲方考核合格、收到乙方增值税发票后的7个工作日内，甲方支付乙方当年维保款的50%（扣除上一服务周期考核的扣款）；第三年维保期结束，经甲方考核合格、收到乙方增值税发票后的7个工作日内，付清余款（扣除上一服务周期考核的扣款）。考核表详见附件1：医学装备维保合同履约情况考核表。</w:t>
      </w:r>
    </w:p>
    <w:p w14:paraId="755BE54A">
      <w:pPr>
        <w:spacing w:line="440" w:lineRule="exact"/>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3、维保期内，更换下来的配件由响应人负责处理，费用包含在报价中。</w:t>
      </w:r>
    </w:p>
    <w:p w14:paraId="1E7AB72E">
      <w:pPr>
        <w:spacing w:line="440" w:lineRule="exact"/>
        <w:ind w:firstLine="480" w:firstLineChars="200"/>
        <w:rPr>
          <w:rFonts w:hint="eastAsia" w:asciiTheme="minorEastAsia" w:hAnsiTheme="minorEastAsia" w:eastAsiaTheme="minorEastAsia" w:cstheme="minorEastAsia"/>
          <w:color w:val="auto"/>
          <w:sz w:val="24"/>
          <w:highlight w:val="none"/>
          <w:lang w:val="en-US" w:eastAsia="zh-CN"/>
        </w:rPr>
      </w:pPr>
    </w:p>
    <w:p w14:paraId="060EE09A">
      <w:pPr>
        <w:spacing w:line="440" w:lineRule="exact"/>
        <w:ind w:firstLine="480" w:firstLineChars="200"/>
        <w:rPr>
          <w:rFonts w:hint="eastAsia" w:asciiTheme="minorEastAsia" w:hAnsiTheme="minorEastAsia" w:eastAsiaTheme="minorEastAsia" w:cstheme="minorEastAsia"/>
          <w:color w:val="auto"/>
          <w:sz w:val="24"/>
          <w:highlight w:val="none"/>
          <w:lang w:val="en-US" w:eastAsia="zh-CN"/>
        </w:rPr>
        <w:sectPr>
          <w:footerReference r:id="rId8" w:type="first"/>
          <w:footerReference r:id="rId7" w:type="default"/>
          <w:pgSz w:w="11906" w:h="16838"/>
          <w:pgMar w:top="1247" w:right="1417" w:bottom="1247" w:left="1417" w:header="851" w:footer="992" w:gutter="0"/>
          <w:pgBorders>
            <w:top w:val="none" w:sz="0" w:space="0"/>
            <w:left w:val="none" w:sz="0" w:space="0"/>
            <w:bottom w:val="none" w:sz="0" w:space="0"/>
            <w:right w:val="none" w:sz="0" w:space="0"/>
          </w:pgBorders>
          <w:pgNumType w:start="2"/>
          <w:cols w:space="0" w:num="1"/>
          <w:docGrid w:linePitch="312" w:charSpace="0"/>
        </w:sectPr>
      </w:pPr>
      <w:r>
        <w:rPr>
          <w:rFonts w:hint="eastAsia" w:asciiTheme="minorEastAsia" w:hAnsiTheme="minorEastAsia" w:eastAsiaTheme="minorEastAsia" w:cstheme="minorEastAsia"/>
          <w:color w:val="auto"/>
          <w:sz w:val="24"/>
          <w:highlight w:val="none"/>
          <w:lang w:val="en-US" w:eastAsia="zh-CN"/>
        </w:rPr>
        <w:t>注：公开竞争文件中打▲内容为实质性要求，不允许有负偏离，否则将以涉及无效响应条款作无效响应。</w:t>
      </w:r>
    </w:p>
    <w:p w14:paraId="7CFFD736">
      <w:pPr>
        <w:spacing w:line="440" w:lineRule="exac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附件1：</w:t>
      </w:r>
    </w:p>
    <w:tbl>
      <w:tblPr>
        <w:tblStyle w:val="64"/>
        <w:tblW w:w="9280" w:type="dxa"/>
        <w:tblInd w:w="-1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2"/>
        <w:gridCol w:w="1364"/>
        <w:gridCol w:w="5502"/>
        <w:gridCol w:w="877"/>
        <w:gridCol w:w="895"/>
      </w:tblGrid>
      <w:tr w14:paraId="08E51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2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E0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医学装备维保合同履约情况考核表（两年及以上维保）</w:t>
            </w:r>
          </w:p>
        </w:tc>
      </w:tr>
      <w:tr w14:paraId="25963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92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64D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合同项目：</w:t>
            </w:r>
          </w:p>
        </w:tc>
      </w:tr>
      <w:tr w14:paraId="501E3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B3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考核项目</w:t>
            </w:r>
          </w:p>
        </w:tc>
        <w:tc>
          <w:tcPr>
            <w:tcW w:w="5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4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考核内容</w:t>
            </w:r>
          </w:p>
          <w:p w14:paraId="3D0CE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（充分满足临床需求9（含）-10分，满足临床需求7（含）-9分，基本满足临床需求5（含）-7分，</w:t>
            </w:r>
            <w:r>
              <w:rPr>
                <w:rFonts w:hint="eastAsia" w:asciiTheme="minorEastAsia" w:hAnsiTheme="minorEastAsia" w:eastAsiaTheme="minorEastAsia" w:cstheme="minorEastAsia"/>
                <w:color w:val="auto"/>
                <w:sz w:val="24"/>
                <w:szCs w:val="24"/>
                <w:highlight w:val="none"/>
              </w:rPr>
              <w:t>存在较大的缺陷与临床要求差距较大</w:t>
            </w:r>
            <w:r>
              <w:rPr>
                <w:rFonts w:hint="eastAsia" w:asciiTheme="minorEastAsia" w:hAnsiTheme="minorEastAsia" w:eastAsiaTheme="minorEastAsia" w:cstheme="minorEastAsia"/>
                <w:color w:val="auto"/>
                <w:sz w:val="24"/>
                <w:szCs w:val="24"/>
                <w:highlight w:val="none"/>
                <w:lang w:val="en-US" w:eastAsia="zh-CN"/>
              </w:rPr>
              <w:t>0-5分，得分精确到小数点后一位。）</w:t>
            </w:r>
          </w:p>
        </w:tc>
        <w:tc>
          <w:tcPr>
            <w:tcW w:w="877" w:type="dxa"/>
            <w:tcBorders>
              <w:top w:val="single" w:color="000000" w:sz="4" w:space="0"/>
              <w:left w:val="single" w:color="000000" w:sz="4" w:space="0"/>
              <w:right w:val="single" w:color="000000" w:sz="4" w:space="0"/>
            </w:tcBorders>
            <w:shd w:val="clear" w:color="auto" w:fill="auto"/>
            <w:noWrap/>
            <w:vAlign w:val="center"/>
          </w:tcPr>
          <w:p w14:paraId="6AB66D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z w:val="24"/>
                <w:szCs w:val="24"/>
                <w:highlight w:val="none"/>
                <w:u w:val="none"/>
                <w:lang w:eastAsia="zh-CN"/>
              </w:rPr>
              <w:t>分值</w:t>
            </w:r>
          </w:p>
        </w:tc>
        <w:tc>
          <w:tcPr>
            <w:tcW w:w="895" w:type="dxa"/>
            <w:tcBorders>
              <w:top w:val="single" w:color="000000" w:sz="4" w:space="0"/>
              <w:left w:val="single" w:color="000000" w:sz="4" w:space="0"/>
              <w:right w:val="single" w:color="000000" w:sz="4" w:space="0"/>
            </w:tcBorders>
            <w:shd w:val="clear" w:color="auto" w:fill="auto"/>
            <w:noWrap/>
            <w:vAlign w:val="center"/>
          </w:tcPr>
          <w:p w14:paraId="4A4163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得分</w:t>
            </w:r>
          </w:p>
        </w:tc>
      </w:tr>
      <w:tr w14:paraId="67B14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6A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07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服务能力</w:t>
            </w: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428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维保工程师具有专业技术能力和资质要求，如需要特种设备上岗证等资质要求，相关复印件附在合同后面。</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7101">
            <w:pPr>
              <w:jc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17C9">
            <w:pPr>
              <w:rPr>
                <w:rFonts w:hint="eastAsia" w:asciiTheme="minorEastAsia" w:hAnsiTheme="minorEastAsia" w:eastAsiaTheme="minorEastAsia" w:cstheme="minorEastAsia"/>
                <w:i w:val="0"/>
                <w:iCs w:val="0"/>
                <w:color w:val="auto"/>
                <w:sz w:val="24"/>
                <w:szCs w:val="24"/>
                <w:highlight w:val="none"/>
                <w:u w:val="none"/>
              </w:rPr>
            </w:pPr>
          </w:p>
        </w:tc>
      </w:tr>
      <w:tr w14:paraId="47868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9D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1D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响应及时</w:t>
            </w: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BF4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接到报修及时响应，按规定时间到场处理故障。</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8198">
            <w:pPr>
              <w:jc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4130">
            <w:pPr>
              <w:rPr>
                <w:rFonts w:hint="eastAsia" w:asciiTheme="minorEastAsia" w:hAnsiTheme="minorEastAsia" w:eastAsiaTheme="minorEastAsia" w:cstheme="minorEastAsia"/>
                <w:i w:val="0"/>
                <w:iCs w:val="0"/>
                <w:color w:val="auto"/>
                <w:sz w:val="24"/>
                <w:szCs w:val="24"/>
                <w:highlight w:val="none"/>
                <w:u w:val="none"/>
              </w:rPr>
            </w:pPr>
          </w:p>
        </w:tc>
      </w:tr>
      <w:tr w14:paraId="6FE69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8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0E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修理方案</w:t>
            </w: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03C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现场及时正确地判断故障，迅速合理地确定修理方案，保障设备的正常运转。</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1CFC">
            <w:pPr>
              <w:jc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5</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F029">
            <w:pPr>
              <w:rPr>
                <w:rFonts w:hint="eastAsia" w:asciiTheme="minorEastAsia" w:hAnsiTheme="minorEastAsia" w:eastAsiaTheme="minorEastAsia" w:cstheme="minorEastAsia"/>
                <w:i w:val="0"/>
                <w:iCs w:val="0"/>
                <w:color w:val="auto"/>
                <w:sz w:val="24"/>
                <w:szCs w:val="24"/>
                <w:highlight w:val="none"/>
                <w:u w:val="none"/>
              </w:rPr>
            </w:pPr>
          </w:p>
        </w:tc>
      </w:tr>
      <w:tr w14:paraId="273E6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17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1C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备件供应</w:t>
            </w: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79A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及时保障维修零备件供应速度，并在要求时间内完成维修。</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C97F">
            <w:pPr>
              <w:jc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10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1508">
            <w:pPr>
              <w:rPr>
                <w:rFonts w:hint="eastAsia" w:asciiTheme="minorEastAsia" w:hAnsiTheme="minorEastAsia" w:eastAsiaTheme="minorEastAsia" w:cstheme="minorEastAsia"/>
                <w:i w:val="0"/>
                <w:iCs w:val="0"/>
                <w:color w:val="auto"/>
                <w:sz w:val="24"/>
                <w:szCs w:val="24"/>
                <w:highlight w:val="none"/>
                <w:u w:val="none"/>
              </w:rPr>
            </w:pPr>
          </w:p>
        </w:tc>
      </w:tr>
      <w:tr w14:paraId="11204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C6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E7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维修质量</w:t>
            </w: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FC6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同故障返修情况，保障设备正常运行。</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FD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9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754E3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FE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2B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保养质检</w:t>
            </w: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B0A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按规定和要求完成设备保养和质检工作，进行维护保养后及时清洁现场。</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3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B1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54497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C0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CB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维护时间</w:t>
            </w: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398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协调维护保养时间与设备使用时间，以设备使用需求优先。</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98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9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365B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F7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E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工单管理</w:t>
            </w: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8A0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服务完成有完整的纸质或电子版工单报告，按照科室要求做好服务记录；保养维护发生后需要维护方，临床科室，设备科等相关科室签字确认。</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4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87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2F6FF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3A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7C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沟通汇报</w:t>
            </w: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715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及时沟通维修进度，分析故障原因及建议临床科室使用注意事项，一季度向设备科汇报设备维护情况并提交相关资料。</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77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FB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69EF5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3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75B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承诺执行</w:t>
            </w: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AAC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维保服务相关承诺、优惠方案执行情况。</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4A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sz w:val="24"/>
                <w:szCs w:val="24"/>
                <w:highlight w:val="none"/>
                <w:u w:val="none"/>
                <w:lang w:val="en-US" w:eastAsia="zh-CN"/>
              </w:rPr>
              <w:t>10</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03C0">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tc>
      </w:tr>
      <w:tr w14:paraId="7CF7A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3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8BF3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color w:val="auto"/>
                <w:sz w:val="24"/>
                <w:szCs w:val="24"/>
                <w:highlight w:val="none"/>
                <w:u w:val="none"/>
                <w:lang w:val="en-US" w:eastAsia="zh-CN"/>
              </w:rPr>
              <w:t xml:space="preserve">                                                          总分</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185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lang w:eastAsia="zh-CN"/>
              </w:rPr>
            </w:pPr>
          </w:p>
        </w:tc>
      </w:tr>
      <w:tr w14:paraId="0E6BC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9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74FC59">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考核时间范围：           年     月      日  至       年    月     日</w:t>
            </w:r>
          </w:p>
        </w:tc>
      </w:tr>
      <w:tr w14:paraId="3A77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9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C0CDC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考核结果：</w:t>
            </w:r>
          </w:p>
          <w:p w14:paraId="4A343AD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p>
          <w:p w14:paraId="73879B3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考核人签名：                                           年    月    日</w:t>
            </w:r>
          </w:p>
        </w:tc>
      </w:tr>
      <w:tr w14:paraId="27EDF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9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D284D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考核标准：</w:t>
            </w:r>
          </w:p>
          <w:p w14:paraId="1457D661">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1)考核部门：临床科室和设备科；</w:t>
            </w:r>
          </w:p>
          <w:p w14:paraId="5FC67D6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2)每半年度对乙方进行考核，一年内合计考核二次；</w:t>
            </w:r>
          </w:p>
          <w:p w14:paraId="40C8774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考核总分90分达标，总分在90分以上共同找出问题进行整改，每次总分90分以下（不含）扣除每个考核周期应付款的2%，扣款金额在下一期付款的金额中扣除。累计三次总分低于90分（不含）的，医院有权解除合同。</w:t>
            </w:r>
          </w:p>
          <w:p w14:paraId="658F88C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 xml:space="preserve"> 4）接采购人通知要求，未按时到达现场进行维修，扣除1000元/次。未按规定时间节点内完成保养工作，扣除2000元次，维修或维护未进行留底影像的扣除2000元/次，未完成当月巡检，扣除1000元/次。</w:t>
            </w:r>
          </w:p>
        </w:tc>
      </w:tr>
    </w:tbl>
    <w:p w14:paraId="1A6EFBB2">
      <w:pPr>
        <w:spacing w:line="440" w:lineRule="exact"/>
        <w:rPr>
          <w:rFonts w:hint="eastAsia" w:asciiTheme="minorEastAsia" w:hAnsiTheme="minorEastAsia" w:eastAsiaTheme="minorEastAsia" w:cstheme="minorEastAsia"/>
          <w:color w:val="auto"/>
          <w:sz w:val="24"/>
          <w:highlight w:val="none"/>
          <w:lang w:val="en-US" w:eastAsia="zh-CN"/>
        </w:rPr>
        <w:sectPr>
          <w:pgSz w:w="11906" w:h="16838"/>
          <w:pgMar w:top="1247" w:right="1417" w:bottom="1247" w:left="1417" w:header="851" w:footer="992" w:gutter="0"/>
          <w:pgBorders>
            <w:top w:val="none" w:sz="0" w:space="0"/>
            <w:left w:val="none" w:sz="0" w:space="0"/>
            <w:bottom w:val="none" w:sz="0" w:space="0"/>
            <w:right w:val="none" w:sz="0" w:space="0"/>
          </w:pgBorders>
          <w:pgNumType w:start="2"/>
          <w:cols w:space="0" w:num="1"/>
          <w:docGrid w:linePitch="312" w:charSpace="0"/>
        </w:sectPr>
      </w:pPr>
    </w:p>
    <w:p w14:paraId="7D92AC2E">
      <w:pPr>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16" w:name="_Toc184313270"/>
      <w:bookmarkEnd w:id="16"/>
      <w:bookmarkStart w:id="17" w:name="_Toc184308065"/>
      <w:bookmarkEnd w:id="17"/>
      <w:bookmarkStart w:id="18" w:name="_Toc184312126"/>
      <w:bookmarkEnd w:id="18"/>
      <w:bookmarkStart w:id="19" w:name="_Toc184313243"/>
      <w:bookmarkEnd w:id="19"/>
      <w:bookmarkStart w:id="20" w:name="_Toc184314458"/>
      <w:bookmarkEnd w:id="20"/>
      <w:bookmarkStart w:id="21" w:name="_Toc184313276"/>
      <w:bookmarkEnd w:id="21"/>
      <w:bookmarkStart w:id="22" w:name="_Toc184314410"/>
      <w:bookmarkEnd w:id="22"/>
      <w:bookmarkStart w:id="23" w:name="_Toc184313240"/>
      <w:bookmarkEnd w:id="23"/>
      <w:bookmarkStart w:id="24" w:name="_Toc184312093"/>
      <w:bookmarkEnd w:id="24"/>
      <w:bookmarkStart w:id="25" w:name="_Toc184308081"/>
      <w:bookmarkEnd w:id="25"/>
      <w:bookmarkStart w:id="26" w:name="_Toc184308067"/>
      <w:bookmarkEnd w:id="26"/>
      <w:bookmarkStart w:id="27" w:name="_Toc184313256"/>
      <w:bookmarkEnd w:id="27"/>
      <w:bookmarkStart w:id="28" w:name="_Toc184312082"/>
      <w:bookmarkEnd w:id="28"/>
      <w:bookmarkStart w:id="29" w:name="_Toc184308056"/>
      <w:bookmarkEnd w:id="29"/>
      <w:bookmarkStart w:id="30" w:name="_Toc184312095"/>
      <w:bookmarkEnd w:id="30"/>
      <w:bookmarkStart w:id="31" w:name="_Toc184313269"/>
      <w:bookmarkEnd w:id="31"/>
      <w:bookmarkStart w:id="32" w:name="_Toc184312080"/>
      <w:bookmarkEnd w:id="32"/>
      <w:bookmarkStart w:id="33" w:name="_Toc184310292"/>
      <w:bookmarkEnd w:id="33"/>
      <w:bookmarkStart w:id="34" w:name="_Toc184308042"/>
      <w:bookmarkEnd w:id="34"/>
      <w:bookmarkStart w:id="35" w:name="_Toc184308089"/>
      <w:bookmarkEnd w:id="35"/>
      <w:bookmarkStart w:id="36" w:name="_Toc184313302"/>
      <w:bookmarkEnd w:id="36"/>
      <w:bookmarkStart w:id="37" w:name="_Toc184313283"/>
      <w:bookmarkEnd w:id="37"/>
      <w:bookmarkStart w:id="38" w:name="_Toc184310300"/>
      <w:bookmarkEnd w:id="38"/>
      <w:bookmarkStart w:id="39" w:name="_Toc184314477"/>
      <w:bookmarkEnd w:id="39"/>
      <w:bookmarkStart w:id="40" w:name="_Toc184312086"/>
      <w:bookmarkEnd w:id="40"/>
      <w:bookmarkStart w:id="41" w:name="_Toc184308037"/>
      <w:bookmarkEnd w:id="41"/>
      <w:bookmarkStart w:id="42" w:name="_Toc184312110"/>
      <w:bookmarkEnd w:id="42"/>
      <w:bookmarkStart w:id="43" w:name="_Toc184312119"/>
      <w:bookmarkEnd w:id="43"/>
      <w:bookmarkStart w:id="44" w:name="_Toc184308070"/>
      <w:bookmarkEnd w:id="44"/>
      <w:bookmarkStart w:id="45" w:name="_Toc184308075"/>
      <w:bookmarkEnd w:id="45"/>
      <w:bookmarkStart w:id="46" w:name="_Toc184310303"/>
      <w:bookmarkEnd w:id="46"/>
      <w:bookmarkStart w:id="47" w:name="_Toc184312081"/>
      <w:bookmarkEnd w:id="47"/>
      <w:bookmarkStart w:id="48" w:name="_Toc184314454"/>
      <w:bookmarkEnd w:id="48"/>
      <w:bookmarkStart w:id="49" w:name="_Toc184308059"/>
      <w:bookmarkEnd w:id="49"/>
      <w:bookmarkStart w:id="50" w:name="_Toc184313298"/>
      <w:bookmarkEnd w:id="50"/>
      <w:bookmarkStart w:id="51" w:name="_Toc184308100"/>
      <w:bookmarkEnd w:id="51"/>
      <w:bookmarkStart w:id="52" w:name="_Toc184314445"/>
      <w:bookmarkEnd w:id="52"/>
      <w:bookmarkStart w:id="53" w:name="_Toc184308087"/>
      <w:bookmarkEnd w:id="53"/>
      <w:bookmarkStart w:id="54" w:name="_Toc184308048"/>
      <w:bookmarkEnd w:id="54"/>
      <w:bookmarkStart w:id="55" w:name="_Toc184314466"/>
      <w:bookmarkEnd w:id="55"/>
      <w:bookmarkStart w:id="56" w:name="_Toc184314457"/>
      <w:bookmarkEnd w:id="56"/>
      <w:bookmarkStart w:id="57" w:name="_Toc184313251"/>
      <w:bookmarkEnd w:id="57"/>
      <w:bookmarkStart w:id="58" w:name="_Toc184310291"/>
      <w:bookmarkEnd w:id="58"/>
      <w:bookmarkStart w:id="59" w:name="_Toc184312133"/>
      <w:bookmarkEnd w:id="59"/>
      <w:bookmarkStart w:id="60" w:name="_Toc184310285"/>
      <w:bookmarkEnd w:id="60"/>
      <w:bookmarkStart w:id="61" w:name="_Toc184308038"/>
      <w:bookmarkEnd w:id="61"/>
      <w:bookmarkStart w:id="62" w:name="_Toc184314481"/>
      <w:bookmarkEnd w:id="62"/>
      <w:bookmarkStart w:id="63" w:name="_Toc184310299"/>
      <w:bookmarkEnd w:id="63"/>
      <w:bookmarkStart w:id="64" w:name="_Toc184314451"/>
      <w:bookmarkEnd w:id="64"/>
      <w:bookmarkStart w:id="65" w:name="_Toc184308101"/>
      <w:bookmarkEnd w:id="65"/>
      <w:bookmarkStart w:id="66" w:name="_Toc184312124"/>
      <w:bookmarkEnd w:id="66"/>
      <w:bookmarkStart w:id="67" w:name="_Toc184314461"/>
      <w:bookmarkEnd w:id="67"/>
      <w:bookmarkStart w:id="68" w:name="_Toc184308071"/>
      <w:bookmarkEnd w:id="68"/>
      <w:bookmarkStart w:id="69" w:name="_Toc184312131"/>
      <w:bookmarkEnd w:id="69"/>
      <w:bookmarkStart w:id="70" w:name="_Toc184312094"/>
      <w:bookmarkEnd w:id="70"/>
      <w:bookmarkStart w:id="71" w:name="_Toc184314430"/>
      <w:bookmarkEnd w:id="71"/>
      <w:bookmarkStart w:id="72" w:name="_Toc184310338"/>
      <w:bookmarkEnd w:id="72"/>
      <w:bookmarkStart w:id="73" w:name="_Toc184312108"/>
      <w:bookmarkEnd w:id="73"/>
      <w:bookmarkStart w:id="74" w:name="_Toc184312104"/>
      <w:bookmarkEnd w:id="74"/>
      <w:bookmarkStart w:id="75" w:name="_Toc184310342"/>
      <w:bookmarkEnd w:id="75"/>
      <w:bookmarkStart w:id="76" w:name="_Toc184308061"/>
      <w:bookmarkEnd w:id="76"/>
      <w:bookmarkStart w:id="77" w:name="_Toc184314436"/>
      <w:bookmarkEnd w:id="77"/>
      <w:bookmarkStart w:id="78" w:name="_Toc184312118"/>
      <w:bookmarkEnd w:id="78"/>
      <w:bookmarkStart w:id="79" w:name="_Toc184310278"/>
      <w:bookmarkEnd w:id="79"/>
      <w:bookmarkStart w:id="80" w:name="_Toc184313280"/>
      <w:bookmarkEnd w:id="80"/>
      <w:bookmarkStart w:id="81" w:name="_Toc184313288"/>
      <w:bookmarkEnd w:id="81"/>
      <w:bookmarkStart w:id="82" w:name="_Toc184314432"/>
      <w:bookmarkEnd w:id="82"/>
      <w:bookmarkStart w:id="83" w:name="_Toc184310326"/>
      <w:bookmarkEnd w:id="83"/>
      <w:bookmarkStart w:id="84" w:name="_Toc184313268"/>
      <w:bookmarkEnd w:id="84"/>
      <w:bookmarkStart w:id="85" w:name="_Toc184313258"/>
      <w:bookmarkEnd w:id="85"/>
      <w:bookmarkStart w:id="86" w:name="_Toc184310339"/>
      <w:bookmarkEnd w:id="86"/>
      <w:bookmarkStart w:id="87" w:name="_Toc184308088"/>
      <w:bookmarkEnd w:id="87"/>
      <w:bookmarkStart w:id="88" w:name="_Toc184314467"/>
      <w:bookmarkEnd w:id="88"/>
      <w:bookmarkStart w:id="89" w:name="_Toc184313259"/>
      <w:bookmarkEnd w:id="89"/>
      <w:bookmarkStart w:id="90" w:name="_Toc184312078"/>
      <w:bookmarkEnd w:id="90"/>
      <w:bookmarkStart w:id="91" w:name="_Toc184312105"/>
      <w:bookmarkEnd w:id="91"/>
      <w:bookmarkStart w:id="92" w:name="_Toc184314423"/>
      <w:bookmarkEnd w:id="92"/>
      <w:bookmarkStart w:id="93" w:name="_Toc184313264"/>
      <w:bookmarkEnd w:id="93"/>
      <w:bookmarkStart w:id="94" w:name="_Toc184314425"/>
      <w:bookmarkEnd w:id="94"/>
      <w:bookmarkStart w:id="95" w:name="_Toc184308072"/>
      <w:bookmarkEnd w:id="95"/>
      <w:bookmarkStart w:id="96" w:name="_Toc184312121"/>
      <w:bookmarkEnd w:id="96"/>
      <w:bookmarkStart w:id="97" w:name="_Toc184314450"/>
      <w:bookmarkEnd w:id="97"/>
      <w:bookmarkStart w:id="98" w:name="_Toc184312075"/>
      <w:bookmarkEnd w:id="98"/>
      <w:bookmarkStart w:id="99" w:name="_Toc184314470"/>
      <w:bookmarkEnd w:id="99"/>
      <w:bookmarkStart w:id="100" w:name="_Toc184308085"/>
      <w:bookmarkEnd w:id="100"/>
      <w:bookmarkStart w:id="101" w:name="_Toc184310311"/>
      <w:bookmarkEnd w:id="101"/>
      <w:bookmarkStart w:id="102" w:name="_Toc184310343"/>
      <w:bookmarkEnd w:id="102"/>
      <w:bookmarkStart w:id="103" w:name="_Toc184314471"/>
      <w:bookmarkEnd w:id="103"/>
      <w:bookmarkStart w:id="104" w:name="_Toc184313306"/>
      <w:bookmarkEnd w:id="104"/>
      <w:bookmarkStart w:id="105" w:name="_Toc184313248"/>
      <w:bookmarkEnd w:id="105"/>
      <w:bookmarkStart w:id="106" w:name="_Toc184312096"/>
      <w:bookmarkEnd w:id="106"/>
      <w:bookmarkStart w:id="107" w:name="_Toc184313293"/>
      <w:bookmarkEnd w:id="107"/>
      <w:bookmarkStart w:id="108" w:name="_Toc184312072"/>
      <w:bookmarkEnd w:id="108"/>
      <w:bookmarkStart w:id="109" w:name="_Toc184310331"/>
      <w:bookmarkEnd w:id="109"/>
      <w:bookmarkStart w:id="110" w:name="_Toc184308055"/>
      <w:bookmarkEnd w:id="110"/>
      <w:bookmarkStart w:id="111" w:name="_Toc184314456"/>
      <w:bookmarkEnd w:id="111"/>
      <w:bookmarkStart w:id="112" w:name="_Toc184314472"/>
      <w:bookmarkEnd w:id="112"/>
      <w:bookmarkStart w:id="113" w:name="_Toc184312085"/>
      <w:bookmarkEnd w:id="113"/>
      <w:bookmarkStart w:id="114" w:name="_Toc184312137"/>
      <w:bookmarkEnd w:id="114"/>
      <w:bookmarkStart w:id="115" w:name="_Toc184308102"/>
      <w:bookmarkEnd w:id="115"/>
      <w:bookmarkStart w:id="116" w:name="_Toc184313286"/>
      <w:bookmarkEnd w:id="116"/>
      <w:bookmarkStart w:id="117" w:name="_Toc184313241"/>
      <w:bookmarkEnd w:id="117"/>
      <w:bookmarkStart w:id="118" w:name="_Toc184310336"/>
      <w:bookmarkEnd w:id="118"/>
      <w:bookmarkStart w:id="119" w:name="_Toc184312079"/>
      <w:bookmarkEnd w:id="119"/>
      <w:bookmarkStart w:id="120" w:name="_Toc184308082"/>
      <w:bookmarkEnd w:id="120"/>
      <w:bookmarkStart w:id="121" w:name="_Toc184314478"/>
      <w:bookmarkEnd w:id="121"/>
      <w:bookmarkStart w:id="122" w:name="_Toc184312071"/>
      <w:bookmarkEnd w:id="122"/>
      <w:bookmarkStart w:id="123" w:name="_Toc184310334"/>
      <w:bookmarkEnd w:id="123"/>
      <w:bookmarkStart w:id="124" w:name="_Toc184308041"/>
      <w:bookmarkEnd w:id="124"/>
      <w:bookmarkStart w:id="125" w:name="_Toc184308069"/>
      <w:bookmarkEnd w:id="125"/>
      <w:bookmarkStart w:id="126" w:name="_Toc184313244"/>
      <w:bookmarkEnd w:id="126"/>
      <w:bookmarkStart w:id="127" w:name="_Toc184308036"/>
      <w:bookmarkEnd w:id="127"/>
      <w:bookmarkStart w:id="128" w:name="_Toc184312128"/>
      <w:bookmarkEnd w:id="128"/>
      <w:bookmarkStart w:id="129" w:name="_Toc184310304"/>
      <w:bookmarkEnd w:id="129"/>
      <w:bookmarkStart w:id="130" w:name="_Toc184310328"/>
      <w:bookmarkEnd w:id="130"/>
      <w:bookmarkStart w:id="131" w:name="_Toc184312067"/>
      <w:bookmarkEnd w:id="131"/>
      <w:bookmarkStart w:id="132" w:name="_Toc184308052"/>
      <w:bookmarkEnd w:id="132"/>
      <w:bookmarkStart w:id="133" w:name="_Toc184314413"/>
      <w:bookmarkEnd w:id="133"/>
      <w:bookmarkStart w:id="134" w:name="_Toc184310286"/>
      <w:bookmarkEnd w:id="134"/>
      <w:bookmarkStart w:id="135" w:name="_Toc184310296"/>
      <w:bookmarkEnd w:id="135"/>
      <w:bookmarkStart w:id="136" w:name="_Toc184308073"/>
      <w:bookmarkEnd w:id="136"/>
      <w:bookmarkStart w:id="137" w:name="_Toc184308090"/>
      <w:bookmarkEnd w:id="137"/>
      <w:bookmarkStart w:id="138" w:name="_Toc184310314"/>
      <w:bookmarkEnd w:id="138"/>
      <w:bookmarkStart w:id="139" w:name="_Toc184312090"/>
      <w:bookmarkEnd w:id="139"/>
      <w:bookmarkStart w:id="140" w:name="_Toc184313299"/>
      <w:bookmarkEnd w:id="140"/>
      <w:bookmarkStart w:id="141" w:name="_Toc184308046"/>
      <w:bookmarkEnd w:id="141"/>
      <w:bookmarkStart w:id="142" w:name="_Toc184313295"/>
      <w:bookmarkEnd w:id="142"/>
      <w:bookmarkStart w:id="143" w:name="_Toc184313260"/>
      <w:bookmarkEnd w:id="143"/>
      <w:bookmarkStart w:id="144" w:name="_Toc184313250"/>
      <w:bookmarkEnd w:id="144"/>
      <w:bookmarkStart w:id="145" w:name="_Toc184313300"/>
      <w:bookmarkEnd w:id="145"/>
      <w:bookmarkStart w:id="146" w:name="_Toc184312129"/>
      <w:bookmarkEnd w:id="146"/>
      <w:bookmarkStart w:id="147" w:name="_Toc184310281"/>
      <w:bookmarkEnd w:id="147"/>
      <w:bookmarkStart w:id="148" w:name="_Toc184308108"/>
      <w:bookmarkEnd w:id="148"/>
      <w:bookmarkStart w:id="149" w:name="_Toc184310310"/>
      <w:bookmarkEnd w:id="149"/>
      <w:bookmarkStart w:id="150" w:name="_Toc184308092"/>
      <w:bookmarkEnd w:id="150"/>
      <w:bookmarkStart w:id="151" w:name="_Toc184313294"/>
      <w:bookmarkEnd w:id="151"/>
      <w:bookmarkStart w:id="152" w:name="_Toc184312111"/>
      <w:bookmarkEnd w:id="152"/>
      <w:bookmarkStart w:id="153" w:name="_Toc184313278"/>
      <w:bookmarkEnd w:id="153"/>
      <w:bookmarkStart w:id="154" w:name="_Toc184312100"/>
      <w:bookmarkEnd w:id="154"/>
      <w:bookmarkStart w:id="155" w:name="_Toc184310298"/>
      <w:bookmarkEnd w:id="155"/>
      <w:bookmarkStart w:id="156" w:name="_Toc184314417"/>
      <w:bookmarkEnd w:id="156"/>
      <w:bookmarkStart w:id="157" w:name="_Toc184313271"/>
      <w:bookmarkEnd w:id="157"/>
      <w:bookmarkStart w:id="158" w:name="_Toc184308079"/>
      <w:bookmarkEnd w:id="158"/>
      <w:bookmarkStart w:id="159" w:name="_Toc184314414"/>
      <w:bookmarkEnd w:id="159"/>
      <w:bookmarkStart w:id="160" w:name="_Toc184312135"/>
      <w:bookmarkEnd w:id="160"/>
      <w:bookmarkStart w:id="161" w:name="_Toc184313296"/>
      <w:bookmarkEnd w:id="161"/>
      <w:bookmarkStart w:id="162" w:name="_Toc184313281"/>
      <w:bookmarkEnd w:id="162"/>
      <w:bookmarkStart w:id="163" w:name="_Toc184310341"/>
      <w:bookmarkEnd w:id="163"/>
      <w:bookmarkStart w:id="164" w:name="_Toc184308091"/>
      <w:bookmarkEnd w:id="164"/>
      <w:bookmarkStart w:id="165" w:name="_Toc184308084"/>
      <w:bookmarkEnd w:id="165"/>
      <w:bookmarkStart w:id="166" w:name="_Toc184310330"/>
      <w:bookmarkEnd w:id="166"/>
      <w:bookmarkStart w:id="167" w:name="_Toc184314465"/>
      <w:bookmarkEnd w:id="167"/>
      <w:bookmarkStart w:id="168" w:name="_Toc184312107"/>
      <w:bookmarkEnd w:id="168"/>
      <w:bookmarkStart w:id="169" w:name="_Toc184313261"/>
      <w:bookmarkEnd w:id="169"/>
      <w:bookmarkStart w:id="170" w:name="_Toc184314447"/>
      <w:bookmarkEnd w:id="170"/>
      <w:bookmarkStart w:id="171" w:name="_Toc184313252"/>
      <w:bookmarkEnd w:id="171"/>
      <w:bookmarkStart w:id="172" w:name="_Toc184313265"/>
      <w:bookmarkEnd w:id="172"/>
      <w:bookmarkStart w:id="173" w:name="_Toc184314480"/>
      <w:bookmarkEnd w:id="173"/>
      <w:bookmarkStart w:id="174" w:name="_Toc184313290"/>
      <w:bookmarkEnd w:id="174"/>
      <w:bookmarkStart w:id="175" w:name="_Toc184314476"/>
      <w:bookmarkEnd w:id="175"/>
      <w:bookmarkStart w:id="176" w:name="_Toc184312115"/>
      <w:bookmarkEnd w:id="176"/>
      <w:bookmarkStart w:id="177" w:name="_Toc184312070"/>
      <w:bookmarkEnd w:id="177"/>
      <w:bookmarkStart w:id="178" w:name="_Toc184314418"/>
      <w:bookmarkEnd w:id="178"/>
      <w:bookmarkStart w:id="179" w:name="_Toc184308049"/>
      <w:bookmarkEnd w:id="179"/>
      <w:bookmarkStart w:id="180" w:name="_Toc184313309"/>
      <w:bookmarkEnd w:id="180"/>
      <w:bookmarkStart w:id="181" w:name="_Toc184308074"/>
      <w:bookmarkEnd w:id="181"/>
      <w:bookmarkStart w:id="182" w:name="_Toc184310273"/>
      <w:bookmarkEnd w:id="182"/>
      <w:bookmarkStart w:id="183" w:name="_Toc184313303"/>
      <w:bookmarkEnd w:id="183"/>
      <w:bookmarkStart w:id="184" w:name="_Toc184314444"/>
      <w:bookmarkEnd w:id="184"/>
      <w:bookmarkStart w:id="185" w:name="_Toc184310289"/>
      <w:bookmarkEnd w:id="185"/>
      <w:bookmarkStart w:id="186" w:name="_Toc184310305"/>
      <w:bookmarkEnd w:id="186"/>
      <w:bookmarkStart w:id="187" w:name="_Toc184312092"/>
      <w:bookmarkEnd w:id="187"/>
      <w:bookmarkStart w:id="188" w:name="_Toc184310333"/>
      <w:bookmarkEnd w:id="188"/>
      <w:bookmarkStart w:id="189" w:name="_Toc184314427"/>
      <w:bookmarkEnd w:id="189"/>
      <w:bookmarkStart w:id="190" w:name="_Toc184313310"/>
      <w:bookmarkEnd w:id="190"/>
      <w:bookmarkStart w:id="191" w:name="_Toc184310308"/>
      <w:bookmarkEnd w:id="191"/>
      <w:bookmarkStart w:id="192" w:name="_Toc184308064"/>
      <w:bookmarkEnd w:id="192"/>
      <w:bookmarkStart w:id="193" w:name="_Toc184310344"/>
      <w:bookmarkEnd w:id="193"/>
      <w:bookmarkStart w:id="194" w:name="_Toc184314431"/>
      <w:bookmarkEnd w:id="194"/>
      <w:bookmarkStart w:id="195" w:name="_Toc184310335"/>
      <w:bookmarkEnd w:id="195"/>
      <w:bookmarkStart w:id="196" w:name="_Toc184308039"/>
      <w:bookmarkEnd w:id="196"/>
      <w:bookmarkStart w:id="197" w:name="_Toc184308095"/>
      <w:bookmarkEnd w:id="197"/>
      <w:bookmarkStart w:id="198" w:name="_Toc184310279"/>
      <w:bookmarkEnd w:id="198"/>
      <w:bookmarkStart w:id="199" w:name="_Toc184308051"/>
      <w:bookmarkEnd w:id="199"/>
      <w:bookmarkStart w:id="200" w:name="_Toc184308060"/>
      <w:bookmarkEnd w:id="200"/>
      <w:bookmarkStart w:id="201" w:name="_Toc184312109"/>
      <w:bookmarkEnd w:id="201"/>
      <w:bookmarkStart w:id="202" w:name="_Toc184312098"/>
      <w:bookmarkEnd w:id="202"/>
      <w:bookmarkStart w:id="203" w:name="_Toc184312136"/>
      <w:bookmarkEnd w:id="203"/>
      <w:bookmarkStart w:id="204" w:name="_Toc184314437"/>
      <w:bookmarkEnd w:id="204"/>
      <w:bookmarkStart w:id="205" w:name="_Toc184313263"/>
      <w:bookmarkEnd w:id="205"/>
      <w:bookmarkStart w:id="206" w:name="_Toc184313291"/>
      <w:bookmarkEnd w:id="206"/>
      <w:bookmarkStart w:id="207" w:name="_Toc184310309"/>
      <w:bookmarkEnd w:id="207"/>
      <w:bookmarkStart w:id="208" w:name="_Toc184313279"/>
      <w:bookmarkEnd w:id="208"/>
      <w:bookmarkStart w:id="209" w:name="_Toc184313308"/>
      <w:bookmarkEnd w:id="209"/>
      <w:bookmarkStart w:id="210" w:name="_Toc184308076"/>
      <w:bookmarkEnd w:id="210"/>
      <w:bookmarkStart w:id="211" w:name="_Toc184312132"/>
      <w:bookmarkEnd w:id="211"/>
      <w:bookmarkStart w:id="212" w:name="_Toc184310325"/>
      <w:bookmarkEnd w:id="212"/>
      <w:bookmarkStart w:id="213" w:name="_Toc184310321"/>
      <w:bookmarkEnd w:id="213"/>
      <w:bookmarkStart w:id="214" w:name="_Toc184312073"/>
      <w:bookmarkEnd w:id="214"/>
      <w:bookmarkStart w:id="215" w:name="_Toc184314422"/>
      <w:bookmarkEnd w:id="215"/>
      <w:bookmarkStart w:id="216" w:name="_Toc184312074"/>
      <w:bookmarkEnd w:id="216"/>
      <w:bookmarkStart w:id="217" w:name="_Toc184313239"/>
      <w:bookmarkEnd w:id="217"/>
      <w:bookmarkStart w:id="218" w:name="_Toc184308050"/>
      <w:bookmarkEnd w:id="218"/>
      <w:bookmarkStart w:id="219" w:name="_Toc184308068"/>
      <w:bookmarkEnd w:id="219"/>
      <w:bookmarkStart w:id="220" w:name="_Toc184313292"/>
      <w:bookmarkEnd w:id="220"/>
      <w:bookmarkStart w:id="221" w:name="_Toc184310272"/>
      <w:bookmarkEnd w:id="221"/>
      <w:bookmarkStart w:id="222" w:name="_Toc184314438"/>
      <w:bookmarkEnd w:id="222"/>
      <w:bookmarkStart w:id="223" w:name="_Toc184310302"/>
      <w:bookmarkEnd w:id="223"/>
      <w:bookmarkStart w:id="224" w:name="_Toc184312125"/>
      <w:bookmarkEnd w:id="224"/>
      <w:bookmarkStart w:id="225" w:name="_Toc184314428"/>
      <w:bookmarkEnd w:id="225"/>
      <w:bookmarkStart w:id="226" w:name="_Toc184313285"/>
      <w:bookmarkEnd w:id="226"/>
      <w:bookmarkStart w:id="227" w:name="_Toc184314448"/>
      <w:bookmarkEnd w:id="227"/>
      <w:bookmarkStart w:id="228" w:name="_Toc184312113"/>
      <w:bookmarkEnd w:id="228"/>
      <w:bookmarkStart w:id="229" w:name="_Toc184310276"/>
      <w:bookmarkEnd w:id="229"/>
      <w:bookmarkStart w:id="230" w:name="_Toc184310306"/>
      <w:bookmarkEnd w:id="230"/>
      <w:bookmarkStart w:id="231" w:name="_Toc184312069"/>
      <w:bookmarkEnd w:id="231"/>
      <w:bookmarkStart w:id="232" w:name="_Toc184308054"/>
      <w:bookmarkEnd w:id="232"/>
      <w:bookmarkStart w:id="233" w:name="_Toc184312103"/>
      <w:bookmarkEnd w:id="233"/>
      <w:bookmarkStart w:id="234" w:name="_Toc184314453"/>
      <w:bookmarkEnd w:id="234"/>
      <w:bookmarkStart w:id="235" w:name="_Toc184312097"/>
      <w:bookmarkEnd w:id="235"/>
      <w:bookmarkStart w:id="236" w:name="_Toc184313247"/>
      <w:bookmarkEnd w:id="236"/>
      <w:bookmarkStart w:id="237" w:name="_Toc184313242"/>
      <w:bookmarkEnd w:id="237"/>
      <w:bookmarkStart w:id="238" w:name="_Toc184314421"/>
      <w:bookmarkEnd w:id="238"/>
      <w:bookmarkStart w:id="239" w:name="_Toc184313245"/>
      <w:bookmarkEnd w:id="239"/>
      <w:bookmarkStart w:id="240" w:name="_Toc184310287"/>
      <w:bookmarkEnd w:id="240"/>
      <w:bookmarkStart w:id="241" w:name="_Toc184313257"/>
      <w:bookmarkEnd w:id="241"/>
      <w:bookmarkStart w:id="242" w:name="_Toc184314442"/>
      <w:bookmarkEnd w:id="242"/>
      <w:bookmarkStart w:id="243" w:name="_Toc184310340"/>
      <w:bookmarkEnd w:id="243"/>
      <w:bookmarkStart w:id="244" w:name="_Toc184312116"/>
      <w:bookmarkEnd w:id="244"/>
      <w:bookmarkStart w:id="245" w:name="_Toc184310294"/>
      <w:bookmarkEnd w:id="245"/>
      <w:bookmarkStart w:id="246" w:name="_Toc184314439"/>
      <w:bookmarkEnd w:id="246"/>
      <w:bookmarkStart w:id="247" w:name="_Toc184310332"/>
      <w:bookmarkEnd w:id="247"/>
      <w:bookmarkStart w:id="248" w:name="_Toc184313282"/>
      <w:bookmarkEnd w:id="248"/>
      <w:bookmarkStart w:id="249" w:name="_Toc184308083"/>
      <w:bookmarkEnd w:id="249"/>
      <w:bookmarkStart w:id="250" w:name="_Toc184314419"/>
      <w:bookmarkEnd w:id="250"/>
      <w:bookmarkStart w:id="251" w:name="_Toc184310284"/>
      <w:bookmarkEnd w:id="251"/>
      <w:bookmarkStart w:id="252" w:name="_Toc184312127"/>
      <w:bookmarkEnd w:id="252"/>
      <w:bookmarkStart w:id="253" w:name="_Toc184314429"/>
      <w:bookmarkEnd w:id="253"/>
      <w:bookmarkStart w:id="254" w:name="_Toc184314420"/>
      <w:bookmarkEnd w:id="254"/>
      <w:bookmarkStart w:id="255" w:name="_Toc184313272"/>
      <w:bookmarkEnd w:id="255"/>
      <w:bookmarkStart w:id="256" w:name="_Toc184312101"/>
      <w:bookmarkEnd w:id="256"/>
      <w:bookmarkStart w:id="257" w:name="_Toc184310327"/>
      <w:bookmarkEnd w:id="257"/>
      <w:bookmarkStart w:id="258" w:name="_Toc184313301"/>
      <w:bookmarkEnd w:id="258"/>
      <w:bookmarkStart w:id="259" w:name="_Toc184314455"/>
      <w:bookmarkEnd w:id="259"/>
      <w:bookmarkStart w:id="260" w:name="_Toc184310290"/>
      <w:bookmarkEnd w:id="260"/>
      <w:bookmarkStart w:id="261" w:name="_Toc184314434"/>
      <w:bookmarkEnd w:id="261"/>
      <w:bookmarkStart w:id="262" w:name="_Toc184308093"/>
      <w:bookmarkEnd w:id="262"/>
      <w:bookmarkStart w:id="263" w:name="_Toc184310317"/>
      <w:bookmarkEnd w:id="263"/>
      <w:bookmarkStart w:id="264" w:name="_Toc184314440"/>
      <w:bookmarkEnd w:id="264"/>
      <w:bookmarkStart w:id="265" w:name="_Toc184308080"/>
      <w:bookmarkEnd w:id="265"/>
      <w:bookmarkStart w:id="266" w:name="_Toc184308044"/>
      <w:bookmarkEnd w:id="266"/>
      <w:bookmarkStart w:id="267" w:name="_Toc184312122"/>
      <w:bookmarkEnd w:id="267"/>
      <w:bookmarkStart w:id="268" w:name="_Toc184308086"/>
      <w:bookmarkEnd w:id="268"/>
      <w:bookmarkStart w:id="269" w:name="_Toc184310295"/>
      <w:bookmarkEnd w:id="269"/>
      <w:bookmarkStart w:id="270" w:name="_Toc184310329"/>
      <w:bookmarkEnd w:id="270"/>
      <w:bookmarkStart w:id="271" w:name="_Toc184308104"/>
      <w:bookmarkEnd w:id="271"/>
      <w:bookmarkStart w:id="272" w:name="_Toc184310307"/>
      <w:bookmarkEnd w:id="272"/>
      <w:bookmarkStart w:id="273" w:name="_Toc184310275"/>
      <w:bookmarkEnd w:id="273"/>
      <w:bookmarkStart w:id="274" w:name="_Toc184310318"/>
      <w:bookmarkEnd w:id="274"/>
      <w:bookmarkStart w:id="275" w:name="_Toc184313275"/>
      <w:bookmarkEnd w:id="275"/>
      <w:bookmarkStart w:id="276" w:name="_Toc184310282"/>
      <w:bookmarkEnd w:id="276"/>
      <w:bookmarkStart w:id="277" w:name="_Toc184313273"/>
      <w:bookmarkEnd w:id="277"/>
      <w:bookmarkStart w:id="278" w:name="_Toc184310280"/>
      <w:bookmarkEnd w:id="278"/>
      <w:bookmarkStart w:id="279" w:name="_Toc184310313"/>
      <w:bookmarkEnd w:id="279"/>
      <w:bookmarkStart w:id="280" w:name="_Toc184308078"/>
      <w:bookmarkEnd w:id="280"/>
      <w:bookmarkStart w:id="281" w:name="_Toc184313284"/>
      <w:bookmarkEnd w:id="281"/>
      <w:bookmarkStart w:id="282" w:name="_Toc184312068"/>
      <w:bookmarkEnd w:id="282"/>
      <w:bookmarkStart w:id="283" w:name="_Toc184314415"/>
      <w:bookmarkEnd w:id="283"/>
      <w:bookmarkStart w:id="284" w:name="_Toc184313262"/>
      <w:bookmarkEnd w:id="284"/>
      <w:bookmarkStart w:id="285" w:name="_Toc184313266"/>
      <w:bookmarkEnd w:id="285"/>
      <w:bookmarkStart w:id="286" w:name="_Toc184312120"/>
      <w:bookmarkEnd w:id="286"/>
      <w:bookmarkStart w:id="287" w:name="_Toc184310316"/>
      <w:bookmarkEnd w:id="287"/>
      <w:bookmarkStart w:id="288" w:name="_Toc184313305"/>
      <w:bookmarkEnd w:id="288"/>
      <w:bookmarkStart w:id="289" w:name="_Toc184312089"/>
      <w:bookmarkEnd w:id="289"/>
      <w:bookmarkStart w:id="290" w:name="_Toc184312123"/>
      <w:bookmarkEnd w:id="290"/>
      <w:bookmarkStart w:id="291" w:name="_Toc184310323"/>
      <w:bookmarkEnd w:id="291"/>
      <w:bookmarkStart w:id="292" w:name="_Toc184314452"/>
      <w:bookmarkEnd w:id="292"/>
      <w:bookmarkStart w:id="293" w:name="_Toc184314441"/>
      <w:bookmarkEnd w:id="293"/>
      <w:bookmarkStart w:id="294" w:name="_Toc184308077"/>
      <w:bookmarkEnd w:id="294"/>
      <w:bookmarkStart w:id="295" w:name="_Toc184308097"/>
      <w:bookmarkEnd w:id="295"/>
      <w:bookmarkStart w:id="296" w:name="_Toc184314446"/>
      <w:bookmarkEnd w:id="296"/>
      <w:bookmarkStart w:id="297" w:name="_Toc184314463"/>
      <w:bookmarkEnd w:id="297"/>
      <w:bookmarkStart w:id="298" w:name="_Toc184314482"/>
      <w:bookmarkEnd w:id="298"/>
      <w:bookmarkStart w:id="299" w:name="_Toc184308057"/>
      <w:bookmarkEnd w:id="299"/>
      <w:bookmarkStart w:id="300" w:name="_Toc184312114"/>
      <w:bookmarkEnd w:id="300"/>
      <w:bookmarkStart w:id="301" w:name="_Toc184310337"/>
      <w:bookmarkEnd w:id="301"/>
      <w:bookmarkStart w:id="302" w:name="_Toc184314435"/>
      <w:bookmarkEnd w:id="302"/>
      <w:bookmarkStart w:id="303" w:name="_Toc184314449"/>
      <w:bookmarkEnd w:id="303"/>
      <w:bookmarkStart w:id="304" w:name="_Toc184312076"/>
      <w:bookmarkEnd w:id="304"/>
      <w:bookmarkStart w:id="305" w:name="_Toc184308047"/>
      <w:bookmarkEnd w:id="305"/>
      <w:bookmarkStart w:id="306" w:name="_Toc184312077"/>
      <w:bookmarkEnd w:id="306"/>
      <w:bookmarkStart w:id="307" w:name="_Toc184314416"/>
      <w:bookmarkEnd w:id="307"/>
      <w:bookmarkStart w:id="308" w:name="_Toc184308099"/>
      <w:bookmarkEnd w:id="308"/>
      <w:bookmarkStart w:id="309" w:name="_Toc184314424"/>
      <w:bookmarkEnd w:id="309"/>
      <w:bookmarkStart w:id="310" w:name="_Toc184313254"/>
      <w:bookmarkEnd w:id="310"/>
      <w:bookmarkStart w:id="311" w:name="_Toc184310301"/>
      <w:bookmarkEnd w:id="311"/>
      <w:bookmarkStart w:id="312" w:name="_Toc184313304"/>
      <w:bookmarkEnd w:id="312"/>
      <w:bookmarkStart w:id="313" w:name="_Toc184308106"/>
      <w:bookmarkEnd w:id="313"/>
      <w:bookmarkStart w:id="314" w:name="_Toc184314412"/>
      <w:bookmarkEnd w:id="314"/>
      <w:bookmarkStart w:id="315" w:name="_Toc184310283"/>
      <w:bookmarkEnd w:id="315"/>
      <w:bookmarkStart w:id="316" w:name="_Toc184314468"/>
      <w:bookmarkEnd w:id="316"/>
      <w:bookmarkStart w:id="317" w:name="_Toc184312099"/>
      <w:bookmarkEnd w:id="317"/>
      <w:bookmarkStart w:id="318" w:name="_Toc184312083"/>
      <w:bookmarkEnd w:id="318"/>
      <w:bookmarkStart w:id="319" w:name="_Toc184314474"/>
      <w:bookmarkEnd w:id="319"/>
      <w:bookmarkStart w:id="320" w:name="_Toc184314443"/>
      <w:bookmarkEnd w:id="320"/>
      <w:bookmarkStart w:id="321" w:name="_Toc184312130"/>
      <w:bookmarkEnd w:id="321"/>
      <w:bookmarkStart w:id="322" w:name="_Toc184310315"/>
      <w:bookmarkEnd w:id="322"/>
      <w:bookmarkStart w:id="323" w:name="_Toc184310293"/>
      <w:bookmarkEnd w:id="323"/>
      <w:bookmarkStart w:id="324" w:name="_Toc184308058"/>
      <w:bookmarkEnd w:id="324"/>
      <w:bookmarkStart w:id="325" w:name="_Toc184314475"/>
      <w:bookmarkEnd w:id="325"/>
      <w:bookmarkStart w:id="326" w:name="_Toc184313297"/>
      <w:bookmarkEnd w:id="326"/>
      <w:bookmarkStart w:id="327" w:name="_Toc184313277"/>
      <w:bookmarkEnd w:id="327"/>
      <w:bookmarkStart w:id="328" w:name="_Toc184312106"/>
      <w:bookmarkEnd w:id="328"/>
      <w:bookmarkStart w:id="329" w:name="_Toc184308107"/>
      <w:bookmarkEnd w:id="329"/>
      <w:bookmarkStart w:id="330" w:name="_Toc184313253"/>
      <w:bookmarkEnd w:id="330"/>
      <w:bookmarkStart w:id="331" w:name="_Toc184310322"/>
      <w:bookmarkEnd w:id="331"/>
      <w:bookmarkStart w:id="332" w:name="_Toc184308045"/>
      <w:bookmarkEnd w:id="332"/>
      <w:bookmarkStart w:id="333" w:name="_Toc184312088"/>
      <w:bookmarkEnd w:id="333"/>
      <w:bookmarkStart w:id="334" w:name="_Toc184308063"/>
      <w:bookmarkEnd w:id="334"/>
      <w:bookmarkStart w:id="335" w:name="_Toc184310288"/>
      <w:bookmarkEnd w:id="335"/>
      <w:bookmarkStart w:id="336" w:name="_Toc184313267"/>
      <w:bookmarkEnd w:id="336"/>
      <w:bookmarkStart w:id="337" w:name="_Toc184314464"/>
      <w:bookmarkEnd w:id="337"/>
      <w:bookmarkStart w:id="338" w:name="_Toc184313274"/>
      <w:bookmarkEnd w:id="338"/>
      <w:bookmarkStart w:id="339" w:name="_Toc184310312"/>
      <w:bookmarkEnd w:id="339"/>
      <w:bookmarkStart w:id="340" w:name="_Toc184312117"/>
      <w:bookmarkEnd w:id="340"/>
      <w:bookmarkStart w:id="341" w:name="_Toc184308043"/>
      <w:bookmarkEnd w:id="341"/>
      <w:bookmarkStart w:id="342" w:name="_Toc184313255"/>
      <w:bookmarkEnd w:id="342"/>
      <w:bookmarkStart w:id="343" w:name="_Toc184310277"/>
      <w:bookmarkEnd w:id="343"/>
      <w:bookmarkStart w:id="344" w:name="_Toc184314473"/>
      <w:bookmarkEnd w:id="344"/>
      <w:bookmarkStart w:id="345" w:name="_Toc184312087"/>
      <w:bookmarkEnd w:id="345"/>
      <w:bookmarkStart w:id="346" w:name="_Toc184310324"/>
      <w:bookmarkEnd w:id="346"/>
      <w:bookmarkStart w:id="347" w:name="_Toc184312084"/>
      <w:bookmarkEnd w:id="347"/>
      <w:bookmarkStart w:id="348" w:name="_Toc184308040"/>
      <w:bookmarkEnd w:id="348"/>
      <w:bookmarkStart w:id="349" w:name="_Toc184314460"/>
      <w:bookmarkEnd w:id="349"/>
      <w:bookmarkStart w:id="350" w:name="_Toc184312091"/>
      <w:bookmarkEnd w:id="350"/>
      <w:bookmarkStart w:id="351" w:name="_Toc184314426"/>
      <w:bookmarkEnd w:id="351"/>
      <w:bookmarkStart w:id="352" w:name="_Toc184314479"/>
      <w:bookmarkEnd w:id="352"/>
      <w:bookmarkStart w:id="353" w:name="_Toc184314462"/>
      <w:bookmarkEnd w:id="353"/>
      <w:bookmarkStart w:id="354" w:name="_Toc184308096"/>
      <w:bookmarkEnd w:id="354"/>
      <w:bookmarkStart w:id="355" w:name="_Toc184312138"/>
      <w:bookmarkEnd w:id="355"/>
      <w:bookmarkStart w:id="356" w:name="_Toc184310320"/>
      <w:bookmarkEnd w:id="356"/>
      <w:bookmarkStart w:id="357" w:name="_Toc184308066"/>
      <w:bookmarkEnd w:id="357"/>
      <w:bookmarkStart w:id="358" w:name="_Toc184314411"/>
      <w:bookmarkEnd w:id="358"/>
      <w:bookmarkStart w:id="359" w:name="_Toc184312139"/>
      <w:bookmarkEnd w:id="359"/>
      <w:bookmarkStart w:id="360" w:name="_Toc184308105"/>
      <w:bookmarkEnd w:id="360"/>
      <w:bookmarkStart w:id="361" w:name="_Toc184314459"/>
      <w:bookmarkEnd w:id="361"/>
      <w:bookmarkStart w:id="362" w:name="_Toc184313238"/>
      <w:bookmarkEnd w:id="362"/>
      <w:bookmarkStart w:id="363" w:name="_Toc184313307"/>
      <w:bookmarkEnd w:id="363"/>
      <w:bookmarkStart w:id="364" w:name="_Toc184313287"/>
      <w:bookmarkEnd w:id="364"/>
      <w:bookmarkStart w:id="365" w:name="_Toc184308053"/>
      <w:bookmarkEnd w:id="365"/>
      <w:bookmarkStart w:id="366" w:name="_Toc184308094"/>
      <w:bookmarkEnd w:id="366"/>
      <w:bookmarkStart w:id="367" w:name="_Toc184313289"/>
      <w:bookmarkEnd w:id="367"/>
      <w:bookmarkStart w:id="368" w:name="_Toc184313249"/>
      <w:bookmarkEnd w:id="368"/>
      <w:bookmarkStart w:id="369" w:name="_Toc184308098"/>
      <w:bookmarkEnd w:id="369"/>
      <w:bookmarkStart w:id="370" w:name="_Toc184313246"/>
      <w:bookmarkEnd w:id="370"/>
      <w:bookmarkStart w:id="371" w:name="_Toc184312102"/>
      <w:bookmarkEnd w:id="371"/>
      <w:bookmarkStart w:id="372" w:name="_Toc184314469"/>
      <w:bookmarkEnd w:id="372"/>
      <w:bookmarkStart w:id="373" w:name="_Toc184310319"/>
      <w:bookmarkEnd w:id="373"/>
      <w:bookmarkStart w:id="374" w:name="_Toc184308103"/>
      <w:bookmarkEnd w:id="374"/>
      <w:bookmarkStart w:id="375" w:name="_Toc184312112"/>
      <w:bookmarkEnd w:id="375"/>
      <w:bookmarkStart w:id="376" w:name="_Toc184312134"/>
      <w:bookmarkEnd w:id="376"/>
      <w:bookmarkStart w:id="377" w:name="_Toc184310297"/>
      <w:bookmarkEnd w:id="377"/>
      <w:bookmarkStart w:id="378" w:name="_Toc184314433"/>
      <w:bookmarkEnd w:id="378"/>
      <w:bookmarkStart w:id="379" w:name="_Toc184308062"/>
      <w:bookmarkEnd w:id="379"/>
      <w:bookmarkStart w:id="380" w:name="_Toc184310274"/>
      <w:bookmarkEnd w:id="380"/>
      <w:r>
        <w:rPr>
          <w:rFonts w:hint="eastAsia" w:asciiTheme="minorEastAsia" w:hAnsiTheme="minorEastAsia" w:eastAsiaTheme="minorEastAsia" w:cstheme="minorEastAsia"/>
          <w:b/>
          <w:color w:val="auto"/>
          <w:sz w:val="36"/>
          <w:szCs w:val="36"/>
          <w:highlight w:val="none"/>
        </w:rPr>
        <w:t>交易办法</w:t>
      </w:r>
    </w:p>
    <w:p w14:paraId="7EE458F8">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交易办法前附表</w:t>
      </w:r>
    </w:p>
    <w:p w14:paraId="6C1F8667">
      <w:pPr>
        <w:widowControl/>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1、商务技术部分（</w:t>
      </w:r>
      <w:r>
        <w:rPr>
          <w:rFonts w:hint="eastAsia" w:asciiTheme="minorEastAsia" w:hAnsiTheme="minorEastAsia" w:eastAsiaTheme="minorEastAsia" w:cstheme="minorEastAsia"/>
          <w:b/>
          <w:bCs/>
          <w:color w:val="auto"/>
          <w:sz w:val="24"/>
          <w:highlight w:val="none"/>
          <w:lang w:val="en-US" w:eastAsia="zh-CN"/>
        </w:rPr>
        <w:t>85</w:t>
      </w:r>
      <w:r>
        <w:rPr>
          <w:rFonts w:hint="eastAsia" w:asciiTheme="minorEastAsia" w:hAnsiTheme="minorEastAsia" w:eastAsiaTheme="minorEastAsia" w:cstheme="minorEastAsia"/>
          <w:b/>
          <w:bCs/>
          <w:color w:val="auto"/>
          <w:sz w:val="24"/>
          <w:highlight w:val="none"/>
        </w:rPr>
        <w:t>分）：</w:t>
      </w:r>
    </w:p>
    <w:tbl>
      <w:tblPr>
        <w:tblStyle w:val="6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6053"/>
        <w:gridCol w:w="1021"/>
        <w:gridCol w:w="1083"/>
      </w:tblGrid>
      <w:tr w14:paraId="1D94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9" w:type="dxa"/>
            <w:vAlign w:val="center"/>
          </w:tcPr>
          <w:p w14:paraId="5777E4FF">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053" w:type="dxa"/>
            <w:vAlign w:val="center"/>
          </w:tcPr>
          <w:p w14:paraId="4CE557EE">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1021" w:type="dxa"/>
            <w:vAlign w:val="center"/>
          </w:tcPr>
          <w:p w14:paraId="75ABE2E2">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1083" w:type="dxa"/>
            <w:vAlign w:val="center"/>
          </w:tcPr>
          <w:p w14:paraId="5368B7C4">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主客观分</w:t>
            </w:r>
          </w:p>
        </w:tc>
      </w:tr>
      <w:tr w14:paraId="1999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7AED3A88">
            <w:pPr>
              <w:pStyle w:val="88"/>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053" w:type="dxa"/>
            <w:vAlign w:val="center"/>
          </w:tcPr>
          <w:p w14:paraId="65649FF3">
            <w:pPr>
              <w:keepNext w:val="0"/>
              <w:keepLines w:val="0"/>
              <w:pageBreakBefore w:val="0"/>
              <w:kinsoku/>
              <w:wordWrap/>
              <w:overflowPunct/>
              <w:topLinePunct w:val="0"/>
              <w:autoSpaceDE/>
              <w:autoSpaceDN/>
              <w:bidi w:val="0"/>
              <w:snapToGrid/>
              <w:spacing w:after="0"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eastAsia="zh-CN"/>
              </w:rPr>
              <w:t>：</w:t>
            </w:r>
          </w:p>
          <w:p w14:paraId="683EDC37">
            <w:pPr>
              <w:keepNext w:val="0"/>
              <w:keepLines w:val="0"/>
              <w:pageBreakBefore w:val="0"/>
              <w:kinsoku/>
              <w:wordWrap/>
              <w:overflowPunct/>
              <w:topLinePunct w:val="0"/>
              <w:autoSpaceDE/>
              <w:autoSpaceDN/>
              <w:bidi w:val="0"/>
              <w:snapToGrid/>
              <w:spacing w:after="0" w:line="400" w:lineRule="exact"/>
              <w:textAlignment w:val="auto"/>
              <w:rPr>
                <w:rFonts w:hint="eastAsia" w:ascii="宋体" w:hAnsi="宋体" w:eastAsia="宋体" w:cs="宋体"/>
                <w:color w:val="auto"/>
                <w:sz w:val="24"/>
                <w:szCs w:val="24"/>
                <w:highlight w:val="none"/>
              </w:rPr>
            </w:pPr>
            <w:r>
              <w:rPr>
                <w:rStyle w:val="974"/>
                <w:rFonts w:hint="eastAsia" w:ascii="宋体" w:hAnsi="宋体" w:eastAsia="宋体" w:cs="宋体"/>
                <w:color w:val="auto"/>
                <w:sz w:val="24"/>
                <w:szCs w:val="24"/>
                <w:highlight w:val="none"/>
              </w:rPr>
              <w:t>提供签订合同时间为20</w:t>
            </w:r>
            <w:r>
              <w:rPr>
                <w:rStyle w:val="974"/>
                <w:rFonts w:hint="eastAsia" w:ascii="宋体" w:hAnsi="宋体" w:eastAsia="宋体" w:cs="宋体"/>
                <w:color w:val="auto"/>
                <w:sz w:val="24"/>
                <w:szCs w:val="24"/>
                <w:highlight w:val="none"/>
                <w:lang w:val="en-US"/>
              </w:rPr>
              <w:t>22</w:t>
            </w:r>
            <w:r>
              <w:rPr>
                <w:rStyle w:val="974"/>
                <w:rFonts w:hint="eastAsia" w:ascii="宋体" w:hAnsi="宋体" w:eastAsia="宋体" w:cs="宋体"/>
                <w:color w:val="auto"/>
                <w:sz w:val="24"/>
                <w:szCs w:val="24"/>
                <w:highlight w:val="none"/>
              </w:rPr>
              <w:t>年1月1日至今的同类项目（</w:t>
            </w:r>
            <w:r>
              <w:rPr>
                <w:rStyle w:val="974"/>
                <w:rFonts w:hint="eastAsia" w:ascii="宋体" w:hAnsi="宋体" w:eastAsia="宋体" w:cs="宋体"/>
                <w:color w:val="auto"/>
                <w:sz w:val="24"/>
                <w:szCs w:val="24"/>
                <w:highlight w:val="none"/>
                <w:lang w:val="en-US"/>
              </w:rPr>
              <w:t>指同品牌的维保业绩</w:t>
            </w:r>
            <w:r>
              <w:rPr>
                <w:rStyle w:val="974"/>
                <w:rFonts w:hint="eastAsia" w:ascii="宋体" w:hAnsi="宋体" w:eastAsia="宋体" w:cs="宋体"/>
                <w:color w:val="auto"/>
                <w:sz w:val="24"/>
                <w:szCs w:val="24"/>
                <w:highlight w:val="none"/>
              </w:rPr>
              <w:t>）业绩，每提供一个有效合同的得1分(提供合同复印件并加盖公章)，最高得</w:t>
            </w:r>
            <w:r>
              <w:rPr>
                <w:rStyle w:val="974"/>
                <w:rFonts w:hint="eastAsia" w:ascii="宋体" w:hAnsi="宋体" w:eastAsia="宋体" w:cs="宋体"/>
                <w:color w:val="auto"/>
                <w:sz w:val="24"/>
                <w:szCs w:val="24"/>
                <w:highlight w:val="none"/>
                <w:lang w:val="en-US"/>
              </w:rPr>
              <w:t>1</w:t>
            </w:r>
            <w:r>
              <w:rPr>
                <w:rStyle w:val="974"/>
                <w:rFonts w:hint="eastAsia" w:ascii="宋体" w:hAnsi="宋体" w:eastAsia="宋体" w:cs="宋体"/>
                <w:color w:val="auto"/>
                <w:sz w:val="24"/>
                <w:szCs w:val="24"/>
                <w:highlight w:val="none"/>
              </w:rPr>
              <w:t>分。</w:t>
            </w:r>
          </w:p>
        </w:tc>
        <w:tc>
          <w:tcPr>
            <w:tcW w:w="1021" w:type="dxa"/>
            <w:vAlign w:val="center"/>
          </w:tcPr>
          <w:p w14:paraId="0F392A45">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1083" w:type="dxa"/>
            <w:vAlign w:val="center"/>
          </w:tcPr>
          <w:p w14:paraId="7F52F283">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61C3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1AE16E18">
            <w:pPr>
              <w:pStyle w:val="88"/>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6053" w:type="dxa"/>
            <w:shd w:val="clear" w:color="auto" w:fill="auto"/>
            <w:vAlign w:val="center"/>
          </w:tcPr>
          <w:p w14:paraId="13190ABE">
            <w:pPr>
              <w:keepNext w:val="0"/>
              <w:keepLines w:val="0"/>
              <w:pageBreakBefore w:val="0"/>
              <w:kinsoku/>
              <w:wordWrap/>
              <w:overflowPunct/>
              <w:topLinePunct w:val="0"/>
              <w:autoSpaceDE/>
              <w:autoSpaceDN/>
              <w:bidi w:val="0"/>
              <w:snapToGrid/>
              <w:spacing w:after="0"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技术要求响应：</w:t>
            </w:r>
          </w:p>
          <w:p w14:paraId="676FFBB7">
            <w:pPr>
              <w:pStyle w:val="25"/>
              <w:keepNext w:val="0"/>
              <w:keepLines w:val="0"/>
              <w:pageBreakBefore w:val="0"/>
              <w:widowControl/>
              <w:kinsoku/>
              <w:wordWrap/>
              <w:overflowPunct/>
              <w:topLinePunct w:val="0"/>
              <w:bidi w:val="0"/>
              <w:spacing w:line="400" w:lineRule="exact"/>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全部满足</w:t>
            </w:r>
            <w:r>
              <w:rPr>
                <w:rFonts w:hint="eastAsia" w:ascii="宋体" w:hAnsi="宋体" w:eastAsia="宋体" w:cs="宋体"/>
                <w:color w:val="auto"/>
                <w:kern w:val="0"/>
                <w:sz w:val="24"/>
                <w:szCs w:val="24"/>
                <w:highlight w:val="none"/>
                <w:lang w:val="en-US" w:eastAsia="zh-CN"/>
              </w:rPr>
              <w:t>公开竞争</w:t>
            </w:r>
            <w:r>
              <w:rPr>
                <w:rFonts w:hint="eastAsia" w:ascii="宋体" w:hAnsi="宋体" w:eastAsia="宋体" w:cs="宋体"/>
                <w:color w:val="auto"/>
                <w:kern w:val="0"/>
                <w:sz w:val="24"/>
                <w:szCs w:val="24"/>
                <w:highlight w:val="none"/>
              </w:rPr>
              <w:t>文件</w:t>
            </w:r>
            <w:r>
              <w:rPr>
                <w:rFonts w:hint="eastAsia" w:ascii="宋体" w:hAnsi="宋体" w:eastAsia="宋体" w:cs="宋体"/>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二、交易</w:t>
            </w:r>
            <w:r>
              <w:rPr>
                <w:rFonts w:hint="eastAsia" w:ascii="宋体" w:hAnsi="宋体" w:eastAsia="宋体" w:cs="宋体"/>
                <w:b w:val="0"/>
                <w:bCs w:val="0"/>
                <w:color w:val="auto"/>
                <w:kern w:val="0"/>
                <w:sz w:val="24"/>
                <w:szCs w:val="24"/>
                <w:highlight w:val="none"/>
                <w:lang w:eastAsia="zh-CN"/>
              </w:rPr>
              <w:t>需求</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2、技术要求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要求的得满分</w:t>
            </w:r>
            <w:r>
              <w:rPr>
                <w:rFonts w:hint="eastAsia" w:ascii="宋体" w:hAnsi="宋体" w:eastAsia="宋体" w:cs="宋体"/>
                <w:color w:val="auto"/>
                <w:kern w:val="0"/>
                <w:sz w:val="24"/>
                <w:szCs w:val="24"/>
                <w:highlight w:val="none"/>
                <w:lang w:val="en-US" w:eastAsia="zh-CN"/>
              </w:rPr>
              <w:t>40</w:t>
            </w:r>
            <w:r>
              <w:rPr>
                <w:rFonts w:hint="eastAsia" w:ascii="宋体" w:hAnsi="宋体" w:eastAsia="宋体" w:cs="宋体"/>
                <w:color w:val="auto"/>
                <w:kern w:val="0"/>
                <w:sz w:val="24"/>
                <w:szCs w:val="24"/>
                <w:highlight w:val="none"/>
              </w:rPr>
              <w:t>分。</w:t>
            </w:r>
            <w:r>
              <w:rPr>
                <w:rFonts w:hint="eastAsia" w:cs="宋体"/>
                <w:color w:val="auto"/>
                <w:kern w:val="0"/>
                <w:sz w:val="24"/>
                <w:szCs w:val="24"/>
                <w:highlight w:val="none"/>
                <w:lang w:val="en-US" w:eastAsia="zh-CN"/>
              </w:rPr>
              <w:t>交易</w:t>
            </w:r>
            <w:r>
              <w:rPr>
                <w:rFonts w:hint="eastAsia" w:ascii="宋体" w:hAnsi="宋体" w:eastAsia="宋体" w:cs="宋体"/>
                <w:color w:val="auto"/>
                <w:kern w:val="0"/>
                <w:sz w:val="24"/>
                <w:szCs w:val="24"/>
                <w:highlight w:val="none"/>
              </w:rPr>
              <w:t>需求中带“△”号的为重要参数，每不满足或负偏离一项扣</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分，其余参数每不满足或负偏离一项扣</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分，扣完为止。</w:t>
            </w:r>
          </w:p>
          <w:p w14:paraId="7808BAB3">
            <w:pPr>
              <w:keepNext w:val="0"/>
              <w:keepLines w:val="0"/>
              <w:pageBreakBefore w:val="0"/>
              <w:kinsoku/>
              <w:wordWrap/>
              <w:overflowPunct/>
              <w:topLinePunct w:val="0"/>
              <w:autoSpaceDE/>
              <w:autoSpaceDN/>
              <w:bidi w:val="0"/>
              <w:snapToGrid/>
              <w:spacing w:after="0"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rPr>
              <w:t>需按照要求提供相关证明材料，否则为负偏离。</w:t>
            </w:r>
          </w:p>
        </w:tc>
        <w:tc>
          <w:tcPr>
            <w:tcW w:w="1021" w:type="dxa"/>
            <w:shd w:val="clear" w:color="auto" w:fill="auto"/>
            <w:vAlign w:val="center"/>
          </w:tcPr>
          <w:p w14:paraId="7ECBF779">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0-40分</w:t>
            </w:r>
          </w:p>
        </w:tc>
        <w:tc>
          <w:tcPr>
            <w:tcW w:w="1083" w:type="dxa"/>
            <w:shd w:val="clear" w:color="auto" w:fill="auto"/>
            <w:vAlign w:val="center"/>
          </w:tcPr>
          <w:p w14:paraId="2DF4B8EB">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r>
      <w:tr w14:paraId="7728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0874D79F">
            <w:pPr>
              <w:pStyle w:val="88"/>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6053" w:type="dxa"/>
            <w:shd w:val="clear" w:color="auto" w:fill="auto"/>
            <w:vAlign w:val="center"/>
          </w:tcPr>
          <w:p w14:paraId="7D837851">
            <w:pPr>
              <w:keepNext w:val="0"/>
              <w:keepLines w:val="0"/>
              <w:pageBreakBefore w:val="0"/>
              <w:kinsoku/>
              <w:wordWrap/>
              <w:overflowPunct/>
              <w:topLinePunct w:val="0"/>
              <w:autoSpaceDE/>
              <w:autoSpaceDN/>
              <w:bidi w:val="0"/>
              <w:snapToGrid/>
              <w:spacing w:after="0"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重难点分析：</w:t>
            </w:r>
          </w:p>
          <w:p w14:paraId="08D0A661">
            <w:pPr>
              <w:pStyle w:val="25"/>
              <w:keepNext w:val="0"/>
              <w:keepLines w:val="0"/>
              <w:pageBreakBefore w:val="0"/>
              <w:widowControl/>
              <w:kinsoku/>
              <w:wordWrap/>
              <w:overflowPunct/>
              <w:topLinePunct w:val="0"/>
              <w:bidi w:val="0"/>
              <w:spacing w:line="40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响应人提供</w:t>
            </w:r>
            <w:r>
              <w:rPr>
                <w:rFonts w:hint="eastAsia" w:ascii="宋体" w:hAnsi="宋体" w:eastAsia="宋体" w:cs="宋体"/>
                <w:color w:val="auto"/>
                <w:sz w:val="24"/>
                <w:szCs w:val="24"/>
                <w:highlight w:val="none"/>
              </w:rPr>
              <w:t>重难点解决对策与方案</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针对本项目特点提出的重难点解决对策与方案的可操作性、实用性、有针对性进行评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w:t>
            </w:r>
          </w:p>
          <w:p w14:paraId="45E02915">
            <w:pPr>
              <w:keepNext w:val="0"/>
              <w:keepLines w:val="0"/>
              <w:pageBreakBefore w:val="0"/>
              <w:kinsoku/>
              <w:wordWrap/>
              <w:overflowPunct/>
              <w:topLinePunct w:val="0"/>
              <w:autoSpaceDE/>
              <w:autoSpaceDN/>
              <w:bidi w:val="0"/>
              <w:snapToGrid/>
              <w:spacing w:after="0"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分值：5-4-3-2-1-0</w:t>
            </w:r>
          </w:p>
        </w:tc>
        <w:tc>
          <w:tcPr>
            <w:tcW w:w="1021" w:type="dxa"/>
            <w:shd w:val="clear" w:color="auto" w:fill="auto"/>
            <w:vAlign w:val="center"/>
          </w:tcPr>
          <w:p w14:paraId="106601C5">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0-5分</w:t>
            </w:r>
          </w:p>
        </w:tc>
        <w:tc>
          <w:tcPr>
            <w:tcW w:w="1083" w:type="dxa"/>
            <w:shd w:val="clear" w:color="auto" w:fill="auto"/>
            <w:vAlign w:val="center"/>
          </w:tcPr>
          <w:p w14:paraId="51F1059B">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4E1A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4D55F54E">
            <w:pPr>
              <w:pStyle w:val="88"/>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053" w:type="dxa"/>
            <w:shd w:val="clear" w:color="auto" w:fill="auto"/>
            <w:vAlign w:val="center"/>
          </w:tcPr>
          <w:p w14:paraId="183E5CF4">
            <w:pPr>
              <w:pStyle w:val="25"/>
              <w:keepNext w:val="0"/>
              <w:keepLines w:val="0"/>
              <w:pageBreakBefore w:val="0"/>
              <w:widowControl/>
              <w:kinsoku/>
              <w:wordWrap/>
              <w:overflowPunct/>
              <w:topLinePunct w:val="0"/>
              <w:bidi w:val="0"/>
              <w:spacing w:line="400" w:lineRule="exact"/>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保修、</w:t>
            </w:r>
            <w:r>
              <w:rPr>
                <w:rFonts w:hint="eastAsia" w:ascii="宋体" w:hAnsi="宋体" w:eastAsia="宋体" w:cs="宋体"/>
                <w:color w:val="auto"/>
                <w:sz w:val="24"/>
                <w:szCs w:val="24"/>
                <w:highlight w:val="none"/>
                <w:lang w:eastAsia="zh-CN"/>
              </w:rPr>
              <w:t>保养</w:t>
            </w:r>
            <w:r>
              <w:rPr>
                <w:rFonts w:hint="eastAsia" w:ascii="宋体" w:hAnsi="宋体" w:eastAsia="宋体" w:cs="宋体"/>
                <w:color w:val="auto"/>
                <w:sz w:val="24"/>
                <w:szCs w:val="24"/>
                <w:highlight w:val="none"/>
              </w:rPr>
              <w:t>服务方案</w:t>
            </w:r>
            <w:r>
              <w:rPr>
                <w:rFonts w:hint="eastAsia" w:ascii="宋体" w:hAnsi="宋体" w:eastAsia="宋体" w:cs="宋体"/>
                <w:color w:val="auto"/>
                <w:sz w:val="24"/>
                <w:szCs w:val="24"/>
                <w:highlight w:val="none"/>
                <w:lang w:eastAsia="zh-CN"/>
              </w:rPr>
              <w:t>：</w:t>
            </w:r>
          </w:p>
          <w:p w14:paraId="7A9764CD">
            <w:pPr>
              <w:pStyle w:val="25"/>
              <w:keepNext w:val="0"/>
              <w:keepLines w:val="0"/>
              <w:pageBreakBefore w:val="0"/>
              <w:widowControl/>
              <w:kinsoku/>
              <w:wordWrap/>
              <w:overflowPunct/>
              <w:topLinePunct w:val="0"/>
              <w:bidi w:val="0"/>
              <w:spacing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响应人提供保修、</w:t>
            </w:r>
            <w:r>
              <w:rPr>
                <w:rFonts w:hint="eastAsia" w:ascii="宋体" w:hAnsi="宋体" w:eastAsia="宋体" w:cs="宋体"/>
                <w:color w:val="auto"/>
                <w:sz w:val="24"/>
                <w:szCs w:val="24"/>
                <w:highlight w:val="none"/>
              </w:rPr>
              <w:t>保养服务方案</w:t>
            </w:r>
            <w:r>
              <w:rPr>
                <w:rFonts w:hint="eastAsia" w:ascii="宋体" w:hAnsi="宋体" w:eastAsia="宋体" w:cs="宋体"/>
                <w:color w:val="auto"/>
                <w:sz w:val="24"/>
                <w:szCs w:val="24"/>
                <w:highlight w:val="none"/>
                <w:lang w:eastAsia="zh-CN"/>
              </w:rPr>
              <w:t>，需提供保养时间节点及内容以表格形式体现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提供的保修、保养服务方案</w:t>
            </w:r>
            <w:r>
              <w:rPr>
                <w:rFonts w:hint="eastAsia" w:ascii="宋体" w:hAnsi="宋体" w:eastAsia="宋体" w:cs="宋体"/>
                <w:color w:val="auto"/>
                <w:sz w:val="24"/>
                <w:szCs w:val="24"/>
                <w:highlight w:val="none"/>
                <w:lang w:val="en-US" w:eastAsia="zh-CN"/>
              </w:rPr>
              <w:t>的全面性、措施保障的可操作性等</w:t>
            </w:r>
            <w:r>
              <w:rPr>
                <w:rFonts w:hint="eastAsia" w:ascii="宋体" w:hAnsi="宋体" w:eastAsia="宋体" w:cs="宋体"/>
                <w:color w:val="auto"/>
                <w:sz w:val="24"/>
                <w:szCs w:val="24"/>
                <w:highlight w:val="none"/>
              </w:rPr>
              <w:t>进行评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w:t>
            </w:r>
          </w:p>
          <w:p w14:paraId="5AAEB606">
            <w:pPr>
              <w:keepNext w:val="0"/>
              <w:keepLines w:val="0"/>
              <w:pageBreakBefore w:val="0"/>
              <w:kinsoku/>
              <w:wordWrap/>
              <w:overflowPunct/>
              <w:topLinePunct w:val="0"/>
              <w:autoSpaceDE/>
              <w:autoSpaceDN/>
              <w:bidi w:val="0"/>
              <w:snapToGrid/>
              <w:spacing w:after="0"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分值：5-4-3-2-1-0</w:t>
            </w:r>
            <w:r>
              <w:rPr>
                <w:rFonts w:hint="eastAsia" w:ascii="宋体" w:hAnsi="宋体" w:eastAsia="宋体" w:cs="宋体"/>
                <w:color w:val="auto"/>
                <w:sz w:val="24"/>
                <w:szCs w:val="24"/>
                <w:highlight w:val="none"/>
              </w:rPr>
              <w:t>。</w:t>
            </w:r>
          </w:p>
        </w:tc>
        <w:tc>
          <w:tcPr>
            <w:tcW w:w="1021" w:type="dxa"/>
            <w:shd w:val="clear" w:color="auto" w:fill="auto"/>
            <w:vAlign w:val="center"/>
          </w:tcPr>
          <w:p w14:paraId="6E00FF07">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0-5分</w:t>
            </w:r>
          </w:p>
        </w:tc>
        <w:tc>
          <w:tcPr>
            <w:tcW w:w="1083" w:type="dxa"/>
            <w:shd w:val="clear" w:color="auto" w:fill="auto"/>
            <w:vAlign w:val="center"/>
          </w:tcPr>
          <w:p w14:paraId="00C7EB30">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474A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35447E8C">
            <w:pPr>
              <w:pStyle w:val="88"/>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053" w:type="dxa"/>
            <w:vAlign w:val="center"/>
          </w:tcPr>
          <w:p w14:paraId="155A389C">
            <w:pPr>
              <w:pStyle w:val="25"/>
              <w:keepNext w:val="0"/>
              <w:keepLines w:val="0"/>
              <w:pageBreakBefore w:val="0"/>
              <w:widowControl/>
              <w:kinsoku/>
              <w:wordWrap/>
              <w:overflowPunct/>
              <w:topLinePunct w:val="0"/>
              <w:bidi w:val="0"/>
              <w:spacing w:line="400" w:lineRule="exact"/>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保修、保养工具</w:t>
            </w:r>
            <w:r>
              <w:rPr>
                <w:rFonts w:hint="eastAsia" w:ascii="宋体" w:hAnsi="宋体" w:eastAsia="宋体" w:cs="宋体"/>
                <w:color w:val="auto"/>
                <w:sz w:val="24"/>
                <w:szCs w:val="24"/>
                <w:highlight w:val="none"/>
                <w:lang w:eastAsia="zh-CN"/>
              </w:rPr>
              <w:t>：</w:t>
            </w:r>
          </w:p>
          <w:p w14:paraId="566BCC1A">
            <w:pPr>
              <w:pStyle w:val="25"/>
              <w:keepNext w:val="0"/>
              <w:keepLines w:val="0"/>
              <w:pageBreakBefore w:val="0"/>
              <w:widowControl/>
              <w:kinsoku/>
              <w:wordWrap/>
              <w:overflowPunct/>
              <w:topLinePunct w:val="0"/>
              <w:bidi w:val="0"/>
              <w:spacing w:line="400" w:lineRule="exact"/>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响应人提供</w:t>
            </w:r>
            <w:r>
              <w:rPr>
                <w:rFonts w:hint="eastAsia" w:ascii="宋体" w:hAnsi="宋体" w:eastAsia="宋体" w:cs="宋体"/>
                <w:color w:val="auto"/>
                <w:sz w:val="24"/>
                <w:szCs w:val="24"/>
                <w:highlight w:val="none"/>
              </w:rPr>
              <w:t>保修、保养工具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提供的保修、保养工具</w:t>
            </w:r>
            <w:r>
              <w:rPr>
                <w:rFonts w:hint="eastAsia" w:ascii="宋体" w:hAnsi="宋体" w:eastAsia="宋体" w:cs="宋体"/>
                <w:color w:val="auto"/>
                <w:sz w:val="24"/>
                <w:szCs w:val="24"/>
                <w:highlight w:val="none"/>
                <w:lang w:val="en-US" w:eastAsia="zh-CN"/>
              </w:rPr>
              <w:t>是否配备齐全等</w:t>
            </w:r>
            <w:r>
              <w:rPr>
                <w:rFonts w:hint="eastAsia" w:ascii="宋体" w:hAnsi="宋体" w:eastAsia="宋体" w:cs="宋体"/>
                <w:color w:val="auto"/>
                <w:sz w:val="24"/>
                <w:szCs w:val="24"/>
                <w:highlight w:val="none"/>
              </w:rPr>
              <w:t>进行评</w:t>
            </w:r>
            <w:r>
              <w:rPr>
                <w:rFonts w:hint="eastAsia" w:ascii="宋体" w:hAnsi="宋体" w:eastAsia="宋体" w:cs="宋体"/>
                <w:color w:val="auto"/>
                <w:sz w:val="24"/>
                <w:szCs w:val="24"/>
                <w:highlight w:val="none"/>
                <w:lang w:val="en-US" w:eastAsia="zh-CN"/>
              </w:rPr>
              <w:t>审。</w:t>
            </w:r>
          </w:p>
          <w:p w14:paraId="5780BEBD">
            <w:pPr>
              <w:keepNext w:val="0"/>
              <w:keepLines w:val="0"/>
              <w:pageBreakBefore w:val="0"/>
              <w:kinsoku/>
              <w:wordWrap/>
              <w:overflowPunct/>
              <w:topLinePunct w:val="0"/>
              <w:autoSpaceDE/>
              <w:autoSpaceDN/>
              <w:bidi w:val="0"/>
              <w:snapToGrid/>
              <w:spacing w:after="0"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分值：3-2-1-0</w:t>
            </w:r>
            <w:r>
              <w:rPr>
                <w:rFonts w:hint="eastAsia" w:ascii="宋体" w:hAnsi="宋体" w:eastAsia="宋体" w:cs="宋体"/>
                <w:color w:val="auto"/>
                <w:sz w:val="24"/>
                <w:szCs w:val="24"/>
                <w:highlight w:val="none"/>
              </w:rPr>
              <w:t>。</w:t>
            </w:r>
          </w:p>
        </w:tc>
        <w:tc>
          <w:tcPr>
            <w:tcW w:w="1021" w:type="dxa"/>
            <w:vAlign w:val="center"/>
          </w:tcPr>
          <w:p w14:paraId="74443A1F">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0-3分</w:t>
            </w:r>
          </w:p>
        </w:tc>
        <w:tc>
          <w:tcPr>
            <w:tcW w:w="1083" w:type="dxa"/>
            <w:vAlign w:val="center"/>
          </w:tcPr>
          <w:p w14:paraId="76116822">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567B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4FC0A117">
            <w:pPr>
              <w:pStyle w:val="88"/>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053" w:type="dxa"/>
            <w:vAlign w:val="center"/>
          </w:tcPr>
          <w:p w14:paraId="52F278E3">
            <w:pPr>
              <w:keepNext w:val="0"/>
              <w:keepLines w:val="0"/>
              <w:pageBreakBefore w:val="0"/>
              <w:kinsoku/>
              <w:wordWrap/>
              <w:overflowPunct/>
              <w:topLinePunct w:val="0"/>
              <w:autoSpaceDE/>
              <w:autoSpaceDN/>
              <w:bidi w:val="0"/>
              <w:snapToGrid/>
              <w:spacing w:after="0"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巡检方案：</w:t>
            </w:r>
          </w:p>
          <w:p w14:paraId="79264FF7">
            <w:pPr>
              <w:pStyle w:val="25"/>
              <w:keepNext w:val="0"/>
              <w:keepLines w:val="0"/>
              <w:pageBreakBefore w:val="0"/>
              <w:widowControl/>
              <w:kinsoku/>
              <w:wordWrap/>
              <w:overflowPunct/>
              <w:topLinePunct w:val="0"/>
              <w:bidi w:val="0"/>
              <w:spacing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响应人提供巡检</w:t>
            </w:r>
            <w:r>
              <w:rPr>
                <w:rFonts w:hint="eastAsia" w:ascii="宋体" w:hAnsi="宋体" w:eastAsia="宋体" w:cs="宋体"/>
                <w:color w:val="auto"/>
                <w:sz w:val="24"/>
                <w:szCs w:val="24"/>
                <w:highlight w:val="none"/>
              </w:rPr>
              <w:t>服务方案</w:t>
            </w:r>
            <w:r>
              <w:rPr>
                <w:rFonts w:hint="eastAsia" w:ascii="宋体" w:hAnsi="宋体" w:eastAsia="宋体" w:cs="宋体"/>
                <w:color w:val="auto"/>
                <w:sz w:val="24"/>
                <w:szCs w:val="24"/>
                <w:highlight w:val="none"/>
                <w:lang w:eastAsia="zh-CN"/>
              </w:rPr>
              <w:t>，需提供巡检时间节点及内容以表格形式体现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提供的</w:t>
            </w:r>
            <w:r>
              <w:rPr>
                <w:rFonts w:hint="eastAsia" w:ascii="宋体" w:hAnsi="宋体" w:eastAsia="宋体" w:cs="宋体"/>
                <w:color w:val="auto"/>
                <w:sz w:val="24"/>
                <w:szCs w:val="24"/>
                <w:highlight w:val="none"/>
                <w:lang w:eastAsia="zh-CN"/>
              </w:rPr>
              <w:t>巡检</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val="en-US" w:eastAsia="zh-CN"/>
              </w:rPr>
              <w:t>的全面性、措施保障的可操作性等</w:t>
            </w:r>
            <w:r>
              <w:rPr>
                <w:rFonts w:hint="eastAsia" w:ascii="宋体" w:hAnsi="宋体" w:eastAsia="宋体" w:cs="宋体"/>
                <w:color w:val="auto"/>
                <w:sz w:val="24"/>
                <w:szCs w:val="24"/>
                <w:highlight w:val="none"/>
              </w:rPr>
              <w:t>进行评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w:t>
            </w:r>
          </w:p>
          <w:p w14:paraId="3BE9962F">
            <w:pPr>
              <w:keepNext w:val="0"/>
              <w:keepLines w:val="0"/>
              <w:pageBreakBefore w:val="0"/>
              <w:kinsoku/>
              <w:wordWrap/>
              <w:overflowPunct/>
              <w:topLinePunct w:val="0"/>
              <w:autoSpaceDE/>
              <w:autoSpaceDN/>
              <w:bidi w:val="0"/>
              <w:snapToGrid/>
              <w:spacing w:after="0"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分值：5-4-3-2-1-0</w:t>
            </w:r>
            <w:r>
              <w:rPr>
                <w:rFonts w:hint="eastAsia" w:ascii="宋体" w:hAnsi="宋体" w:eastAsia="宋体" w:cs="宋体"/>
                <w:color w:val="auto"/>
                <w:sz w:val="24"/>
                <w:szCs w:val="24"/>
                <w:highlight w:val="none"/>
              </w:rPr>
              <w:t>。</w:t>
            </w:r>
          </w:p>
        </w:tc>
        <w:tc>
          <w:tcPr>
            <w:tcW w:w="1021" w:type="dxa"/>
            <w:vAlign w:val="center"/>
          </w:tcPr>
          <w:p w14:paraId="36D6BFCA">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0-5分</w:t>
            </w:r>
          </w:p>
        </w:tc>
        <w:tc>
          <w:tcPr>
            <w:tcW w:w="1083" w:type="dxa"/>
            <w:vAlign w:val="center"/>
          </w:tcPr>
          <w:p w14:paraId="00D72760">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3F96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32F3479B">
            <w:pPr>
              <w:pStyle w:val="88"/>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053" w:type="dxa"/>
            <w:vAlign w:val="center"/>
          </w:tcPr>
          <w:p w14:paraId="4F1F393A">
            <w:pPr>
              <w:pStyle w:val="25"/>
              <w:keepNext w:val="0"/>
              <w:keepLines w:val="0"/>
              <w:pageBreakBefore w:val="0"/>
              <w:widowControl/>
              <w:kinsoku/>
              <w:wordWrap/>
              <w:overflowPunct/>
              <w:topLinePunct w:val="0"/>
              <w:bidi w:val="0"/>
              <w:spacing w:line="400" w:lineRule="exact"/>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售后服务能力和维保人员配备</w:t>
            </w:r>
            <w:r>
              <w:rPr>
                <w:rFonts w:hint="eastAsia" w:ascii="宋体" w:hAnsi="宋体" w:eastAsia="宋体" w:cs="宋体"/>
                <w:color w:val="auto"/>
                <w:sz w:val="24"/>
                <w:szCs w:val="24"/>
                <w:highlight w:val="none"/>
                <w:lang w:eastAsia="zh-CN"/>
              </w:rPr>
              <w:t>：</w:t>
            </w:r>
          </w:p>
          <w:p w14:paraId="080084FF">
            <w:pPr>
              <w:pStyle w:val="25"/>
              <w:keepNext w:val="0"/>
              <w:keepLines w:val="0"/>
              <w:pageBreakBefore w:val="0"/>
              <w:widowControl/>
              <w:kinsoku/>
              <w:wordWrap/>
              <w:overflowPunct/>
              <w:topLinePunct w:val="0"/>
              <w:bidi w:val="0"/>
              <w:spacing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服务商</w:t>
            </w:r>
            <w:r>
              <w:rPr>
                <w:rFonts w:hint="eastAsia" w:ascii="宋体" w:hAnsi="宋体" w:eastAsia="宋体" w:cs="宋体"/>
                <w:color w:val="auto"/>
                <w:sz w:val="24"/>
                <w:szCs w:val="24"/>
                <w:highlight w:val="none"/>
              </w:rPr>
              <w:t>技术服务人员情况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包括但不限于</w:t>
            </w:r>
            <w:r>
              <w:rPr>
                <w:rFonts w:hint="eastAsia" w:ascii="宋体" w:hAnsi="宋体" w:eastAsia="宋体" w:cs="宋体"/>
                <w:color w:val="auto"/>
                <w:sz w:val="24"/>
                <w:szCs w:val="24"/>
                <w:highlight w:val="none"/>
              </w:rPr>
              <w:t>姓名、工作经验、资质证书情况，</w:t>
            </w: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人员配备充足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售后服务经验丰富</w:t>
            </w:r>
            <w:r>
              <w:rPr>
                <w:rFonts w:hint="eastAsia" w:ascii="宋体" w:hAnsi="宋体" w:eastAsia="宋体" w:cs="宋体"/>
                <w:color w:val="auto"/>
                <w:sz w:val="24"/>
                <w:szCs w:val="24"/>
                <w:highlight w:val="none"/>
                <w:lang w:val="en-US" w:eastAsia="zh-CN"/>
              </w:rPr>
              <w:t>等情况进行评审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GB"/>
              </w:rPr>
              <w:t>提供维修工程师</w:t>
            </w:r>
            <w:r>
              <w:rPr>
                <w:rFonts w:hint="eastAsia" w:ascii="宋体" w:hAnsi="宋体" w:eastAsia="宋体" w:cs="宋体"/>
                <w:color w:val="auto"/>
                <w:sz w:val="24"/>
                <w:szCs w:val="24"/>
                <w:highlight w:val="none"/>
              </w:rPr>
              <w:t>近3个月</w:t>
            </w:r>
            <w:r>
              <w:rPr>
                <w:rFonts w:hint="eastAsia" w:ascii="宋体" w:hAnsi="宋体" w:eastAsia="宋体" w:cs="宋体"/>
                <w:color w:val="auto"/>
                <w:sz w:val="24"/>
                <w:szCs w:val="24"/>
                <w:highlight w:val="none"/>
                <w:lang w:val="en-US" w:eastAsia="zh-CN"/>
              </w:rPr>
              <w:t>中任意一个月的</w:t>
            </w:r>
            <w:r>
              <w:rPr>
                <w:rFonts w:hint="eastAsia" w:ascii="宋体" w:hAnsi="宋体" w:eastAsia="宋体" w:cs="宋体"/>
                <w:color w:val="auto"/>
                <w:sz w:val="24"/>
                <w:szCs w:val="24"/>
                <w:highlight w:val="none"/>
                <w:lang w:val="en-GB"/>
              </w:rPr>
              <w:t>社保缴纳证明</w:t>
            </w:r>
            <w:r>
              <w:rPr>
                <w:rFonts w:hint="eastAsia" w:ascii="宋体" w:hAnsi="宋体" w:eastAsia="宋体" w:cs="宋体"/>
                <w:color w:val="auto"/>
                <w:sz w:val="24"/>
                <w:szCs w:val="24"/>
                <w:highlight w:val="none"/>
              </w:rPr>
              <w:t>并加盖公章</w:t>
            </w:r>
            <w:r>
              <w:rPr>
                <w:rFonts w:hint="eastAsia" w:ascii="宋体" w:hAnsi="宋体" w:eastAsia="宋体" w:cs="宋体"/>
                <w:color w:val="auto"/>
                <w:sz w:val="24"/>
                <w:szCs w:val="24"/>
                <w:highlight w:val="none"/>
                <w:lang w:val="en-GB"/>
              </w:rPr>
              <w:t>。</w:t>
            </w:r>
          </w:p>
          <w:p w14:paraId="0E2E1C5B">
            <w:pPr>
              <w:keepNext w:val="0"/>
              <w:keepLines w:val="0"/>
              <w:pageBreakBefore w:val="0"/>
              <w:kinsoku/>
              <w:wordWrap/>
              <w:overflowPunct/>
              <w:topLinePunct w:val="0"/>
              <w:autoSpaceDE/>
              <w:autoSpaceDN/>
              <w:bidi w:val="0"/>
              <w:snapToGrid/>
              <w:spacing w:after="0"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分值：5-4-3-2-1-0</w:t>
            </w:r>
            <w:r>
              <w:rPr>
                <w:rFonts w:hint="eastAsia" w:ascii="宋体" w:hAnsi="宋体" w:eastAsia="宋体" w:cs="宋体"/>
                <w:color w:val="auto"/>
                <w:sz w:val="24"/>
                <w:szCs w:val="24"/>
                <w:highlight w:val="none"/>
              </w:rPr>
              <w:t>。</w:t>
            </w:r>
          </w:p>
        </w:tc>
        <w:tc>
          <w:tcPr>
            <w:tcW w:w="1021" w:type="dxa"/>
            <w:vAlign w:val="center"/>
          </w:tcPr>
          <w:p w14:paraId="2F60F7C0">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0-5分</w:t>
            </w:r>
          </w:p>
        </w:tc>
        <w:tc>
          <w:tcPr>
            <w:tcW w:w="1083" w:type="dxa"/>
            <w:vAlign w:val="center"/>
          </w:tcPr>
          <w:p w14:paraId="03545299">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1DEE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682A7220">
            <w:pPr>
              <w:pStyle w:val="88"/>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6053" w:type="dxa"/>
            <w:vAlign w:val="center"/>
          </w:tcPr>
          <w:p w14:paraId="501F6AE8">
            <w:pPr>
              <w:pStyle w:val="25"/>
              <w:keepNext w:val="0"/>
              <w:keepLines w:val="0"/>
              <w:pageBreakBefore w:val="0"/>
              <w:widowControl/>
              <w:kinsoku/>
              <w:wordWrap/>
              <w:overflowPunct/>
              <w:topLinePunct w:val="0"/>
              <w:bidi w:val="0"/>
              <w:spacing w:line="400" w:lineRule="exact"/>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故障处理解决、应急方案</w:t>
            </w:r>
            <w:r>
              <w:rPr>
                <w:rFonts w:hint="eastAsia" w:ascii="宋体" w:hAnsi="宋体" w:eastAsia="宋体" w:cs="宋体"/>
                <w:color w:val="auto"/>
                <w:sz w:val="24"/>
                <w:szCs w:val="24"/>
                <w:highlight w:val="none"/>
                <w:lang w:eastAsia="zh-CN"/>
              </w:rPr>
              <w:t>：</w:t>
            </w:r>
          </w:p>
          <w:p w14:paraId="196A571F">
            <w:pPr>
              <w:pStyle w:val="25"/>
              <w:keepNext w:val="0"/>
              <w:keepLines w:val="0"/>
              <w:pageBreakBefore w:val="0"/>
              <w:widowControl/>
              <w:kinsoku/>
              <w:wordWrap/>
              <w:overflowPunct/>
              <w:topLinePunct w:val="0"/>
              <w:bidi w:val="0"/>
              <w:spacing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响应人提供</w:t>
            </w:r>
            <w:r>
              <w:rPr>
                <w:rFonts w:hint="eastAsia" w:ascii="宋体" w:hAnsi="宋体" w:eastAsia="宋体" w:cs="宋体"/>
                <w:color w:val="auto"/>
                <w:sz w:val="24"/>
                <w:szCs w:val="24"/>
                <w:highlight w:val="none"/>
              </w:rPr>
              <w:t>故障处理解决、应急方案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提供的针对本项目的故障处理解决、应急方案</w:t>
            </w:r>
            <w:r>
              <w:rPr>
                <w:rFonts w:hint="eastAsia" w:ascii="宋体" w:hAnsi="宋体" w:eastAsia="宋体" w:cs="宋体"/>
                <w:color w:val="auto"/>
                <w:sz w:val="24"/>
                <w:szCs w:val="24"/>
                <w:highlight w:val="none"/>
                <w:lang w:val="en-US" w:eastAsia="zh-CN"/>
              </w:rPr>
              <w:t>的全面性、可操作性等</w:t>
            </w:r>
            <w:r>
              <w:rPr>
                <w:rFonts w:hint="eastAsia" w:ascii="宋体" w:hAnsi="宋体" w:eastAsia="宋体" w:cs="宋体"/>
                <w:color w:val="auto"/>
                <w:sz w:val="24"/>
                <w:szCs w:val="24"/>
                <w:highlight w:val="none"/>
              </w:rPr>
              <w:t>进行评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w:t>
            </w:r>
          </w:p>
          <w:p w14:paraId="3BA377E8">
            <w:pPr>
              <w:keepNext w:val="0"/>
              <w:keepLines w:val="0"/>
              <w:pageBreakBefore w:val="0"/>
              <w:kinsoku/>
              <w:wordWrap/>
              <w:overflowPunct/>
              <w:topLinePunct w:val="0"/>
              <w:autoSpaceDE/>
              <w:autoSpaceDN/>
              <w:bidi w:val="0"/>
              <w:snapToGrid/>
              <w:spacing w:after="0"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分值：4-3-2-1-0</w:t>
            </w:r>
            <w:r>
              <w:rPr>
                <w:rFonts w:hint="eastAsia" w:ascii="宋体" w:hAnsi="宋体" w:eastAsia="宋体" w:cs="宋体"/>
                <w:color w:val="auto"/>
                <w:sz w:val="24"/>
                <w:szCs w:val="24"/>
                <w:highlight w:val="none"/>
              </w:rPr>
              <w:t>。</w:t>
            </w:r>
          </w:p>
        </w:tc>
        <w:tc>
          <w:tcPr>
            <w:tcW w:w="1021" w:type="dxa"/>
            <w:vAlign w:val="center"/>
          </w:tcPr>
          <w:p w14:paraId="7EBD0334">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0-4分</w:t>
            </w:r>
          </w:p>
        </w:tc>
        <w:tc>
          <w:tcPr>
            <w:tcW w:w="1083" w:type="dxa"/>
            <w:vAlign w:val="center"/>
          </w:tcPr>
          <w:p w14:paraId="14B157AA">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43D4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73213F22">
            <w:pPr>
              <w:pStyle w:val="88"/>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6053" w:type="dxa"/>
            <w:vAlign w:val="center"/>
          </w:tcPr>
          <w:p w14:paraId="208DA1F3">
            <w:pPr>
              <w:pStyle w:val="25"/>
              <w:keepNext w:val="0"/>
              <w:keepLines w:val="0"/>
              <w:pageBreakBefore w:val="0"/>
              <w:widowControl/>
              <w:kinsoku/>
              <w:wordWrap/>
              <w:overflowPunct/>
              <w:topLinePunct w:val="0"/>
              <w:bidi w:val="0"/>
              <w:spacing w:line="400" w:lineRule="exact"/>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响应时间</w:t>
            </w:r>
            <w:r>
              <w:rPr>
                <w:rFonts w:hint="eastAsia" w:ascii="宋体" w:hAnsi="宋体" w:eastAsia="宋体" w:cs="宋体"/>
                <w:color w:val="auto"/>
                <w:sz w:val="24"/>
                <w:szCs w:val="24"/>
                <w:highlight w:val="none"/>
                <w:lang w:eastAsia="zh-CN"/>
              </w:rPr>
              <w:t>：</w:t>
            </w:r>
          </w:p>
          <w:p w14:paraId="191A7416">
            <w:pPr>
              <w:pStyle w:val="25"/>
              <w:keepNext w:val="0"/>
              <w:keepLines w:val="0"/>
              <w:pageBreakBefore w:val="0"/>
              <w:widowControl/>
              <w:kinsoku/>
              <w:wordWrap/>
              <w:overflowPunct/>
              <w:topLinePunct w:val="0"/>
              <w:bidi w:val="0"/>
              <w:spacing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响应人提供</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eastAsia="zh-CN"/>
              </w:rPr>
              <w:t>及到达现场</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时间长短进行评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w:t>
            </w:r>
          </w:p>
          <w:p w14:paraId="11C8F88A">
            <w:pPr>
              <w:keepNext w:val="0"/>
              <w:keepLines w:val="0"/>
              <w:pageBreakBefore w:val="0"/>
              <w:kinsoku/>
              <w:wordWrap/>
              <w:overflowPunct/>
              <w:topLinePunct w:val="0"/>
              <w:autoSpaceDE/>
              <w:autoSpaceDN/>
              <w:bidi w:val="0"/>
              <w:snapToGrid/>
              <w:spacing w:after="0"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分值：4-3-2-1-0</w:t>
            </w:r>
            <w:r>
              <w:rPr>
                <w:rFonts w:hint="eastAsia" w:ascii="宋体" w:hAnsi="宋体" w:eastAsia="宋体" w:cs="宋体"/>
                <w:color w:val="auto"/>
                <w:sz w:val="24"/>
                <w:szCs w:val="24"/>
                <w:highlight w:val="none"/>
              </w:rPr>
              <w:t>。</w:t>
            </w:r>
          </w:p>
        </w:tc>
        <w:tc>
          <w:tcPr>
            <w:tcW w:w="1021" w:type="dxa"/>
            <w:vAlign w:val="center"/>
          </w:tcPr>
          <w:p w14:paraId="66FF7D53">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0-4分</w:t>
            </w:r>
          </w:p>
        </w:tc>
        <w:tc>
          <w:tcPr>
            <w:tcW w:w="1083" w:type="dxa"/>
            <w:vAlign w:val="center"/>
          </w:tcPr>
          <w:p w14:paraId="7B37EAA5">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0B12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7F4266CA">
            <w:pPr>
              <w:pStyle w:val="88"/>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6053" w:type="dxa"/>
            <w:vAlign w:val="center"/>
          </w:tcPr>
          <w:p w14:paraId="06601927">
            <w:pPr>
              <w:pStyle w:val="25"/>
              <w:keepNext w:val="0"/>
              <w:keepLines w:val="0"/>
              <w:pageBreakBefore w:val="0"/>
              <w:widowControl/>
              <w:kinsoku/>
              <w:wordWrap/>
              <w:overflowPunct/>
              <w:topLinePunct w:val="0"/>
              <w:bidi w:val="0"/>
              <w:spacing w:line="40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保养指导</w:t>
            </w:r>
            <w:r>
              <w:rPr>
                <w:rFonts w:hint="eastAsia" w:ascii="宋体" w:hAnsi="宋体" w:eastAsia="宋体" w:cs="宋体"/>
                <w:color w:val="auto"/>
                <w:sz w:val="24"/>
                <w:szCs w:val="24"/>
                <w:highlight w:val="none"/>
                <w:lang w:eastAsia="zh-CN"/>
              </w:rPr>
              <w:t>：</w:t>
            </w:r>
          </w:p>
          <w:p w14:paraId="631DF1D2">
            <w:pPr>
              <w:pStyle w:val="25"/>
              <w:keepNext w:val="0"/>
              <w:keepLines w:val="0"/>
              <w:pageBreakBefore w:val="0"/>
              <w:widowControl/>
              <w:kinsoku/>
              <w:wordWrap/>
              <w:overflowPunct/>
              <w:topLinePunct w:val="0"/>
              <w:bidi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响应人提供</w:t>
            </w:r>
            <w:r>
              <w:rPr>
                <w:rFonts w:hint="eastAsia" w:ascii="宋体" w:hAnsi="宋体" w:eastAsia="宋体" w:cs="宋体"/>
                <w:color w:val="auto"/>
                <w:sz w:val="24"/>
                <w:szCs w:val="24"/>
                <w:highlight w:val="none"/>
              </w:rPr>
              <w:t>保养指导</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提供的保养指导、维护手册</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可操作性、实用性、有针对性等情况进行评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w:t>
            </w:r>
          </w:p>
          <w:p w14:paraId="284EAEA6">
            <w:pPr>
              <w:keepNext w:val="0"/>
              <w:keepLines w:val="0"/>
              <w:pageBreakBefore w:val="0"/>
              <w:kinsoku/>
              <w:wordWrap/>
              <w:overflowPunct/>
              <w:topLinePunct w:val="0"/>
              <w:autoSpaceDE/>
              <w:autoSpaceDN/>
              <w:bidi w:val="0"/>
              <w:snapToGrid/>
              <w:spacing w:after="0"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分值：5-4-3-2-1-0</w:t>
            </w:r>
            <w:r>
              <w:rPr>
                <w:rFonts w:hint="eastAsia" w:ascii="宋体" w:hAnsi="宋体" w:eastAsia="宋体" w:cs="宋体"/>
                <w:color w:val="auto"/>
                <w:sz w:val="24"/>
                <w:szCs w:val="24"/>
                <w:highlight w:val="none"/>
              </w:rPr>
              <w:t>。</w:t>
            </w:r>
          </w:p>
        </w:tc>
        <w:tc>
          <w:tcPr>
            <w:tcW w:w="1021" w:type="dxa"/>
            <w:vAlign w:val="center"/>
          </w:tcPr>
          <w:p w14:paraId="6D6743C3">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0-5分</w:t>
            </w:r>
          </w:p>
        </w:tc>
        <w:tc>
          <w:tcPr>
            <w:tcW w:w="1083" w:type="dxa"/>
            <w:vAlign w:val="center"/>
          </w:tcPr>
          <w:p w14:paraId="213371F2">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4F92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1A7C9360">
            <w:pPr>
              <w:pStyle w:val="88"/>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6053" w:type="dxa"/>
            <w:vAlign w:val="center"/>
          </w:tcPr>
          <w:p w14:paraId="2AF2A7A5">
            <w:pPr>
              <w:pStyle w:val="25"/>
              <w:keepNext w:val="0"/>
              <w:keepLines w:val="0"/>
              <w:pageBreakBefore w:val="0"/>
              <w:widowControl/>
              <w:kinsoku/>
              <w:wordWrap/>
              <w:overflowPunct/>
              <w:topLinePunct w:val="0"/>
              <w:bidi w:val="0"/>
              <w:spacing w:line="400" w:lineRule="exact"/>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备品备件</w:t>
            </w:r>
            <w:r>
              <w:rPr>
                <w:rFonts w:hint="eastAsia" w:ascii="宋体" w:hAnsi="宋体" w:eastAsia="宋体" w:cs="宋体"/>
                <w:color w:val="auto"/>
                <w:sz w:val="24"/>
                <w:szCs w:val="24"/>
                <w:highlight w:val="none"/>
                <w:lang w:eastAsia="zh-CN"/>
              </w:rPr>
              <w:t>：</w:t>
            </w:r>
          </w:p>
          <w:p w14:paraId="1C84E876">
            <w:pPr>
              <w:pStyle w:val="25"/>
              <w:keepNext w:val="0"/>
              <w:keepLines w:val="0"/>
              <w:pageBreakBefore w:val="0"/>
              <w:widowControl/>
              <w:kinsoku/>
              <w:wordWrap/>
              <w:overflowPunct/>
              <w:topLinePunct w:val="0"/>
              <w:bidi w:val="0"/>
              <w:spacing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响应人提供</w:t>
            </w:r>
            <w:r>
              <w:rPr>
                <w:rFonts w:hint="eastAsia" w:ascii="宋体" w:hAnsi="宋体" w:eastAsia="宋体" w:cs="宋体"/>
                <w:color w:val="auto"/>
                <w:sz w:val="24"/>
                <w:szCs w:val="24"/>
                <w:highlight w:val="none"/>
              </w:rPr>
              <w:t>备品备件</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的备品备件库的便利性、库存情况进行评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w:t>
            </w:r>
          </w:p>
          <w:p w14:paraId="640BCAB2">
            <w:pPr>
              <w:keepNext w:val="0"/>
              <w:keepLines w:val="0"/>
              <w:pageBreakBefore w:val="0"/>
              <w:kinsoku/>
              <w:wordWrap/>
              <w:overflowPunct/>
              <w:topLinePunct w:val="0"/>
              <w:autoSpaceDE/>
              <w:autoSpaceDN/>
              <w:bidi w:val="0"/>
              <w:snapToGrid/>
              <w:spacing w:after="0"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分值：3-2-1-0</w:t>
            </w:r>
            <w:r>
              <w:rPr>
                <w:rFonts w:hint="eastAsia" w:ascii="宋体" w:hAnsi="宋体" w:eastAsia="宋体" w:cs="宋体"/>
                <w:color w:val="auto"/>
                <w:sz w:val="24"/>
                <w:szCs w:val="24"/>
                <w:highlight w:val="none"/>
              </w:rPr>
              <w:t>。</w:t>
            </w:r>
          </w:p>
        </w:tc>
        <w:tc>
          <w:tcPr>
            <w:tcW w:w="1021" w:type="dxa"/>
            <w:vAlign w:val="center"/>
          </w:tcPr>
          <w:p w14:paraId="0F47E557">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0-3分</w:t>
            </w:r>
          </w:p>
        </w:tc>
        <w:tc>
          <w:tcPr>
            <w:tcW w:w="1083" w:type="dxa"/>
            <w:vAlign w:val="center"/>
          </w:tcPr>
          <w:p w14:paraId="04448D47">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1C41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14:paraId="1B6216A9">
            <w:pPr>
              <w:pStyle w:val="88"/>
              <w:keepNext w:val="0"/>
              <w:keepLines w:val="0"/>
              <w:pageBreakBefore w:val="0"/>
              <w:kinsoku/>
              <w:wordWrap/>
              <w:overflowPunct/>
              <w:topLinePunct w:val="0"/>
              <w:autoSpaceDE/>
              <w:autoSpaceDN/>
              <w:bidi w:val="0"/>
              <w:snapToGrid/>
              <w:spacing w:line="400" w:lineRule="exact"/>
              <w:ind w:left="-199" w:leftChars="-95"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6053" w:type="dxa"/>
            <w:vAlign w:val="center"/>
          </w:tcPr>
          <w:p w14:paraId="2B0ADC33">
            <w:pPr>
              <w:pStyle w:val="25"/>
              <w:keepNext w:val="0"/>
              <w:keepLines w:val="0"/>
              <w:pageBreakBefore w:val="0"/>
              <w:widowControl/>
              <w:kinsoku/>
              <w:wordWrap/>
              <w:overflowPunct/>
              <w:topLinePunct w:val="0"/>
              <w:bidi w:val="0"/>
              <w:spacing w:line="4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响应人提供</w:t>
            </w:r>
            <w:r>
              <w:rPr>
                <w:rFonts w:hint="eastAsia" w:ascii="宋体" w:hAnsi="宋体" w:eastAsia="宋体" w:cs="宋体"/>
                <w:color w:val="auto"/>
                <w:sz w:val="24"/>
                <w:szCs w:val="24"/>
                <w:highlight w:val="none"/>
              </w:rPr>
              <w:t>实施方案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响应人</w:t>
            </w:r>
            <w:r>
              <w:rPr>
                <w:rFonts w:hint="eastAsia" w:ascii="宋体" w:hAnsi="宋体" w:eastAsia="宋体" w:cs="宋体"/>
                <w:color w:val="auto"/>
                <w:sz w:val="24"/>
                <w:szCs w:val="24"/>
                <w:highlight w:val="none"/>
              </w:rPr>
              <w:t>提供的针对本项目的组织实施方案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rPr>
              <w:t>符合要求，切实可行</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进行评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w:t>
            </w:r>
          </w:p>
          <w:p w14:paraId="72077E0E">
            <w:pPr>
              <w:pStyle w:val="25"/>
              <w:keepNext w:val="0"/>
              <w:keepLines w:val="0"/>
              <w:pageBreakBefore w:val="0"/>
              <w:widowControl/>
              <w:kinsoku/>
              <w:wordWrap/>
              <w:overflowPunct/>
              <w:topLinePunct w:val="0"/>
              <w:bidi w:val="0"/>
              <w:spacing w:line="40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分值：5-4-3-2-1-0</w:t>
            </w:r>
            <w:r>
              <w:rPr>
                <w:rFonts w:hint="eastAsia" w:ascii="宋体" w:hAnsi="宋体" w:eastAsia="宋体" w:cs="宋体"/>
                <w:color w:val="auto"/>
                <w:sz w:val="24"/>
                <w:szCs w:val="24"/>
                <w:highlight w:val="none"/>
              </w:rPr>
              <w:t>。</w:t>
            </w:r>
          </w:p>
        </w:tc>
        <w:tc>
          <w:tcPr>
            <w:tcW w:w="1021" w:type="dxa"/>
            <w:vAlign w:val="center"/>
          </w:tcPr>
          <w:p w14:paraId="6469322C">
            <w:pPr>
              <w:keepNext w:val="0"/>
              <w:keepLines w:val="0"/>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0-5分</w:t>
            </w:r>
          </w:p>
        </w:tc>
        <w:tc>
          <w:tcPr>
            <w:tcW w:w="1083" w:type="dxa"/>
            <w:vAlign w:val="center"/>
          </w:tcPr>
          <w:p w14:paraId="5C13FC29">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bl>
    <w:p w14:paraId="591220D6">
      <w:pPr>
        <w:widowControl/>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1、评分条款中涉及的业绩、荣誉、人员、社保等分公司均有效。</w:t>
      </w:r>
    </w:p>
    <w:p w14:paraId="3F3253B3">
      <w:pPr>
        <w:widowControl/>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64E5FC23">
      <w:pPr>
        <w:widowControl/>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3、响应人编</w:t>
      </w:r>
      <w:bookmarkStart w:id="383" w:name="_GoBack"/>
      <w:bookmarkEnd w:id="383"/>
      <w:r>
        <w:rPr>
          <w:rFonts w:hint="eastAsia" w:asciiTheme="minorEastAsia" w:hAnsiTheme="minorEastAsia" w:eastAsiaTheme="minorEastAsia" w:cstheme="minorEastAsia"/>
          <w:color w:val="auto"/>
          <w:sz w:val="24"/>
          <w:highlight w:val="none"/>
        </w:rPr>
        <w:t>制响应文件（商务技术文件部分）时，建议按此目录（序号和内容）提供评审标准相应的商务技术资料。</w:t>
      </w:r>
    </w:p>
    <w:p w14:paraId="0CE49783">
      <w:pPr>
        <w:widowControl/>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2、价格分（</w:t>
      </w:r>
      <w:r>
        <w:rPr>
          <w:rFonts w:hint="eastAsia" w:asciiTheme="minorEastAsia" w:hAnsiTheme="minorEastAsia" w:eastAsiaTheme="minorEastAsia" w:cstheme="minorEastAsia"/>
          <w:b/>
          <w:bCs/>
          <w:color w:val="auto"/>
          <w:sz w:val="24"/>
          <w:highlight w:val="none"/>
          <w:lang w:val="en-US" w:eastAsia="zh-CN"/>
        </w:rPr>
        <w:t>15</w:t>
      </w:r>
      <w:r>
        <w:rPr>
          <w:rFonts w:hint="eastAsia" w:asciiTheme="minorEastAsia" w:hAnsiTheme="minorEastAsia" w:eastAsiaTheme="minorEastAsia" w:cstheme="minorEastAsia"/>
          <w:b/>
          <w:bCs/>
          <w:color w:val="auto"/>
          <w:sz w:val="24"/>
          <w:highlight w:val="none"/>
        </w:rPr>
        <w:t>分）：</w:t>
      </w:r>
    </w:p>
    <w:tbl>
      <w:tblPr>
        <w:tblStyle w:val="64"/>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14:paraId="3F0D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14:paraId="20C3DFBF">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价格权值</w:t>
            </w:r>
          </w:p>
        </w:tc>
        <w:tc>
          <w:tcPr>
            <w:tcW w:w="6905" w:type="dxa"/>
            <w:vAlign w:val="center"/>
          </w:tcPr>
          <w:p w14:paraId="23B8C1F8">
            <w:pPr>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计    算    方    法</w:t>
            </w:r>
          </w:p>
        </w:tc>
      </w:tr>
      <w:tr w14:paraId="2FBA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14:paraId="18CF5B81">
            <w:pPr>
              <w:keepNext w:val="0"/>
              <w:keepLines w:val="0"/>
              <w:pageBreakBefore w:val="0"/>
              <w:kinsoku/>
              <w:wordWrap/>
              <w:overflowPunct/>
              <w:topLinePunct w:val="0"/>
              <w:autoSpaceDE/>
              <w:autoSpaceDN/>
              <w:bidi w:val="0"/>
              <w:adjustRightInd/>
              <w:spacing w:line="400" w:lineRule="exact"/>
              <w:jc w:val="center"/>
              <w:textAlignment w:val="auto"/>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价格权值=0.</w:t>
            </w:r>
            <w:r>
              <w:rPr>
                <w:rFonts w:hint="eastAsia" w:asciiTheme="minorEastAsia" w:hAnsiTheme="minorEastAsia" w:eastAsiaTheme="minorEastAsia" w:cstheme="minorEastAsia"/>
                <w:color w:val="auto"/>
                <w:sz w:val="24"/>
                <w:highlight w:val="none"/>
                <w:lang w:val="en-US" w:eastAsia="zh-CN"/>
              </w:rPr>
              <w:t>15</w:t>
            </w:r>
          </w:p>
        </w:tc>
        <w:tc>
          <w:tcPr>
            <w:tcW w:w="6905" w:type="dxa"/>
            <w:vAlign w:val="center"/>
          </w:tcPr>
          <w:p w14:paraId="6D5CF8A8">
            <w:pPr>
              <w:keepNext w:val="0"/>
              <w:keepLines w:val="0"/>
              <w:pageBreakBefore w:val="0"/>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最低有效响应价格为评标基准价</w:t>
            </w:r>
          </w:p>
          <w:p w14:paraId="6C64821F">
            <w:pPr>
              <w:keepNext w:val="0"/>
              <w:keepLines w:val="0"/>
              <w:pageBreakBefore w:val="0"/>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响应报价得分=(评标基准价／响应报价)×价格权值×100</w:t>
            </w:r>
          </w:p>
          <w:p w14:paraId="5E5FDE60">
            <w:pPr>
              <w:keepNext w:val="0"/>
              <w:keepLines w:val="0"/>
              <w:pageBreakBefore w:val="0"/>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（计算得分保留小数点后2位）</w:t>
            </w:r>
          </w:p>
          <w:p w14:paraId="1EC9B606">
            <w:pPr>
              <w:keepNext w:val="0"/>
              <w:keepLines w:val="0"/>
              <w:pageBreakBefore w:val="0"/>
              <w:widowControl/>
              <w:shd w:val="clear" w:color="auto" w:fill="FFFFFF"/>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评标过程中，不得去掉报价中的最高报价和最低报价。</w:t>
            </w:r>
          </w:p>
        </w:tc>
      </w:tr>
    </w:tbl>
    <w:p w14:paraId="4895720A">
      <w:pPr>
        <w:rPr>
          <w:color w:val="auto"/>
          <w:highlight w:val="none"/>
        </w:rPr>
      </w:pPr>
    </w:p>
    <w:p w14:paraId="1C0F0806">
      <w:pPr>
        <w:snapToGrid w:val="0"/>
        <w:spacing w:line="570" w:lineRule="exact"/>
        <w:rPr>
          <w:rFonts w:hint="eastAsia" w:asciiTheme="minorEastAsia" w:hAnsiTheme="minorEastAsia" w:eastAsiaTheme="minorEastAsia" w:cstheme="minorEastAsia"/>
          <w:b/>
          <w:color w:val="auto"/>
          <w:sz w:val="28"/>
          <w:szCs w:val="28"/>
          <w:highlight w:val="none"/>
        </w:rPr>
      </w:pPr>
    </w:p>
    <w:p w14:paraId="1EA67902">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一、交易方法</w:t>
      </w:r>
    </w:p>
    <w:p w14:paraId="737CFF9D">
      <w:pPr>
        <w:adjustRightInd/>
        <w:spacing w:line="570" w:lineRule="exact"/>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1.本项目采用综合评估法。</w:t>
      </w:r>
      <w:r>
        <w:rPr>
          <w:rFonts w:hint="eastAsia" w:asciiTheme="minorEastAsia" w:hAnsiTheme="minorEastAsia" w:eastAsiaTheme="minorEastAsia" w:cstheme="minorEastAsia"/>
          <w:color w:val="auto"/>
          <w:kern w:val="0"/>
          <w:sz w:val="24"/>
          <w:highlight w:val="none"/>
        </w:rPr>
        <w:t>综合评估法，是指响应文件满足公开竞争文件全部实质性要求，且按照评审因素的量化指标评审得分最高的响应人为成交候选人的评标方法。</w:t>
      </w:r>
    </w:p>
    <w:p w14:paraId="1D672B97">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二、交易标准</w:t>
      </w:r>
    </w:p>
    <w:p w14:paraId="19FFF595">
      <w:pPr>
        <w:spacing w:line="570" w:lineRule="exact"/>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2.评标标准：</w:t>
      </w:r>
      <w:r>
        <w:rPr>
          <w:rFonts w:hint="eastAsia" w:asciiTheme="minorEastAsia" w:hAnsiTheme="minorEastAsia" w:eastAsiaTheme="minorEastAsia" w:cstheme="minorEastAsia"/>
          <w:color w:val="auto"/>
          <w:kern w:val="0"/>
          <w:sz w:val="24"/>
          <w:highlight w:val="none"/>
        </w:rPr>
        <w:t>见交易办法前附表。</w:t>
      </w:r>
    </w:p>
    <w:p w14:paraId="0B7D11AD">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三、交易程序</w:t>
      </w:r>
    </w:p>
    <w:bookmarkEnd w:id="15"/>
    <w:p w14:paraId="581BC455">
      <w:pPr>
        <w:spacing w:line="570" w:lineRule="exact"/>
        <w:ind w:firstLine="472" w:firstLineChars="196"/>
        <w:rPr>
          <w:rFonts w:hint="eastAsia" w:asciiTheme="minorEastAsia" w:hAnsiTheme="minorEastAsia" w:eastAsiaTheme="minorEastAsia" w:cstheme="minorEastAsia"/>
          <w:color w:val="auto"/>
          <w:kern w:val="0"/>
          <w:sz w:val="24"/>
          <w:highlight w:val="none"/>
        </w:rPr>
      </w:pPr>
      <w:bookmarkStart w:id="381" w:name="_Toc86217003"/>
      <w:bookmarkStart w:id="382" w:name="第五部分"/>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3C47CA58">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3.2比较与评价。</w:t>
      </w:r>
      <w:r>
        <w:rPr>
          <w:rFonts w:hint="eastAsia" w:asciiTheme="minorEastAsia" w:hAnsiTheme="minorEastAsia" w:eastAsiaTheme="minorEastAsia" w:cstheme="minorEastAsia"/>
          <w:color w:val="auto"/>
          <w:kern w:val="0"/>
          <w:sz w:val="24"/>
          <w:highlight w:val="none"/>
        </w:rPr>
        <w:t>评审委员会应当按照公开竞争文件中规定的评标方法和标准，对符合性审查合格的响应文件进行商务和技术评估，综合比较与评价。</w:t>
      </w:r>
    </w:p>
    <w:p w14:paraId="292A672A">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评审委员会各成员应当独立对每个响应人的商务和技术文件进行评价，并汇总商务技术得分情况。</w:t>
      </w:r>
    </w:p>
    <w:p w14:paraId="5AC47DE3">
      <w:pPr>
        <w:spacing w:line="570" w:lineRule="exact"/>
        <w:ind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3F1E602E">
      <w:pPr>
        <w:pStyle w:val="139"/>
        <w:spacing w:before="0" w:line="570" w:lineRule="exact"/>
        <w:ind w:firstLine="508" w:firstLineChars="212"/>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3.4.1响应文件报价出现前后不一致的，按照下列规定修正：</w:t>
      </w:r>
    </w:p>
    <w:p w14:paraId="0B5CA213">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3.4.1.1响应文件中交易一览表(报价表)内容与响应文件中相应内容不一致的，以交易一览表(报价表)为准；</w:t>
      </w:r>
    </w:p>
    <w:p w14:paraId="7BC272D0">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6DBB9371">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3.4.1.3单价金额小数点或者百分比有明显错位的，以交易一览表的总价为准，并修改单价；</w:t>
      </w:r>
    </w:p>
    <w:p w14:paraId="501435E2">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3264053B">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w:t>
      </w:r>
    </w:p>
    <w:p w14:paraId="42297203">
      <w:pPr>
        <w:snapToGrid w:val="0"/>
        <w:spacing w:line="57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3.4.2响应文件出现不是唯一的、有选择性交易报价的，交易无效。</w:t>
      </w:r>
    </w:p>
    <w:p w14:paraId="4B07C52A">
      <w:pPr>
        <w:snapToGrid w:val="0"/>
        <w:spacing w:line="57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3.4.3交易报价超过公开竞争文件中规定的预算金额或者最高限价的，交易无效。</w:t>
      </w:r>
    </w:p>
    <w:p w14:paraId="0423C191">
      <w:pPr>
        <w:pStyle w:val="139"/>
        <w:spacing w:before="0" w:line="570" w:lineRule="exact"/>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6AC57AF7">
      <w:pPr>
        <w:spacing w:line="570" w:lineRule="exact"/>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350B44C6">
      <w:pPr>
        <w:spacing w:line="570" w:lineRule="exact"/>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3.6编写评审报告。</w:t>
      </w:r>
      <w:r>
        <w:rPr>
          <w:rFonts w:hint="eastAsia" w:asciiTheme="minorEastAsia" w:hAnsiTheme="minorEastAsia" w:eastAsiaTheme="minorEastAsia" w:cstheme="minorEastAsia"/>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0C5A4144">
      <w:pPr>
        <w:snapToGrid w:val="0"/>
        <w:spacing w:line="570" w:lineRule="exac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四、评标中的其他事项</w:t>
      </w:r>
    </w:p>
    <w:p w14:paraId="7D867F4D">
      <w:pPr>
        <w:pStyle w:val="139"/>
        <w:spacing w:before="0" w:line="570" w:lineRule="exact"/>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4.1响应人澄清、说明或者补正。</w:t>
      </w:r>
      <w:r>
        <w:rPr>
          <w:rFonts w:hint="eastAsia" w:asciiTheme="minorEastAsia" w:hAnsiTheme="minorEastAsia" w:eastAsiaTheme="minorEastAsia" w:cstheme="minorEastAsia"/>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2BCEB69E">
      <w:pPr>
        <w:pStyle w:val="25"/>
        <w:spacing w:line="570" w:lineRule="exact"/>
        <w:ind w:left="954" w:leftChars="226" w:hanging="479"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highlight w:val="none"/>
        </w:rPr>
        <w:t>4.2交易无效。</w:t>
      </w:r>
      <w:r>
        <w:rPr>
          <w:rFonts w:hint="eastAsia" w:asciiTheme="minorEastAsia" w:hAnsiTheme="minorEastAsia" w:eastAsiaTheme="minorEastAsia" w:cstheme="minorEastAsia"/>
          <w:color w:val="auto"/>
          <w:szCs w:val="21"/>
          <w:highlight w:val="none"/>
        </w:rPr>
        <w:t>有下列情形之一的，交易无效：</w:t>
      </w:r>
    </w:p>
    <w:p w14:paraId="344098CD">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4.2.1响应人不具备公开竞争文件中规定的资格要求的（响应人未提供有效的资格文件的，视为响应人不具备公开竞争文件中规定的资格要求）；</w:t>
      </w:r>
    </w:p>
    <w:p w14:paraId="2D32BC4D">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4.2.2响应文件未按照公开竞争文件要求签署、盖章的；</w:t>
      </w:r>
    </w:p>
    <w:p w14:paraId="0E6EA8EC">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4.2.3响应文件含有交易发起人不能接受的附加条件的；</w:t>
      </w:r>
    </w:p>
    <w:p w14:paraId="46531C22">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4.2.4响应文件中承诺的交易有效期少于公开竞争文件中载明的交易有效期的；</w:t>
      </w:r>
    </w:p>
    <w:p w14:paraId="7D6B193E">
      <w:pPr>
        <w:snapToGrid w:val="0"/>
        <w:spacing w:line="570" w:lineRule="exact"/>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4.2.5响应文件出现不是唯一的、有选择性交易报价的；</w:t>
      </w:r>
    </w:p>
    <w:p w14:paraId="10B45803">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4.2.6交易报价超过公开竞争文件中规定的预算金额或者最高限价的；</w:t>
      </w:r>
    </w:p>
    <w:p w14:paraId="71A1218F">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4D916D2D">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4.2.8响应人对根据修正原则修正后的报价不确认的；</w:t>
      </w:r>
    </w:p>
    <w:p w14:paraId="5F16257F">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4.2.9响应人提供虚假材料投标的；</w:t>
      </w:r>
    </w:p>
    <w:p w14:paraId="6FA96448">
      <w:pPr>
        <w:spacing w:line="570" w:lineRule="exact"/>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4.2.10响应人有恶意串通、妨碍其他响应人的竞争行为、损害交易发起人或者其他响应人的合法权益情形的；</w:t>
      </w:r>
    </w:p>
    <w:p w14:paraId="5079149E">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4.2.11响应人未在电子交易平台传输递交响应文件的，交易无效；</w:t>
      </w:r>
    </w:p>
    <w:p w14:paraId="5018D1FB">
      <w:pPr>
        <w:pStyle w:val="3"/>
        <w:spacing w:line="570" w:lineRule="exact"/>
        <w:ind w:left="862" w:leftChars="205"/>
        <w:rPr>
          <w:rFonts w:hint="eastAsia"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en-US"/>
        </w:rPr>
        <w:t>4.2.12响应文件不满足公开竞争文件的其它实质性要求的；</w:t>
      </w:r>
    </w:p>
    <w:p w14:paraId="633C6931">
      <w:pPr>
        <w:spacing w:line="57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4.2.13法律、法规、规章（适用本市的）及省级以上规范性文件（适用本市的）规定的其他无效情形。</w:t>
      </w:r>
    </w:p>
    <w:p w14:paraId="1F9C62EE">
      <w:pPr>
        <w:pStyle w:val="25"/>
        <w:snapToGrid w:val="0"/>
        <w:spacing w:line="570" w:lineRule="exact"/>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根据《中华人民共和国政府采购法》第三十六条之规定，在交易过程中，出现下列情形之一的，应予废标：</w:t>
      </w:r>
    </w:p>
    <w:p w14:paraId="4D8C0E0A">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5.1符合专业条件的响应人或者对公开竞争文件作实质响应的响应人不足3家的；</w:t>
      </w:r>
    </w:p>
    <w:p w14:paraId="11037DB6">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4DFA6E0E">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5.3响应人的报价均超过了采购预算，交易发起人不能支付的；</w:t>
      </w:r>
    </w:p>
    <w:p w14:paraId="1B5CFF1B">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59B3777D">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废标后，代理机构应当将废标理由通知所有响应人。</w:t>
      </w:r>
    </w:p>
    <w:p w14:paraId="54FBD797">
      <w:pPr>
        <w:pStyle w:val="25"/>
        <w:snapToGrid w:val="0"/>
        <w:spacing w:line="570" w:lineRule="exact"/>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6.修改公开竞争文件，重新组织交易活动。</w:t>
      </w:r>
      <w:r>
        <w:rPr>
          <w:rFonts w:hint="eastAsia" w:asciiTheme="minorEastAsia" w:hAnsiTheme="minorEastAsia" w:eastAsiaTheme="minorEastAsia" w:cstheme="minorEastAsia"/>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5C8AAC3F">
      <w:pPr>
        <w:pStyle w:val="25"/>
        <w:snapToGrid w:val="0"/>
        <w:spacing w:line="570" w:lineRule="exact"/>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7.重新开展交易。</w:t>
      </w:r>
      <w:r>
        <w:rPr>
          <w:rFonts w:hint="eastAsia" w:asciiTheme="minorEastAsia" w:hAnsiTheme="minorEastAsia" w:eastAsiaTheme="minorEastAsia" w:cstheme="minorEastAsia"/>
          <w:color w:val="auto"/>
          <w:highlight w:val="none"/>
        </w:rPr>
        <w:t>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、成交结果的，依照下列规定处理：</w:t>
      </w:r>
    </w:p>
    <w:p w14:paraId="4EFED869">
      <w:pPr>
        <w:pStyle w:val="25"/>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或者成交人的，终止本次交易活动，重新开展交易活动。</w:t>
      </w:r>
    </w:p>
    <w:p w14:paraId="21C100B9">
      <w:pPr>
        <w:pStyle w:val="25"/>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或者成交人但尚未签订合同的，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或者成交结果无效，从合格的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0445851D">
      <w:pPr>
        <w:pStyle w:val="25"/>
        <w:snapToGrid w:val="0"/>
        <w:spacing w:line="570" w:lineRule="exact"/>
        <w:ind w:firstLine="600"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7.3书面合同已签订但尚未履行的，撤销合同，从合格的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或者成交候选人中另行确定</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或者成交人；没有合格的</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或者成交候选人的，重新开展交易活动。</w:t>
      </w:r>
    </w:p>
    <w:p w14:paraId="7A105D15">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7.4书面合同已经履行，给交易发起人、响应人造成损失的，由责任人承担赔偿责任。</w:t>
      </w:r>
    </w:p>
    <w:p w14:paraId="60CFEDA1">
      <w:pPr>
        <w:pStyle w:val="25"/>
        <w:snapToGrid w:val="0"/>
        <w:spacing w:line="57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7.5交易当事人有其他违反政府采购法</w:t>
      </w:r>
      <w:r>
        <w:rPr>
          <w:rFonts w:hint="eastAsia" w:asciiTheme="minorEastAsia" w:hAnsiTheme="minorEastAsia" w:eastAsiaTheme="minorEastAsia" w:cstheme="minorEastAsia"/>
          <w:color w:val="auto"/>
          <w:kern w:val="0"/>
          <w:highlight w:val="none"/>
        </w:rPr>
        <w:t>或者政府采购法实施条例等法律法规规定</w:t>
      </w:r>
      <w:r>
        <w:rPr>
          <w:rFonts w:hint="eastAsia" w:asciiTheme="minorEastAsia" w:hAnsiTheme="minorEastAsia" w:eastAsiaTheme="minorEastAsia" w:cstheme="minorEastAsia"/>
          <w:color w:val="auto"/>
          <w:highlight w:val="none"/>
        </w:rPr>
        <w:t>的行为，经改正后仍然影响或者可能影响</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、成交结果或者依法被认定为</w:t>
      </w:r>
      <w:r>
        <w:rPr>
          <w:rFonts w:hint="eastAsia" w:asciiTheme="minorEastAsia" w:hAnsiTheme="minorEastAsia" w:eastAsiaTheme="minorEastAsia" w:cstheme="minorEastAsia"/>
          <w:color w:val="auto"/>
          <w:kern w:val="0"/>
          <w:highlight w:val="none"/>
        </w:rPr>
        <w:t>成交</w:t>
      </w:r>
      <w:r>
        <w:rPr>
          <w:rFonts w:hint="eastAsia" w:asciiTheme="minorEastAsia" w:hAnsiTheme="minorEastAsia" w:eastAsiaTheme="minorEastAsia" w:cstheme="minorEastAsia"/>
          <w:color w:val="auto"/>
          <w:highlight w:val="none"/>
        </w:rPr>
        <w:t>、成交无效的，依照7.1-7.4规定处理。</w:t>
      </w:r>
    </w:p>
    <w:p w14:paraId="23DC3532">
      <w:pPr>
        <w:pStyle w:val="25"/>
        <w:snapToGrid w:val="0"/>
        <w:spacing w:line="360" w:lineRule="auto"/>
        <w:rPr>
          <w:rFonts w:hint="eastAsia" w:asciiTheme="minorEastAsia" w:hAnsiTheme="minorEastAsia" w:eastAsiaTheme="minorEastAsia" w:cstheme="minorEastAsia"/>
          <w:color w:val="auto"/>
          <w:highlight w:val="none"/>
        </w:rPr>
      </w:pPr>
    </w:p>
    <w:p w14:paraId="51F194BB">
      <w:pPr>
        <w:pStyle w:val="16"/>
        <w:rPr>
          <w:rFonts w:hint="eastAsia" w:asciiTheme="minorEastAsia" w:hAnsiTheme="minorEastAsia" w:eastAsiaTheme="minorEastAsia" w:cstheme="minorEastAsia"/>
          <w:color w:val="auto"/>
          <w:highlight w:val="none"/>
        </w:rPr>
      </w:pPr>
    </w:p>
    <w:p w14:paraId="3BE3B468">
      <w:pPr>
        <w:rPr>
          <w:rFonts w:hint="eastAsia" w:asciiTheme="minorEastAsia" w:hAnsiTheme="minorEastAsia" w:eastAsiaTheme="minorEastAsia" w:cstheme="minorEastAsia"/>
          <w:color w:val="auto"/>
          <w:highlight w:val="none"/>
        </w:rPr>
      </w:pPr>
    </w:p>
    <w:p w14:paraId="298CD7E5">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1B432511">
      <w:pPr>
        <w:numPr>
          <w:ilvl w:val="0"/>
          <w:numId w:val="2"/>
        </w:numPr>
        <w:spacing w:line="360" w:lineRule="auto"/>
        <w:ind w:left="718" w:leftChars="342" w:firstLine="119" w:firstLineChars="33"/>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拟签订的合同文本</w:t>
      </w:r>
    </w:p>
    <w:p w14:paraId="19504AD1">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（以最终签订版本为准）</w:t>
      </w:r>
    </w:p>
    <w:p w14:paraId="476B09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杭州市萧山区第一人民医院劳尔水处理保修</w:t>
      </w:r>
      <w:r>
        <w:rPr>
          <w:rFonts w:hint="eastAsia" w:ascii="宋体" w:hAnsi="宋体" w:eastAsia="宋体" w:cs="宋体"/>
          <w:color w:val="auto"/>
          <w:sz w:val="24"/>
          <w:szCs w:val="24"/>
          <w:highlight w:val="none"/>
          <w:lang w:val="en-US" w:eastAsia="zh-CN"/>
        </w:rPr>
        <w:t>合同</w:t>
      </w:r>
    </w:p>
    <w:p w14:paraId="4CC399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p>
    <w:p w14:paraId="63E7A7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pacing w:val="-3"/>
          <w:sz w:val="24"/>
          <w:szCs w:val="24"/>
          <w:highlight w:val="none"/>
        </w:rPr>
        <w:t>杭州市萧山区第一人民医院</w:t>
      </w:r>
      <w:r>
        <w:rPr>
          <w:rFonts w:hint="eastAsia" w:ascii="宋体" w:hAnsi="宋体" w:eastAsia="宋体" w:cs="宋体"/>
          <w:color w:val="auto"/>
          <w:spacing w:val="-3"/>
          <w:sz w:val="24"/>
          <w:szCs w:val="24"/>
          <w:highlight w:val="none"/>
          <w:lang w:eastAsia="zh-CN"/>
        </w:rPr>
        <w:t>（以下简称甲方）</w:t>
      </w:r>
    </w:p>
    <w:p w14:paraId="2AA6A0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pacing w:val="-3"/>
          <w:sz w:val="24"/>
          <w:szCs w:val="24"/>
          <w:highlight w:val="none"/>
          <w:lang w:val="en-US" w:eastAsia="zh-CN"/>
        </w:rPr>
        <w:t xml:space="preserve">：                        </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2"/>
          <w:sz w:val="24"/>
          <w:szCs w:val="24"/>
          <w:highlight w:val="none"/>
          <w:lang w:eastAsia="zh-CN"/>
        </w:rPr>
        <w:t>以下简称乙方）</w:t>
      </w:r>
    </w:p>
    <w:p w14:paraId="03168A39">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4"/>
          <w:sz w:val="24"/>
          <w:szCs w:val="24"/>
          <w:highlight w:val="none"/>
        </w:rPr>
        <w:t>根据《中华人民共和国民</w:t>
      </w:r>
      <w:r>
        <w:rPr>
          <w:rFonts w:hint="eastAsia" w:ascii="宋体" w:hAnsi="宋体" w:eastAsia="宋体" w:cs="宋体"/>
          <w:color w:val="auto"/>
          <w:spacing w:val="-2"/>
          <w:sz w:val="24"/>
          <w:szCs w:val="24"/>
          <w:highlight w:val="none"/>
          <w:lang w:eastAsia="zh-CN"/>
        </w:rPr>
        <w:t>法典》的有关规定，结合甲方</w:t>
      </w:r>
      <w:r>
        <w:rPr>
          <w:rFonts w:hint="eastAsia" w:ascii="宋体" w:hAnsi="宋体" w:cs="宋体"/>
          <w:color w:val="auto"/>
          <w:spacing w:val="-2"/>
          <w:sz w:val="24"/>
          <w:szCs w:val="24"/>
          <w:highlight w:val="none"/>
          <w:u w:val="single"/>
          <w:lang w:eastAsia="zh-CN"/>
        </w:rPr>
        <w:t>劳尔水处理保修采购项目</w:t>
      </w:r>
      <w:r>
        <w:rPr>
          <w:rFonts w:hint="eastAsia" w:ascii="宋体" w:hAnsi="宋体" w:eastAsia="宋体" w:cs="宋体"/>
          <w:color w:val="auto"/>
          <w:spacing w:val="-2"/>
          <w:sz w:val="24"/>
          <w:szCs w:val="24"/>
          <w:highlight w:val="none"/>
          <w:lang w:eastAsia="zh-CN"/>
        </w:rPr>
        <w:t>（项目</w:t>
      </w:r>
      <w:r>
        <w:rPr>
          <w:rFonts w:hint="eastAsia" w:ascii="宋体" w:hAnsi="宋体" w:eastAsia="宋体" w:cs="宋体"/>
          <w:color w:val="auto"/>
          <w:spacing w:val="-4"/>
          <w:sz w:val="24"/>
          <w:szCs w:val="24"/>
          <w:highlight w:val="none"/>
        </w:rPr>
        <w:t>编</w:t>
      </w:r>
      <w:r>
        <w:rPr>
          <w:rFonts w:hint="eastAsia" w:ascii="宋体" w:hAnsi="宋体" w:eastAsia="宋体" w:cs="宋体"/>
          <w:color w:val="auto"/>
          <w:spacing w:val="-2"/>
          <w:sz w:val="24"/>
          <w:szCs w:val="24"/>
          <w:highlight w:val="none"/>
        </w:rPr>
        <w:t>号：</w:t>
      </w:r>
      <w:r>
        <w:rPr>
          <w:rFonts w:hint="eastAsia" w:asciiTheme="minorEastAsia" w:hAnsiTheme="minorEastAsia" w:eastAsiaTheme="minorEastAsia" w:cstheme="minorEastAsia"/>
          <w:bCs/>
          <w:color w:val="auto"/>
          <w:sz w:val="24"/>
          <w:highlight w:val="none"/>
          <w:lang w:eastAsia="zh-CN"/>
        </w:rPr>
        <w:t>XSYY2025-GJ-12（2）</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2"/>
          <w:sz w:val="24"/>
          <w:szCs w:val="24"/>
          <w:highlight w:val="none"/>
        </w:rPr>
        <w:t>公开</w:t>
      </w:r>
      <w:r>
        <w:rPr>
          <w:rFonts w:hint="eastAsia" w:ascii="宋体" w:hAnsi="宋体" w:cs="宋体"/>
          <w:color w:val="auto"/>
          <w:spacing w:val="-2"/>
          <w:sz w:val="24"/>
          <w:szCs w:val="24"/>
          <w:highlight w:val="none"/>
          <w:lang w:val="en-US" w:eastAsia="zh-CN"/>
        </w:rPr>
        <w:t>竞争</w:t>
      </w:r>
      <w:r>
        <w:rPr>
          <w:rFonts w:hint="eastAsia" w:ascii="宋体" w:hAnsi="宋体" w:eastAsia="宋体" w:cs="宋体"/>
          <w:b w:val="0"/>
          <w:bCs w:val="0"/>
          <w:color w:val="auto"/>
          <w:spacing w:val="-2"/>
          <w:sz w:val="24"/>
          <w:szCs w:val="24"/>
          <w:highlight w:val="none"/>
        </w:rPr>
        <w:t>结果</w:t>
      </w:r>
      <w:r>
        <w:rPr>
          <w:rFonts w:hint="eastAsia" w:ascii="宋体" w:hAnsi="宋体" w:eastAsia="宋体" w:cs="宋体"/>
          <w:color w:val="auto"/>
          <w:spacing w:val="-2"/>
          <w:sz w:val="24"/>
          <w:szCs w:val="24"/>
          <w:highlight w:val="none"/>
        </w:rPr>
        <w:t>，甲方</w:t>
      </w:r>
      <w:r>
        <w:rPr>
          <w:rFonts w:hint="eastAsia" w:ascii="宋体" w:hAnsi="宋体" w:eastAsia="宋体" w:cs="宋体"/>
          <w:color w:val="auto"/>
          <w:spacing w:val="-3"/>
          <w:sz w:val="24"/>
          <w:szCs w:val="24"/>
          <w:highlight w:val="none"/>
        </w:rPr>
        <w:t>委托乙方提供设备维保服务，确保甲方设备安全可靠运行，以满足临床工作需求，经甲、乙双方协商</w:t>
      </w:r>
      <w:r>
        <w:rPr>
          <w:rFonts w:hint="eastAsia" w:ascii="宋体" w:hAnsi="宋体" w:eastAsia="宋体" w:cs="宋体"/>
          <w:color w:val="auto"/>
          <w:spacing w:val="-1"/>
          <w:sz w:val="24"/>
          <w:szCs w:val="24"/>
          <w:highlight w:val="none"/>
        </w:rPr>
        <w:t>一致，签订本合同，共同信守</w:t>
      </w:r>
      <w:r>
        <w:rPr>
          <w:rFonts w:hint="eastAsia" w:ascii="宋体" w:hAnsi="宋体" w:eastAsia="宋体" w:cs="宋体"/>
          <w:color w:val="auto"/>
          <w:spacing w:val="-1"/>
          <w:sz w:val="24"/>
          <w:szCs w:val="24"/>
          <w:highlight w:val="none"/>
          <w:lang w:eastAsia="zh-CN"/>
        </w:rPr>
        <w:t>。</w:t>
      </w:r>
    </w:p>
    <w:p w14:paraId="608DDF24">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4"/>
          <w:szCs w:val="24"/>
          <w:highlight w:val="none"/>
          <w:lang w:eastAsia="zh-CN"/>
        </w:rPr>
        <w:t>维保内容</w:t>
      </w:r>
    </w:p>
    <w:tbl>
      <w:tblPr>
        <w:tblStyle w:val="64"/>
        <w:tblW w:w="5680" w:type="pct"/>
        <w:jc w:val="center"/>
        <w:tblLayout w:type="autofit"/>
        <w:tblCellMar>
          <w:top w:w="0" w:type="dxa"/>
          <w:left w:w="0" w:type="dxa"/>
          <w:bottom w:w="0" w:type="dxa"/>
          <w:right w:w="0" w:type="dxa"/>
        </w:tblCellMar>
      </w:tblPr>
      <w:tblGrid>
        <w:gridCol w:w="645"/>
        <w:gridCol w:w="1810"/>
        <w:gridCol w:w="2068"/>
        <w:gridCol w:w="2081"/>
        <w:gridCol w:w="2112"/>
        <w:gridCol w:w="1624"/>
      </w:tblGrid>
      <w:tr w14:paraId="7F207F4D">
        <w:tblPrEx>
          <w:tblCellMar>
            <w:top w:w="0" w:type="dxa"/>
            <w:left w:w="0" w:type="dxa"/>
            <w:bottom w:w="0" w:type="dxa"/>
            <w:right w:w="0" w:type="dxa"/>
          </w:tblCellMar>
        </w:tblPrEx>
        <w:trPr>
          <w:cantSplit/>
          <w:trHeight w:val="514" w:hRule="atLeast"/>
          <w:jc w:val="center"/>
        </w:trPr>
        <w:tc>
          <w:tcPr>
            <w:tcW w:w="31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89B661">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序号</w:t>
            </w:r>
          </w:p>
        </w:tc>
        <w:tc>
          <w:tcPr>
            <w:tcW w:w="8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D670700">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00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98EC15">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设备品牌型号</w:t>
            </w:r>
          </w:p>
        </w:tc>
        <w:tc>
          <w:tcPr>
            <w:tcW w:w="100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1ABD1BB">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设备序列号</w:t>
            </w:r>
          </w:p>
        </w:tc>
        <w:tc>
          <w:tcPr>
            <w:tcW w:w="102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01EE45">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服务要求</w:t>
            </w:r>
            <w:r>
              <w:rPr>
                <w:rFonts w:hint="eastAsia" w:ascii="宋体" w:hAnsi="宋体" w:eastAsia="宋体" w:cs="宋体"/>
                <w:color w:val="auto"/>
                <w:sz w:val="24"/>
                <w:highlight w:val="none"/>
                <w:lang w:val="en-US" w:eastAsia="zh-CN"/>
              </w:rPr>
              <w:t>及</w:t>
            </w:r>
          </w:p>
          <w:p w14:paraId="7A90260B">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服务标准</w:t>
            </w:r>
          </w:p>
        </w:tc>
        <w:tc>
          <w:tcPr>
            <w:tcW w:w="78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E2E816">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总价</w:t>
            </w:r>
            <w:r>
              <w:rPr>
                <w:rFonts w:hint="eastAsia" w:ascii="宋体" w:hAnsi="宋体" w:eastAsia="宋体" w:cs="宋体"/>
                <w:color w:val="auto"/>
                <w:sz w:val="24"/>
                <w:highlight w:val="none"/>
                <w:lang w:val="en-US" w:eastAsia="zh-CN"/>
              </w:rPr>
              <w:t>(元)</w:t>
            </w:r>
          </w:p>
        </w:tc>
      </w:tr>
      <w:tr w14:paraId="35A4F050">
        <w:tblPrEx>
          <w:tblCellMar>
            <w:top w:w="0" w:type="dxa"/>
            <w:left w:w="0" w:type="dxa"/>
            <w:bottom w:w="0" w:type="dxa"/>
            <w:right w:w="0" w:type="dxa"/>
          </w:tblCellMar>
        </w:tblPrEx>
        <w:trPr>
          <w:cantSplit/>
          <w:trHeight w:val="735" w:hRule="atLeast"/>
          <w:jc w:val="center"/>
        </w:trPr>
        <w:tc>
          <w:tcPr>
            <w:tcW w:w="31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EE15CC">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75"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A88269F">
            <w:pPr>
              <w:keepNext w:val="0"/>
              <w:keepLines w:val="0"/>
              <w:pageBreakBefore w:val="0"/>
              <w:kinsoku/>
              <w:wordWrap/>
              <w:overflowPunct/>
              <w:topLinePunct w:val="0"/>
              <w:bidi w:val="0"/>
              <w:adjustRightInd w:val="0"/>
              <w:spacing w:line="240" w:lineRule="auto"/>
              <w:jc w:val="center"/>
              <w:textAlignment w:val="auto"/>
              <w:rPr>
                <w:rFonts w:hint="eastAsia" w:ascii="宋体" w:hAnsi="宋体" w:eastAsia="宋体" w:cs="宋体"/>
                <w:color w:val="auto"/>
                <w:sz w:val="24"/>
                <w:highlight w:val="none"/>
                <w:lang w:val="en-US" w:eastAsia="zh-CN"/>
              </w:rPr>
            </w:pPr>
          </w:p>
        </w:tc>
        <w:tc>
          <w:tcPr>
            <w:tcW w:w="100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A3CF5A">
            <w:pPr>
              <w:pStyle w:val="3"/>
              <w:jc w:val="center"/>
              <w:rPr>
                <w:rFonts w:hint="eastAsia" w:ascii="宋体" w:hAnsi="宋体" w:eastAsia="宋体" w:cs="宋体"/>
                <w:color w:val="auto"/>
                <w:highlight w:val="none"/>
                <w:lang w:val="en-US" w:eastAsia="zh-CN"/>
              </w:rPr>
            </w:pPr>
          </w:p>
        </w:tc>
        <w:tc>
          <w:tcPr>
            <w:tcW w:w="100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4E7B71">
            <w:pPr>
              <w:spacing w:line="240" w:lineRule="auto"/>
              <w:jc w:val="center"/>
              <w:rPr>
                <w:rFonts w:hint="eastAsia" w:ascii="宋体" w:hAnsi="宋体" w:eastAsia="宋体" w:cs="宋体"/>
                <w:color w:val="auto"/>
                <w:sz w:val="24"/>
                <w:highlight w:val="none"/>
                <w:lang w:val="en-US" w:eastAsia="zh-CN"/>
              </w:rPr>
            </w:pPr>
          </w:p>
        </w:tc>
        <w:tc>
          <w:tcPr>
            <w:tcW w:w="102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DDEB76">
            <w:pPr>
              <w:pStyle w:val="3"/>
              <w:jc w:val="center"/>
              <w:rPr>
                <w:rFonts w:hint="eastAsia" w:ascii="宋体" w:hAnsi="宋体" w:eastAsia="宋体" w:cs="宋体"/>
                <w:color w:val="auto"/>
                <w:highlight w:val="none"/>
                <w:lang w:val="en-US" w:eastAsia="zh-CN"/>
              </w:rPr>
            </w:pPr>
          </w:p>
        </w:tc>
        <w:tc>
          <w:tcPr>
            <w:tcW w:w="785"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1BF8CC">
            <w:pPr>
              <w:spacing w:line="240" w:lineRule="auto"/>
              <w:jc w:val="center"/>
              <w:rPr>
                <w:rFonts w:hint="eastAsia" w:ascii="宋体" w:hAnsi="宋体" w:eastAsia="宋体" w:cs="宋体"/>
                <w:color w:val="auto"/>
                <w:sz w:val="24"/>
                <w:highlight w:val="none"/>
                <w:lang w:val="en-US" w:eastAsia="zh-CN"/>
              </w:rPr>
            </w:pPr>
          </w:p>
        </w:tc>
      </w:tr>
      <w:tr w14:paraId="75540E73">
        <w:tblPrEx>
          <w:tblCellMar>
            <w:top w:w="0" w:type="dxa"/>
            <w:left w:w="0" w:type="dxa"/>
            <w:bottom w:w="0" w:type="dxa"/>
            <w:right w:w="0" w:type="dxa"/>
          </w:tblCellMar>
        </w:tblPrEx>
        <w:trPr>
          <w:cantSplit/>
          <w:trHeight w:val="735" w:hRule="atLeast"/>
          <w:jc w:val="center"/>
        </w:trPr>
        <w:tc>
          <w:tcPr>
            <w:tcW w:w="2187"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4C5EF6">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合同金额（小写）</w:t>
            </w:r>
          </w:p>
        </w:tc>
        <w:tc>
          <w:tcPr>
            <w:tcW w:w="2812"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B89F4D">
            <w:pPr>
              <w:spacing w:line="240" w:lineRule="auto"/>
              <w:jc w:val="center"/>
              <w:rPr>
                <w:rFonts w:hint="eastAsia" w:ascii="宋体" w:hAnsi="宋体" w:eastAsia="宋体" w:cs="宋体"/>
                <w:color w:val="auto"/>
                <w:sz w:val="24"/>
                <w:szCs w:val="24"/>
                <w:highlight w:val="none"/>
                <w:lang w:val="en-US" w:eastAsia="zh-CN"/>
              </w:rPr>
            </w:pPr>
          </w:p>
        </w:tc>
      </w:tr>
      <w:tr w14:paraId="089DCC46">
        <w:tblPrEx>
          <w:tblCellMar>
            <w:top w:w="0" w:type="dxa"/>
            <w:left w:w="0" w:type="dxa"/>
            <w:bottom w:w="0" w:type="dxa"/>
            <w:right w:w="0" w:type="dxa"/>
          </w:tblCellMar>
        </w:tblPrEx>
        <w:trPr>
          <w:cantSplit/>
          <w:trHeight w:val="735" w:hRule="atLeast"/>
          <w:jc w:val="center"/>
        </w:trPr>
        <w:tc>
          <w:tcPr>
            <w:tcW w:w="2187"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CC79CE">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eastAsia="zh-CN"/>
              </w:rPr>
              <w:t>合同金额（大写）</w:t>
            </w:r>
          </w:p>
        </w:tc>
        <w:tc>
          <w:tcPr>
            <w:tcW w:w="2812" w:type="pct"/>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F9F44D">
            <w:pPr>
              <w:spacing w:line="240" w:lineRule="auto"/>
              <w:jc w:val="center"/>
              <w:rPr>
                <w:rFonts w:hint="eastAsia" w:ascii="宋体" w:hAnsi="宋体" w:eastAsia="宋体" w:cs="宋体"/>
                <w:color w:val="auto"/>
                <w:sz w:val="24"/>
                <w:szCs w:val="24"/>
                <w:highlight w:val="none"/>
                <w:lang w:val="en-US" w:eastAsia="zh-CN"/>
              </w:rPr>
            </w:pPr>
          </w:p>
        </w:tc>
      </w:tr>
    </w:tbl>
    <w:p w14:paraId="186F8DC4">
      <w:pPr>
        <w:pStyle w:val="24"/>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宋体" w:hAnsi="宋体" w:eastAsia="宋体" w:cs="宋体"/>
          <w:b/>
          <w:bCs/>
          <w:color w:val="auto"/>
          <w:spacing w:val="-5"/>
          <w:sz w:val="24"/>
          <w:szCs w:val="24"/>
          <w:highlight w:val="none"/>
          <w:lang w:val="en-US" w:eastAsia="zh-CN"/>
        </w:rPr>
      </w:pPr>
      <w:r>
        <w:rPr>
          <w:rFonts w:hint="eastAsia" w:ascii="宋体" w:hAnsi="宋体" w:eastAsia="宋体" w:cs="宋体"/>
          <w:b/>
          <w:bCs/>
          <w:color w:val="auto"/>
          <w:spacing w:val="-5"/>
          <w:sz w:val="24"/>
          <w:szCs w:val="24"/>
          <w:highlight w:val="none"/>
          <w:lang w:eastAsia="zh-CN"/>
        </w:rPr>
        <w:t>备注</w:t>
      </w:r>
      <w:r>
        <w:rPr>
          <w:rFonts w:hint="eastAsia" w:ascii="宋体" w:hAnsi="宋体" w:eastAsia="宋体" w:cs="宋体"/>
          <w:b/>
          <w:bCs/>
          <w:color w:val="auto"/>
          <w:spacing w:val="-5"/>
          <w:sz w:val="24"/>
          <w:szCs w:val="24"/>
          <w:highlight w:val="none"/>
          <w:lang w:val="en-US" w:eastAsia="zh-CN"/>
        </w:rPr>
        <w:t>:</w:t>
      </w:r>
    </w:p>
    <w:p w14:paraId="43593A6E">
      <w:pPr>
        <w:pStyle w:val="24"/>
        <w:keepNext w:val="0"/>
        <w:keepLines w:val="0"/>
        <w:pageBreakBefore w:val="0"/>
        <w:widowControl w:val="0"/>
        <w:kinsoku/>
        <w:wordWrap/>
        <w:overflowPunct/>
        <w:topLinePunct w:val="0"/>
        <w:autoSpaceDE/>
        <w:autoSpaceDN/>
        <w:bidi w:val="0"/>
        <w:adjustRightInd/>
        <w:snapToGrid/>
        <w:spacing w:line="360" w:lineRule="auto"/>
        <w:ind w:left="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二、维保期限</w:t>
      </w:r>
    </w:p>
    <w:p w14:paraId="793E53DA">
      <w:pPr>
        <w:pStyle w:val="24"/>
        <w:keepNext w:val="0"/>
        <w:keepLines w:val="0"/>
        <w:pageBreakBefore w:val="0"/>
        <w:widowControl w:val="0"/>
        <w:kinsoku/>
        <w:wordWrap/>
        <w:overflowPunct/>
        <w:topLinePunct w:val="0"/>
        <w:autoSpaceDE/>
        <w:autoSpaceDN/>
        <w:bidi w:val="0"/>
        <w:adjustRightInd/>
        <w:snapToGrid/>
        <w:spacing w:line="360" w:lineRule="auto"/>
        <w:ind w:firstLine="448" w:firstLineChars="200"/>
        <w:jc w:val="both"/>
        <w:textAlignment w:val="auto"/>
        <w:outlineLvl w:val="9"/>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维保期限</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40"/>
          <w:sz w:val="24"/>
          <w:szCs w:val="24"/>
          <w:highlight w:val="none"/>
          <w:lang w:eastAsia="zh-CN"/>
        </w:rPr>
        <w:t>：</w:t>
      </w:r>
      <w:r>
        <w:rPr>
          <w:rFonts w:hint="eastAsia" w:ascii="宋体" w:hAnsi="宋体" w:eastAsia="宋体" w:cs="宋体"/>
          <w:color w:val="auto"/>
          <w:spacing w:val="-2"/>
          <w:sz w:val="24"/>
          <w:szCs w:val="24"/>
          <w:highlight w:val="none"/>
          <w:lang w:eastAsia="zh-CN"/>
        </w:rPr>
        <w:t>自合同签订生效起</w:t>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pacing w:val="-2"/>
          <w:sz w:val="24"/>
          <w:szCs w:val="24"/>
          <w:highlight w:val="none"/>
          <w:lang w:val="en-US" w:eastAsia="zh-CN"/>
        </w:rPr>
        <w:t>年，即XXXX</w:t>
      </w:r>
      <w:r>
        <w:rPr>
          <w:rFonts w:hint="eastAsia" w:ascii="宋体" w:hAnsi="宋体" w:eastAsia="宋体" w:cs="宋体"/>
          <w:color w:val="auto"/>
          <w:spacing w:val="-2"/>
          <w:sz w:val="24"/>
          <w:szCs w:val="24"/>
          <w:highlight w:val="none"/>
        </w:rPr>
        <w:t>年</w:t>
      </w:r>
      <w:r>
        <w:rPr>
          <w:rFonts w:hint="eastAsia" w:ascii="宋体" w:hAnsi="宋体" w:eastAsia="宋体" w:cs="宋体"/>
          <w:color w:val="auto"/>
          <w:spacing w:val="-2"/>
          <w:sz w:val="24"/>
          <w:szCs w:val="24"/>
          <w:highlight w:val="none"/>
          <w:lang w:val="en-US" w:eastAsia="zh-CN"/>
        </w:rPr>
        <w:t>XX</w:t>
      </w:r>
      <w:r>
        <w:rPr>
          <w:rFonts w:hint="eastAsia" w:ascii="宋体" w:hAnsi="宋体" w:eastAsia="宋体" w:cs="宋体"/>
          <w:color w:val="auto"/>
          <w:spacing w:val="-2"/>
          <w:sz w:val="24"/>
          <w:szCs w:val="24"/>
          <w:highlight w:val="none"/>
        </w:rPr>
        <w:t>月</w:t>
      </w:r>
      <w:r>
        <w:rPr>
          <w:rFonts w:hint="eastAsia" w:ascii="宋体" w:hAnsi="宋体" w:eastAsia="宋体" w:cs="宋体"/>
          <w:color w:val="auto"/>
          <w:spacing w:val="-2"/>
          <w:sz w:val="24"/>
          <w:szCs w:val="24"/>
          <w:highlight w:val="none"/>
          <w:lang w:val="en-US" w:eastAsia="zh-CN"/>
        </w:rPr>
        <w:t>XX</w:t>
      </w:r>
      <w:r>
        <w:rPr>
          <w:rFonts w:hint="eastAsia" w:ascii="宋体" w:hAnsi="宋体" w:eastAsia="宋体" w:cs="宋体"/>
          <w:color w:val="auto"/>
          <w:spacing w:val="-2"/>
          <w:sz w:val="24"/>
          <w:szCs w:val="24"/>
          <w:highlight w:val="none"/>
        </w:rPr>
        <w:t>日至</w:t>
      </w:r>
      <w:r>
        <w:rPr>
          <w:rFonts w:hint="eastAsia" w:ascii="宋体" w:hAnsi="宋体" w:eastAsia="宋体" w:cs="宋体"/>
          <w:color w:val="auto"/>
          <w:spacing w:val="-2"/>
          <w:sz w:val="24"/>
          <w:szCs w:val="24"/>
          <w:highlight w:val="none"/>
          <w:lang w:val="en-US" w:eastAsia="zh-CN"/>
        </w:rPr>
        <w:t>XXXX</w:t>
      </w:r>
      <w:r>
        <w:rPr>
          <w:rFonts w:hint="eastAsia" w:ascii="宋体" w:hAnsi="宋体" w:eastAsia="宋体" w:cs="宋体"/>
          <w:color w:val="auto"/>
          <w:spacing w:val="-2"/>
          <w:sz w:val="24"/>
          <w:szCs w:val="24"/>
          <w:highlight w:val="none"/>
        </w:rPr>
        <w:t>年</w:t>
      </w:r>
      <w:r>
        <w:rPr>
          <w:rFonts w:hint="eastAsia" w:ascii="宋体" w:hAnsi="宋体" w:eastAsia="宋体" w:cs="宋体"/>
          <w:color w:val="auto"/>
          <w:spacing w:val="-2"/>
          <w:sz w:val="24"/>
          <w:szCs w:val="24"/>
          <w:highlight w:val="none"/>
          <w:lang w:val="en-US" w:eastAsia="zh-CN"/>
        </w:rPr>
        <w:t>XX</w:t>
      </w:r>
      <w:r>
        <w:rPr>
          <w:rFonts w:hint="eastAsia" w:ascii="宋体" w:hAnsi="宋体" w:eastAsia="宋体" w:cs="宋体"/>
          <w:color w:val="auto"/>
          <w:spacing w:val="-2"/>
          <w:sz w:val="24"/>
          <w:szCs w:val="24"/>
          <w:highlight w:val="none"/>
        </w:rPr>
        <w:t>月</w:t>
      </w:r>
      <w:r>
        <w:rPr>
          <w:rFonts w:hint="eastAsia" w:ascii="宋体" w:hAnsi="宋体" w:eastAsia="宋体" w:cs="宋体"/>
          <w:color w:val="auto"/>
          <w:spacing w:val="-2"/>
          <w:sz w:val="24"/>
          <w:szCs w:val="24"/>
          <w:highlight w:val="none"/>
          <w:lang w:val="en-US" w:eastAsia="zh-CN"/>
        </w:rPr>
        <w:t>XX</w:t>
      </w:r>
      <w:r>
        <w:rPr>
          <w:rFonts w:hint="eastAsia" w:ascii="宋体" w:hAnsi="宋体" w:eastAsia="宋体" w:cs="宋体"/>
          <w:color w:val="auto"/>
          <w:spacing w:val="-2"/>
          <w:sz w:val="24"/>
          <w:szCs w:val="24"/>
          <w:highlight w:val="none"/>
        </w:rPr>
        <w:t>日止。</w:t>
      </w:r>
    </w:p>
    <w:p w14:paraId="475A081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lang w:eastAsia="zh-CN"/>
        </w:rPr>
        <w:t>三</w:t>
      </w:r>
      <w:r>
        <w:rPr>
          <w:rFonts w:hint="eastAsia" w:ascii="宋体" w:hAnsi="宋体" w:eastAsia="宋体" w:cs="宋体"/>
          <w:b/>
          <w:bCs/>
          <w:color w:val="auto"/>
          <w:spacing w:val="-6"/>
          <w:sz w:val="24"/>
          <w:szCs w:val="24"/>
          <w:highlight w:val="none"/>
        </w:rPr>
        <w:t>、双方权利和义务</w:t>
      </w:r>
    </w:p>
    <w:p w14:paraId="4A68B67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（一）甲方的权利和义务</w:t>
      </w:r>
    </w:p>
    <w:p w14:paraId="4B3CAC8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1．甲方应保证设备电源稳定、可靠，甲方使用科室完成设备日常清洁保养、</w:t>
      </w:r>
      <w:r>
        <w:rPr>
          <w:rFonts w:hint="eastAsia" w:ascii="宋体" w:hAnsi="宋体" w:eastAsia="宋体" w:cs="宋体"/>
          <w:color w:val="auto"/>
          <w:spacing w:val="-3"/>
          <w:sz w:val="24"/>
          <w:szCs w:val="24"/>
          <w:highlight w:val="none"/>
        </w:rPr>
        <w:t>设备工程师完成基本维护工作，并做好故障记录。故障维修和预防性维护</w:t>
      </w:r>
      <w:r>
        <w:rPr>
          <w:rFonts w:hint="eastAsia" w:ascii="宋体" w:hAnsi="宋体" w:eastAsia="宋体" w:cs="宋体"/>
          <w:color w:val="auto"/>
          <w:spacing w:val="-4"/>
          <w:sz w:val="24"/>
          <w:szCs w:val="24"/>
          <w:highlight w:val="none"/>
        </w:rPr>
        <w:t>由乙方</w:t>
      </w:r>
      <w:r>
        <w:rPr>
          <w:rFonts w:hint="eastAsia" w:ascii="宋体" w:hAnsi="宋体" w:eastAsia="宋体" w:cs="宋体"/>
          <w:color w:val="auto"/>
          <w:spacing w:val="-3"/>
          <w:sz w:val="24"/>
          <w:szCs w:val="24"/>
          <w:highlight w:val="none"/>
        </w:rPr>
        <w:t>负责完成。</w:t>
      </w:r>
    </w:p>
    <w:p w14:paraId="310F154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2．未经乙方许可，原则上甲方不得自行拆</w:t>
      </w:r>
      <w:r>
        <w:rPr>
          <w:rFonts w:hint="eastAsia" w:ascii="宋体" w:hAnsi="宋体" w:eastAsia="宋体" w:cs="宋体"/>
          <w:color w:val="auto"/>
          <w:spacing w:val="-1"/>
          <w:sz w:val="24"/>
          <w:szCs w:val="24"/>
          <w:highlight w:val="none"/>
        </w:rPr>
        <w:t>卸，更换机上的线路板、原件或用本机测试其他单位线路板。</w:t>
      </w:r>
    </w:p>
    <w:p w14:paraId="7FCBF4C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3．维保期间，甲方应按照设备使用手册的要求正确操作设备，并保证设备的电、气和水的正常供应，同时保证设备开启关闭时的环境处于正常状态。</w:t>
      </w:r>
    </w:p>
    <w:p w14:paraId="7240350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color w:val="auto"/>
          <w:spacing w:val="-2"/>
          <w:highlight w:val="none"/>
        </w:rPr>
        <w:t>（二）乙方的权利和义务</w:t>
      </w:r>
    </w:p>
    <w:p w14:paraId="1F2F923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color w:val="auto"/>
          <w:spacing w:val="-4"/>
          <w:highlight w:val="none"/>
        </w:rPr>
        <w:t>1.乙方承担上述设备的维保责任，</w:t>
      </w:r>
      <w:r>
        <w:rPr>
          <w:rFonts w:hint="eastAsia" w:ascii="宋体" w:hAnsi="宋体" w:eastAsia="宋体" w:cs="宋体"/>
          <w:color w:val="auto"/>
          <w:sz w:val="24"/>
          <w:szCs w:val="24"/>
          <w:highlight w:val="none"/>
        </w:rPr>
        <w:t>并指定一人为</w:t>
      </w:r>
      <w:r>
        <w:rPr>
          <w:rFonts w:hint="eastAsia" w:ascii="宋体" w:hAnsi="宋体" w:eastAsia="宋体" w:cs="宋体"/>
          <w:color w:val="auto"/>
          <w:sz w:val="24"/>
          <w:szCs w:val="24"/>
          <w:highlight w:val="none"/>
          <w:lang w:eastAsia="zh-CN"/>
        </w:rPr>
        <w:t>负责人（姓名：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lang w:val="en-US" w:eastAsia="zh-CN"/>
        </w:rPr>
        <w:t>手机号码: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4"/>
          <w:highlight w:val="none"/>
        </w:rPr>
        <w:t>在接到甲方故障通知后，须给予明确的答</w:t>
      </w:r>
      <w:r>
        <w:rPr>
          <w:rFonts w:hint="eastAsia" w:ascii="宋体" w:hAnsi="宋体" w:eastAsia="宋体" w:cs="宋体"/>
          <w:color w:val="auto"/>
          <w:spacing w:val="-3"/>
          <w:highlight w:val="none"/>
        </w:rPr>
        <w:t>复，并做到全年（含节假日</w:t>
      </w:r>
      <w:r>
        <w:rPr>
          <w:rFonts w:hint="eastAsia" w:ascii="宋体" w:hAnsi="宋体" w:eastAsia="宋体" w:cs="宋体"/>
          <w:color w:val="auto"/>
          <w:spacing w:val="10"/>
          <w:highlight w:val="none"/>
        </w:rPr>
        <w:t>）</w:t>
      </w:r>
      <w:r>
        <w:rPr>
          <w:rFonts w:hint="eastAsia" w:ascii="宋体" w:hAnsi="宋体" w:eastAsia="宋体" w:cs="宋体"/>
          <w:color w:val="auto"/>
          <w:spacing w:val="10"/>
          <w:highlight w:val="none"/>
          <w:lang w:eastAsia="zh-CN"/>
        </w:rPr>
        <w:t>响应</w:t>
      </w:r>
      <w:r>
        <w:rPr>
          <w:rFonts w:hint="eastAsia" w:ascii="宋体" w:hAnsi="宋体" w:eastAsia="宋体" w:cs="宋体"/>
          <w:color w:val="auto"/>
          <w:spacing w:val="10"/>
          <w:highlight w:val="none"/>
        </w:rPr>
        <w:t>，</w:t>
      </w:r>
      <w:r>
        <w:rPr>
          <w:rFonts w:hint="eastAsia" w:ascii="宋体" w:hAnsi="宋体" w:eastAsia="宋体" w:cs="宋体"/>
          <w:color w:val="auto"/>
          <w:spacing w:val="-3"/>
          <w:highlight w:val="none"/>
        </w:rPr>
        <w:t>响应时间</w:t>
      </w:r>
      <w:r>
        <w:rPr>
          <w:rFonts w:hint="eastAsia" w:ascii="宋体" w:hAnsi="宋体" w:eastAsia="宋体" w:cs="宋体"/>
          <w:color w:val="auto"/>
          <w:spacing w:val="-32"/>
          <w:highlight w:val="none"/>
          <w:u w:val="single"/>
        </w:rPr>
        <w:t xml:space="preserve"> </w:t>
      </w:r>
      <w:r>
        <w:rPr>
          <w:rFonts w:hint="eastAsia" w:ascii="宋体" w:hAnsi="宋体" w:eastAsia="宋体" w:cs="宋体"/>
          <w:color w:val="auto"/>
          <w:spacing w:val="-32"/>
          <w:highlight w:val="none"/>
          <w:u w:val="single"/>
          <w:lang w:val="en-US" w:eastAsia="zh-CN"/>
        </w:rPr>
        <w:t xml:space="preserve">      </w:t>
      </w:r>
      <w:r>
        <w:rPr>
          <w:rFonts w:hint="eastAsia" w:ascii="宋体" w:hAnsi="宋体" w:eastAsia="宋体" w:cs="宋体"/>
          <w:color w:val="auto"/>
          <w:spacing w:val="-44"/>
          <w:highlight w:val="none"/>
          <w:u w:val="single"/>
        </w:rPr>
        <w:t xml:space="preserve"> </w:t>
      </w:r>
      <w:r>
        <w:rPr>
          <w:rFonts w:hint="eastAsia" w:ascii="宋体" w:hAnsi="宋体" w:eastAsia="宋体" w:cs="宋体"/>
          <w:color w:val="auto"/>
          <w:spacing w:val="-3"/>
          <w:highlight w:val="none"/>
        </w:rPr>
        <w:t>小时内，到达现</w:t>
      </w:r>
      <w:r>
        <w:rPr>
          <w:rFonts w:hint="eastAsia" w:ascii="宋体" w:hAnsi="宋体" w:eastAsia="宋体" w:cs="宋体"/>
          <w:color w:val="auto"/>
          <w:spacing w:val="-4"/>
          <w:highlight w:val="none"/>
        </w:rPr>
        <w:t>场</w:t>
      </w:r>
      <w:r>
        <w:rPr>
          <w:rFonts w:hint="eastAsia" w:ascii="宋体" w:hAnsi="宋体" w:eastAsia="宋体" w:cs="宋体"/>
          <w:color w:val="auto"/>
          <w:spacing w:val="-47"/>
          <w:highlight w:val="none"/>
        </w:rPr>
        <w:t xml:space="preserve"> </w:t>
      </w:r>
      <w:r>
        <w:rPr>
          <w:rFonts w:hint="eastAsia" w:ascii="宋体" w:hAnsi="宋体" w:eastAsia="宋体" w:cs="宋体"/>
          <w:color w:val="auto"/>
          <w:spacing w:val="-4"/>
          <w:highlight w:val="none"/>
        </w:rPr>
        <w:t>24</w:t>
      </w:r>
      <w:r>
        <w:rPr>
          <w:rFonts w:hint="eastAsia" w:ascii="宋体" w:hAnsi="宋体" w:eastAsia="宋体" w:cs="宋体"/>
          <w:color w:val="auto"/>
          <w:spacing w:val="-45"/>
          <w:highlight w:val="none"/>
        </w:rPr>
        <w:t xml:space="preserve"> </w:t>
      </w:r>
      <w:r>
        <w:rPr>
          <w:rFonts w:hint="eastAsia" w:ascii="宋体" w:hAnsi="宋体" w:eastAsia="宋体" w:cs="宋体"/>
          <w:color w:val="auto"/>
          <w:spacing w:val="-4"/>
          <w:highlight w:val="none"/>
        </w:rPr>
        <w:t>小时内，必须</w:t>
      </w:r>
      <w:r>
        <w:rPr>
          <w:rFonts w:hint="eastAsia" w:ascii="宋体" w:hAnsi="宋体" w:eastAsia="宋体" w:cs="宋体"/>
          <w:color w:val="auto"/>
          <w:spacing w:val="-1"/>
          <w:highlight w:val="none"/>
        </w:rPr>
        <w:t>具备原厂维修培训证明并获得相应服务设备的维修维护服务能力的专业工程师，</w:t>
      </w:r>
      <w:r>
        <w:rPr>
          <w:rFonts w:hint="eastAsia" w:ascii="宋体" w:hAnsi="宋体" w:eastAsia="宋体" w:cs="宋体"/>
          <w:color w:val="auto"/>
          <w:spacing w:val="-3"/>
          <w:highlight w:val="none"/>
        </w:rPr>
        <w:t>能提供快速优质的现场维修服务。若遇设备停机紧急情况，可优先安排</w:t>
      </w:r>
      <w:r>
        <w:rPr>
          <w:rFonts w:hint="eastAsia" w:ascii="宋体" w:hAnsi="宋体" w:eastAsia="宋体" w:cs="宋体"/>
          <w:color w:val="auto"/>
          <w:spacing w:val="-4"/>
          <w:highlight w:val="none"/>
        </w:rPr>
        <w:t>工程师加急到达现场处理。免费提供</w:t>
      </w:r>
      <w:r>
        <w:rPr>
          <w:rFonts w:hint="eastAsia" w:ascii="宋体" w:hAnsi="宋体" w:eastAsia="宋体" w:cs="宋体"/>
          <w:color w:val="auto"/>
          <w:spacing w:val="-30"/>
          <w:highlight w:val="none"/>
        </w:rPr>
        <w:t xml:space="preserve"> </w:t>
      </w:r>
      <w:r>
        <w:rPr>
          <w:rFonts w:hint="eastAsia" w:ascii="宋体" w:hAnsi="宋体" w:eastAsia="宋体" w:cs="宋体"/>
          <w:color w:val="auto"/>
          <w:spacing w:val="-4"/>
          <w:highlight w:val="none"/>
        </w:rPr>
        <w:t>365</w:t>
      </w:r>
      <w:r>
        <w:rPr>
          <w:rFonts w:hint="eastAsia" w:ascii="宋体" w:hAnsi="宋体" w:eastAsia="宋体" w:cs="宋体"/>
          <w:color w:val="auto"/>
          <w:spacing w:val="-45"/>
          <w:highlight w:val="none"/>
        </w:rPr>
        <w:t xml:space="preserve"> </w:t>
      </w:r>
      <w:r>
        <w:rPr>
          <w:rFonts w:hint="eastAsia" w:ascii="宋体" w:hAnsi="宋体" w:eastAsia="宋体" w:cs="宋体"/>
          <w:color w:val="auto"/>
          <w:spacing w:val="-4"/>
          <w:highlight w:val="none"/>
        </w:rPr>
        <w:t>天</w:t>
      </w:r>
      <w:r>
        <w:rPr>
          <w:rFonts w:hint="eastAsia" w:ascii="宋体" w:hAnsi="宋体" w:eastAsia="宋体" w:cs="宋体"/>
          <w:color w:val="auto"/>
          <w:spacing w:val="-48"/>
          <w:highlight w:val="none"/>
        </w:rPr>
        <w:t xml:space="preserve"> </w:t>
      </w:r>
      <w:r>
        <w:rPr>
          <w:rFonts w:hint="eastAsia" w:ascii="宋体" w:hAnsi="宋体" w:eastAsia="宋体" w:cs="宋体"/>
          <w:color w:val="auto"/>
          <w:spacing w:val="-4"/>
          <w:highlight w:val="none"/>
        </w:rPr>
        <w:t>24</w:t>
      </w:r>
      <w:r>
        <w:rPr>
          <w:rFonts w:hint="eastAsia" w:ascii="宋体" w:hAnsi="宋体" w:eastAsia="宋体" w:cs="宋体"/>
          <w:color w:val="auto"/>
          <w:spacing w:val="-44"/>
          <w:highlight w:val="none"/>
        </w:rPr>
        <w:t xml:space="preserve"> </w:t>
      </w:r>
      <w:r>
        <w:rPr>
          <w:rFonts w:hint="eastAsia" w:ascii="宋体" w:hAnsi="宋体" w:eastAsia="宋体" w:cs="宋体"/>
          <w:color w:val="auto"/>
          <w:spacing w:val="-4"/>
          <w:highlight w:val="none"/>
        </w:rPr>
        <w:t>小时全天候维修服务热线。</w:t>
      </w:r>
    </w:p>
    <w:p w14:paraId="6061483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color w:val="auto"/>
          <w:highlight w:val="none"/>
          <w:u w:val="single"/>
        </w:rPr>
      </w:pPr>
      <w:r>
        <w:rPr>
          <w:rFonts w:hint="eastAsia" w:ascii="宋体" w:hAnsi="宋体" w:eastAsia="宋体" w:cs="宋体"/>
          <w:color w:val="auto"/>
          <w:spacing w:val="-3"/>
          <w:highlight w:val="none"/>
        </w:rPr>
        <w:t>2.乙方在系统故障维保过程中，须免费更换维保范围内设备备件</w:t>
      </w:r>
      <w:r>
        <w:rPr>
          <w:rFonts w:hint="eastAsia" w:ascii="宋体" w:hAnsi="宋体" w:eastAsia="宋体" w:cs="宋体"/>
          <w:color w:val="auto"/>
          <w:spacing w:val="-4"/>
          <w:highlight w:val="none"/>
        </w:rPr>
        <w:t>、并承担维</w:t>
      </w:r>
      <w:r>
        <w:rPr>
          <w:rFonts w:hint="eastAsia" w:ascii="宋体" w:hAnsi="宋体" w:eastAsia="宋体" w:cs="宋体"/>
          <w:color w:val="auto"/>
          <w:spacing w:val="-3"/>
          <w:highlight w:val="none"/>
        </w:rPr>
        <w:t>修人员往返差旅费、人工费、维保所需零备件的搬运费、安装调试费及系统软件升级等一切费用。所更换的备件均为符合设备性能要求和中国法律规定的</w:t>
      </w:r>
      <w:r>
        <w:rPr>
          <w:rFonts w:hint="eastAsia" w:ascii="宋体" w:hAnsi="宋体" w:eastAsia="宋体" w:cs="宋体"/>
          <w:color w:val="auto"/>
          <w:spacing w:val="-3"/>
          <w:highlight w:val="none"/>
          <w:u w:val="single"/>
        </w:rPr>
        <w:t>原设备</w:t>
      </w:r>
      <w:r>
        <w:rPr>
          <w:rFonts w:hint="eastAsia" w:ascii="宋体" w:hAnsi="宋体" w:eastAsia="宋体" w:cs="宋体"/>
          <w:color w:val="auto"/>
          <w:spacing w:val="-1"/>
          <w:highlight w:val="none"/>
          <w:u w:val="single"/>
        </w:rPr>
        <w:t>零配件(同一生产厂家和同一型号规格的零配件)。</w:t>
      </w:r>
    </w:p>
    <w:p w14:paraId="42B2F4F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3.在维保期内，乙方须对所提供的设备每年每台做</w:t>
      </w:r>
      <w:r>
        <w:rPr>
          <w:rFonts w:hint="eastAsia" w:ascii="宋体" w:hAnsi="宋体" w:eastAsia="宋体" w:cs="宋体"/>
          <w:color w:val="auto"/>
          <w:spacing w:val="-48"/>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次的定期检查和预防性</w:t>
      </w:r>
      <w:r>
        <w:rPr>
          <w:rFonts w:hint="eastAsia" w:ascii="宋体" w:hAnsi="宋体" w:eastAsia="宋体" w:cs="宋体"/>
          <w:color w:val="auto"/>
          <w:spacing w:val="-1"/>
          <w:sz w:val="24"/>
          <w:szCs w:val="24"/>
          <w:highlight w:val="none"/>
        </w:rPr>
        <w:t>维护保养，每次定期检查和预防性维护保养后将维护报告提交甲方设备科。</w:t>
      </w:r>
    </w:p>
    <w:p w14:paraId="535D8E30">
      <w:pPr>
        <w:pStyle w:val="88"/>
        <w:keepNext w:val="0"/>
        <w:keepLines w:val="0"/>
        <w:pageBreakBefore w:val="0"/>
        <w:numPr>
          <w:ilvl w:val="0"/>
          <w:numId w:val="0"/>
        </w:numPr>
        <w:kinsoku/>
        <w:wordWrap/>
        <w:overflowPunct/>
        <w:topLinePunct w:val="0"/>
        <w:autoSpaceDE/>
        <w:autoSpaceDN/>
        <w:bidi w:val="0"/>
        <w:spacing w:line="360" w:lineRule="auto"/>
        <w:ind w:left="0" w:leftChars="0" w:firstLine="46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4.定期的预防性维护包括设备清洁、性能检测及参数校准、必要的机械</w:t>
      </w:r>
      <w:r>
        <w:rPr>
          <w:rFonts w:hint="eastAsia" w:ascii="宋体" w:hAnsi="宋体" w:eastAsia="宋体" w:cs="宋体"/>
          <w:color w:val="auto"/>
          <w:spacing w:val="-4"/>
          <w:sz w:val="24"/>
          <w:szCs w:val="24"/>
          <w:highlight w:val="none"/>
        </w:rPr>
        <w:t>或电</w:t>
      </w:r>
      <w:r>
        <w:rPr>
          <w:rFonts w:hint="eastAsia" w:ascii="宋体" w:hAnsi="宋体" w:eastAsia="宋体" w:cs="宋体"/>
          <w:color w:val="auto"/>
          <w:spacing w:val="-3"/>
          <w:sz w:val="24"/>
          <w:szCs w:val="24"/>
          <w:highlight w:val="none"/>
        </w:rPr>
        <w:t>气安全检查，大保养。所有保养记录均应有乙方、甲方使用科室和设备科等三方</w:t>
      </w:r>
      <w:r>
        <w:rPr>
          <w:rFonts w:hint="eastAsia" w:ascii="宋体" w:hAnsi="宋体" w:eastAsia="宋体" w:cs="宋体"/>
          <w:color w:val="auto"/>
          <w:spacing w:val="-1"/>
          <w:sz w:val="24"/>
          <w:szCs w:val="24"/>
          <w:highlight w:val="none"/>
        </w:rPr>
        <w:t>负责人签字。每年度乙方提供一份年度保养维修总结。</w:t>
      </w:r>
      <w:r>
        <w:rPr>
          <w:rFonts w:hint="eastAsia" w:ascii="宋体" w:hAnsi="宋体" w:eastAsia="宋体" w:cs="宋体"/>
          <w:color w:val="auto"/>
          <w:sz w:val="24"/>
          <w:szCs w:val="24"/>
          <w:highlight w:val="none"/>
          <w:u w:val="none"/>
          <w:lang w:val="en-US" w:eastAsia="zh-CN"/>
        </w:rPr>
        <w:t>维护保养前后均需拍照记录。</w:t>
      </w:r>
    </w:p>
    <w:p w14:paraId="749A13E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color w:val="auto"/>
          <w:spacing w:val="-3"/>
          <w:sz w:val="24"/>
          <w:szCs w:val="24"/>
          <w:highlight w:val="none"/>
        </w:rPr>
        <w:t>5.</w:t>
      </w:r>
      <w:r>
        <w:rPr>
          <w:rFonts w:hint="eastAsia" w:ascii="宋体" w:hAnsi="宋体" w:eastAsia="宋体" w:cs="宋体"/>
          <w:color w:val="auto"/>
          <w:sz w:val="24"/>
          <w:szCs w:val="24"/>
          <w:highlight w:val="none"/>
        </w:rPr>
        <w:t>维保期内，乙方在每次故障维修或保养后</w:t>
      </w:r>
      <w:r>
        <w:rPr>
          <w:rFonts w:hint="eastAsia" w:ascii="宋体" w:hAnsi="宋体" w:eastAsia="宋体" w:cs="宋体"/>
          <w:color w:val="auto"/>
          <w:sz w:val="24"/>
          <w:szCs w:val="24"/>
          <w:highlight w:val="none"/>
          <w:lang w:eastAsia="zh-CN"/>
        </w:rPr>
        <w:t>一周</w:t>
      </w:r>
      <w:r>
        <w:rPr>
          <w:rFonts w:hint="eastAsia" w:ascii="宋体" w:hAnsi="宋体" w:eastAsia="宋体" w:cs="宋体"/>
          <w:color w:val="auto"/>
          <w:sz w:val="24"/>
          <w:szCs w:val="24"/>
          <w:highlight w:val="none"/>
        </w:rPr>
        <w:t>内须提供维保记录并交甲方设备科备案登记。</w:t>
      </w:r>
      <w:r>
        <w:rPr>
          <w:rFonts w:hint="eastAsia" w:ascii="宋体" w:hAnsi="宋体" w:eastAsia="宋体" w:cs="宋体"/>
          <w:color w:val="auto"/>
          <w:sz w:val="24"/>
          <w:szCs w:val="24"/>
          <w:highlight w:val="none"/>
          <w:u w:val="none"/>
          <w:lang w:val="en-US" w:eastAsia="zh-CN"/>
        </w:rPr>
        <w:t>乙方</w:t>
      </w:r>
      <w:r>
        <w:rPr>
          <w:rFonts w:hint="eastAsia" w:ascii="宋体" w:hAnsi="宋体" w:eastAsia="宋体" w:cs="宋体"/>
          <w:snapToGrid/>
          <w:color w:val="auto"/>
          <w:kern w:val="0"/>
          <w:sz w:val="24"/>
          <w:szCs w:val="24"/>
          <w:highlight w:val="none"/>
          <w:lang w:val="en-US" w:eastAsia="zh-CN" w:bidi="ar-SA"/>
        </w:rPr>
        <w:t>须在每次完成设备维修、PM保养或升级等保修任务后，均应在7个工作日内向甲方提交详细工作报告单，年底装订成册给甲方存档。报告单的内容将作为甲方对乙方保修服务内容验收的依据。</w:t>
      </w:r>
    </w:p>
    <w:p w14:paraId="1039707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6.乙方维保人员在维保期间必须遵守院方在安全、防盗、停车、周</w:t>
      </w:r>
      <w:r>
        <w:rPr>
          <w:rFonts w:hint="eastAsia" w:ascii="宋体" w:hAnsi="宋体" w:eastAsia="宋体" w:cs="宋体"/>
          <w:color w:val="auto"/>
          <w:spacing w:val="-4"/>
          <w:sz w:val="24"/>
          <w:szCs w:val="24"/>
          <w:highlight w:val="none"/>
        </w:rPr>
        <w:t>围环境卫</w:t>
      </w:r>
      <w:r>
        <w:rPr>
          <w:rFonts w:hint="eastAsia" w:ascii="宋体" w:hAnsi="宋体" w:eastAsia="宋体" w:cs="宋体"/>
          <w:color w:val="auto"/>
          <w:spacing w:val="-1"/>
          <w:sz w:val="24"/>
          <w:szCs w:val="24"/>
          <w:highlight w:val="none"/>
        </w:rPr>
        <w:t>生及排放污物的有关规定，否则一切后果自负。</w:t>
      </w:r>
    </w:p>
    <w:p w14:paraId="3129726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7.乙方应确保设备正常使用率达到95%及以上，若达不到</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1"/>
          <w:sz w:val="24"/>
          <w:szCs w:val="24"/>
          <w:highlight w:val="none"/>
        </w:rPr>
        <w:t>95%开机率</w:t>
      </w:r>
      <w:r>
        <w:rPr>
          <w:rFonts w:hint="eastAsia" w:ascii="宋体" w:hAnsi="宋体" w:eastAsia="宋体" w:cs="宋体"/>
          <w:color w:val="auto"/>
          <w:sz w:val="24"/>
          <w:szCs w:val="24"/>
          <w:highlight w:val="none"/>
        </w:rPr>
        <w:t>，按年</w:t>
      </w:r>
      <w:r>
        <w:rPr>
          <w:rFonts w:hint="eastAsia" w:ascii="宋体" w:hAnsi="宋体" w:eastAsia="宋体" w:cs="宋体"/>
          <w:color w:val="auto"/>
          <w:spacing w:val="-6"/>
          <w:sz w:val="24"/>
          <w:szCs w:val="24"/>
          <w:highlight w:val="none"/>
        </w:rPr>
        <w:t>自然日计算，开机不足</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6"/>
          <w:sz w:val="24"/>
          <w:szCs w:val="24"/>
          <w:highlight w:val="none"/>
        </w:rPr>
        <w:t>天（24</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6"/>
          <w:sz w:val="24"/>
          <w:szCs w:val="24"/>
          <w:highlight w:val="none"/>
        </w:rPr>
        <w:t>小时）</w:t>
      </w:r>
      <w:r>
        <w:rPr>
          <w:rFonts w:hint="eastAsia" w:ascii="宋体" w:hAnsi="宋体" w:eastAsia="宋体" w:cs="宋体"/>
          <w:color w:val="auto"/>
          <w:spacing w:val="-6"/>
          <w:sz w:val="24"/>
          <w:szCs w:val="24"/>
          <w:highlight w:val="none"/>
          <w:lang w:eastAsia="zh-CN"/>
        </w:rPr>
        <w:t>维保期</w:t>
      </w:r>
      <w:r>
        <w:rPr>
          <w:rFonts w:hint="eastAsia" w:ascii="宋体" w:hAnsi="宋体" w:eastAsia="宋体" w:cs="宋体"/>
          <w:color w:val="auto"/>
          <w:spacing w:val="-6"/>
          <w:sz w:val="24"/>
          <w:szCs w:val="24"/>
          <w:highlight w:val="none"/>
        </w:rPr>
        <w:t>顺延</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6"/>
          <w:sz w:val="24"/>
          <w:szCs w:val="24"/>
          <w:highlight w:val="none"/>
        </w:rPr>
        <w:t>10</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6"/>
          <w:sz w:val="24"/>
          <w:szCs w:val="24"/>
          <w:highlight w:val="none"/>
        </w:rPr>
        <w:t>天。</w:t>
      </w:r>
    </w:p>
    <w:p w14:paraId="5644206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8.乙方维修前应将用户相关数据等备份，维修结束后恢复原状。</w:t>
      </w:r>
    </w:p>
    <w:p w14:paraId="64E4F46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9.乙方同意甲方的《医学装备维保合同履约情况考核表》</w:t>
      </w:r>
      <w:r>
        <w:rPr>
          <w:rFonts w:hint="eastAsia" w:ascii="宋体" w:hAnsi="宋体" w:eastAsia="宋体" w:cs="宋体"/>
          <w:color w:val="auto"/>
          <w:spacing w:val="-3"/>
          <w:sz w:val="24"/>
          <w:szCs w:val="24"/>
          <w:highlight w:val="none"/>
        </w:rPr>
        <w:t>所有条款。</w:t>
      </w:r>
    </w:p>
    <w:p w14:paraId="06D7EC7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宋体" w:hAnsi="宋体" w:eastAsia="宋体" w:cs="宋体"/>
          <w:color w:val="auto"/>
          <w:highlight w:val="none"/>
        </w:rPr>
      </w:pPr>
      <w:r>
        <w:rPr>
          <w:rFonts w:hint="eastAsia" w:ascii="宋体" w:hAnsi="宋体" w:eastAsia="宋体" w:cs="宋体"/>
          <w:b/>
          <w:bCs/>
          <w:color w:val="auto"/>
          <w:spacing w:val="-3"/>
          <w:highlight w:val="none"/>
          <w:lang w:eastAsia="zh-CN"/>
        </w:rPr>
        <w:t>四</w:t>
      </w:r>
      <w:r>
        <w:rPr>
          <w:rFonts w:hint="eastAsia" w:ascii="宋体" w:hAnsi="宋体" w:eastAsia="宋体" w:cs="宋体"/>
          <w:b/>
          <w:bCs/>
          <w:color w:val="auto"/>
          <w:spacing w:val="-3"/>
          <w:highlight w:val="none"/>
        </w:rPr>
        <w:t>、维保费及支付方式</w:t>
      </w:r>
    </w:p>
    <w:p w14:paraId="272B30B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color w:val="auto"/>
          <w:spacing w:val="-3"/>
          <w:highlight w:val="none"/>
        </w:rPr>
        <w:t>（一）维保费金额</w:t>
      </w:r>
    </w:p>
    <w:p w14:paraId="2F0EF46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color w:val="auto"/>
          <w:spacing w:val="1"/>
          <w:highlight w:val="none"/>
        </w:rPr>
        <w:t>维保费总额（人民币</w:t>
      </w:r>
      <w:r>
        <w:rPr>
          <w:rFonts w:hint="eastAsia" w:ascii="宋体" w:hAnsi="宋体" w:eastAsia="宋体" w:cs="宋体"/>
          <w:color w:val="auto"/>
          <w:spacing w:val="-7"/>
          <w:highlight w:val="none"/>
        </w:rPr>
        <w:t>）：</w:t>
      </w:r>
      <w:r>
        <w:rPr>
          <w:rFonts w:hint="eastAsia" w:ascii="宋体" w:hAnsi="宋体" w:eastAsia="宋体" w:cs="宋体"/>
          <w:color w:val="auto"/>
          <w:spacing w:val="-7"/>
          <w:highlight w:val="none"/>
          <w:u w:val="single"/>
          <w:lang w:val="en-US" w:eastAsia="zh-CN"/>
        </w:rPr>
        <w:t xml:space="preserve">         </w:t>
      </w:r>
      <w:r>
        <w:rPr>
          <w:rFonts w:hint="eastAsia" w:ascii="宋体" w:hAnsi="宋体" w:eastAsia="宋体" w:cs="宋体"/>
          <w:color w:val="auto"/>
          <w:spacing w:val="1"/>
          <w:highlight w:val="none"/>
        </w:rPr>
        <w:t>元</w:t>
      </w:r>
      <w:r>
        <w:rPr>
          <w:rFonts w:hint="eastAsia" w:ascii="宋体" w:hAnsi="宋体" w:eastAsia="宋体" w:cs="宋体"/>
          <w:color w:val="auto"/>
          <w:spacing w:val="-7"/>
          <w:highlight w:val="none"/>
        </w:rPr>
        <w:t>，</w:t>
      </w:r>
      <w:r>
        <w:rPr>
          <w:rFonts w:hint="eastAsia" w:ascii="宋体" w:hAnsi="宋体" w:eastAsia="宋体" w:cs="宋体"/>
          <w:color w:val="auto"/>
          <w:spacing w:val="-7"/>
          <w:highlight w:val="none"/>
          <w:lang w:val="en-US" w:eastAsia="zh-CN"/>
        </w:rPr>
        <w:t>(</w:t>
      </w:r>
      <w:r>
        <w:rPr>
          <w:rFonts w:hint="eastAsia" w:ascii="宋体" w:hAnsi="宋体" w:eastAsia="宋体" w:cs="宋体"/>
          <w:color w:val="auto"/>
          <w:spacing w:val="1"/>
          <w:highlight w:val="none"/>
        </w:rPr>
        <w:t>大写</w:t>
      </w:r>
      <w:r>
        <w:rPr>
          <w:rFonts w:hint="eastAsia" w:ascii="宋体" w:hAnsi="宋体" w:eastAsia="宋体" w:cs="宋体"/>
          <w:color w:val="auto"/>
          <w:spacing w:val="1"/>
          <w:highlight w:val="none"/>
          <w:lang w:val="en-US" w:eastAsia="zh-CN"/>
        </w:rPr>
        <w:t>)</w:t>
      </w:r>
      <w:r>
        <w:rPr>
          <w:rFonts w:hint="eastAsia" w:ascii="宋体" w:hAnsi="宋体" w:eastAsia="宋体" w:cs="宋体"/>
          <w:color w:val="auto"/>
          <w:spacing w:val="-7"/>
          <w:highlight w:val="none"/>
        </w:rPr>
        <w:t>：</w:t>
      </w:r>
      <w:r>
        <w:rPr>
          <w:rFonts w:hint="eastAsia" w:ascii="宋体" w:hAnsi="宋体" w:eastAsia="宋体" w:cs="宋体"/>
          <w:color w:val="auto"/>
          <w:spacing w:val="1"/>
          <w:highlight w:val="none"/>
          <w:u w:val="single"/>
          <w:lang w:val="en-US" w:eastAsia="zh-CN"/>
        </w:rPr>
        <w:t xml:space="preserve">      </w:t>
      </w:r>
      <w:r>
        <w:rPr>
          <w:rFonts w:hint="eastAsia" w:ascii="宋体" w:hAnsi="宋体" w:eastAsia="宋体" w:cs="宋体"/>
          <w:color w:val="auto"/>
          <w:highlight w:val="none"/>
        </w:rPr>
        <w:t>元整。</w:t>
      </w:r>
    </w:p>
    <w:p w14:paraId="1D1F21E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color w:val="auto"/>
          <w:sz w:val="21"/>
          <w:highlight w:val="none"/>
          <w:lang w:eastAsia="zh-CN"/>
        </w:rPr>
      </w:pPr>
      <w:r>
        <w:rPr>
          <w:rFonts w:hint="eastAsia" w:ascii="宋体" w:hAnsi="宋体" w:eastAsia="宋体" w:cs="宋体"/>
          <w:color w:val="auto"/>
          <w:spacing w:val="-3"/>
          <w:highlight w:val="none"/>
        </w:rPr>
        <w:t>（二）支付方式</w:t>
      </w:r>
    </w:p>
    <w:p w14:paraId="0DF06B7E">
      <w:pPr>
        <w:pStyle w:val="88"/>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highlight w:val="none"/>
          <w:lang w:val="en-US" w:eastAsia="zh-CN"/>
        </w:rPr>
        <w:t>合同签订具备实施条件后，甲方在收到乙方增值税发票后的7个工作日内，支付当年维保全款</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2"/>
          <w:szCs w:val="22"/>
          <w:highlight w:val="none"/>
          <w:lang w:val="en-US" w:eastAsia="zh-CN"/>
        </w:rPr>
        <w:t>）</w:t>
      </w:r>
      <w:r>
        <w:rPr>
          <w:rFonts w:hint="eastAsia" w:asciiTheme="minorEastAsia" w:hAnsiTheme="minorEastAsia" w:eastAsiaTheme="minorEastAsia" w:cstheme="minorEastAsia"/>
          <w:color w:val="auto"/>
          <w:sz w:val="24"/>
          <w:highlight w:val="none"/>
          <w:lang w:val="en-US" w:eastAsia="zh-CN"/>
        </w:rPr>
        <w:t>；第二年按第一年支付的同月份，经甲方考核合格、收到乙方增值税发票后的7个工作日内，甲方支付乙方当年维保全款（扣除上一服务周期考核的扣款）</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2"/>
          <w:szCs w:val="22"/>
          <w:highlight w:val="none"/>
          <w:lang w:val="en-US" w:eastAsia="zh-CN"/>
        </w:rPr>
        <w:t>）</w:t>
      </w:r>
      <w:r>
        <w:rPr>
          <w:rFonts w:hint="eastAsia" w:asciiTheme="minorEastAsia" w:hAnsiTheme="minorEastAsia" w:eastAsiaTheme="minorEastAsia" w:cstheme="minorEastAsia"/>
          <w:color w:val="auto"/>
          <w:sz w:val="24"/>
          <w:highlight w:val="none"/>
          <w:lang w:val="en-US" w:eastAsia="zh-CN"/>
        </w:rPr>
        <w:t>；第三年按第二年支付的同月份，经甲方考核合格、收到乙方增值税发票后的7个工作日内，甲方支付乙方当年维保款的50%（扣除上一服务周期考核的扣款）</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2"/>
          <w:szCs w:val="22"/>
          <w:highlight w:val="none"/>
          <w:lang w:val="en-US" w:eastAsia="zh-CN"/>
        </w:rPr>
        <w:t>）</w:t>
      </w:r>
      <w:r>
        <w:rPr>
          <w:rFonts w:hint="eastAsia" w:asciiTheme="minorEastAsia" w:hAnsiTheme="minorEastAsia" w:eastAsiaTheme="minorEastAsia" w:cstheme="minorEastAsia"/>
          <w:color w:val="auto"/>
          <w:sz w:val="24"/>
          <w:highlight w:val="none"/>
          <w:lang w:val="en-US" w:eastAsia="zh-CN"/>
        </w:rPr>
        <w:t>；第三年维保期结束，经甲方考核合格、收到乙方增值税发票后的7个工作日内，付清余款（扣除上一服务周期考核的扣款）</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2"/>
          <w:szCs w:val="22"/>
          <w:highlight w:val="none"/>
          <w:lang w:val="en-US" w:eastAsia="zh-CN"/>
        </w:rPr>
        <w:t>）</w:t>
      </w:r>
      <w:r>
        <w:rPr>
          <w:rFonts w:hint="eastAsia" w:asciiTheme="minorEastAsia" w:hAnsiTheme="minorEastAsia" w:eastAsiaTheme="minorEastAsia" w:cstheme="minorEastAsia"/>
          <w:color w:val="auto"/>
          <w:sz w:val="24"/>
          <w:highlight w:val="none"/>
          <w:lang w:val="en-US" w:eastAsia="zh-CN"/>
        </w:rPr>
        <w:t>。</w:t>
      </w:r>
      <w:r>
        <w:rPr>
          <w:rFonts w:hint="eastAsia" w:ascii="宋体" w:hAnsi="宋体" w:eastAsia="宋体" w:cs="宋体"/>
          <w:color w:val="auto"/>
          <w:sz w:val="24"/>
          <w:szCs w:val="24"/>
          <w:highlight w:val="none"/>
        </w:rPr>
        <w:t>考核表详见</w:t>
      </w:r>
      <w:r>
        <w:rPr>
          <w:rFonts w:hint="eastAsia" w:ascii="宋体" w:hAnsi="宋体" w:eastAsia="宋体" w:cs="宋体"/>
          <w:color w:val="auto"/>
          <w:sz w:val="24"/>
          <w:szCs w:val="24"/>
          <w:highlight w:val="none"/>
          <w:lang w:val="en-US" w:eastAsia="zh-CN"/>
        </w:rPr>
        <w:t>：医学装备</w:t>
      </w:r>
      <w:r>
        <w:rPr>
          <w:rFonts w:hint="eastAsia" w:ascii="宋体" w:hAnsi="宋体" w:eastAsia="宋体" w:cs="宋体"/>
          <w:color w:val="auto"/>
          <w:sz w:val="24"/>
          <w:szCs w:val="24"/>
          <w:highlight w:val="none"/>
        </w:rPr>
        <w:t>维保合同履约情况考核表。</w:t>
      </w:r>
    </w:p>
    <w:p w14:paraId="64E2942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color w:val="auto"/>
          <w:spacing w:val="-1"/>
          <w:highlight w:val="none"/>
        </w:rPr>
      </w:pPr>
      <w:r>
        <w:rPr>
          <w:rFonts w:hint="eastAsia" w:ascii="宋体" w:hAnsi="宋体" w:eastAsia="宋体" w:cs="宋体"/>
          <w:color w:val="auto"/>
          <w:spacing w:val="-3"/>
          <w:highlight w:val="none"/>
        </w:rPr>
        <w:t>2.乙方未提供符合规定要求增值税发票的，甲方有权拒绝付款并</w:t>
      </w:r>
      <w:r>
        <w:rPr>
          <w:rFonts w:hint="eastAsia" w:ascii="宋体" w:hAnsi="宋体" w:eastAsia="宋体" w:cs="宋体"/>
          <w:color w:val="auto"/>
          <w:spacing w:val="-4"/>
          <w:highlight w:val="none"/>
        </w:rPr>
        <w:t>不承担逾期</w:t>
      </w:r>
      <w:r>
        <w:rPr>
          <w:rFonts w:hint="eastAsia" w:ascii="宋体" w:hAnsi="宋体" w:eastAsia="宋体" w:cs="宋体"/>
          <w:color w:val="auto"/>
          <w:spacing w:val="-1"/>
          <w:highlight w:val="none"/>
        </w:rPr>
        <w:t>付款的违约责任，且乙方应继续履行本合同项下的义务。</w:t>
      </w:r>
    </w:p>
    <w:p w14:paraId="31B93F9A">
      <w:pPr>
        <w:pStyle w:val="88"/>
        <w:numPr>
          <w:ilvl w:val="0"/>
          <w:numId w:val="0"/>
        </w:numPr>
        <w:spacing w:line="336" w:lineRule="auto"/>
        <w:ind w:firstLine="48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sz w:val="24"/>
          <w:szCs w:val="24"/>
          <w:highlight w:val="none"/>
          <w:lang w:val="en-US" w:eastAsia="zh-CN"/>
        </w:rPr>
        <w:t>3.本合同如果出现各类扣款情况，</w:t>
      </w:r>
      <w:r>
        <w:rPr>
          <w:rFonts w:hint="eastAsia" w:ascii="宋体" w:hAnsi="宋体" w:eastAsia="宋体" w:cs="宋体"/>
          <w:color w:val="auto"/>
          <w:highlight w:val="none"/>
        </w:rPr>
        <w:t>乙方应根据合同中明确的服务内容开具收费项目名称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并以经双方确认的金额开具增值税全额发票</w:t>
      </w:r>
      <w:r>
        <w:rPr>
          <w:rFonts w:hint="eastAsia" w:ascii="宋体" w:hAnsi="宋体" w:eastAsia="宋体" w:cs="宋体"/>
          <w:color w:val="auto"/>
          <w:highlight w:val="none"/>
          <w:lang w:eastAsia="zh-CN"/>
        </w:rPr>
        <w:t>；</w:t>
      </w:r>
      <w:r>
        <w:rPr>
          <w:rFonts w:hint="eastAsia" w:ascii="宋体" w:hAnsi="宋体" w:eastAsia="宋体" w:cs="宋体"/>
          <w:color w:val="auto"/>
          <w:sz w:val="24"/>
          <w:szCs w:val="24"/>
          <w:highlight w:val="none"/>
          <w:lang w:val="en-US" w:eastAsia="zh-CN"/>
        </w:rPr>
        <w:t>甲方提供与扣款金额相符的财政收据和扣款依据，并按照扣款后金额转账支付给乙方。</w:t>
      </w:r>
    </w:p>
    <w:p w14:paraId="59378D88">
      <w:pPr>
        <w:pStyle w:val="88"/>
        <w:numPr>
          <w:ilvl w:val="0"/>
          <w:numId w:val="0"/>
        </w:numPr>
        <w:spacing w:line="336"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highlight w:val="none"/>
          <w:lang w:val="en-US" w:eastAsia="zh-CN"/>
        </w:rPr>
        <w:t>4.</w:t>
      </w:r>
      <w:r>
        <w:rPr>
          <w:rFonts w:hint="eastAsia" w:ascii="宋体" w:hAnsi="宋体" w:eastAsia="宋体" w:cs="宋体"/>
          <w:color w:val="auto"/>
          <w:sz w:val="24"/>
          <w:szCs w:val="24"/>
          <w:highlight w:val="none"/>
        </w:rPr>
        <w:t>合同期间，因</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原因设备停止使用，则按照设备实际保养月数，维保费用按实结算至设备停止月份为止（备注：不满一个月的按天计算），合同自动终</w:t>
      </w:r>
      <w:r>
        <w:rPr>
          <w:rFonts w:hint="eastAsia" w:ascii="宋体" w:hAnsi="宋体" w:eastAsia="宋体" w:cs="宋体"/>
          <w:color w:val="auto"/>
          <w:sz w:val="24"/>
          <w:szCs w:val="24"/>
          <w:highlight w:val="none"/>
          <w:lang w:val="en-US" w:eastAsia="zh-CN"/>
        </w:rPr>
        <w:t>止</w:t>
      </w:r>
      <w:r>
        <w:rPr>
          <w:rFonts w:hint="eastAsia" w:ascii="宋体" w:hAnsi="宋体" w:eastAsia="宋体" w:cs="宋体"/>
          <w:color w:val="auto"/>
          <w:sz w:val="24"/>
          <w:szCs w:val="24"/>
          <w:highlight w:val="none"/>
          <w:lang w:eastAsia="zh-CN"/>
        </w:rPr>
        <w:t>。</w:t>
      </w:r>
    </w:p>
    <w:p w14:paraId="394B47F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宋体" w:hAnsi="宋体" w:eastAsia="宋体" w:cs="宋体"/>
          <w:color w:val="auto"/>
          <w:highlight w:val="none"/>
        </w:rPr>
      </w:pPr>
      <w:r>
        <w:rPr>
          <w:rFonts w:hint="eastAsia" w:ascii="宋体" w:hAnsi="宋体" w:eastAsia="宋体" w:cs="宋体"/>
          <w:b/>
          <w:bCs/>
          <w:color w:val="auto"/>
          <w:spacing w:val="-4"/>
          <w:highlight w:val="none"/>
          <w:lang w:eastAsia="zh-CN"/>
        </w:rPr>
        <w:t>五</w:t>
      </w:r>
      <w:r>
        <w:rPr>
          <w:rFonts w:hint="eastAsia" w:ascii="宋体" w:hAnsi="宋体" w:eastAsia="宋体" w:cs="宋体"/>
          <w:b/>
          <w:bCs/>
          <w:color w:val="auto"/>
          <w:spacing w:val="-4"/>
          <w:highlight w:val="none"/>
        </w:rPr>
        <w:t>、违约责任</w:t>
      </w:r>
    </w:p>
    <w:p w14:paraId="70F74D5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color w:val="auto"/>
          <w:spacing w:val="-4"/>
          <w:highlight w:val="none"/>
        </w:rPr>
        <w:t>1.</w:t>
      </w:r>
      <w:r>
        <w:rPr>
          <w:rFonts w:hint="eastAsia" w:ascii="宋体" w:hAnsi="宋体" w:eastAsia="宋体" w:cs="宋体"/>
          <w:color w:val="auto"/>
          <w:sz w:val="24"/>
          <w:szCs w:val="24"/>
          <w:highlight w:val="none"/>
        </w:rPr>
        <w:t>因为乙方不履行合同或者履行合同不符合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约定给甲方造成损失的，乙方</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承担合同</w:t>
      </w:r>
      <w:r>
        <w:rPr>
          <w:rFonts w:hint="eastAsia" w:ascii="宋体" w:hAnsi="宋体" w:eastAsia="宋体" w:cs="宋体"/>
          <w:color w:val="auto"/>
          <w:sz w:val="24"/>
          <w:szCs w:val="24"/>
          <w:highlight w:val="none"/>
          <w:lang w:eastAsia="zh-CN"/>
        </w:rPr>
        <w:t>金额</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的违约金</w:t>
      </w:r>
      <w:r>
        <w:rPr>
          <w:rFonts w:hint="eastAsia" w:ascii="宋体" w:hAnsi="宋体" w:eastAsia="宋体" w:cs="宋体"/>
          <w:color w:val="auto"/>
          <w:sz w:val="24"/>
          <w:szCs w:val="24"/>
          <w:highlight w:val="none"/>
          <w:lang w:eastAsia="zh-CN"/>
        </w:rPr>
        <w:t>。若违约金额不足于弥补甲方损失的，乙方还应支付</w:t>
      </w:r>
      <w:r>
        <w:rPr>
          <w:rFonts w:hint="eastAsia" w:ascii="宋体" w:hAnsi="宋体" w:eastAsia="宋体" w:cs="宋体"/>
          <w:color w:val="auto"/>
          <w:sz w:val="24"/>
          <w:szCs w:val="24"/>
          <w:highlight w:val="none"/>
        </w:rPr>
        <w:t>赔偿</w:t>
      </w:r>
      <w:r>
        <w:rPr>
          <w:rFonts w:hint="eastAsia" w:ascii="宋体" w:hAnsi="宋体" w:eastAsia="宋体" w:cs="宋体"/>
          <w:color w:val="auto"/>
          <w:sz w:val="24"/>
          <w:szCs w:val="24"/>
          <w:highlight w:val="none"/>
          <w:lang w:eastAsia="zh-CN"/>
        </w:rPr>
        <w:t>金，</w:t>
      </w:r>
      <w:r>
        <w:rPr>
          <w:rFonts w:hint="eastAsia" w:ascii="宋体" w:hAnsi="宋体" w:eastAsia="宋体" w:cs="宋体"/>
          <w:color w:val="auto"/>
          <w:sz w:val="24"/>
          <w:szCs w:val="24"/>
          <w:highlight w:val="none"/>
        </w:rPr>
        <w:t>且甲方有权解除合同</w:t>
      </w:r>
      <w:r>
        <w:rPr>
          <w:rFonts w:hint="eastAsia" w:ascii="宋体" w:hAnsi="宋体" w:eastAsia="宋体" w:cs="宋体"/>
          <w:color w:val="auto"/>
          <w:sz w:val="24"/>
          <w:szCs w:val="24"/>
          <w:highlight w:val="none"/>
          <w:lang w:eastAsia="zh-CN"/>
        </w:rPr>
        <w:t>。</w:t>
      </w:r>
    </w:p>
    <w:p w14:paraId="3319743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color w:val="auto"/>
          <w:spacing w:val="-3"/>
          <w:highlight w:val="none"/>
        </w:rPr>
        <w:t>2.在合同有效期内，未经</w:t>
      </w:r>
      <w:r>
        <w:rPr>
          <w:rFonts w:hint="eastAsia" w:ascii="宋体" w:hAnsi="宋体" w:eastAsia="宋体" w:cs="宋体"/>
          <w:color w:val="auto"/>
          <w:spacing w:val="-3"/>
          <w:highlight w:val="none"/>
          <w:lang w:eastAsia="zh-CN"/>
        </w:rPr>
        <w:t>甲</w:t>
      </w:r>
      <w:r>
        <w:rPr>
          <w:rFonts w:hint="eastAsia" w:ascii="宋体" w:hAnsi="宋体" w:eastAsia="宋体" w:cs="宋体"/>
          <w:color w:val="auto"/>
          <w:spacing w:val="-3"/>
          <w:highlight w:val="none"/>
        </w:rPr>
        <w:t>方认可</w:t>
      </w:r>
      <w:r>
        <w:rPr>
          <w:rFonts w:hint="eastAsia" w:ascii="宋体" w:hAnsi="宋体" w:eastAsia="宋体" w:cs="宋体"/>
          <w:color w:val="auto"/>
          <w:spacing w:val="-3"/>
          <w:highlight w:val="none"/>
          <w:lang w:eastAsia="zh-CN"/>
        </w:rPr>
        <w:t>乙</w:t>
      </w:r>
      <w:r>
        <w:rPr>
          <w:rFonts w:hint="eastAsia" w:ascii="宋体" w:hAnsi="宋体" w:eastAsia="宋体" w:cs="宋体"/>
          <w:color w:val="auto"/>
          <w:spacing w:val="-3"/>
          <w:highlight w:val="none"/>
        </w:rPr>
        <w:t>方擅自维保、移机、</w:t>
      </w:r>
      <w:r>
        <w:rPr>
          <w:rFonts w:hint="eastAsia" w:ascii="宋体" w:hAnsi="宋体" w:eastAsia="宋体" w:cs="宋体"/>
          <w:color w:val="auto"/>
          <w:spacing w:val="-4"/>
          <w:highlight w:val="none"/>
        </w:rPr>
        <w:t>保养及更换第三方</w:t>
      </w:r>
      <w:r>
        <w:rPr>
          <w:rFonts w:hint="eastAsia" w:ascii="宋体" w:hAnsi="宋体" w:eastAsia="宋体" w:cs="宋体"/>
          <w:color w:val="auto"/>
          <w:spacing w:val="-3"/>
          <w:highlight w:val="none"/>
        </w:rPr>
        <w:t>零备件及耗材，</w:t>
      </w:r>
      <w:r>
        <w:rPr>
          <w:rFonts w:hint="eastAsia" w:ascii="宋体" w:hAnsi="宋体" w:eastAsia="宋体" w:cs="宋体"/>
          <w:color w:val="auto"/>
          <w:spacing w:val="-3"/>
          <w:highlight w:val="none"/>
          <w:lang w:eastAsia="zh-CN"/>
        </w:rPr>
        <w:t>甲</w:t>
      </w:r>
      <w:r>
        <w:rPr>
          <w:rFonts w:hint="eastAsia" w:ascii="宋体" w:hAnsi="宋体" w:eastAsia="宋体" w:cs="宋体"/>
          <w:color w:val="auto"/>
          <w:spacing w:val="-3"/>
          <w:highlight w:val="none"/>
        </w:rPr>
        <w:t>方有权解除合同。对于合同解除前乙方已提供的服务，甲方仍</w:t>
      </w:r>
      <w:r>
        <w:rPr>
          <w:rFonts w:hint="eastAsia" w:ascii="宋体" w:hAnsi="宋体" w:eastAsia="宋体" w:cs="宋体"/>
          <w:color w:val="auto"/>
          <w:spacing w:val="-2"/>
          <w:highlight w:val="none"/>
        </w:rPr>
        <w:t>有义务支付相应款项。</w:t>
      </w:r>
    </w:p>
    <w:p w14:paraId="00703E7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color w:val="auto"/>
          <w:spacing w:val="-1"/>
          <w:highlight w:val="none"/>
        </w:rPr>
        <w:t>3.</w:t>
      </w:r>
      <w:r>
        <w:rPr>
          <w:rFonts w:hint="eastAsia" w:ascii="宋体" w:hAnsi="宋体" w:eastAsia="宋体" w:cs="宋体"/>
          <w:color w:val="auto"/>
          <w:sz w:val="24"/>
          <w:szCs w:val="24"/>
          <w:highlight w:val="none"/>
        </w:rPr>
        <w:t>在合同</w:t>
      </w:r>
      <w:r>
        <w:rPr>
          <w:rFonts w:hint="eastAsia" w:ascii="宋体" w:hAnsi="宋体" w:eastAsia="宋体" w:cs="宋体"/>
          <w:color w:val="auto"/>
          <w:sz w:val="24"/>
          <w:szCs w:val="24"/>
          <w:highlight w:val="none"/>
          <w:lang w:eastAsia="zh-CN"/>
        </w:rPr>
        <w:t>有效</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highlight w:val="none"/>
          <w:lang w:eastAsia="zh-CN"/>
        </w:rPr>
        <w:t>内</w:t>
      </w:r>
      <w:r>
        <w:rPr>
          <w:rFonts w:hint="eastAsia" w:ascii="宋体" w:hAnsi="宋体" w:eastAsia="宋体" w:cs="宋体"/>
          <w:color w:val="auto"/>
          <w:spacing w:val="-1"/>
          <w:highlight w:val="none"/>
        </w:rPr>
        <w:t>，如一方提前终止合同，需经双方协商确定。</w:t>
      </w:r>
    </w:p>
    <w:p w14:paraId="17578A5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color w:val="auto"/>
          <w:spacing w:val="-2"/>
          <w:highlight w:val="none"/>
        </w:rPr>
        <w:t>4.</w:t>
      </w:r>
      <w:r>
        <w:rPr>
          <w:rFonts w:hint="eastAsia" w:ascii="宋体" w:hAnsi="宋体" w:eastAsia="宋体" w:cs="宋体"/>
          <w:color w:val="auto"/>
          <w:kern w:val="2"/>
          <w:sz w:val="24"/>
          <w:szCs w:val="24"/>
          <w:highlight w:val="none"/>
          <w:lang w:eastAsia="zh-CN"/>
        </w:rPr>
        <w:t>设备维</w:t>
      </w:r>
      <w:r>
        <w:rPr>
          <w:rFonts w:hint="eastAsia" w:ascii="宋体" w:hAnsi="宋体" w:eastAsia="宋体" w:cs="宋体"/>
          <w:color w:val="auto"/>
          <w:kern w:val="2"/>
          <w:sz w:val="24"/>
          <w:szCs w:val="24"/>
          <w:highlight w:val="none"/>
          <w:lang w:val="en-US" w:eastAsia="zh-CN"/>
        </w:rPr>
        <w:t>保</w:t>
      </w:r>
      <w:r>
        <w:rPr>
          <w:rFonts w:hint="eastAsia" w:ascii="宋体" w:hAnsi="宋体" w:eastAsia="宋体" w:cs="宋体"/>
          <w:color w:val="auto"/>
          <w:kern w:val="2"/>
          <w:sz w:val="24"/>
          <w:szCs w:val="24"/>
          <w:highlight w:val="none"/>
          <w:lang w:eastAsia="zh-CN"/>
        </w:rPr>
        <w:t>期间，</w:t>
      </w:r>
      <w:r>
        <w:rPr>
          <w:rFonts w:hint="eastAsia" w:ascii="宋体" w:hAnsi="宋体" w:eastAsia="宋体" w:cs="宋体"/>
          <w:color w:val="auto"/>
          <w:kern w:val="2"/>
          <w:sz w:val="24"/>
          <w:szCs w:val="24"/>
          <w:highlight w:val="none"/>
        </w:rPr>
        <w:t>若乙方未及时提供服务，</w:t>
      </w:r>
      <w:r>
        <w:rPr>
          <w:rFonts w:hint="eastAsia" w:ascii="宋体" w:hAnsi="宋体" w:eastAsia="宋体" w:cs="宋体"/>
          <w:color w:val="auto"/>
          <w:kern w:val="2"/>
          <w:sz w:val="24"/>
          <w:highlight w:val="none"/>
          <w:u w:val="none"/>
          <w:lang w:eastAsia="zh-CN"/>
        </w:rPr>
        <w:t>单次维修时间超过</w:t>
      </w:r>
      <w:r>
        <w:rPr>
          <w:rFonts w:hint="eastAsia" w:ascii="宋体" w:hAnsi="宋体" w:eastAsia="宋体" w:cs="宋体"/>
          <w:color w:val="auto"/>
          <w:kern w:val="2"/>
          <w:sz w:val="24"/>
          <w:highlight w:val="none"/>
          <w:u w:val="single"/>
          <w:lang w:val="en-US" w:eastAsia="zh-CN"/>
        </w:rPr>
        <w:t xml:space="preserve">    </w:t>
      </w:r>
      <w:r>
        <w:rPr>
          <w:rFonts w:hint="eastAsia" w:ascii="宋体" w:hAnsi="宋体" w:eastAsia="宋体" w:cs="宋体"/>
          <w:color w:val="auto"/>
          <w:kern w:val="2"/>
          <w:sz w:val="24"/>
          <w:highlight w:val="none"/>
          <w:u w:val="none"/>
          <w:lang w:val="en-US" w:eastAsia="zh-CN"/>
        </w:rPr>
        <w:t>个工作日（不可抗力因素除外），</w:t>
      </w:r>
      <w:r>
        <w:rPr>
          <w:rFonts w:hint="eastAsia" w:ascii="宋体" w:hAnsi="宋体" w:eastAsia="宋体" w:cs="宋体"/>
          <w:color w:val="auto"/>
          <w:kern w:val="2"/>
          <w:sz w:val="24"/>
          <w:szCs w:val="24"/>
          <w:highlight w:val="none"/>
        </w:rPr>
        <w:t>甲方有权自行委托第三方维修，由此产生的费用由乙方承担</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乙方同意在甲方应支付的维保费用中扣除</w:t>
      </w:r>
      <w:r>
        <w:rPr>
          <w:rFonts w:hint="eastAsia" w:ascii="宋体" w:hAnsi="宋体" w:eastAsia="宋体" w:cs="宋体"/>
          <w:color w:val="auto"/>
          <w:kern w:val="2"/>
          <w:sz w:val="24"/>
          <w:szCs w:val="24"/>
          <w:highlight w:val="none"/>
        </w:rPr>
        <w:t>。</w:t>
      </w:r>
    </w:p>
    <w:p w14:paraId="2C56B5A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宋体" w:hAnsi="宋体" w:eastAsia="宋体" w:cs="宋体"/>
          <w:color w:val="auto"/>
          <w:highlight w:val="none"/>
        </w:rPr>
      </w:pPr>
      <w:r>
        <w:rPr>
          <w:rFonts w:hint="eastAsia" w:ascii="宋体" w:hAnsi="宋体" w:eastAsia="宋体" w:cs="宋体"/>
          <w:b/>
          <w:bCs/>
          <w:color w:val="auto"/>
          <w:spacing w:val="-4"/>
          <w:highlight w:val="none"/>
          <w:lang w:eastAsia="zh-CN"/>
        </w:rPr>
        <w:t>六</w:t>
      </w:r>
      <w:r>
        <w:rPr>
          <w:rFonts w:hint="eastAsia" w:ascii="宋体" w:hAnsi="宋体" w:eastAsia="宋体" w:cs="宋体"/>
          <w:b/>
          <w:bCs/>
          <w:color w:val="auto"/>
          <w:spacing w:val="-4"/>
          <w:highlight w:val="none"/>
        </w:rPr>
        <w:t>、总结考核</w:t>
      </w:r>
    </w:p>
    <w:p w14:paraId="5C929C6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color w:val="auto"/>
          <w:spacing w:val="-3"/>
          <w:highlight w:val="none"/>
        </w:rPr>
        <w:t>甲方根据《医学装备维保合同履约情况考核表》对</w:t>
      </w:r>
      <w:r>
        <w:rPr>
          <w:rFonts w:hint="eastAsia" w:ascii="宋体" w:hAnsi="宋体" w:eastAsia="宋体" w:cs="宋体"/>
          <w:color w:val="auto"/>
          <w:spacing w:val="-4"/>
          <w:highlight w:val="none"/>
        </w:rPr>
        <w:t>乙方实施考核。乙方在维保期内每个年度周期结束前</w:t>
      </w:r>
      <w:r>
        <w:rPr>
          <w:rFonts w:hint="eastAsia" w:ascii="宋体" w:hAnsi="宋体" w:eastAsia="宋体" w:cs="宋体"/>
          <w:color w:val="auto"/>
          <w:spacing w:val="-33"/>
          <w:highlight w:val="none"/>
        </w:rPr>
        <w:t xml:space="preserve"> </w:t>
      </w:r>
      <w:r>
        <w:rPr>
          <w:rFonts w:hint="eastAsia" w:ascii="宋体" w:hAnsi="宋体" w:eastAsia="宋体" w:cs="宋体"/>
          <w:color w:val="auto"/>
          <w:spacing w:val="-4"/>
          <w:highlight w:val="none"/>
        </w:rPr>
        <w:t>1</w:t>
      </w:r>
      <w:r>
        <w:rPr>
          <w:rFonts w:hint="eastAsia" w:ascii="宋体" w:hAnsi="宋体" w:eastAsia="宋体" w:cs="宋体"/>
          <w:color w:val="auto"/>
          <w:spacing w:val="-51"/>
          <w:highlight w:val="none"/>
        </w:rPr>
        <w:t xml:space="preserve"> </w:t>
      </w:r>
      <w:r>
        <w:rPr>
          <w:rFonts w:hint="eastAsia" w:ascii="宋体" w:hAnsi="宋体" w:eastAsia="宋体" w:cs="宋体"/>
          <w:color w:val="auto"/>
          <w:spacing w:val="-4"/>
          <w:highlight w:val="none"/>
        </w:rPr>
        <w:t>个月内，向甲方提供一份该年度的</w:t>
      </w:r>
      <w:r>
        <w:rPr>
          <w:rFonts w:hint="eastAsia" w:ascii="宋体" w:hAnsi="宋体" w:eastAsia="宋体" w:cs="宋体"/>
          <w:color w:val="auto"/>
          <w:spacing w:val="-3"/>
          <w:highlight w:val="none"/>
        </w:rPr>
        <w:t>设备维保情况分析汇总报告。维保的次数与内容、更换维保备件的数目，</w:t>
      </w:r>
      <w:r>
        <w:rPr>
          <w:rFonts w:hint="eastAsia" w:ascii="宋体" w:hAnsi="宋体" w:eastAsia="宋体" w:cs="宋体"/>
          <w:color w:val="auto"/>
          <w:spacing w:val="-4"/>
          <w:highlight w:val="none"/>
        </w:rPr>
        <w:t>及发生</w:t>
      </w:r>
      <w:r>
        <w:rPr>
          <w:rFonts w:hint="eastAsia" w:ascii="宋体" w:hAnsi="宋体" w:eastAsia="宋体" w:cs="宋体"/>
          <w:color w:val="auto"/>
          <w:spacing w:val="-3"/>
          <w:highlight w:val="none"/>
        </w:rPr>
        <w:t>的所有费用，以年末甲、乙双方共同核对为准，相关文件交甲方存档，并作为年</w:t>
      </w:r>
      <w:r>
        <w:rPr>
          <w:rFonts w:hint="eastAsia" w:ascii="宋体" w:hAnsi="宋体" w:eastAsia="宋体" w:cs="宋体"/>
          <w:color w:val="auto"/>
          <w:spacing w:val="-2"/>
          <w:highlight w:val="none"/>
        </w:rPr>
        <w:t>度考核的依据。</w:t>
      </w:r>
    </w:p>
    <w:p w14:paraId="16394BF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宋体" w:hAnsi="宋体" w:eastAsia="宋体" w:cs="宋体"/>
          <w:color w:val="auto"/>
          <w:highlight w:val="none"/>
        </w:rPr>
      </w:pPr>
      <w:r>
        <w:rPr>
          <w:rFonts w:hint="eastAsia" w:ascii="宋体" w:hAnsi="宋体" w:eastAsia="宋体" w:cs="宋体"/>
          <w:b/>
          <w:bCs/>
          <w:color w:val="auto"/>
          <w:spacing w:val="-5"/>
          <w:highlight w:val="none"/>
          <w:lang w:eastAsia="zh-CN"/>
        </w:rPr>
        <w:t>七</w:t>
      </w:r>
      <w:r>
        <w:rPr>
          <w:rFonts w:hint="eastAsia" w:ascii="宋体" w:hAnsi="宋体" w:eastAsia="宋体" w:cs="宋体"/>
          <w:b/>
          <w:bCs/>
          <w:color w:val="auto"/>
          <w:spacing w:val="-5"/>
          <w:highlight w:val="none"/>
        </w:rPr>
        <w:t>、争议解决</w:t>
      </w:r>
    </w:p>
    <w:p w14:paraId="7891AFA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color w:val="auto"/>
          <w:highlight w:val="none"/>
        </w:rPr>
      </w:pPr>
      <w:r>
        <w:rPr>
          <w:rFonts w:hint="eastAsia" w:ascii="宋体" w:hAnsi="宋体" w:eastAsia="宋体" w:cs="宋体"/>
          <w:color w:val="auto"/>
          <w:spacing w:val="-3"/>
          <w:highlight w:val="none"/>
        </w:rPr>
        <w:t>双方应本着友好协商的原则解决争议。如协商不成，向甲方所在</w:t>
      </w:r>
      <w:r>
        <w:rPr>
          <w:rFonts w:hint="eastAsia" w:ascii="宋体" w:hAnsi="宋体" w:eastAsia="宋体" w:cs="宋体"/>
          <w:color w:val="auto"/>
          <w:spacing w:val="-4"/>
          <w:highlight w:val="none"/>
        </w:rPr>
        <w:t>地人民法院</w:t>
      </w:r>
      <w:r>
        <w:rPr>
          <w:rFonts w:hint="eastAsia" w:ascii="宋体" w:hAnsi="宋体" w:eastAsia="宋体" w:cs="宋体"/>
          <w:color w:val="auto"/>
          <w:spacing w:val="-1"/>
          <w:highlight w:val="none"/>
        </w:rPr>
        <w:t>提起诉讼。本合同适用中华人民共和国法律。</w:t>
      </w:r>
    </w:p>
    <w:p w14:paraId="1D1B85D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outlineLvl w:val="9"/>
        <w:rPr>
          <w:rFonts w:hint="eastAsia" w:ascii="宋体" w:hAnsi="宋体" w:eastAsia="宋体" w:cs="宋体"/>
          <w:color w:val="auto"/>
          <w:highlight w:val="none"/>
        </w:rPr>
      </w:pPr>
      <w:r>
        <w:rPr>
          <w:rFonts w:hint="eastAsia" w:ascii="宋体" w:hAnsi="宋体" w:eastAsia="宋体" w:cs="宋体"/>
          <w:b/>
          <w:bCs/>
          <w:color w:val="auto"/>
          <w:spacing w:val="-7"/>
          <w:highlight w:val="none"/>
          <w:lang w:eastAsia="zh-CN"/>
        </w:rPr>
        <w:t>八</w:t>
      </w:r>
      <w:r>
        <w:rPr>
          <w:rFonts w:hint="eastAsia" w:ascii="宋体" w:hAnsi="宋体" w:eastAsia="宋体" w:cs="宋体"/>
          <w:b/>
          <w:bCs/>
          <w:color w:val="auto"/>
          <w:spacing w:val="-7"/>
          <w:highlight w:val="none"/>
        </w:rPr>
        <w:t>、其他</w:t>
      </w:r>
    </w:p>
    <w:p w14:paraId="72AFD79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1.为加强反腐倡廉工作，甲乙双方应严格遵守“医疗卫生机构廉洁购销合同”，杜绝商业贿赂。</w:t>
      </w:r>
    </w:p>
    <w:p w14:paraId="34D55CA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2.本合同壹式肆份，甲方叁份，乙方壹份。经甲乙双方代表签字并盖公章或合同专用章后生效。</w:t>
      </w:r>
    </w:p>
    <w:p w14:paraId="3CE01C0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outlineLvl w:val="9"/>
        <w:rPr>
          <w:rFonts w:hint="eastAsia" w:ascii="宋体" w:hAnsi="宋体" w:eastAsia="宋体" w:cs="宋体"/>
          <w:color w:val="auto"/>
          <w:spacing w:val="-2"/>
          <w:highlight w:val="none"/>
        </w:rPr>
      </w:pPr>
      <w:r>
        <w:rPr>
          <w:rFonts w:hint="eastAsia" w:ascii="宋体" w:hAnsi="宋体" w:eastAsia="宋体" w:cs="宋体"/>
          <w:color w:val="auto"/>
          <w:spacing w:val="-3"/>
          <w:highlight w:val="none"/>
        </w:rPr>
        <w:t>3.未尽事宜以</w:t>
      </w:r>
      <w:r>
        <w:rPr>
          <w:rFonts w:hint="eastAsia" w:ascii="宋体" w:hAnsi="宋体" w:eastAsia="宋体" w:cs="宋体"/>
          <w:color w:val="auto"/>
          <w:spacing w:val="-3"/>
          <w:highlight w:val="none"/>
          <w:lang w:eastAsia="zh-CN"/>
        </w:rPr>
        <w:t>公开招标</w:t>
      </w:r>
      <w:r>
        <w:rPr>
          <w:rFonts w:hint="eastAsia" w:ascii="宋体" w:hAnsi="宋体" w:eastAsia="宋体" w:cs="宋体"/>
          <w:b w:val="0"/>
          <w:bCs w:val="0"/>
          <w:color w:val="auto"/>
          <w:spacing w:val="-3"/>
          <w:highlight w:val="none"/>
        </w:rPr>
        <w:t>文件</w:t>
      </w:r>
      <w:r>
        <w:rPr>
          <w:rFonts w:hint="eastAsia" w:ascii="宋体" w:hAnsi="宋体" w:eastAsia="宋体" w:cs="宋体"/>
          <w:color w:val="auto"/>
          <w:spacing w:val="-3"/>
          <w:highlight w:val="none"/>
        </w:rPr>
        <w:t>和应标文件为准。如合同与</w:t>
      </w:r>
      <w:r>
        <w:rPr>
          <w:rFonts w:hint="eastAsia" w:ascii="宋体" w:hAnsi="宋体" w:eastAsia="宋体" w:cs="宋体"/>
          <w:color w:val="auto"/>
          <w:spacing w:val="-3"/>
          <w:highlight w:val="none"/>
          <w:lang w:eastAsia="zh-CN"/>
        </w:rPr>
        <w:t>公开招标</w:t>
      </w:r>
      <w:r>
        <w:rPr>
          <w:rFonts w:hint="eastAsia" w:ascii="宋体" w:hAnsi="宋体" w:eastAsia="宋体" w:cs="宋体"/>
          <w:b w:val="0"/>
          <w:bCs w:val="0"/>
          <w:color w:val="auto"/>
          <w:spacing w:val="-3"/>
          <w:highlight w:val="none"/>
        </w:rPr>
        <w:t>文件</w:t>
      </w:r>
      <w:r>
        <w:rPr>
          <w:rFonts w:hint="eastAsia" w:ascii="宋体" w:hAnsi="宋体" w:eastAsia="宋体" w:cs="宋体"/>
          <w:color w:val="auto"/>
          <w:spacing w:val="-4"/>
          <w:highlight w:val="none"/>
        </w:rPr>
        <w:t>有冲突的，以</w:t>
      </w:r>
      <w:r>
        <w:rPr>
          <w:rFonts w:hint="eastAsia" w:ascii="宋体" w:hAnsi="宋体" w:eastAsia="宋体" w:cs="宋体"/>
          <w:color w:val="auto"/>
          <w:spacing w:val="-4"/>
          <w:highlight w:val="none"/>
          <w:lang w:eastAsia="zh-CN"/>
        </w:rPr>
        <w:t>公开招标</w:t>
      </w:r>
      <w:r>
        <w:rPr>
          <w:rFonts w:hint="eastAsia" w:ascii="宋体" w:hAnsi="宋体" w:eastAsia="宋体" w:cs="宋体"/>
          <w:b w:val="0"/>
          <w:bCs w:val="0"/>
          <w:color w:val="auto"/>
          <w:spacing w:val="-2"/>
          <w:highlight w:val="none"/>
        </w:rPr>
        <w:t>文件</w:t>
      </w:r>
      <w:r>
        <w:rPr>
          <w:rFonts w:hint="eastAsia" w:ascii="宋体" w:hAnsi="宋体" w:eastAsia="宋体" w:cs="宋体"/>
          <w:color w:val="auto"/>
          <w:spacing w:val="-2"/>
          <w:highlight w:val="none"/>
        </w:rPr>
        <w:t>为准。</w:t>
      </w:r>
    </w:p>
    <w:tbl>
      <w:tblPr>
        <w:tblStyle w:val="64"/>
        <w:tblpPr w:leftFromText="180" w:rightFromText="180" w:vertAnchor="text" w:horzAnchor="page" w:tblpX="745" w:tblpY="435"/>
        <w:tblOverlap w:val="never"/>
        <w:tblW w:w="10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5"/>
        <w:gridCol w:w="3285"/>
        <w:gridCol w:w="1319"/>
        <w:gridCol w:w="4471"/>
      </w:tblGrid>
      <w:tr w14:paraId="23DA9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25" w:type="dxa"/>
            <w:tcBorders>
              <w:tl2br w:val="nil"/>
              <w:tr2bl w:val="nil"/>
            </w:tcBorders>
            <w:noWrap w:val="0"/>
            <w:vAlign w:val="center"/>
          </w:tcPr>
          <w:p w14:paraId="01215C6D">
            <w:pPr>
              <w:pStyle w:val="6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w:t>
            </w:r>
          </w:p>
        </w:tc>
        <w:tc>
          <w:tcPr>
            <w:tcW w:w="3285" w:type="dxa"/>
            <w:tcBorders>
              <w:tl2br w:val="nil"/>
              <w:tr2bl w:val="nil"/>
            </w:tcBorders>
            <w:noWrap w:val="0"/>
            <w:vAlign w:val="center"/>
          </w:tcPr>
          <w:p w14:paraId="342A9D9A">
            <w:pPr>
              <w:pStyle w:val="63"/>
              <w:ind w:lef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杭州市萧山区第一人民医院</w:t>
            </w:r>
          </w:p>
        </w:tc>
        <w:tc>
          <w:tcPr>
            <w:tcW w:w="1319" w:type="dxa"/>
            <w:tcBorders>
              <w:tl2br w:val="nil"/>
              <w:tr2bl w:val="nil"/>
            </w:tcBorders>
            <w:noWrap w:val="0"/>
            <w:vAlign w:val="center"/>
          </w:tcPr>
          <w:p w14:paraId="20B2031E">
            <w:pPr>
              <w:pStyle w:val="6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   方：</w:t>
            </w:r>
          </w:p>
        </w:tc>
        <w:tc>
          <w:tcPr>
            <w:tcW w:w="4471" w:type="dxa"/>
            <w:tcBorders>
              <w:tl2br w:val="nil"/>
              <w:tr2bl w:val="nil"/>
            </w:tcBorders>
            <w:noWrap w:val="0"/>
            <w:vAlign w:val="center"/>
          </w:tcPr>
          <w:p w14:paraId="04D12E36">
            <w:pPr>
              <w:pStyle w:val="63"/>
              <w:ind w:firstLine="0" w:firstLineChars="0"/>
              <w:jc w:val="left"/>
              <w:rPr>
                <w:rFonts w:hint="eastAsia" w:ascii="宋体" w:hAnsi="宋体" w:eastAsia="宋体" w:cs="宋体"/>
                <w:color w:val="auto"/>
                <w:sz w:val="24"/>
                <w:szCs w:val="24"/>
                <w:highlight w:val="none"/>
              </w:rPr>
            </w:pPr>
          </w:p>
        </w:tc>
      </w:tr>
      <w:tr w14:paraId="7B845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25" w:type="dxa"/>
            <w:tcBorders>
              <w:tl2br w:val="nil"/>
              <w:tr2bl w:val="nil"/>
            </w:tcBorders>
            <w:noWrap w:val="0"/>
            <w:vAlign w:val="center"/>
          </w:tcPr>
          <w:p w14:paraId="31116AC8">
            <w:pPr>
              <w:pStyle w:val="6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税   号：</w:t>
            </w:r>
          </w:p>
        </w:tc>
        <w:tc>
          <w:tcPr>
            <w:tcW w:w="3285" w:type="dxa"/>
            <w:tcBorders>
              <w:tl2br w:val="nil"/>
              <w:tr2bl w:val="nil"/>
            </w:tcBorders>
            <w:noWrap w:val="0"/>
            <w:vAlign w:val="center"/>
          </w:tcPr>
          <w:p w14:paraId="656165EE">
            <w:pPr>
              <w:pStyle w:val="63"/>
              <w:ind w:lef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12330109470453493C</w:t>
            </w:r>
          </w:p>
        </w:tc>
        <w:tc>
          <w:tcPr>
            <w:tcW w:w="1319" w:type="dxa"/>
            <w:tcBorders>
              <w:tl2br w:val="nil"/>
              <w:tr2bl w:val="nil"/>
            </w:tcBorders>
            <w:noWrap w:val="0"/>
            <w:vAlign w:val="center"/>
          </w:tcPr>
          <w:p w14:paraId="02C17437">
            <w:pPr>
              <w:pStyle w:val="6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税   号：</w:t>
            </w:r>
          </w:p>
        </w:tc>
        <w:tc>
          <w:tcPr>
            <w:tcW w:w="4471" w:type="dxa"/>
            <w:tcBorders>
              <w:tl2br w:val="nil"/>
              <w:tr2bl w:val="nil"/>
            </w:tcBorders>
            <w:noWrap w:val="0"/>
            <w:vAlign w:val="center"/>
          </w:tcPr>
          <w:p w14:paraId="5CD72BC6">
            <w:pPr>
              <w:pStyle w:val="63"/>
              <w:ind w:firstLine="0" w:firstLineChars="0"/>
              <w:jc w:val="left"/>
              <w:rPr>
                <w:rFonts w:hint="eastAsia" w:ascii="宋体" w:hAnsi="宋体" w:eastAsia="宋体" w:cs="宋体"/>
                <w:color w:val="auto"/>
                <w:kern w:val="2"/>
                <w:sz w:val="24"/>
                <w:szCs w:val="24"/>
                <w:highlight w:val="none"/>
                <w:lang w:val="en-US" w:eastAsia="zh-CN"/>
              </w:rPr>
            </w:pPr>
          </w:p>
        </w:tc>
      </w:tr>
      <w:tr w14:paraId="4F6C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25" w:type="dxa"/>
            <w:tcBorders>
              <w:tl2br w:val="nil"/>
              <w:tr2bl w:val="nil"/>
            </w:tcBorders>
            <w:noWrap w:val="0"/>
            <w:vAlign w:val="center"/>
          </w:tcPr>
          <w:p w14:paraId="466CEF30">
            <w:pPr>
              <w:pStyle w:val="6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tc>
        <w:tc>
          <w:tcPr>
            <w:tcW w:w="3285" w:type="dxa"/>
            <w:tcBorders>
              <w:tl2br w:val="nil"/>
              <w:tr2bl w:val="nil"/>
            </w:tcBorders>
            <w:noWrap w:val="0"/>
            <w:vAlign w:val="center"/>
          </w:tcPr>
          <w:p w14:paraId="036FA827">
            <w:pPr>
              <w:pStyle w:val="6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杭州市萧山区市心南路199号</w:t>
            </w:r>
          </w:p>
        </w:tc>
        <w:tc>
          <w:tcPr>
            <w:tcW w:w="1319" w:type="dxa"/>
            <w:tcBorders>
              <w:tl2br w:val="nil"/>
              <w:tr2bl w:val="nil"/>
            </w:tcBorders>
            <w:noWrap w:val="0"/>
            <w:vAlign w:val="center"/>
          </w:tcPr>
          <w:p w14:paraId="3DFAC95A">
            <w:pPr>
              <w:pStyle w:val="6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tc>
        <w:tc>
          <w:tcPr>
            <w:tcW w:w="4471" w:type="dxa"/>
            <w:tcBorders>
              <w:tl2br w:val="nil"/>
              <w:tr2bl w:val="nil"/>
            </w:tcBorders>
            <w:noWrap w:val="0"/>
            <w:vAlign w:val="center"/>
          </w:tcPr>
          <w:p w14:paraId="56E96219">
            <w:pPr>
              <w:pStyle w:val="63"/>
              <w:ind w:firstLine="0" w:firstLineChars="0"/>
              <w:jc w:val="left"/>
              <w:rPr>
                <w:rFonts w:hint="eastAsia" w:ascii="宋体" w:hAnsi="宋体" w:eastAsia="宋体" w:cs="宋体"/>
                <w:color w:val="auto"/>
                <w:sz w:val="24"/>
                <w:szCs w:val="24"/>
                <w:highlight w:val="none"/>
                <w:lang w:val="en-US" w:eastAsia="zh-CN"/>
              </w:rPr>
            </w:pPr>
          </w:p>
        </w:tc>
      </w:tr>
      <w:tr w14:paraId="418E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710" w:type="dxa"/>
            <w:gridSpan w:val="2"/>
            <w:tcBorders>
              <w:tl2br w:val="nil"/>
              <w:tr2bl w:val="nil"/>
            </w:tcBorders>
            <w:noWrap w:val="0"/>
            <w:vAlign w:val="center"/>
          </w:tcPr>
          <w:p w14:paraId="2E4183E7">
            <w:pPr>
              <w:pStyle w:val="6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p>
        </w:tc>
        <w:tc>
          <w:tcPr>
            <w:tcW w:w="5790" w:type="dxa"/>
            <w:gridSpan w:val="2"/>
            <w:tcBorders>
              <w:tl2br w:val="nil"/>
              <w:tr2bl w:val="nil"/>
            </w:tcBorders>
            <w:noWrap w:val="0"/>
            <w:vAlign w:val="center"/>
          </w:tcPr>
          <w:p w14:paraId="0C88AA2D">
            <w:pPr>
              <w:pStyle w:val="6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法定代表人或授权代表：</w:t>
            </w:r>
          </w:p>
        </w:tc>
      </w:tr>
      <w:tr w14:paraId="718C9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25" w:type="dxa"/>
            <w:tcBorders>
              <w:tl2br w:val="nil"/>
              <w:tr2bl w:val="nil"/>
            </w:tcBorders>
            <w:noWrap w:val="0"/>
            <w:vAlign w:val="center"/>
          </w:tcPr>
          <w:p w14:paraId="2B72F881">
            <w:pPr>
              <w:pStyle w:val="6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3285" w:type="dxa"/>
            <w:tcBorders>
              <w:tl2br w:val="nil"/>
              <w:tr2bl w:val="nil"/>
            </w:tcBorders>
            <w:noWrap w:val="0"/>
            <w:vAlign w:val="center"/>
          </w:tcPr>
          <w:p w14:paraId="58AD5DFA">
            <w:pPr>
              <w:pStyle w:val="63"/>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319" w:type="dxa"/>
            <w:tcBorders>
              <w:tl2br w:val="nil"/>
              <w:tr2bl w:val="nil"/>
            </w:tcBorders>
            <w:noWrap w:val="0"/>
            <w:vAlign w:val="center"/>
          </w:tcPr>
          <w:p w14:paraId="4049E911">
            <w:pPr>
              <w:pStyle w:val="6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4471" w:type="dxa"/>
            <w:tcBorders>
              <w:tl2br w:val="nil"/>
              <w:tr2bl w:val="nil"/>
            </w:tcBorders>
            <w:noWrap w:val="0"/>
            <w:vAlign w:val="center"/>
          </w:tcPr>
          <w:p w14:paraId="7D3DFFAD">
            <w:pPr>
              <w:pStyle w:val="63"/>
              <w:ind w:firstLine="0" w:firstLineChars="0"/>
              <w:rPr>
                <w:rFonts w:hint="eastAsia" w:ascii="宋体" w:hAnsi="宋体" w:eastAsia="宋体" w:cs="宋体"/>
                <w:color w:val="auto"/>
                <w:sz w:val="24"/>
                <w:szCs w:val="24"/>
                <w:highlight w:val="none"/>
                <w:lang w:val="en-US" w:eastAsia="zh-CN"/>
              </w:rPr>
            </w:pPr>
          </w:p>
        </w:tc>
      </w:tr>
      <w:tr w14:paraId="74702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25" w:type="dxa"/>
            <w:tcBorders>
              <w:tl2br w:val="nil"/>
              <w:tr2bl w:val="nil"/>
            </w:tcBorders>
            <w:noWrap w:val="0"/>
            <w:vAlign w:val="center"/>
          </w:tcPr>
          <w:p w14:paraId="1AC47549">
            <w:pPr>
              <w:pStyle w:val="6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3285" w:type="dxa"/>
            <w:tcBorders>
              <w:tl2br w:val="nil"/>
              <w:tr2bl w:val="nil"/>
            </w:tcBorders>
            <w:noWrap w:val="0"/>
            <w:vAlign w:val="center"/>
          </w:tcPr>
          <w:p w14:paraId="5FE10905">
            <w:pPr>
              <w:pStyle w:val="63"/>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工商银行萧山分行</w:t>
            </w:r>
          </w:p>
        </w:tc>
        <w:tc>
          <w:tcPr>
            <w:tcW w:w="1319" w:type="dxa"/>
            <w:tcBorders>
              <w:tl2br w:val="nil"/>
              <w:tr2bl w:val="nil"/>
            </w:tcBorders>
            <w:noWrap w:val="0"/>
            <w:vAlign w:val="center"/>
          </w:tcPr>
          <w:p w14:paraId="5D8F1430">
            <w:pPr>
              <w:pStyle w:val="6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471" w:type="dxa"/>
            <w:tcBorders>
              <w:tl2br w:val="nil"/>
              <w:tr2bl w:val="nil"/>
            </w:tcBorders>
            <w:noWrap w:val="0"/>
            <w:vAlign w:val="center"/>
          </w:tcPr>
          <w:p w14:paraId="23ACD71F">
            <w:pPr>
              <w:pStyle w:val="63"/>
              <w:ind w:firstLine="0" w:firstLineChars="0"/>
              <w:rPr>
                <w:rFonts w:hint="eastAsia" w:ascii="宋体" w:hAnsi="宋体" w:eastAsia="宋体" w:cs="宋体"/>
                <w:color w:val="auto"/>
                <w:sz w:val="24"/>
                <w:szCs w:val="24"/>
                <w:highlight w:val="none"/>
                <w:lang w:val="en-US" w:eastAsia="zh-CN"/>
              </w:rPr>
            </w:pPr>
          </w:p>
        </w:tc>
      </w:tr>
      <w:tr w14:paraId="6C475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25" w:type="dxa"/>
            <w:tcBorders>
              <w:tl2br w:val="nil"/>
              <w:tr2bl w:val="nil"/>
            </w:tcBorders>
            <w:noWrap w:val="0"/>
            <w:vAlign w:val="center"/>
          </w:tcPr>
          <w:p w14:paraId="0E95D0F1">
            <w:pPr>
              <w:pStyle w:val="63"/>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账号</w:t>
            </w:r>
            <w:r>
              <w:rPr>
                <w:rFonts w:hint="eastAsia" w:ascii="宋体" w:hAnsi="宋体" w:eastAsia="宋体" w:cs="宋体"/>
                <w:color w:val="auto"/>
                <w:sz w:val="24"/>
                <w:szCs w:val="24"/>
                <w:highlight w:val="none"/>
              </w:rPr>
              <w:t>：</w:t>
            </w:r>
          </w:p>
        </w:tc>
        <w:tc>
          <w:tcPr>
            <w:tcW w:w="3285" w:type="dxa"/>
            <w:tcBorders>
              <w:tl2br w:val="nil"/>
              <w:tr2bl w:val="nil"/>
            </w:tcBorders>
            <w:noWrap w:val="0"/>
            <w:vAlign w:val="center"/>
          </w:tcPr>
          <w:p w14:paraId="1E26560E">
            <w:pPr>
              <w:pStyle w:val="63"/>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1202090109014432013      </w:t>
            </w:r>
          </w:p>
        </w:tc>
        <w:tc>
          <w:tcPr>
            <w:tcW w:w="1319" w:type="dxa"/>
            <w:tcBorders>
              <w:tl2br w:val="nil"/>
              <w:tr2bl w:val="nil"/>
            </w:tcBorders>
            <w:noWrap w:val="0"/>
            <w:vAlign w:val="center"/>
          </w:tcPr>
          <w:p w14:paraId="372F0146">
            <w:pPr>
              <w:pStyle w:val="6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账号</w:t>
            </w:r>
            <w:r>
              <w:rPr>
                <w:rFonts w:hint="eastAsia" w:ascii="宋体" w:hAnsi="宋体" w:eastAsia="宋体" w:cs="宋体"/>
                <w:color w:val="auto"/>
                <w:sz w:val="24"/>
                <w:szCs w:val="24"/>
                <w:highlight w:val="none"/>
              </w:rPr>
              <w:t xml:space="preserve">：    </w:t>
            </w:r>
          </w:p>
        </w:tc>
        <w:tc>
          <w:tcPr>
            <w:tcW w:w="4471" w:type="dxa"/>
            <w:tcBorders>
              <w:tl2br w:val="nil"/>
              <w:tr2bl w:val="nil"/>
            </w:tcBorders>
            <w:noWrap w:val="0"/>
            <w:vAlign w:val="center"/>
          </w:tcPr>
          <w:p w14:paraId="49DB7BF6">
            <w:pPr>
              <w:pStyle w:val="63"/>
              <w:ind w:firstLine="0" w:firstLineChars="0"/>
              <w:jc w:val="left"/>
              <w:rPr>
                <w:rFonts w:hint="eastAsia" w:ascii="宋体" w:hAnsi="宋体" w:eastAsia="宋体" w:cs="宋体"/>
                <w:color w:val="auto"/>
                <w:kern w:val="2"/>
                <w:sz w:val="24"/>
                <w:szCs w:val="24"/>
                <w:highlight w:val="none"/>
                <w:lang w:val="en-US" w:eastAsia="zh-CN" w:bidi="ar-SA"/>
              </w:rPr>
            </w:pPr>
          </w:p>
        </w:tc>
      </w:tr>
      <w:tr w14:paraId="2A562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25" w:type="dxa"/>
            <w:tcBorders>
              <w:tl2br w:val="nil"/>
              <w:tr2bl w:val="nil"/>
            </w:tcBorders>
            <w:noWrap w:val="0"/>
            <w:vAlign w:val="center"/>
          </w:tcPr>
          <w:p w14:paraId="11BD78D3">
            <w:pPr>
              <w:pStyle w:val="6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p>
        </w:tc>
        <w:tc>
          <w:tcPr>
            <w:tcW w:w="3285" w:type="dxa"/>
            <w:tcBorders>
              <w:tl2br w:val="nil"/>
              <w:tr2bl w:val="nil"/>
            </w:tcBorders>
            <w:noWrap w:val="0"/>
            <w:vAlign w:val="center"/>
          </w:tcPr>
          <w:p w14:paraId="6E17A997">
            <w:pPr>
              <w:pStyle w:val="63"/>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sz w:val="24"/>
                <w:szCs w:val="24"/>
                <w:highlight w:val="none"/>
              </w:rPr>
            </w:pPr>
          </w:p>
        </w:tc>
        <w:tc>
          <w:tcPr>
            <w:tcW w:w="1319" w:type="dxa"/>
            <w:tcBorders>
              <w:tl2br w:val="nil"/>
              <w:tr2bl w:val="nil"/>
            </w:tcBorders>
            <w:noWrap w:val="0"/>
            <w:vAlign w:val="center"/>
          </w:tcPr>
          <w:p w14:paraId="7976E940">
            <w:pPr>
              <w:pStyle w:val="63"/>
              <w:keepNext w:val="0"/>
              <w:keepLines w:val="0"/>
              <w:pageBreakBefore w:val="0"/>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p>
        </w:tc>
        <w:tc>
          <w:tcPr>
            <w:tcW w:w="4471" w:type="dxa"/>
            <w:tcBorders>
              <w:tl2br w:val="nil"/>
              <w:tr2bl w:val="nil"/>
            </w:tcBorders>
            <w:noWrap w:val="0"/>
            <w:vAlign w:val="center"/>
          </w:tcPr>
          <w:p w14:paraId="3511E001">
            <w:pPr>
              <w:pStyle w:val="63"/>
              <w:keepNext w:val="0"/>
              <w:keepLines w:val="0"/>
              <w:pageBreakBefore w:val="0"/>
              <w:kinsoku/>
              <w:wordWrap/>
              <w:overflowPunct/>
              <w:topLinePunct w:val="0"/>
              <w:autoSpaceDE/>
              <w:autoSpaceDN/>
              <w:bidi w:val="0"/>
              <w:spacing w:line="360" w:lineRule="auto"/>
              <w:ind w:firstLine="0" w:firstLineChars="0"/>
              <w:jc w:val="left"/>
              <w:textAlignment w:val="auto"/>
              <w:rPr>
                <w:rFonts w:hint="eastAsia" w:ascii="宋体" w:hAnsi="宋体" w:eastAsia="宋体" w:cs="宋体"/>
                <w:color w:val="auto"/>
                <w:sz w:val="24"/>
                <w:szCs w:val="24"/>
                <w:highlight w:val="none"/>
              </w:rPr>
            </w:pPr>
          </w:p>
        </w:tc>
      </w:tr>
    </w:tbl>
    <w:p w14:paraId="2C054200">
      <w:pPr>
        <w:rPr>
          <w:rFonts w:hint="eastAsia" w:ascii="宋体" w:hAnsi="宋体" w:eastAsia="宋体" w:cs="宋体"/>
          <w:b/>
          <w:color w:val="auto"/>
          <w:sz w:val="36"/>
          <w:szCs w:val="20"/>
          <w:highlight w:val="none"/>
        </w:rPr>
      </w:pPr>
    </w:p>
    <w:p w14:paraId="3D7F4672">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6E576124">
      <w:pPr>
        <w:widowControl/>
        <w:spacing w:line="360" w:lineRule="exact"/>
        <w:ind w:right="-210" w:rightChars="-100"/>
        <w:jc w:val="left"/>
        <w:rPr>
          <w:rFonts w:hint="eastAsia"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附件</w:t>
      </w:r>
    </w:p>
    <w:p w14:paraId="50A3F2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医疗卫生机构廉洁购销合同</w:t>
      </w:r>
    </w:p>
    <w:p w14:paraId="47A6FC8C">
      <w:pPr>
        <w:keepNext w:val="0"/>
        <w:keepLines w:val="0"/>
        <w:pageBreakBefore w:val="0"/>
        <w:widowControl w:val="0"/>
        <w:kinsoku/>
        <w:wordWrap/>
        <w:overflowPunct/>
        <w:topLinePunct w:val="0"/>
        <w:autoSpaceDE/>
        <w:autoSpaceDN/>
        <w:bidi w:val="0"/>
        <w:adjustRightInd/>
        <w:snapToGrid/>
        <w:spacing w:line="200" w:lineRule="exact"/>
        <w:ind w:firstLine="480" w:firstLineChars="200"/>
        <w:textAlignment w:val="auto"/>
        <w:rPr>
          <w:rFonts w:hint="eastAsia" w:ascii="宋体" w:hAnsi="宋体" w:eastAsia="宋体" w:cs="宋体"/>
          <w:color w:val="auto"/>
          <w:sz w:val="24"/>
          <w:szCs w:val="24"/>
          <w:highlight w:val="none"/>
        </w:rPr>
      </w:pPr>
    </w:p>
    <w:p w14:paraId="65FD44BD">
      <w:pPr>
        <w:pStyle w:val="25"/>
        <w:keepNext w:val="0"/>
        <w:keepLines w:val="0"/>
        <w:pageBreakBefore w:val="0"/>
        <w:widowControl w:val="0"/>
        <w:kinsoku/>
        <w:wordWrap/>
        <w:overflowPunct/>
        <w:topLinePunct w:val="0"/>
        <w:autoSpaceDE/>
        <w:autoSpaceDN/>
        <w:bidi w:val="0"/>
        <w:snapToGrid/>
        <w:spacing w:line="200" w:lineRule="exact"/>
        <w:textAlignment w:val="auto"/>
        <w:rPr>
          <w:rFonts w:hint="eastAsia" w:ascii="宋体" w:hAnsi="宋体" w:eastAsia="宋体" w:cs="宋体"/>
          <w:color w:val="auto"/>
          <w:sz w:val="24"/>
          <w:szCs w:val="24"/>
          <w:highlight w:val="none"/>
        </w:rPr>
      </w:pPr>
    </w:p>
    <w:p w14:paraId="52F57609">
      <w:pPr>
        <w:pStyle w:val="25"/>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甲方：</w:t>
      </w:r>
      <w:r>
        <w:rPr>
          <w:rFonts w:hint="eastAsia" w:cs="宋体"/>
          <w:color w:val="auto"/>
          <w:sz w:val="24"/>
          <w:szCs w:val="24"/>
          <w:highlight w:val="none"/>
          <w:lang w:val="en-US" w:eastAsia="zh-CN"/>
        </w:rPr>
        <w:t>杭州市萧山区第一人民医院</w:t>
      </w:r>
    </w:p>
    <w:p w14:paraId="655BD1FD">
      <w:pPr>
        <w:pStyle w:val="25"/>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14:paraId="06E2BBAB">
      <w:pPr>
        <w:pStyle w:val="25"/>
        <w:keepNext w:val="0"/>
        <w:keepLines w:val="0"/>
        <w:pageBreakBefore w:val="0"/>
        <w:widowControl w:val="0"/>
        <w:kinsoku/>
        <w:wordWrap/>
        <w:overflowPunct/>
        <w:topLinePunct w:val="0"/>
        <w:autoSpaceDE/>
        <w:autoSpaceDN/>
        <w:bidi w:val="0"/>
        <w:adjustRightInd w:val="0"/>
        <w:snapToGrid/>
        <w:spacing w:line="240" w:lineRule="exact"/>
        <w:textAlignment w:val="auto"/>
        <w:rPr>
          <w:rFonts w:hint="eastAsia" w:ascii="宋体" w:hAnsi="宋体" w:eastAsia="宋体" w:cs="宋体"/>
          <w:color w:val="auto"/>
          <w:sz w:val="24"/>
          <w:szCs w:val="24"/>
          <w:highlight w:val="none"/>
        </w:rPr>
      </w:pPr>
    </w:p>
    <w:p w14:paraId="53B4F7BF">
      <w:pPr>
        <w:pStyle w:val="25"/>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加强医疗卫生行风建设，持续强化医院管理，甲、乙双方根据《中华人民共和国民法典》《中华人民共和国政府采购法》《中华人民共和国招标投标法》《中华人民共和国反不正当竞争法》和《中华人民共和国审计法》等法律法规规范的相关规定，</w:t>
      </w:r>
      <w:r>
        <w:rPr>
          <w:rFonts w:hint="eastAsia" w:ascii="宋体" w:hAnsi="宋体" w:eastAsia="宋体" w:cs="宋体"/>
          <w:color w:val="auto"/>
          <w:sz w:val="24"/>
          <w:szCs w:val="24"/>
          <w:highlight w:val="none"/>
          <w:lang w:eastAsia="zh-CN"/>
        </w:rPr>
        <w:t>严格贯彻执行</w:t>
      </w:r>
      <w:r>
        <w:rPr>
          <w:rFonts w:hint="eastAsia" w:ascii="宋体" w:hAnsi="宋体" w:eastAsia="宋体" w:cs="宋体"/>
          <w:color w:val="auto"/>
          <w:sz w:val="24"/>
          <w:szCs w:val="24"/>
          <w:highlight w:val="none"/>
        </w:rPr>
        <w:t>《医疗机构工作人员廉洁从业九项准则》</w:t>
      </w:r>
      <w:r>
        <w:rPr>
          <w:rFonts w:hint="eastAsia" w:ascii="宋体" w:hAnsi="宋体" w:eastAsia="宋体" w:cs="宋体"/>
          <w:color w:val="auto"/>
          <w:sz w:val="24"/>
          <w:szCs w:val="24"/>
          <w:highlight w:val="none"/>
          <w:lang w:eastAsia="zh-CN"/>
        </w:rPr>
        <w:t>各项要求。</w:t>
      </w:r>
      <w:r>
        <w:rPr>
          <w:rFonts w:hint="eastAsia" w:ascii="宋体" w:hAnsi="宋体" w:eastAsia="宋体" w:cs="宋体"/>
          <w:color w:val="auto"/>
          <w:sz w:val="24"/>
          <w:szCs w:val="24"/>
          <w:highlight w:val="none"/>
        </w:rPr>
        <w:t>双方在相互信赖、平等自愿、协商一致的基础上，签署本合同，并共同遵守合同条款。</w:t>
      </w:r>
    </w:p>
    <w:p w14:paraId="52D421E9">
      <w:pPr>
        <w:pStyle w:val="25"/>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一、合同目的</w:t>
      </w:r>
    </w:p>
    <w:p w14:paraId="474959AD">
      <w:pPr>
        <w:pStyle w:val="25"/>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甲乙双方根据法律法规规范的相关规定，规范医疗卫生机构采购药品、医用设备、医用耗材等各类物资/服务行为，制止非法交易活动，打击商业贿赂行为，营造公平交易、诚实守信的购销环境。</w:t>
      </w:r>
    </w:p>
    <w:p w14:paraId="4F4C33D5">
      <w:pPr>
        <w:pStyle w:val="25"/>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二、甲方责任</w:t>
      </w:r>
    </w:p>
    <w:p w14:paraId="6DB1637F">
      <w:pPr>
        <w:pStyle w:val="25"/>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1.甲方应当严格执行购销合同验收、入库制度，对采购物资及发票进行查验，不得违反有关规定</w:t>
      </w:r>
      <w:r>
        <w:rPr>
          <w:rFonts w:hint="eastAsia" w:ascii="宋体" w:hAnsi="宋体" w:eastAsia="宋体" w:cs="宋体"/>
          <w:color w:val="auto"/>
          <w:sz w:val="24"/>
          <w:szCs w:val="24"/>
          <w:highlight w:val="none"/>
          <w:lang w:eastAsia="zh-CN"/>
        </w:rPr>
        <w:t>进行</w:t>
      </w:r>
      <w:r>
        <w:rPr>
          <w:rFonts w:hint="eastAsia" w:ascii="宋体" w:hAnsi="宋体" w:eastAsia="宋体" w:cs="宋体"/>
          <w:color w:val="auto"/>
          <w:sz w:val="24"/>
          <w:szCs w:val="24"/>
          <w:highlight w:val="none"/>
        </w:rPr>
        <w:t>合同外采购、</w:t>
      </w:r>
      <w:r>
        <w:rPr>
          <w:rFonts w:hint="eastAsia" w:ascii="宋体" w:hAnsi="宋体" w:eastAsia="宋体" w:cs="宋体"/>
          <w:color w:val="auto"/>
          <w:sz w:val="24"/>
          <w:szCs w:val="24"/>
          <w:highlight w:val="none"/>
          <w:lang w:eastAsia="zh-CN"/>
        </w:rPr>
        <w:t>违规</w:t>
      </w:r>
      <w:r>
        <w:rPr>
          <w:rFonts w:hint="eastAsia" w:ascii="宋体" w:hAnsi="宋体" w:eastAsia="宋体" w:cs="宋体"/>
          <w:color w:val="auto"/>
          <w:sz w:val="24"/>
          <w:szCs w:val="24"/>
          <w:highlight w:val="none"/>
        </w:rPr>
        <w:t xml:space="preserve">采购或从非规定渠道采购。  </w:t>
      </w:r>
    </w:p>
    <w:p w14:paraId="0427395C">
      <w:pPr>
        <w:pStyle w:val="25"/>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w:t>
      </w:r>
      <w:r>
        <w:rPr>
          <w:rFonts w:hint="eastAsia" w:ascii="宋体" w:hAnsi="宋体" w:eastAsia="宋体" w:cs="宋体"/>
          <w:color w:val="auto"/>
          <w:sz w:val="24"/>
          <w:szCs w:val="24"/>
          <w:highlight w:val="none"/>
          <w:lang w:eastAsia="zh-CN"/>
        </w:rPr>
        <w:t>纪检部门</w:t>
      </w:r>
      <w:r>
        <w:rPr>
          <w:rFonts w:hint="eastAsia" w:ascii="宋体" w:hAnsi="宋体" w:eastAsia="宋体" w:cs="宋体"/>
          <w:color w:val="auto"/>
          <w:sz w:val="24"/>
          <w:szCs w:val="24"/>
          <w:highlight w:val="none"/>
        </w:rPr>
        <w:t xml:space="preserve">反映情况。  </w:t>
      </w:r>
    </w:p>
    <w:p w14:paraId="2CE8E25B">
      <w:pPr>
        <w:pStyle w:val="25"/>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3.严禁甲方工作人员利用任何途径和方式，为乙方统计用量信息</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为乙方统计提供便利。</w:t>
      </w:r>
    </w:p>
    <w:p w14:paraId="4E3F64D4">
      <w:pPr>
        <w:pStyle w:val="25"/>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三、乙方责任</w:t>
      </w:r>
    </w:p>
    <w:p w14:paraId="583B44A8">
      <w:pPr>
        <w:pStyle w:val="25"/>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1.乙方不得以回扣、宴请等方式影响甲方工作人员采购或使用物资产品的选择权，不得在物资采购活动中提供旅游，超标准支付食宿费用。  </w:t>
      </w:r>
    </w:p>
    <w:p w14:paraId="1044956D">
      <w:pPr>
        <w:pStyle w:val="25"/>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2.乙方指定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，身份证号：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 w:val="24"/>
          <w:szCs w:val="24"/>
          <w:highlight w:val="none"/>
          <w:lang w:val="en-US" w:eastAsia="zh-CN"/>
        </w:rPr>
        <w:t>作为销售代表洽谈业务。销售代表必须在工作时间到甲方指定地点联系商谈，不得到病区、门诊、医技科室等区域推销医药产品，不得借故到甲方相关领导、部门负责人及相关工作人员家中访谈并提供任何好处费。</w:t>
      </w:r>
    </w:p>
    <w:p w14:paraId="7D12BC98">
      <w:pPr>
        <w:pStyle w:val="25"/>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乙方如违反本合同，一经发现，甲方有权终止购销合同，并向有关</w:t>
      </w:r>
      <w:r>
        <w:rPr>
          <w:rFonts w:hint="eastAsia" w:ascii="宋体" w:hAnsi="宋体" w:eastAsia="宋体" w:cs="宋体"/>
          <w:color w:val="auto"/>
          <w:sz w:val="24"/>
          <w:szCs w:val="24"/>
          <w:highlight w:val="none"/>
          <w:lang w:eastAsia="zh-CN"/>
        </w:rPr>
        <w:t>上级</w:t>
      </w:r>
      <w:r>
        <w:rPr>
          <w:rFonts w:hint="eastAsia" w:ascii="宋体" w:hAnsi="宋体" w:eastAsia="宋体" w:cs="宋体"/>
          <w:color w:val="auto"/>
          <w:sz w:val="24"/>
          <w:szCs w:val="24"/>
          <w:highlight w:val="none"/>
        </w:rPr>
        <w:t>行政部门报告。</w:t>
      </w:r>
      <w:r>
        <w:rPr>
          <w:rFonts w:hint="eastAsia" w:ascii="宋体" w:hAnsi="宋体" w:eastAsia="宋体" w:cs="宋体"/>
          <w:color w:val="auto"/>
          <w:sz w:val="24"/>
          <w:szCs w:val="24"/>
          <w:highlight w:val="none"/>
          <w:lang w:eastAsia="zh-CN"/>
        </w:rPr>
        <w:t>甲方将严格按照</w:t>
      </w:r>
      <w:r>
        <w:rPr>
          <w:rFonts w:hint="eastAsia" w:ascii="宋体" w:hAnsi="宋体" w:eastAsia="宋体" w:cs="宋体"/>
          <w:color w:val="auto"/>
          <w:sz w:val="24"/>
          <w:szCs w:val="24"/>
          <w:highlight w:val="none"/>
        </w:rPr>
        <w:t>《中华人民共和国反不正当竞争法》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中华人民共和国药品管理法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《关于建立医药购销领域商业贿赂不良记录的规定》</w:t>
      </w:r>
      <w:r>
        <w:rPr>
          <w:rFonts w:hint="eastAsia" w:ascii="宋体" w:hAnsi="宋体" w:eastAsia="宋体" w:cs="宋体"/>
          <w:color w:val="auto"/>
          <w:sz w:val="24"/>
          <w:szCs w:val="24"/>
          <w:highlight w:val="none"/>
          <w:lang w:eastAsia="zh-CN"/>
        </w:rPr>
        <w:t>等相关法律法规相关规定处理。</w:t>
      </w:r>
    </w:p>
    <w:p w14:paraId="6A687AE6">
      <w:pPr>
        <w:pStyle w:val="25"/>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、其他约定事项</w:t>
      </w:r>
    </w:p>
    <w:p w14:paraId="3EC5906E">
      <w:pPr>
        <w:tabs>
          <w:tab w:val="left" w:pos="2143"/>
          <w:tab w:val="center" w:pos="4664"/>
        </w:tabs>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本合</w:t>
      </w:r>
      <w:r>
        <w:rPr>
          <w:rFonts w:hint="eastAsia" w:ascii="宋体" w:hAnsi="宋体" w:eastAsia="宋体" w:cs="宋体"/>
          <w:color w:val="auto"/>
          <w:sz w:val="24"/>
          <w:szCs w:val="24"/>
          <w:highlight w:val="none"/>
          <w:lang w:eastAsia="zh-CN"/>
        </w:rPr>
        <w:t>同作为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采购</w:t>
      </w:r>
      <w:r>
        <w:rPr>
          <w:rFonts w:hint="eastAsia" w:ascii="宋体" w:hAnsi="宋体" w:eastAsia="宋体" w:cs="宋体"/>
          <w:color w:val="auto"/>
          <w:sz w:val="24"/>
          <w:szCs w:val="24"/>
          <w:highlight w:val="none"/>
          <w:u w:val="none"/>
          <w:lang w:eastAsia="zh-CN"/>
        </w:rPr>
        <w:t>项目</w:t>
      </w:r>
      <w:r>
        <w:rPr>
          <w:rFonts w:hint="eastAsia" w:ascii="宋体" w:hAnsi="宋体" w:eastAsia="宋体" w:cs="宋体"/>
          <w:color w:val="auto"/>
          <w:sz w:val="24"/>
          <w:szCs w:val="24"/>
          <w:highlight w:val="none"/>
          <w:lang w:eastAsia="zh-CN"/>
        </w:rPr>
        <w:t>合同的附件，是其</w:t>
      </w:r>
      <w:r>
        <w:rPr>
          <w:rFonts w:hint="eastAsia" w:ascii="宋体" w:hAnsi="宋体" w:eastAsia="宋体" w:cs="宋体"/>
          <w:color w:val="auto"/>
          <w:sz w:val="24"/>
          <w:szCs w:val="24"/>
          <w:highlight w:val="none"/>
        </w:rPr>
        <w:t>重要组成</w:t>
      </w:r>
      <w:r>
        <w:rPr>
          <w:rFonts w:hint="eastAsia" w:ascii="宋体" w:hAnsi="宋体" w:eastAsia="宋体" w:cs="宋体"/>
          <w:color w:val="auto"/>
          <w:sz w:val="24"/>
          <w:szCs w:val="24"/>
          <w:highlight w:val="none"/>
          <w:lang w:eastAsia="zh-CN"/>
        </w:rPr>
        <w:t>部分</w:t>
      </w:r>
      <w:r>
        <w:rPr>
          <w:rFonts w:hint="eastAsia" w:ascii="宋体" w:hAnsi="宋体" w:eastAsia="宋体" w:cs="宋体"/>
          <w:color w:val="auto"/>
          <w:sz w:val="24"/>
          <w:szCs w:val="24"/>
          <w:highlight w:val="none"/>
        </w:rPr>
        <w:t>，与购销合同一并执行，具有同等的法律效力</w:t>
      </w:r>
      <w:r>
        <w:rPr>
          <w:rFonts w:hint="eastAsia" w:ascii="宋体" w:hAnsi="宋体" w:eastAsia="宋体" w:cs="宋体"/>
          <w:color w:val="auto"/>
          <w:sz w:val="24"/>
          <w:szCs w:val="24"/>
          <w:highlight w:val="none"/>
          <w:lang w:eastAsia="zh-CN"/>
        </w:rPr>
        <w:t>，经合同双方签署立即生效。</w:t>
      </w:r>
    </w:p>
    <w:p w14:paraId="6E808136">
      <w:pPr>
        <w:pStyle w:val="25"/>
        <w:keepNext w:val="0"/>
        <w:keepLines w:val="0"/>
        <w:pageBreakBefore w:val="0"/>
        <w:widowControl w:val="0"/>
        <w:numPr>
          <w:ilvl w:val="0"/>
          <w:numId w:val="4"/>
        </w:numPr>
        <w:kinsoku/>
        <w:wordWrap/>
        <w:overflowPunct/>
        <w:topLinePunct w:val="0"/>
        <w:autoSpaceDE/>
        <w:autoSpaceDN/>
        <w:bidi w:val="0"/>
        <w:adjustRightInd w:val="0"/>
        <w:snapToGrid/>
        <w:spacing w:line="5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本合同自双方签字盖章之日起生效</w:t>
      </w:r>
      <w:r>
        <w:rPr>
          <w:rFonts w:hint="eastAsia" w:ascii="宋体" w:hAnsi="宋体" w:eastAsia="宋体" w:cs="宋体"/>
          <w:color w:val="auto"/>
          <w:sz w:val="24"/>
          <w:szCs w:val="24"/>
          <w:highlight w:val="none"/>
          <w:lang w:eastAsia="zh-CN"/>
        </w:rPr>
        <w:t>。</w:t>
      </w:r>
    </w:p>
    <w:p w14:paraId="4A9237E6">
      <w:pPr>
        <w:pStyle w:val="25"/>
        <w:keepNext w:val="0"/>
        <w:keepLines w:val="0"/>
        <w:pageBreakBefore w:val="0"/>
        <w:widowControl w:val="0"/>
        <w:numPr>
          <w:ilvl w:val="0"/>
          <w:numId w:val="4"/>
        </w:numPr>
        <w:kinsoku/>
        <w:wordWrap/>
        <w:overflowPunct/>
        <w:topLinePunct w:val="0"/>
        <w:autoSpaceDE/>
        <w:autoSpaceDN/>
        <w:bidi w:val="0"/>
        <w:adjustRightInd w:val="0"/>
        <w:snapToGrid/>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份，甲</w:t>
      </w:r>
      <w:r>
        <w:rPr>
          <w:rFonts w:hint="eastAsia" w:ascii="宋体" w:hAnsi="宋体" w:eastAsia="宋体" w:cs="宋体"/>
          <w:color w:val="auto"/>
          <w:sz w:val="24"/>
          <w:szCs w:val="24"/>
          <w:highlight w:val="none"/>
          <w:lang w:eastAsia="zh-CN"/>
        </w:rPr>
        <w:t>方三份，</w:t>
      </w:r>
      <w:r>
        <w:rPr>
          <w:rFonts w:hint="eastAsia" w:ascii="宋体" w:hAnsi="宋体" w:eastAsia="宋体" w:cs="宋体"/>
          <w:color w:val="auto"/>
          <w:sz w:val="24"/>
          <w:szCs w:val="24"/>
          <w:highlight w:val="none"/>
        </w:rPr>
        <w:t>乙方一份，具有同等法律效力。</w:t>
      </w:r>
    </w:p>
    <w:p w14:paraId="13C4286A">
      <w:pPr>
        <w:pStyle w:val="25"/>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宋体" w:hAnsi="宋体" w:eastAsia="宋体" w:cs="宋体"/>
          <w:color w:val="auto"/>
          <w:sz w:val="24"/>
          <w:szCs w:val="24"/>
          <w:highlight w:val="none"/>
        </w:rPr>
      </w:pPr>
    </w:p>
    <w:p w14:paraId="2B7FA970">
      <w:pPr>
        <w:pStyle w:val="25"/>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w:t>
      </w:r>
      <w:r>
        <w:rPr>
          <w:rFonts w:hint="eastAsia" w:ascii="宋体" w:hAnsi="宋体" w:eastAsia="宋体" w:cs="宋体"/>
          <w:color w:val="auto"/>
          <w:sz w:val="24"/>
          <w:szCs w:val="24"/>
          <w:highlight w:val="none"/>
          <w:lang w:val="en-US" w:eastAsia="zh-CN"/>
        </w:rPr>
        <w:t xml:space="preserve">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乙方（盖章）：</w:t>
      </w:r>
    </w:p>
    <w:p w14:paraId="6EB7DD4F">
      <w:pPr>
        <w:pStyle w:val="25"/>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法定代表人或授权代表（签字）：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法定代表人或授权代表（签字）：</w:t>
      </w:r>
    </w:p>
    <w:p w14:paraId="0C3449E5">
      <w:pPr>
        <w:pStyle w:val="25"/>
        <w:keepNext w:val="0"/>
        <w:keepLines w:val="0"/>
        <w:pageBreakBefore w:val="0"/>
        <w:widowControl w:val="0"/>
        <w:kinsoku/>
        <w:wordWrap/>
        <w:overflowPunct/>
        <w:topLinePunct w:val="0"/>
        <w:autoSpaceDE/>
        <w:autoSpaceDN/>
        <w:bidi w:val="0"/>
        <w:adjustRightInd w:val="0"/>
        <w:snapToGrid/>
        <w:spacing w:line="52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_____</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___</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___</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lang w:val="en-US" w:eastAsia="zh-CN"/>
        </w:rPr>
        <w:t xml:space="preserve">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：_____</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___</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___</w:t>
      </w:r>
      <w:r>
        <w:rPr>
          <w:rFonts w:hint="eastAsia" w:ascii="宋体" w:hAnsi="宋体" w:eastAsia="宋体" w:cs="宋体"/>
          <w:color w:val="auto"/>
          <w:sz w:val="24"/>
          <w:szCs w:val="24"/>
          <w:highlight w:val="none"/>
        </w:rPr>
        <w:t xml:space="preserve">日  </w:t>
      </w:r>
    </w:p>
    <w:p w14:paraId="5AA20885">
      <w:pPr>
        <w:pStyle w:val="25"/>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152DCFA1">
      <w:pPr>
        <w:rPr>
          <w:rFonts w:hint="eastAsia" w:asciiTheme="minorEastAsia" w:hAnsiTheme="minorEastAsia" w:eastAsiaTheme="minorEastAsia" w:cstheme="minorEastAsia"/>
          <w:color w:val="auto"/>
          <w:highlight w:val="none"/>
        </w:rPr>
      </w:pPr>
    </w:p>
    <w:p w14:paraId="198309E4">
      <w:pPr>
        <w:spacing w:line="360" w:lineRule="auto"/>
        <w:ind w:left="720" w:firstLine="723" w:firstLineChars="200"/>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81"/>
      <w:bookmarkEnd w:id="382"/>
      <w:r>
        <w:rPr>
          <w:rFonts w:hint="eastAsia" w:asciiTheme="minorEastAsia" w:hAnsiTheme="minorEastAsia" w:eastAsiaTheme="minorEastAsia" w:cstheme="minorEastAsia"/>
          <w:b/>
          <w:color w:val="auto"/>
          <w:sz w:val="36"/>
          <w:szCs w:val="20"/>
          <w:highlight w:val="none"/>
        </w:rPr>
        <w:t>应提交的有关格式范例</w:t>
      </w:r>
    </w:p>
    <w:p w14:paraId="531F1E5C">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6BDC818A">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05628E56">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30FB2ED1">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2F3FDCE5">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（1）符合参加交易活动应当具备的一般条件的承诺函…………………（页码）</w:t>
      </w:r>
    </w:p>
    <w:p w14:paraId="400A1648">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（2）本项目的特定资格要求………………………………………………（页码）</w:t>
      </w:r>
    </w:p>
    <w:p w14:paraId="5E05A0D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18F96740">
      <w:pPr>
        <w:spacing w:line="360" w:lineRule="auto"/>
        <w:ind w:firstLine="480" w:firstLineChars="200"/>
        <w:rPr>
          <w:rFonts w:hint="eastAsia" w:asciiTheme="minorEastAsia" w:hAnsiTheme="minorEastAsia" w:eastAsiaTheme="minorEastAsia" w:cstheme="minorEastAsia"/>
          <w:color w:val="auto"/>
          <w:sz w:val="24"/>
          <w:highlight w:val="none"/>
        </w:rPr>
      </w:pPr>
    </w:p>
    <w:p w14:paraId="32FACCBB">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 符合参加交易活动应当具备的一般条件的承诺函</w:t>
      </w:r>
    </w:p>
    <w:p w14:paraId="5A8CEA8A">
      <w:pPr>
        <w:snapToGrid w:val="0"/>
        <w:spacing w:line="360" w:lineRule="auto"/>
        <w:rPr>
          <w:rFonts w:hint="eastAsia" w:asciiTheme="minorEastAsia" w:hAnsiTheme="minorEastAsia" w:eastAsiaTheme="minorEastAsia" w:cstheme="minorEastAsia"/>
          <w:color w:val="auto"/>
          <w:sz w:val="24"/>
          <w:highlight w:val="none"/>
        </w:rPr>
      </w:pPr>
    </w:p>
    <w:p w14:paraId="6B0E8A58">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27DE467C">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交易活动，郑重承诺：</w:t>
      </w:r>
    </w:p>
    <w:p w14:paraId="1542C7E9">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（一）具备以下条件：</w:t>
      </w:r>
    </w:p>
    <w:p w14:paraId="3DFBE65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03C0C0B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14AE2B4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78BE69B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3BE9F95B">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5、参加交易活动前三年内，在经营活动中没有重大违法记录；</w:t>
      </w:r>
    </w:p>
    <w:p w14:paraId="1A0FDF5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6DF6F64C">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3653B394">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441CF2E2">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259E91D5">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响应人名称(电子签名)：</w:t>
      </w:r>
    </w:p>
    <w:p w14:paraId="4F4D6807">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月日</w:t>
      </w:r>
    </w:p>
    <w:p w14:paraId="679CB19A">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15651B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7899B1E">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510AC3C">
      <w:pPr>
        <w:rPr>
          <w:rFonts w:hint="eastAsia" w:asciiTheme="minorEastAsia" w:hAnsiTheme="minorEastAsia" w:eastAsiaTheme="minorEastAsia" w:cstheme="minorEastAsia"/>
          <w:color w:val="auto"/>
          <w:highlight w:val="none"/>
        </w:rPr>
      </w:pPr>
    </w:p>
    <w:p w14:paraId="0BAC530A">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6CFA66EB">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5D4B3FBA">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二、本项目的特定资格要求</w:t>
      </w:r>
    </w:p>
    <w:p w14:paraId="2AD8B43D">
      <w:pPr>
        <w:spacing w:line="360" w:lineRule="auto"/>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color w:val="auto"/>
          <w:sz w:val="24"/>
          <w:highlight w:val="none"/>
        </w:rPr>
        <w:t>（根据交易公告本项目的特定资格要求提供相应的材料；未要求的，无需提供）</w:t>
      </w:r>
    </w:p>
    <w:p w14:paraId="568750B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02F698C">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55F0F221">
      <w:pP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1785C6C4">
      <w:pPr>
        <w:spacing w:line="360" w:lineRule="auto"/>
        <w:ind w:right="420"/>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0226FA77">
      <w:pPr>
        <w:spacing w:line="360" w:lineRule="auto"/>
        <w:jc w:val="center"/>
        <w:outlineLvl w:val="0"/>
        <w:rPr>
          <w:rFonts w:hint="eastAsia" w:asciiTheme="minorEastAsia" w:hAnsiTheme="minorEastAsia" w:eastAsiaTheme="minorEastAsia" w:cstheme="minorEastAsia"/>
          <w:b/>
          <w:color w:val="auto"/>
          <w:kern w:val="0"/>
          <w:sz w:val="24"/>
          <w:highlight w:val="none"/>
        </w:rPr>
      </w:pPr>
    </w:p>
    <w:p w14:paraId="2C634F9E">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78F23691">
      <w:pPr>
        <w:snapToGrid w:val="0"/>
        <w:spacing w:line="360" w:lineRule="auto"/>
        <w:ind w:left="479" w:leftChars="228"/>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（1）交易函</w:t>
      </w:r>
      <w:r>
        <w:rPr>
          <w:rFonts w:hint="eastAsia" w:asciiTheme="minorEastAsia" w:hAnsiTheme="minorEastAsia" w:eastAsiaTheme="minorEastAsia" w:cstheme="minorEastAsia"/>
          <w:color w:val="auto"/>
          <w:highlight w:val="none"/>
        </w:rPr>
        <w:t>…………………………………………………………………………………（页码）</w:t>
      </w:r>
      <w:r>
        <w:rPr>
          <w:rFonts w:hint="eastAsia" w:asciiTheme="minorEastAsia" w:hAnsiTheme="minorEastAsia" w:eastAsiaTheme="minorEastAsia" w:cstheme="minorEastAsia"/>
          <w:color w:val="auto"/>
          <w:sz w:val="24"/>
          <w:highlight w:val="none"/>
        </w:rPr>
        <w:t>（2）授权委托书或法定代表人（单位负责人、自然人本人）身份证明</w:t>
      </w:r>
      <w:r>
        <w:rPr>
          <w:rFonts w:hint="eastAsia" w:asciiTheme="minorEastAsia" w:hAnsiTheme="minorEastAsia" w:eastAsiaTheme="minorEastAsia" w:cstheme="minorEastAsia"/>
          <w:color w:val="auto"/>
          <w:highlight w:val="none"/>
        </w:rPr>
        <w:t>………（页码）</w:t>
      </w:r>
    </w:p>
    <w:p w14:paraId="7F24452B">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（3）营业执照</w:t>
      </w:r>
      <w:r>
        <w:rPr>
          <w:rFonts w:hint="eastAsia" w:asciiTheme="minorEastAsia" w:hAnsiTheme="minorEastAsia" w:eastAsiaTheme="minorEastAsia" w:cstheme="minorEastAsia"/>
          <w:color w:val="auto"/>
          <w:highlight w:val="none"/>
        </w:rPr>
        <w:t>………………………………………………………………………………（页码）</w:t>
      </w:r>
    </w:p>
    <w:p w14:paraId="2D7E836D">
      <w:pPr>
        <w:snapToGrid w:val="0"/>
        <w:spacing w:line="360" w:lineRule="auto"/>
        <w:ind w:firstLine="480" w:firstLineChars="200"/>
        <w:jc w:val="distribute"/>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（4）符合性审查资料</w:t>
      </w:r>
      <w:r>
        <w:rPr>
          <w:rFonts w:hint="eastAsia" w:asciiTheme="minorEastAsia" w:hAnsiTheme="minorEastAsia" w:eastAsiaTheme="minorEastAsia" w:cstheme="minorEastAsia"/>
          <w:color w:val="auto"/>
          <w:highlight w:val="none"/>
        </w:rPr>
        <w:t>………………………………………………………………………（页码）</w:t>
      </w:r>
    </w:p>
    <w:p w14:paraId="6984A95D">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（5）评审标准相应的商务技术资料</w:t>
      </w:r>
      <w:r>
        <w:rPr>
          <w:rFonts w:hint="eastAsia" w:asciiTheme="minorEastAsia" w:hAnsiTheme="minorEastAsia" w:eastAsiaTheme="minorEastAsia" w:cstheme="minorEastAsia"/>
          <w:color w:val="auto"/>
          <w:highlight w:val="none"/>
        </w:rPr>
        <w:t>……………………………………………………（页码）</w:t>
      </w:r>
    </w:p>
    <w:p w14:paraId="21623A8A">
      <w:pPr>
        <w:snapToGrid w:val="0"/>
        <w:spacing w:line="360" w:lineRule="auto"/>
        <w:ind w:firstLine="480" w:firstLineChars="200"/>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（6）商务技术偏离表</w:t>
      </w:r>
      <w:r>
        <w:rPr>
          <w:rFonts w:hint="eastAsia" w:asciiTheme="minorEastAsia" w:hAnsiTheme="minorEastAsia" w:eastAsiaTheme="minorEastAsia" w:cstheme="minorEastAsia"/>
          <w:color w:val="auto"/>
          <w:highlight w:val="none"/>
        </w:rPr>
        <w:t>………………………………………………………………………（页码）</w:t>
      </w:r>
    </w:p>
    <w:p w14:paraId="506C8D3C">
      <w:pPr>
        <w:snapToGrid w:val="0"/>
        <w:spacing w:line="360" w:lineRule="auto"/>
        <w:ind w:left="479" w:leftChars="228"/>
        <w:jc w:val="distribut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r>
        <w:rPr>
          <w:rFonts w:hint="eastAsia" w:asciiTheme="minorEastAsia" w:hAnsiTheme="minorEastAsia" w:eastAsiaTheme="minorEastAsia" w:cstheme="minorEastAsia"/>
          <w:color w:val="auto"/>
          <w:sz w:val="24"/>
          <w:highlight w:val="none"/>
          <w:lang w:val="zh-CN"/>
        </w:rPr>
        <w:t>响应人廉洁自律承诺书</w:t>
      </w:r>
      <w:r>
        <w:rPr>
          <w:rFonts w:hint="eastAsia" w:asciiTheme="minorEastAsia" w:hAnsiTheme="minorEastAsia" w:eastAsiaTheme="minorEastAsia" w:cstheme="minorEastAsia"/>
          <w:color w:val="auto"/>
          <w:highlight w:val="none"/>
        </w:rPr>
        <w:t>……………………………………………………………（页码）</w:t>
      </w:r>
    </w:p>
    <w:p w14:paraId="6F730D1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BCAF4F7">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4248312">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27C50D20">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D955852">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756A1781">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0214A847">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6D885B5F">
      <w:pPr>
        <w:rPr>
          <w:rFonts w:hint="eastAsia" w:asciiTheme="minorEastAsia" w:hAnsiTheme="minorEastAsia" w:eastAsiaTheme="minorEastAsia" w:cstheme="minorEastAsia"/>
          <w:color w:val="auto"/>
          <w:highlight w:val="none"/>
        </w:rPr>
      </w:pPr>
    </w:p>
    <w:p w14:paraId="23263278">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0B6ADFD1">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1E190D93">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422A802B">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7383BB33">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1FB17B9B">
      <w:p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rPr>
      </w:pPr>
    </w:p>
    <w:p w14:paraId="76DFA852">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7D4948C6">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一、交易函</w:t>
      </w:r>
    </w:p>
    <w:p w14:paraId="7F79BED9">
      <w:pPr>
        <w:snapToGrid w:val="0"/>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（交易发起人）、（代理机构）：</w:t>
      </w:r>
    </w:p>
    <w:p w14:paraId="7C9B92D3">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sz w:val="24"/>
          <w:highlight w:val="none"/>
        </w:rPr>
        <w:t>招标的有关活动，并对此项目进行投标。为此：</w:t>
      </w:r>
    </w:p>
    <w:p w14:paraId="775C9C90">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1、我方承诺交易有效期从提交响应文件的截止之日起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本响应文件在交易有效期满之前均具有约束力。</w:t>
      </w:r>
    </w:p>
    <w:p w14:paraId="36EF4084">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2、我方的响应文件包括以下内容：</w:t>
      </w:r>
    </w:p>
    <w:p w14:paraId="138AD9B4">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50CE8862">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1E530812">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2.1.2本项目的特定资格要求（如果有）。</w:t>
      </w:r>
    </w:p>
    <w:p w14:paraId="726966AA">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2商务技术</w:t>
      </w:r>
      <w:r>
        <w:rPr>
          <w:rFonts w:hint="eastAsia" w:asciiTheme="minorEastAsia" w:hAnsiTheme="minorEastAsia" w:eastAsiaTheme="minorEastAsia" w:cstheme="minorEastAsia"/>
          <w:color w:val="auto"/>
          <w:sz w:val="24"/>
          <w:highlight w:val="none"/>
          <w:lang w:val="zh-CN"/>
        </w:rPr>
        <w:t>文件：</w:t>
      </w:r>
    </w:p>
    <w:p w14:paraId="50947693">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2.2.1交易函；</w:t>
      </w:r>
    </w:p>
    <w:p w14:paraId="6A95D81E">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1190D443">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2.2.3营业执照；</w:t>
      </w:r>
    </w:p>
    <w:p w14:paraId="7C2BCE40">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37946B21">
      <w:pPr>
        <w:snapToGrid w:val="0"/>
        <w:spacing w:line="440" w:lineRule="exact"/>
        <w:ind w:left="420" w:leftChars="200"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2.2.5评审标准相应的商务技术资料；</w:t>
      </w:r>
    </w:p>
    <w:p w14:paraId="53DEB0D2">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2.2.6商务技术偏离表；</w:t>
      </w:r>
    </w:p>
    <w:p w14:paraId="21324E58">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w:t>
      </w:r>
      <w:r>
        <w:rPr>
          <w:rFonts w:hint="eastAsia" w:asciiTheme="minorEastAsia" w:hAnsiTheme="minorEastAsia" w:eastAsiaTheme="minorEastAsia" w:cstheme="minorEastAsia"/>
          <w:color w:val="auto"/>
          <w:sz w:val="24"/>
          <w:highlight w:val="none"/>
          <w:lang w:val="zh-CN"/>
        </w:rPr>
        <w:t>响应人廉洁自律承诺书。</w:t>
      </w:r>
    </w:p>
    <w:p w14:paraId="21F44895">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339141F7">
      <w:pPr>
        <w:snapToGrid w:val="0"/>
        <w:spacing w:line="440" w:lineRule="exact"/>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2.3.1交易一览表（报价表）。</w:t>
      </w:r>
    </w:p>
    <w:p w14:paraId="669C5F4B">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3、我方承诺除商务技术偏离表列出的偏离外，我方响应公开竞争文件的全部要求。</w:t>
      </w:r>
    </w:p>
    <w:p w14:paraId="1800B3CA">
      <w:pPr>
        <w:snapToGrid w:val="0"/>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4、如我方成交，我方承诺：</w:t>
      </w:r>
    </w:p>
    <w:p w14:paraId="6DFE034E">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44D1A6A5">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39F2E394">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4.3按照公开竞争文件要求提交履约保证金； </w:t>
      </w:r>
    </w:p>
    <w:p w14:paraId="3611843A">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590A6848">
      <w:pPr>
        <w:snapToGrid w:val="0"/>
        <w:spacing w:line="440" w:lineRule="exact"/>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7F4F695F">
      <w:pPr>
        <w:spacing w:line="440" w:lineRule="exact"/>
        <w:ind w:firstLine="3600" w:firstLineChars="15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响应人名称（电子签名）：                          </w:t>
      </w:r>
    </w:p>
    <w:p w14:paraId="248A4BD6">
      <w:pPr>
        <w:spacing w:line="440" w:lineRule="exact"/>
        <w:jc w:val="center"/>
        <w:rPr>
          <w:rFonts w:hint="eastAsia"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rPr>
        <w:t xml:space="preserve">     日期：  年   月   日</w:t>
      </w:r>
    </w:p>
    <w:p w14:paraId="688C20FD">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62DA785A">
      <w:pPr>
        <w:pStyle w:val="24"/>
        <w:rPr>
          <w:rFonts w:hint="eastAsia" w:asciiTheme="minorEastAsia" w:hAnsiTheme="minorEastAsia" w:eastAsiaTheme="minorEastAsia" w:cstheme="minorEastAsia"/>
          <w:color w:val="auto"/>
          <w:highlight w:val="none"/>
          <w:lang w:val="en-US"/>
        </w:rPr>
      </w:pPr>
    </w:p>
    <w:p w14:paraId="72480ADB">
      <w:pPr>
        <w:jc w:val="center"/>
        <w:rPr>
          <w:rFonts w:hint="eastAsia" w:asciiTheme="minorEastAsia" w:hAnsiTheme="minorEastAsia" w:eastAsiaTheme="minorEastAsia" w:cstheme="minorEastAsia"/>
          <w:b/>
          <w:color w:val="auto"/>
          <w:kern w:val="0"/>
          <w:sz w:val="32"/>
          <w:szCs w:val="32"/>
          <w:highlight w:val="none"/>
        </w:rPr>
      </w:pPr>
    </w:p>
    <w:p w14:paraId="50D55E8E">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2499561D">
      <w:pPr>
        <w:snapToGrid w:val="0"/>
        <w:spacing w:line="360" w:lineRule="auto"/>
        <w:rPr>
          <w:rFonts w:hint="eastAsia" w:asciiTheme="minorEastAsia" w:hAnsiTheme="minorEastAsia" w:eastAsiaTheme="minorEastAsia" w:cstheme="minorEastAsia"/>
          <w:color w:val="auto"/>
          <w:sz w:val="24"/>
          <w:highlight w:val="none"/>
        </w:rPr>
      </w:pPr>
    </w:p>
    <w:p w14:paraId="298958EC">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w:t>
      </w:r>
    </w:p>
    <w:p w14:paraId="15252D07">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4E3D3079">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委托（姓名）为我方代理人（身份证号码：</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u w:val="single"/>
        </w:rPr>
        <w:t>（项目名称）【交易编号：】</w:t>
      </w:r>
      <w:r>
        <w:rPr>
          <w:rFonts w:hint="eastAsia" w:asciiTheme="minorEastAsia" w:hAnsiTheme="minorEastAsia" w:eastAsiaTheme="minorEastAsia" w:cstheme="minorEastAsia"/>
          <w:color w:val="auto"/>
          <w:kern w:val="0"/>
          <w:sz w:val="24"/>
          <w:highlight w:val="none"/>
          <w:lang w:val="zh-CN"/>
        </w:rPr>
        <w:t>交易项目的一切事项，其法律后果由我方承担。</w:t>
      </w:r>
    </w:p>
    <w:p w14:paraId="1C795E03">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日止。</w:t>
      </w:r>
    </w:p>
    <w:p w14:paraId="77185A93">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特此告知。</w:t>
      </w:r>
    </w:p>
    <w:p w14:paraId="7C57B029">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响应人名称(电子签名)：</w:t>
      </w:r>
    </w:p>
    <w:p w14:paraId="4B0E115A">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75BC784B">
      <w:pPr>
        <w:snapToGrid w:val="0"/>
        <w:spacing w:line="360" w:lineRule="auto"/>
        <w:rPr>
          <w:rFonts w:hint="eastAsia" w:asciiTheme="minorEastAsia" w:hAnsiTheme="minorEastAsia" w:eastAsiaTheme="minorEastAsia" w:cstheme="minorEastAsia"/>
          <w:color w:val="auto"/>
          <w:sz w:val="24"/>
          <w:highlight w:val="none"/>
        </w:rPr>
      </w:pPr>
    </w:p>
    <w:p w14:paraId="5A5FC3D7">
      <w:pPr>
        <w:snapToGrid w:val="0"/>
        <w:spacing w:line="360" w:lineRule="auto"/>
        <w:rPr>
          <w:rFonts w:hint="eastAsia" w:asciiTheme="minorEastAsia" w:hAnsiTheme="minorEastAsia" w:eastAsiaTheme="minorEastAsia" w:cstheme="minorEastAsia"/>
          <w:color w:val="auto"/>
          <w:kern w:val="0"/>
          <w:sz w:val="24"/>
          <w:highlight w:val="none"/>
          <w:lang w:val="zh-CN"/>
        </w:rPr>
      </w:pPr>
    </w:p>
    <w:p w14:paraId="26E8ECD8">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的身份证明（适用于法定代表人、单位负责人或者自然人本人代表响应人参加投标）</w:t>
      </w:r>
    </w:p>
    <w:p w14:paraId="50D2D6DC">
      <w:pPr>
        <w:pStyle w:val="157"/>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1F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43899F32">
            <w:pPr>
              <w:pStyle w:val="157"/>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11AD22E0">
            <w:pPr>
              <w:pStyle w:val="157"/>
              <w:adjustRightInd w:val="0"/>
              <w:spacing w:line="360" w:lineRule="auto"/>
              <w:rPr>
                <w:rFonts w:hint="eastAsia" w:asciiTheme="minorEastAsia" w:hAnsiTheme="minorEastAsia" w:eastAsiaTheme="minorEastAsia" w:cstheme="minorEastAsia"/>
                <w:bCs/>
                <w:color w:val="auto"/>
                <w:sz w:val="24"/>
                <w:highlight w:val="none"/>
              </w:rPr>
            </w:pPr>
          </w:p>
        </w:tc>
      </w:tr>
    </w:tbl>
    <w:p w14:paraId="694EEC2D">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13C76FEA">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响应人名称(电子签名)：                              </w:t>
      </w:r>
    </w:p>
    <w:p w14:paraId="651D1742">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2812221C">
      <w:pPr>
        <w:jc w:val="center"/>
        <w:rPr>
          <w:rFonts w:hint="eastAsia" w:asciiTheme="minorEastAsia" w:hAnsiTheme="minorEastAsia" w:eastAsiaTheme="minorEastAsia" w:cstheme="minorEastAsia"/>
          <w:b/>
          <w:color w:val="auto"/>
          <w:kern w:val="0"/>
          <w:sz w:val="32"/>
          <w:szCs w:val="32"/>
          <w:highlight w:val="none"/>
        </w:rPr>
      </w:pPr>
    </w:p>
    <w:p w14:paraId="5AB34B8F">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2B66A06A">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三、营业执照</w:t>
      </w:r>
    </w:p>
    <w:p w14:paraId="1B24D8D4">
      <w:pPr>
        <w:jc w:val="center"/>
        <w:rPr>
          <w:rFonts w:hint="eastAsia" w:asciiTheme="minorEastAsia" w:hAnsiTheme="minorEastAsia" w:eastAsiaTheme="minorEastAsia" w:cstheme="minorEastAsia"/>
          <w:b/>
          <w:color w:val="auto"/>
          <w:kern w:val="0"/>
          <w:sz w:val="32"/>
          <w:szCs w:val="32"/>
          <w:highlight w:val="none"/>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0EC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6F9EFA14">
            <w:pPr>
              <w:pStyle w:val="157"/>
              <w:adjustRightInd w:val="0"/>
              <w:spacing w:line="360" w:lineRule="auto"/>
              <w:rPr>
                <w:rFonts w:hint="eastAsia" w:asciiTheme="minorEastAsia" w:hAnsiTheme="minorEastAsia" w:eastAsiaTheme="minorEastAsia" w:cstheme="minorEastAsia"/>
                <w:bCs/>
                <w:color w:val="auto"/>
                <w:sz w:val="24"/>
                <w:highlight w:val="none"/>
              </w:rPr>
            </w:pPr>
          </w:p>
        </w:tc>
      </w:tr>
    </w:tbl>
    <w:p w14:paraId="586357F5">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763237C1">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p>
    <w:p w14:paraId="7F91DA93">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响应人名称(电子签名)：                              </w:t>
      </w:r>
    </w:p>
    <w:p w14:paraId="197B3629">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26D98702">
      <w:pPr>
        <w:jc w:val="center"/>
        <w:rPr>
          <w:rFonts w:hint="eastAsia" w:asciiTheme="minorEastAsia" w:hAnsiTheme="minorEastAsia" w:eastAsiaTheme="minorEastAsia" w:cstheme="minorEastAsia"/>
          <w:b/>
          <w:color w:val="auto"/>
          <w:kern w:val="0"/>
          <w:sz w:val="32"/>
          <w:szCs w:val="32"/>
          <w:highlight w:val="none"/>
        </w:rPr>
      </w:pPr>
    </w:p>
    <w:p w14:paraId="021D0F7A">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2FE77431">
      <w:pPr>
        <w:jc w:val="center"/>
        <w:rPr>
          <w:rFonts w:hint="eastAsia" w:asciiTheme="minorEastAsia" w:hAnsiTheme="minorEastAsia" w:eastAsiaTheme="minorEastAsia" w:cstheme="minorEastAsia"/>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026D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D615078">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976" w:type="dxa"/>
            <w:vAlign w:val="center"/>
          </w:tcPr>
          <w:p w14:paraId="7959062C">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3566" w:type="dxa"/>
            <w:vAlign w:val="center"/>
          </w:tcPr>
          <w:p w14:paraId="674ECC7B">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418" w:type="dxa"/>
            <w:vAlign w:val="center"/>
          </w:tcPr>
          <w:p w14:paraId="55076652">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14:paraId="17ED3740">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7229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746716">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976" w:type="dxa"/>
            <w:vAlign w:val="center"/>
          </w:tcPr>
          <w:p w14:paraId="07A37AF5">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响应文件按照公开竞争文件要求签署、盖章。</w:t>
            </w:r>
          </w:p>
        </w:tc>
        <w:tc>
          <w:tcPr>
            <w:tcW w:w="3566" w:type="dxa"/>
            <w:vAlign w:val="center"/>
          </w:tcPr>
          <w:p w14:paraId="25B0C9D2">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418" w:type="dxa"/>
            <w:vAlign w:val="center"/>
          </w:tcPr>
          <w:p w14:paraId="1C79F8FD">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0E51C619">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4CB6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194C3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976" w:type="dxa"/>
            <w:vAlign w:val="center"/>
          </w:tcPr>
          <w:p w14:paraId="778DFBBF">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响应文件中承诺的交易有效期不少于公开竞争文件中载明的交易有效期。</w:t>
            </w:r>
          </w:p>
        </w:tc>
        <w:tc>
          <w:tcPr>
            <w:tcW w:w="3566" w:type="dxa"/>
            <w:vAlign w:val="center"/>
          </w:tcPr>
          <w:p w14:paraId="1CFFD4D0">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交易函</w:t>
            </w:r>
          </w:p>
        </w:tc>
        <w:tc>
          <w:tcPr>
            <w:tcW w:w="1418" w:type="dxa"/>
            <w:vAlign w:val="center"/>
          </w:tcPr>
          <w:p w14:paraId="1D93DDF2">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726B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2112A">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976" w:type="dxa"/>
            <w:vAlign w:val="center"/>
          </w:tcPr>
          <w:p w14:paraId="2C692D02">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响应文件满足公开竞争文件的其它实质性要求。</w:t>
            </w:r>
          </w:p>
        </w:tc>
        <w:tc>
          <w:tcPr>
            <w:tcW w:w="3566" w:type="dxa"/>
            <w:vAlign w:val="center"/>
          </w:tcPr>
          <w:p w14:paraId="59F07AC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公开竞争文件其它实质性要求相应的材料（“▲” 系指实质性要求条款，公开竞争文件无其它实质性要求的，无需提供）</w:t>
            </w:r>
          </w:p>
        </w:tc>
        <w:tc>
          <w:tcPr>
            <w:tcW w:w="1418" w:type="dxa"/>
            <w:vAlign w:val="center"/>
          </w:tcPr>
          <w:p w14:paraId="79A2B79F">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18F7F488">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7B6CD367">
      <w:pPr>
        <w:jc w:val="center"/>
        <w:rPr>
          <w:rFonts w:hint="eastAsia" w:asciiTheme="minorEastAsia" w:hAnsiTheme="minorEastAsia" w:eastAsiaTheme="minorEastAsia" w:cstheme="minorEastAsia"/>
          <w:b/>
          <w:color w:val="auto"/>
          <w:kern w:val="0"/>
          <w:sz w:val="32"/>
          <w:szCs w:val="32"/>
          <w:highlight w:val="none"/>
        </w:rPr>
      </w:pPr>
    </w:p>
    <w:p w14:paraId="18F719FF">
      <w:pPr>
        <w:jc w:val="center"/>
        <w:rPr>
          <w:rFonts w:hint="eastAsia" w:asciiTheme="minorEastAsia" w:hAnsiTheme="minorEastAsia" w:eastAsiaTheme="minorEastAsia" w:cstheme="minorEastAsia"/>
          <w:b/>
          <w:color w:val="auto"/>
          <w:kern w:val="0"/>
          <w:sz w:val="32"/>
          <w:szCs w:val="32"/>
          <w:highlight w:val="none"/>
        </w:rPr>
      </w:pPr>
    </w:p>
    <w:p w14:paraId="5AACFD9D">
      <w:pPr>
        <w:rPr>
          <w:rFonts w:hint="eastAsia" w:asciiTheme="minorEastAsia" w:hAnsiTheme="minorEastAsia" w:eastAsiaTheme="minorEastAsia" w:cstheme="minorEastAsia"/>
          <w:b/>
          <w:color w:val="auto"/>
          <w:kern w:val="0"/>
          <w:sz w:val="32"/>
          <w:szCs w:val="32"/>
          <w:highlight w:val="none"/>
        </w:rPr>
      </w:pPr>
    </w:p>
    <w:p w14:paraId="398A4FCB">
      <w:pPr>
        <w:jc w:val="center"/>
        <w:rPr>
          <w:rFonts w:hint="eastAsia" w:asciiTheme="minorEastAsia" w:hAnsiTheme="minorEastAsia" w:eastAsiaTheme="minorEastAsia" w:cstheme="minorEastAsia"/>
          <w:b/>
          <w:color w:val="auto"/>
          <w:kern w:val="0"/>
          <w:sz w:val="32"/>
          <w:szCs w:val="32"/>
          <w:highlight w:val="none"/>
        </w:rPr>
      </w:pPr>
    </w:p>
    <w:p w14:paraId="0A23FDD5">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五、评审标准相应的商务技术资料</w:t>
      </w:r>
    </w:p>
    <w:p w14:paraId="21CD9B1D">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（按公开竞争文件第四部分交易办法前附表中“响应文件中评审标准相应的商务技术资料目录”提供资料。）</w:t>
      </w:r>
    </w:p>
    <w:p w14:paraId="67C46CFE">
      <w:pPr>
        <w:jc w:val="center"/>
        <w:rPr>
          <w:rFonts w:hint="eastAsia" w:asciiTheme="minorEastAsia" w:hAnsiTheme="minorEastAsia" w:eastAsiaTheme="minorEastAsia" w:cstheme="minorEastAsia"/>
          <w:b/>
          <w:color w:val="auto"/>
          <w:kern w:val="0"/>
          <w:sz w:val="32"/>
          <w:szCs w:val="32"/>
          <w:highlight w:val="none"/>
        </w:rPr>
      </w:pPr>
    </w:p>
    <w:p w14:paraId="759634B8">
      <w:pPr>
        <w:jc w:val="center"/>
        <w:rPr>
          <w:rFonts w:hint="eastAsia" w:asciiTheme="minorEastAsia" w:hAnsiTheme="minorEastAsia" w:eastAsiaTheme="minorEastAsia" w:cstheme="minorEastAsia"/>
          <w:b/>
          <w:color w:val="auto"/>
          <w:kern w:val="0"/>
          <w:sz w:val="32"/>
          <w:szCs w:val="32"/>
          <w:highlight w:val="none"/>
        </w:rPr>
      </w:pPr>
    </w:p>
    <w:p w14:paraId="1E717EFE">
      <w:pPr>
        <w:jc w:val="center"/>
        <w:rPr>
          <w:rFonts w:hint="eastAsia" w:asciiTheme="minorEastAsia" w:hAnsiTheme="minorEastAsia" w:eastAsiaTheme="minorEastAsia" w:cstheme="minorEastAsia"/>
          <w:b/>
          <w:color w:val="auto"/>
          <w:kern w:val="0"/>
          <w:sz w:val="32"/>
          <w:szCs w:val="32"/>
          <w:highlight w:val="none"/>
        </w:rPr>
      </w:pPr>
    </w:p>
    <w:p w14:paraId="03218B67">
      <w:pPr>
        <w:jc w:val="center"/>
        <w:rPr>
          <w:rFonts w:hint="eastAsia" w:asciiTheme="minorEastAsia" w:hAnsiTheme="minorEastAsia" w:eastAsiaTheme="minorEastAsia" w:cstheme="minorEastAsia"/>
          <w:b/>
          <w:color w:val="auto"/>
          <w:kern w:val="0"/>
          <w:sz w:val="32"/>
          <w:szCs w:val="32"/>
          <w:highlight w:val="none"/>
        </w:rPr>
      </w:pPr>
    </w:p>
    <w:p w14:paraId="38ED9994">
      <w:pPr>
        <w:jc w:val="center"/>
        <w:rPr>
          <w:rFonts w:hint="eastAsia" w:asciiTheme="minorEastAsia" w:hAnsiTheme="minorEastAsia" w:eastAsiaTheme="minorEastAsia" w:cstheme="minorEastAsia"/>
          <w:b/>
          <w:color w:val="auto"/>
          <w:kern w:val="0"/>
          <w:sz w:val="32"/>
          <w:szCs w:val="32"/>
          <w:highlight w:val="none"/>
        </w:rPr>
      </w:pPr>
    </w:p>
    <w:p w14:paraId="0E298E39">
      <w:pPr>
        <w:pStyle w:val="62"/>
        <w:rPr>
          <w:rFonts w:hint="eastAsia" w:asciiTheme="minorEastAsia" w:hAnsiTheme="minorEastAsia" w:eastAsiaTheme="minorEastAsia" w:cstheme="minorEastAsia"/>
          <w:b/>
          <w:color w:val="auto"/>
          <w:kern w:val="0"/>
          <w:sz w:val="32"/>
          <w:szCs w:val="32"/>
          <w:highlight w:val="none"/>
        </w:rPr>
      </w:pPr>
    </w:p>
    <w:p w14:paraId="6B41E7D0">
      <w:pPr>
        <w:pStyle w:val="52"/>
        <w:rPr>
          <w:rFonts w:hint="eastAsia" w:asciiTheme="minorEastAsia" w:hAnsiTheme="minorEastAsia" w:eastAsiaTheme="minorEastAsia" w:cstheme="minorEastAsia"/>
          <w:color w:val="auto"/>
          <w:highlight w:val="none"/>
        </w:rPr>
      </w:pPr>
    </w:p>
    <w:p w14:paraId="5A66FEDD">
      <w:pPr>
        <w:jc w:val="center"/>
        <w:rPr>
          <w:rFonts w:hint="eastAsia" w:asciiTheme="minorEastAsia" w:hAnsiTheme="minorEastAsia" w:eastAsiaTheme="minorEastAsia" w:cstheme="minorEastAsia"/>
          <w:b/>
          <w:color w:val="auto"/>
          <w:kern w:val="0"/>
          <w:sz w:val="32"/>
          <w:szCs w:val="32"/>
          <w:highlight w:val="none"/>
        </w:rPr>
      </w:pPr>
    </w:p>
    <w:p w14:paraId="3C4C3821">
      <w:pPr>
        <w:jc w:val="center"/>
        <w:rPr>
          <w:rFonts w:hint="eastAsia" w:asciiTheme="minorEastAsia" w:hAnsiTheme="minorEastAsia" w:eastAsiaTheme="minorEastAsia" w:cstheme="minorEastAsia"/>
          <w:b/>
          <w:color w:val="auto"/>
          <w:kern w:val="0"/>
          <w:sz w:val="32"/>
          <w:szCs w:val="32"/>
          <w:highlight w:val="none"/>
        </w:rPr>
      </w:pPr>
    </w:p>
    <w:p w14:paraId="53122DA4">
      <w:pPr>
        <w:jc w:val="center"/>
        <w:rPr>
          <w:rFonts w:hint="eastAsia" w:asciiTheme="minorEastAsia" w:hAnsiTheme="minorEastAsia" w:eastAsiaTheme="minorEastAsia" w:cstheme="minorEastAsia"/>
          <w:b/>
          <w:color w:val="auto"/>
          <w:kern w:val="0"/>
          <w:sz w:val="32"/>
          <w:szCs w:val="32"/>
          <w:highlight w:val="none"/>
        </w:rPr>
      </w:pPr>
    </w:p>
    <w:p w14:paraId="7B6DDCBE">
      <w:pPr>
        <w:jc w:val="center"/>
        <w:rPr>
          <w:rFonts w:hint="eastAsia" w:asciiTheme="minorEastAsia" w:hAnsiTheme="minorEastAsia" w:eastAsiaTheme="minorEastAsia" w:cstheme="minorEastAsia"/>
          <w:b/>
          <w:color w:val="auto"/>
          <w:kern w:val="0"/>
          <w:sz w:val="32"/>
          <w:szCs w:val="32"/>
          <w:highlight w:val="none"/>
        </w:rPr>
      </w:pPr>
    </w:p>
    <w:p w14:paraId="40BA6201">
      <w:pPr>
        <w:spacing w:line="360" w:lineRule="auto"/>
        <w:ind w:right="42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A81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4E994E">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683" w:type="dxa"/>
          </w:tcPr>
          <w:p w14:paraId="675C101D">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公开竞争文件章节及具体内容</w:t>
            </w:r>
          </w:p>
        </w:tc>
        <w:tc>
          <w:tcPr>
            <w:tcW w:w="3546" w:type="dxa"/>
          </w:tcPr>
          <w:p w14:paraId="51E30D03">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响应文件章节及具体内容</w:t>
            </w:r>
          </w:p>
        </w:tc>
        <w:tc>
          <w:tcPr>
            <w:tcW w:w="1276" w:type="dxa"/>
          </w:tcPr>
          <w:p w14:paraId="0E771C30">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51FC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EBC445">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683" w:type="dxa"/>
          </w:tcPr>
          <w:p w14:paraId="79D55578">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083CC499">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1E4ED98E">
            <w:pPr>
              <w:jc w:val="center"/>
              <w:rPr>
                <w:rFonts w:hint="eastAsia" w:asciiTheme="minorEastAsia" w:hAnsiTheme="minorEastAsia" w:eastAsiaTheme="minorEastAsia" w:cstheme="minorEastAsia"/>
                <w:b/>
                <w:color w:val="auto"/>
                <w:kern w:val="0"/>
                <w:sz w:val="32"/>
                <w:szCs w:val="32"/>
                <w:highlight w:val="none"/>
              </w:rPr>
            </w:pPr>
          </w:p>
        </w:tc>
      </w:tr>
      <w:tr w14:paraId="2C4A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B7BA17">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683" w:type="dxa"/>
          </w:tcPr>
          <w:p w14:paraId="196AE910">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357BC316">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67F7E647">
            <w:pPr>
              <w:jc w:val="center"/>
              <w:rPr>
                <w:rFonts w:hint="eastAsia" w:asciiTheme="minorEastAsia" w:hAnsiTheme="minorEastAsia" w:eastAsiaTheme="minorEastAsia" w:cstheme="minorEastAsia"/>
                <w:b/>
                <w:color w:val="auto"/>
                <w:kern w:val="0"/>
                <w:sz w:val="32"/>
                <w:szCs w:val="32"/>
                <w:highlight w:val="none"/>
              </w:rPr>
            </w:pPr>
          </w:p>
        </w:tc>
      </w:tr>
      <w:tr w14:paraId="2FBA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53D006">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683" w:type="dxa"/>
          </w:tcPr>
          <w:p w14:paraId="1A6046BB">
            <w:pPr>
              <w:jc w:val="center"/>
              <w:rPr>
                <w:rFonts w:hint="eastAsia" w:asciiTheme="minorEastAsia" w:hAnsiTheme="minorEastAsia" w:eastAsiaTheme="minorEastAsia" w:cstheme="minorEastAsia"/>
                <w:b/>
                <w:color w:val="auto"/>
                <w:kern w:val="0"/>
                <w:sz w:val="32"/>
                <w:szCs w:val="32"/>
                <w:highlight w:val="none"/>
              </w:rPr>
            </w:pPr>
          </w:p>
        </w:tc>
        <w:tc>
          <w:tcPr>
            <w:tcW w:w="3546" w:type="dxa"/>
          </w:tcPr>
          <w:p w14:paraId="7A863185">
            <w:pPr>
              <w:jc w:val="center"/>
              <w:rPr>
                <w:rFonts w:hint="eastAsia" w:asciiTheme="minorEastAsia" w:hAnsiTheme="minorEastAsia" w:eastAsiaTheme="minorEastAsia" w:cstheme="minorEastAsia"/>
                <w:b/>
                <w:color w:val="auto"/>
                <w:kern w:val="0"/>
                <w:sz w:val="32"/>
                <w:szCs w:val="32"/>
                <w:highlight w:val="none"/>
              </w:rPr>
            </w:pPr>
          </w:p>
        </w:tc>
        <w:tc>
          <w:tcPr>
            <w:tcW w:w="1276" w:type="dxa"/>
          </w:tcPr>
          <w:p w14:paraId="0926C75C">
            <w:pPr>
              <w:jc w:val="center"/>
              <w:rPr>
                <w:rFonts w:hint="eastAsia" w:asciiTheme="minorEastAsia" w:hAnsiTheme="minorEastAsia" w:eastAsiaTheme="minorEastAsia" w:cstheme="minorEastAsia"/>
                <w:b/>
                <w:color w:val="auto"/>
                <w:kern w:val="0"/>
                <w:sz w:val="32"/>
                <w:szCs w:val="32"/>
                <w:highlight w:val="none"/>
              </w:rPr>
            </w:pPr>
          </w:p>
        </w:tc>
      </w:tr>
    </w:tbl>
    <w:p w14:paraId="2E6233E5">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响应人保证：除商务技术偏离表列出的偏离外，响应人响应公开竞争文件的全部要求</w:t>
      </w:r>
    </w:p>
    <w:p w14:paraId="086DB721">
      <w:pPr>
        <w:jc w:val="center"/>
        <w:rPr>
          <w:rFonts w:hint="eastAsia" w:asciiTheme="minorEastAsia" w:hAnsiTheme="minorEastAsia" w:eastAsiaTheme="minorEastAsia" w:cstheme="minorEastAsia"/>
          <w:b/>
          <w:color w:val="auto"/>
          <w:kern w:val="0"/>
          <w:sz w:val="32"/>
          <w:szCs w:val="32"/>
          <w:highlight w:val="none"/>
        </w:rPr>
      </w:pPr>
    </w:p>
    <w:p w14:paraId="741725C8">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37115DB9">
      <w:pPr>
        <w:jc w:val="center"/>
        <w:rPr>
          <w:rFonts w:hint="eastAsia" w:asciiTheme="minorEastAsia" w:hAnsiTheme="minorEastAsia" w:eastAsiaTheme="minorEastAsia" w:cstheme="minorEastAsia"/>
          <w:b/>
          <w:color w:val="auto"/>
          <w:kern w:val="0"/>
          <w:sz w:val="32"/>
          <w:szCs w:val="32"/>
          <w:highlight w:val="none"/>
        </w:rPr>
      </w:pPr>
    </w:p>
    <w:p w14:paraId="3045439F">
      <w:pP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6C3FF430">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七</w:t>
      </w:r>
      <w:r>
        <w:rPr>
          <w:rFonts w:hint="eastAsia" w:asciiTheme="minorEastAsia" w:hAnsiTheme="minorEastAsia" w:eastAsiaTheme="minorEastAsia" w:cstheme="minorEastAsia"/>
          <w:b/>
          <w:color w:val="auto"/>
          <w:kern w:val="0"/>
          <w:sz w:val="32"/>
          <w:szCs w:val="32"/>
          <w:highlight w:val="none"/>
        </w:rPr>
        <w:t>、</w:t>
      </w:r>
      <w:r>
        <w:rPr>
          <w:rFonts w:hint="eastAsia" w:asciiTheme="minorEastAsia" w:hAnsiTheme="minorEastAsia" w:eastAsiaTheme="minorEastAsia" w:cstheme="minorEastAsia"/>
          <w:b/>
          <w:color w:val="auto"/>
          <w:kern w:val="0"/>
          <w:sz w:val="32"/>
          <w:szCs w:val="32"/>
          <w:highlight w:val="none"/>
          <w:lang w:val="zh-CN"/>
        </w:rPr>
        <w:t>响应人廉洁自律承诺书</w:t>
      </w:r>
    </w:p>
    <w:p w14:paraId="6C87D5F0">
      <w:pPr>
        <w:snapToGrid w:val="0"/>
        <w:spacing w:line="360" w:lineRule="auto"/>
        <w:rPr>
          <w:rFonts w:hint="eastAsia" w:asciiTheme="minorEastAsia" w:hAnsiTheme="minorEastAsia" w:eastAsiaTheme="minorEastAsia" w:cstheme="minorEastAsia"/>
          <w:color w:val="auto"/>
          <w:sz w:val="24"/>
          <w:highlight w:val="none"/>
        </w:rPr>
      </w:pPr>
    </w:p>
    <w:p w14:paraId="322745CF">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27ADE626">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后，我们将严格遵守国家法律法规要求，并郑重承诺：</w:t>
      </w:r>
    </w:p>
    <w:p w14:paraId="55631260">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54C4CD28">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1CFF6108">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0C3A4028">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31BC069D">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155684D6">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3332CA61">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六、严格遵守相关法律法规，诚实守信，合法经营，坚决抵制各种违法违纪行为。 </w:t>
      </w:r>
    </w:p>
    <w:p w14:paraId="3E8AAD66">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692B0ACD">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334A5821">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4623B4EB">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62E0676C">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55EC8215">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6D475663">
      <w:pPr>
        <w:spacing w:line="360" w:lineRule="auto"/>
        <w:jc w:val="center"/>
        <w:rPr>
          <w:rFonts w:hint="eastAsia" w:asciiTheme="minorEastAsia" w:hAnsiTheme="minorEastAsia" w:eastAsiaTheme="minorEastAsia" w:cstheme="minorEastAsia"/>
          <w:b/>
          <w:bCs/>
          <w:color w:val="auto"/>
          <w:sz w:val="24"/>
          <w:highlight w:val="none"/>
        </w:rPr>
      </w:pPr>
    </w:p>
    <w:p w14:paraId="64CA1058">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0BCC3EB7">
      <w:pPr>
        <w:spacing w:line="360" w:lineRule="auto"/>
        <w:jc w:val="center"/>
        <w:rPr>
          <w:rFonts w:hint="eastAsia" w:asciiTheme="minorEastAsia" w:hAnsiTheme="minorEastAsia" w:eastAsiaTheme="minorEastAsia" w:cstheme="minorEastAsia"/>
          <w:b/>
          <w:bCs/>
          <w:color w:val="auto"/>
          <w:sz w:val="24"/>
          <w:highlight w:val="none"/>
        </w:rPr>
        <w:sectPr>
          <w:pgSz w:w="11906" w:h="16838"/>
          <w:pgMar w:top="1247" w:right="1417" w:bottom="1247" w:left="1417" w:header="851" w:footer="992" w:gutter="0"/>
          <w:pgBorders>
            <w:top w:val="none" w:sz="0" w:space="0"/>
            <w:left w:val="none" w:sz="0" w:space="0"/>
            <w:bottom w:val="none" w:sz="0" w:space="0"/>
            <w:right w:val="none" w:sz="0" w:space="0"/>
          </w:pgBorders>
          <w:pgNumType w:start="2"/>
          <w:cols w:space="0" w:num="1"/>
          <w:docGrid w:linePitch="312" w:charSpace="0"/>
        </w:sectPr>
      </w:pPr>
    </w:p>
    <w:p w14:paraId="14700937">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291E3E1A">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08412AFD">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19FCE39D">
      <w:pPr>
        <w:snapToGrid w:val="0"/>
        <w:spacing w:line="360" w:lineRule="auto"/>
        <w:rPr>
          <w:rFonts w:hint="eastAsia" w:asciiTheme="minorEastAsia" w:hAnsiTheme="minorEastAsia" w:eastAsiaTheme="minorEastAsia" w:cstheme="minorEastAsia"/>
          <w:color w:val="auto"/>
          <w:sz w:val="24"/>
          <w:highlight w:val="none"/>
        </w:rPr>
        <w:sectPr>
          <w:headerReference r:id="rId10" w:type="first"/>
          <w:footerReference r:id="rId12" w:type="first"/>
          <w:headerReference r:id="rId9" w:type="default"/>
          <w:footerReference r:id="rId11" w:type="default"/>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Theme="minorEastAsia" w:hAnsiTheme="minorEastAsia" w:eastAsiaTheme="minorEastAsia" w:cstheme="minorEastAsia"/>
          <w:color w:val="auto"/>
          <w:sz w:val="24"/>
          <w:highlight w:val="none"/>
        </w:rPr>
        <w:t>（1）交易一览表（报价表）………………………………………………………（页码）</w:t>
      </w:r>
    </w:p>
    <w:p w14:paraId="6D26A891">
      <w:pPr>
        <w:pStyle w:val="700"/>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一、交易一览表（报价表）</w:t>
      </w:r>
    </w:p>
    <w:p w14:paraId="7F1DA6DA">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（交易发起人）、（代理机构）</w:t>
      </w:r>
      <w:r>
        <w:rPr>
          <w:rFonts w:hint="eastAsia" w:asciiTheme="minorEastAsia" w:hAnsiTheme="minorEastAsia" w:eastAsiaTheme="minorEastAsia" w:cstheme="minorEastAsia"/>
          <w:color w:val="auto"/>
          <w:kern w:val="0"/>
          <w:sz w:val="24"/>
          <w:highlight w:val="none"/>
          <w:lang w:val="zh-CN"/>
        </w:rPr>
        <w:t>：</w:t>
      </w:r>
    </w:p>
    <w:p w14:paraId="2F96F3DB">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按你方公开竞争文件要求，我们，本响应文件签字方，谨此向你方发出要约如下：如你方接受本投标，我方承诺按照如下交易一览表（报价表）的价格完成</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kern w:val="0"/>
          <w:sz w:val="24"/>
          <w:highlight w:val="none"/>
          <w:u w:val="single"/>
          <w:lang w:val="zh-CN"/>
        </w:rPr>
        <w:t>【交易编号：</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14:paraId="4D15D95F">
      <w:pPr>
        <w:snapToGrid w:val="0"/>
        <w:spacing w:line="360" w:lineRule="auto"/>
        <w:jc w:val="center"/>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交易一览表（报价表）(单位均为人民币元)</w:t>
      </w:r>
    </w:p>
    <w:tbl>
      <w:tblPr>
        <w:tblStyle w:val="64"/>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3356"/>
        <w:gridCol w:w="1200"/>
        <w:gridCol w:w="1500"/>
        <w:gridCol w:w="1350"/>
        <w:gridCol w:w="1834"/>
      </w:tblGrid>
      <w:tr w14:paraId="014C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5A40EFEC">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vAlign w:val="center"/>
          </w:tcPr>
          <w:p w14:paraId="0841057B">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vAlign w:val="center"/>
          </w:tcPr>
          <w:p w14:paraId="417C03D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品牌（如果有）</w:t>
            </w:r>
          </w:p>
        </w:tc>
        <w:tc>
          <w:tcPr>
            <w:tcW w:w="3356" w:type="dxa"/>
            <w:tcBorders>
              <w:top w:val="single" w:color="auto" w:sz="4" w:space="0"/>
              <w:left w:val="single" w:color="auto" w:sz="4" w:space="0"/>
              <w:bottom w:val="single" w:color="auto" w:sz="4" w:space="0"/>
              <w:right w:val="single" w:color="auto" w:sz="4" w:space="0"/>
            </w:tcBorders>
            <w:vAlign w:val="center"/>
          </w:tcPr>
          <w:p w14:paraId="4DAD40BA">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规格型号（或具体服务）</w:t>
            </w:r>
          </w:p>
        </w:tc>
        <w:tc>
          <w:tcPr>
            <w:tcW w:w="1200" w:type="dxa"/>
            <w:tcBorders>
              <w:top w:val="single" w:color="auto" w:sz="4" w:space="0"/>
              <w:left w:val="single" w:color="auto" w:sz="4" w:space="0"/>
              <w:bottom w:val="single" w:color="auto" w:sz="4" w:space="0"/>
              <w:right w:val="single" w:color="auto" w:sz="4" w:space="0"/>
            </w:tcBorders>
            <w:vAlign w:val="center"/>
          </w:tcPr>
          <w:p w14:paraId="0A98FAB0">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数量</w:t>
            </w:r>
          </w:p>
        </w:tc>
        <w:tc>
          <w:tcPr>
            <w:tcW w:w="1500" w:type="dxa"/>
            <w:tcBorders>
              <w:top w:val="single" w:color="auto" w:sz="4" w:space="0"/>
              <w:left w:val="single" w:color="auto" w:sz="4" w:space="0"/>
              <w:bottom w:val="single" w:color="auto" w:sz="4" w:space="0"/>
              <w:right w:val="single" w:color="auto" w:sz="4" w:space="0"/>
            </w:tcBorders>
            <w:vAlign w:val="center"/>
          </w:tcPr>
          <w:p w14:paraId="0F74B238">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单价</w:t>
            </w:r>
          </w:p>
          <w:p w14:paraId="29D5E09F">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lang w:val="en-US" w:eastAsia="zh-CN"/>
              </w:rPr>
              <w:t>元/年</w:t>
            </w:r>
            <w:r>
              <w:rPr>
                <w:rFonts w:hint="eastAsia" w:asciiTheme="minorEastAsia" w:hAnsiTheme="minorEastAsia" w:eastAsiaTheme="minorEastAsia" w:cstheme="minorEastAsia"/>
                <w:b/>
                <w:color w:val="auto"/>
                <w:sz w:val="24"/>
                <w:highlight w:val="none"/>
                <w:lang w:eastAsia="zh-CN"/>
              </w:rPr>
              <w:t>）</w:t>
            </w:r>
          </w:p>
        </w:tc>
        <w:tc>
          <w:tcPr>
            <w:tcW w:w="1350" w:type="dxa"/>
            <w:tcBorders>
              <w:top w:val="single" w:color="auto" w:sz="4" w:space="0"/>
              <w:left w:val="single" w:color="auto" w:sz="4" w:space="0"/>
              <w:bottom w:val="single" w:color="auto" w:sz="4" w:space="0"/>
              <w:right w:val="single" w:color="auto" w:sz="4" w:space="0"/>
            </w:tcBorders>
            <w:vAlign w:val="center"/>
          </w:tcPr>
          <w:p w14:paraId="0D16ED76">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总价</w:t>
            </w:r>
          </w:p>
        </w:tc>
        <w:tc>
          <w:tcPr>
            <w:tcW w:w="1834" w:type="dxa"/>
            <w:tcBorders>
              <w:top w:val="single" w:color="auto" w:sz="4" w:space="0"/>
              <w:left w:val="single" w:color="auto" w:sz="4" w:space="0"/>
              <w:bottom w:val="single" w:color="auto" w:sz="4" w:space="0"/>
              <w:right w:val="single" w:color="auto" w:sz="4" w:space="0"/>
            </w:tcBorders>
            <w:vAlign w:val="center"/>
          </w:tcPr>
          <w:p w14:paraId="43A07619">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p w14:paraId="7DDF79B1">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（年限）</w:t>
            </w:r>
          </w:p>
        </w:tc>
      </w:tr>
      <w:tr w14:paraId="00F7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B567633">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vAlign w:val="center"/>
          </w:tcPr>
          <w:p w14:paraId="6F016595">
            <w:pPr>
              <w:snapToGrid w:val="0"/>
              <w:jc w:val="center"/>
              <w:rPr>
                <w:rFonts w:hint="eastAsia" w:asciiTheme="minorEastAsia" w:hAnsiTheme="minorEastAsia" w:eastAsiaTheme="minorEastAsia" w:cstheme="minorEastAsia"/>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23A2EF74">
            <w:pPr>
              <w:snapToGrid w:val="0"/>
              <w:jc w:val="center"/>
              <w:rPr>
                <w:rFonts w:hint="eastAsia" w:asciiTheme="minorEastAsia" w:hAnsiTheme="minorEastAsia" w:eastAsiaTheme="minorEastAsia" w:cstheme="minorEastAsia"/>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vAlign w:val="center"/>
          </w:tcPr>
          <w:p w14:paraId="3CC90564">
            <w:pPr>
              <w:snapToGrid w:val="0"/>
              <w:jc w:val="center"/>
              <w:rPr>
                <w:rFonts w:hint="eastAsia" w:asciiTheme="minorEastAsia" w:hAnsiTheme="minorEastAsia" w:eastAsiaTheme="minorEastAsia" w:cstheme="minorEastAsia"/>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06E0956A">
            <w:pPr>
              <w:snapToGrid w:val="0"/>
              <w:jc w:val="center"/>
              <w:rPr>
                <w:rFonts w:hint="eastAsia" w:asciiTheme="minorEastAsia" w:hAnsiTheme="minorEastAsia" w:eastAsiaTheme="minorEastAsia" w:cstheme="minorEastAsia"/>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70D0ACF1">
            <w:pPr>
              <w:jc w:val="center"/>
              <w:rPr>
                <w:rFonts w:hint="eastAsia" w:asciiTheme="minorEastAsia" w:hAnsiTheme="minorEastAsia" w:eastAsiaTheme="minorEastAsia" w:cstheme="minorEastAsia"/>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1087848D">
            <w:pPr>
              <w:jc w:val="center"/>
              <w:rPr>
                <w:rFonts w:hint="eastAsia" w:asciiTheme="minorEastAsia" w:hAnsiTheme="minorEastAsia" w:eastAsiaTheme="minorEastAsia" w:cstheme="minorEastAsia"/>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vAlign w:val="center"/>
          </w:tcPr>
          <w:p w14:paraId="39F4D763">
            <w:pPr>
              <w:jc w:val="center"/>
              <w:rPr>
                <w:rFonts w:hint="eastAsia" w:asciiTheme="minorEastAsia" w:hAnsiTheme="minorEastAsia" w:eastAsiaTheme="minorEastAsia" w:cstheme="minorEastAsia"/>
                <w:color w:val="auto"/>
                <w:sz w:val="24"/>
                <w:highlight w:val="none"/>
              </w:rPr>
            </w:pPr>
          </w:p>
        </w:tc>
      </w:tr>
      <w:tr w14:paraId="2E8A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39A85AFD">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vAlign w:val="center"/>
          </w:tcPr>
          <w:p w14:paraId="0AB766D8">
            <w:pPr>
              <w:snapToGrid w:val="0"/>
              <w:jc w:val="center"/>
              <w:rPr>
                <w:rFonts w:hint="eastAsia" w:asciiTheme="minorEastAsia" w:hAnsiTheme="minorEastAsia" w:eastAsiaTheme="minorEastAsia" w:cstheme="minorEastAsia"/>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38F11D9F">
            <w:pPr>
              <w:snapToGrid w:val="0"/>
              <w:jc w:val="center"/>
              <w:rPr>
                <w:rFonts w:hint="eastAsia" w:asciiTheme="minorEastAsia" w:hAnsiTheme="minorEastAsia" w:eastAsiaTheme="minorEastAsia" w:cstheme="minorEastAsia"/>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vAlign w:val="center"/>
          </w:tcPr>
          <w:p w14:paraId="150A3C99">
            <w:pPr>
              <w:snapToGrid w:val="0"/>
              <w:jc w:val="center"/>
              <w:rPr>
                <w:rFonts w:hint="eastAsia" w:asciiTheme="minorEastAsia" w:hAnsiTheme="minorEastAsia" w:eastAsiaTheme="minorEastAsia" w:cstheme="minorEastAsia"/>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44C37945">
            <w:pPr>
              <w:snapToGrid w:val="0"/>
              <w:jc w:val="center"/>
              <w:rPr>
                <w:rFonts w:hint="eastAsia" w:asciiTheme="minorEastAsia" w:hAnsiTheme="minorEastAsia" w:eastAsiaTheme="minorEastAsia" w:cstheme="minorEastAsia"/>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1A10350B">
            <w:pPr>
              <w:jc w:val="center"/>
              <w:rPr>
                <w:rFonts w:hint="eastAsia" w:asciiTheme="minorEastAsia" w:hAnsiTheme="minorEastAsia" w:eastAsiaTheme="minorEastAsia" w:cstheme="minorEastAsia"/>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7ACFACD3">
            <w:pPr>
              <w:jc w:val="center"/>
              <w:rPr>
                <w:rFonts w:hint="eastAsia" w:asciiTheme="minorEastAsia" w:hAnsiTheme="minorEastAsia" w:eastAsiaTheme="minorEastAsia" w:cstheme="minorEastAsia"/>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vAlign w:val="center"/>
          </w:tcPr>
          <w:p w14:paraId="0C2625F3">
            <w:pPr>
              <w:jc w:val="center"/>
              <w:rPr>
                <w:rFonts w:hint="eastAsia" w:asciiTheme="minorEastAsia" w:hAnsiTheme="minorEastAsia" w:eastAsiaTheme="minorEastAsia" w:cstheme="minorEastAsia"/>
                <w:color w:val="auto"/>
                <w:sz w:val="24"/>
                <w:highlight w:val="none"/>
              </w:rPr>
            </w:pPr>
          </w:p>
        </w:tc>
      </w:tr>
      <w:tr w14:paraId="5055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12B06984">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vAlign w:val="center"/>
          </w:tcPr>
          <w:p w14:paraId="14CCA1C8">
            <w:pPr>
              <w:snapToGrid w:val="0"/>
              <w:jc w:val="center"/>
              <w:rPr>
                <w:rFonts w:hint="eastAsia" w:asciiTheme="minorEastAsia" w:hAnsiTheme="minorEastAsia" w:eastAsiaTheme="minorEastAsia" w:cstheme="minorEastAsia"/>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09672B4F">
            <w:pPr>
              <w:snapToGrid w:val="0"/>
              <w:jc w:val="center"/>
              <w:rPr>
                <w:rFonts w:hint="eastAsia" w:asciiTheme="minorEastAsia" w:hAnsiTheme="minorEastAsia" w:eastAsiaTheme="minorEastAsia" w:cstheme="minorEastAsia"/>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vAlign w:val="center"/>
          </w:tcPr>
          <w:p w14:paraId="55F52B46">
            <w:pPr>
              <w:snapToGrid w:val="0"/>
              <w:jc w:val="center"/>
              <w:rPr>
                <w:rFonts w:hint="eastAsia" w:asciiTheme="minorEastAsia" w:hAnsiTheme="minorEastAsia" w:eastAsiaTheme="minorEastAsia" w:cstheme="minorEastAsia"/>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3989F166">
            <w:pPr>
              <w:snapToGrid w:val="0"/>
              <w:jc w:val="center"/>
              <w:rPr>
                <w:rFonts w:hint="eastAsia" w:asciiTheme="minorEastAsia" w:hAnsiTheme="minorEastAsia" w:eastAsiaTheme="minorEastAsia" w:cstheme="minorEastAsia"/>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7BFEAF24">
            <w:pPr>
              <w:jc w:val="center"/>
              <w:rPr>
                <w:rFonts w:hint="eastAsia" w:asciiTheme="minorEastAsia" w:hAnsiTheme="minorEastAsia" w:eastAsiaTheme="minorEastAsia" w:cstheme="minorEastAsia"/>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7491F727">
            <w:pPr>
              <w:jc w:val="center"/>
              <w:rPr>
                <w:rFonts w:hint="eastAsia" w:asciiTheme="minorEastAsia" w:hAnsiTheme="minorEastAsia" w:eastAsiaTheme="minorEastAsia" w:cstheme="minorEastAsia"/>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vAlign w:val="center"/>
          </w:tcPr>
          <w:p w14:paraId="1EC395C5">
            <w:pPr>
              <w:jc w:val="center"/>
              <w:rPr>
                <w:rFonts w:hint="eastAsia" w:asciiTheme="minorEastAsia" w:hAnsiTheme="minorEastAsia" w:eastAsiaTheme="minorEastAsia" w:cstheme="minorEastAsia"/>
                <w:color w:val="auto"/>
                <w:sz w:val="24"/>
                <w:highlight w:val="none"/>
              </w:rPr>
            </w:pPr>
          </w:p>
        </w:tc>
      </w:tr>
      <w:tr w14:paraId="4531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78E181D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vAlign w:val="center"/>
          </w:tcPr>
          <w:p w14:paraId="7E3EC4D5">
            <w:pPr>
              <w:snapToGrid w:val="0"/>
              <w:jc w:val="center"/>
              <w:rPr>
                <w:rFonts w:hint="eastAsia" w:asciiTheme="minorEastAsia" w:hAnsiTheme="minorEastAsia" w:eastAsiaTheme="minorEastAsia" w:cstheme="minorEastAsia"/>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49121457">
            <w:pPr>
              <w:snapToGrid w:val="0"/>
              <w:jc w:val="center"/>
              <w:rPr>
                <w:rFonts w:hint="eastAsia" w:asciiTheme="minorEastAsia" w:hAnsiTheme="minorEastAsia" w:eastAsiaTheme="minorEastAsia" w:cstheme="minorEastAsia"/>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vAlign w:val="center"/>
          </w:tcPr>
          <w:p w14:paraId="55A33C46">
            <w:pPr>
              <w:snapToGrid w:val="0"/>
              <w:jc w:val="center"/>
              <w:rPr>
                <w:rFonts w:hint="eastAsia" w:asciiTheme="minorEastAsia" w:hAnsiTheme="minorEastAsia" w:eastAsiaTheme="minorEastAsia" w:cstheme="minorEastAsia"/>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724C2E21">
            <w:pPr>
              <w:snapToGrid w:val="0"/>
              <w:jc w:val="center"/>
              <w:rPr>
                <w:rFonts w:hint="eastAsia" w:asciiTheme="minorEastAsia" w:hAnsiTheme="minorEastAsia" w:eastAsiaTheme="minorEastAsia" w:cstheme="minorEastAsia"/>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6F92ACFC">
            <w:pPr>
              <w:jc w:val="center"/>
              <w:rPr>
                <w:rFonts w:hint="eastAsia" w:asciiTheme="minorEastAsia" w:hAnsiTheme="minorEastAsia" w:eastAsiaTheme="minorEastAsia" w:cstheme="minorEastAsia"/>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69032945">
            <w:pPr>
              <w:jc w:val="center"/>
              <w:rPr>
                <w:rFonts w:hint="eastAsia" w:asciiTheme="minorEastAsia" w:hAnsiTheme="minorEastAsia" w:eastAsiaTheme="minorEastAsia" w:cstheme="minorEastAsia"/>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vAlign w:val="center"/>
          </w:tcPr>
          <w:p w14:paraId="3953214C">
            <w:pPr>
              <w:jc w:val="center"/>
              <w:rPr>
                <w:rFonts w:hint="eastAsia" w:asciiTheme="minorEastAsia" w:hAnsiTheme="minorEastAsia" w:eastAsiaTheme="minorEastAsia" w:cstheme="minorEastAsia"/>
                <w:color w:val="auto"/>
                <w:sz w:val="24"/>
                <w:highlight w:val="none"/>
              </w:rPr>
            </w:pPr>
          </w:p>
        </w:tc>
      </w:tr>
      <w:tr w14:paraId="5DBF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0923E76A">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vAlign w:val="center"/>
          </w:tcPr>
          <w:p w14:paraId="417187F4">
            <w:pPr>
              <w:snapToGrid w:val="0"/>
              <w:jc w:val="center"/>
              <w:rPr>
                <w:rFonts w:hint="eastAsia" w:asciiTheme="minorEastAsia" w:hAnsiTheme="minorEastAsia" w:eastAsiaTheme="minorEastAsia" w:cstheme="minorEastAsia"/>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14:paraId="3B796931">
            <w:pPr>
              <w:snapToGrid w:val="0"/>
              <w:jc w:val="center"/>
              <w:rPr>
                <w:rFonts w:hint="eastAsia" w:asciiTheme="minorEastAsia" w:hAnsiTheme="minorEastAsia" w:eastAsiaTheme="minorEastAsia" w:cstheme="minorEastAsia"/>
                <w:color w:val="auto"/>
                <w:sz w:val="24"/>
                <w:highlight w:val="none"/>
              </w:rPr>
            </w:pPr>
          </w:p>
        </w:tc>
        <w:tc>
          <w:tcPr>
            <w:tcW w:w="3356" w:type="dxa"/>
            <w:tcBorders>
              <w:top w:val="single" w:color="auto" w:sz="4" w:space="0"/>
              <w:left w:val="single" w:color="auto" w:sz="4" w:space="0"/>
              <w:bottom w:val="single" w:color="auto" w:sz="4" w:space="0"/>
              <w:right w:val="single" w:color="auto" w:sz="4" w:space="0"/>
            </w:tcBorders>
            <w:vAlign w:val="center"/>
          </w:tcPr>
          <w:p w14:paraId="3BC55691">
            <w:pPr>
              <w:snapToGrid w:val="0"/>
              <w:jc w:val="center"/>
              <w:rPr>
                <w:rFonts w:hint="eastAsia" w:asciiTheme="minorEastAsia" w:hAnsiTheme="minorEastAsia" w:eastAsiaTheme="minorEastAsia" w:cstheme="minorEastAsia"/>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1C96C362">
            <w:pPr>
              <w:snapToGrid w:val="0"/>
              <w:jc w:val="center"/>
              <w:rPr>
                <w:rFonts w:hint="eastAsia" w:asciiTheme="minorEastAsia" w:hAnsiTheme="minorEastAsia" w:eastAsiaTheme="minorEastAsia" w:cstheme="minorEastAsia"/>
                <w:color w:val="auto"/>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5ED23DBF">
            <w:pPr>
              <w:jc w:val="center"/>
              <w:rPr>
                <w:rFonts w:hint="eastAsia" w:asciiTheme="minorEastAsia" w:hAnsiTheme="minorEastAsia" w:eastAsiaTheme="minorEastAsia" w:cstheme="minorEastAsia"/>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4297BC9A">
            <w:pPr>
              <w:jc w:val="center"/>
              <w:rPr>
                <w:rFonts w:hint="eastAsia" w:asciiTheme="minorEastAsia" w:hAnsiTheme="minorEastAsia" w:eastAsiaTheme="minorEastAsia" w:cstheme="minorEastAsia"/>
                <w:color w:val="auto"/>
                <w:sz w:val="24"/>
                <w:highlight w:val="none"/>
              </w:rPr>
            </w:pPr>
          </w:p>
        </w:tc>
        <w:tc>
          <w:tcPr>
            <w:tcW w:w="1834" w:type="dxa"/>
            <w:tcBorders>
              <w:top w:val="single" w:color="auto" w:sz="4" w:space="0"/>
              <w:left w:val="single" w:color="auto" w:sz="4" w:space="0"/>
              <w:bottom w:val="single" w:color="auto" w:sz="4" w:space="0"/>
              <w:right w:val="single" w:color="auto" w:sz="4" w:space="0"/>
            </w:tcBorders>
            <w:vAlign w:val="center"/>
          </w:tcPr>
          <w:p w14:paraId="522B2F38">
            <w:pPr>
              <w:jc w:val="center"/>
              <w:rPr>
                <w:rFonts w:hint="eastAsia" w:asciiTheme="minorEastAsia" w:hAnsiTheme="minorEastAsia" w:eastAsiaTheme="minorEastAsia" w:cstheme="minorEastAsia"/>
                <w:color w:val="auto"/>
                <w:sz w:val="24"/>
                <w:highlight w:val="none"/>
              </w:rPr>
            </w:pPr>
          </w:p>
        </w:tc>
      </w:tr>
      <w:tr w14:paraId="68E7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681" w:type="dxa"/>
            <w:gridSpan w:val="4"/>
            <w:tcBorders>
              <w:top w:val="single" w:color="auto" w:sz="4" w:space="0"/>
              <w:left w:val="single" w:color="auto" w:sz="4" w:space="0"/>
              <w:bottom w:val="single" w:color="auto" w:sz="4" w:space="0"/>
              <w:right w:val="single" w:color="auto" w:sz="4" w:space="0"/>
            </w:tcBorders>
            <w:vAlign w:val="center"/>
          </w:tcPr>
          <w:p w14:paraId="109CFE1C">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投标报价（小写）</w:t>
            </w:r>
          </w:p>
        </w:tc>
        <w:tc>
          <w:tcPr>
            <w:tcW w:w="5884" w:type="dxa"/>
            <w:gridSpan w:val="4"/>
            <w:tcBorders>
              <w:top w:val="single" w:color="auto" w:sz="4" w:space="0"/>
              <w:left w:val="single" w:color="auto" w:sz="4" w:space="0"/>
              <w:bottom w:val="single" w:color="auto" w:sz="4" w:space="0"/>
              <w:right w:val="single" w:color="auto" w:sz="4" w:space="0"/>
            </w:tcBorders>
            <w:vAlign w:val="center"/>
          </w:tcPr>
          <w:p w14:paraId="71CD37EF">
            <w:pPr>
              <w:jc w:val="center"/>
              <w:rPr>
                <w:rFonts w:hint="eastAsia" w:asciiTheme="minorEastAsia" w:hAnsiTheme="minorEastAsia" w:eastAsiaTheme="minorEastAsia" w:cstheme="minorEastAsia"/>
                <w:color w:val="auto"/>
                <w:sz w:val="24"/>
                <w:highlight w:val="none"/>
              </w:rPr>
            </w:pPr>
          </w:p>
        </w:tc>
      </w:tr>
      <w:tr w14:paraId="08BB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681" w:type="dxa"/>
            <w:gridSpan w:val="4"/>
            <w:tcBorders>
              <w:top w:val="single" w:color="auto" w:sz="4" w:space="0"/>
              <w:left w:val="single" w:color="auto" w:sz="4" w:space="0"/>
              <w:bottom w:val="single" w:color="auto" w:sz="4" w:space="0"/>
              <w:right w:val="single" w:color="auto" w:sz="4" w:space="0"/>
            </w:tcBorders>
            <w:vAlign w:val="center"/>
          </w:tcPr>
          <w:p w14:paraId="1D1B366E">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投标报价（大写）</w:t>
            </w:r>
          </w:p>
        </w:tc>
        <w:tc>
          <w:tcPr>
            <w:tcW w:w="5884" w:type="dxa"/>
            <w:gridSpan w:val="4"/>
            <w:tcBorders>
              <w:top w:val="single" w:color="auto" w:sz="4" w:space="0"/>
              <w:left w:val="single" w:color="auto" w:sz="4" w:space="0"/>
              <w:bottom w:val="single" w:color="auto" w:sz="4" w:space="0"/>
              <w:right w:val="single" w:color="auto" w:sz="4" w:space="0"/>
            </w:tcBorders>
            <w:vAlign w:val="center"/>
          </w:tcPr>
          <w:p w14:paraId="3803E6D7">
            <w:pPr>
              <w:jc w:val="center"/>
              <w:rPr>
                <w:rFonts w:hint="eastAsia" w:asciiTheme="minorEastAsia" w:hAnsiTheme="minorEastAsia" w:eastAsiaTheme="minorEastAsia" w:cstheme="minorEastAsia"/>
                <w:color w:val="auto"/>
                <w:sz w:val="24"/>
                <w:highlight w:val="none"/>
              </w:rPr>
            </w:pPr>
          </w:p>
        </w:tc>
      </w:tr>
    </w:tbl>
    <w:p w14:paraId="1D4AC2C0">
      <w:pPr>
        <w:snapToGrid w:val="0"/>
        <w:spacing w:line="360" w:lineRule="auto"/>
        <w:ind w:left="48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581DF386">
      <w:pPr>
        <w:spacing w:line="360" w:lineRule="auto"/>
        <w:ind w:left="-2" w:leftChars="-1"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1、响应人需按本表格式填写，不得自行更改。</w:t>
      </w:r>
    </w:p>
    <w:p w14:paraId="1014493A">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交易发起人将以合同形式有偿取得货物或服务，不接受响应人给予的赠品、回扣或者与交易无关的其他商品、服务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r>
        <w:rPr>
          <w:rFonts w:hint="eastAsia" w:asciiTheme="minorEastAsia" w:hAnsiTheme="minorEastAsia" w:eastAsiaTheme="minorEastAsia" w:cstheme="minorEastAsia"/>
          <w:b/>
          <w:color w:val="auto"/>
          <w:kern w:val="0"/>
          <w:sz w:val="24"/>
          <w:highlight w:val="none"/>
          <w:lang w:val="zh-CN"/>
        </w:rPr>
        <w:t>；交易内容未包含在《交易一览表（报价表）》名称栏中，响应人不能作出合理解释的，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响应文件含有交易发起人不能接受的附加条件的，交易无效。</w:t>
      </w:r>
    </w:p>
    <w:p w14:paraId="7549FEF9">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3、以上表格要求细分项目及报价，在“规格型号（或具体服务）”一栏中，货物类项目填写规格型号，服务类项目填写具体服务。</w:t>
      </w:r>
    </w:p>
    <w:p w14:paraId="32C78C8C">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4、特别提示：代理机构将对项目名称和项目编号，成交响应人名称、地址和</w:t>
      </w:r>
      <w:r>
        <w:rPr>
          <w:rFonts w:hint="eastAsia" w:asciiTheme="minorEastAsia" w:hAnsiTheme="minorEastAsia" w:eastAsiaTheme="minorEastAsia" w:cstheme="minorEastAsia"/>
          <w:color w:val="auto"/>
          <w:kern w:val="0"/>
          <w:sz w:val="24"/>
          <w:highlight w:val="none"/>
        </w:rPr>
        <w:t>成交</w:t>
      </w:r>
      <w:r>
        <w:rPr>
          <w:rFonts w:hint="eastAsia" w:asciiTheme="minorEastAsia" w:hAnsiTheme="minorEastAsia" w:eastAsiaTheme="minorEastAsia" w:cstheme="minorEastAsia"/>
          <w:color w:val="auto"/>
          <w:kern w:val="0"/>
          <w:sz w:val="24"/>
          <w:highlight w:val="none"/>
          <w:lang w:val="zh-CN"/>
        </w:rPr>
        <w:t>金额等予以公示。</w:t>
      </w:r>
    </w:p>
    <w:p w14:paraId="2C679487">
      <w:pPr>
        <w:spacing w:line="360" w:lineRule="auto"/>
        <w:ind w:firstLine="482" w:firstLineChars="200"/>
        <w:rPr>
          <w:rFonts w:hint="eastAsia" w:asciiTheme="minorEastAsia" w:hAnsiTheme="minorEastAsia" w:eastAsiaTheme="minorEastAsia" w:cstheme="minorEastAsia"/>
          <w:b/>
          <w:color w:val="auto"/>
          <w:kern w:val="0"/>
          <w:sz w:val="24"/>
          <w:highlight w:val="none"/>
        </w:rPr>
      </w:pPr>
    </w:p>
    <w:p w14:paraId="1CB9C554">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响应人名称（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w:t>
      </w:r>
    </w:p>
    <w:p w14:paraId="558BF1D0">
      <w:pPr>
        <w:autoSpaceDE w:val="0"/>
        <w:autoSpaceDN w:val="0"/>
        <w:spacing w:line="360" w:lineRule="auto"/>
        <w:ind w:left="2" w:leftChars="1" w:right="1120" w:firstLine="7680" w:firstLineChars="3200"/>
        <w:jc w:val="left"/>
        <w:rPr>
          <w:rFonts w:hint="eastAsia" w:asciiTheme="minorEastAsia" w:hAnsiTheme="minorEastAsia" w:eastAsiaTheme="minorEastAsia" w:cstheme="minorEastAsia"/>
          <w:color w:val="auto"/>
          <w:kern w:val="0"/>
          <w:sz w:val="24"/>
          <w:highlight w:val="none"/>
          <w:lang w:val="zh-CN"/>
        </w:rPr>
        <w:sectPr>
          <w:pgSz w:w="16838" w:h="11906" w:orient="landscape"/>
          <w:pgMar w:top="1417" w:right="1247" w:bottom="1417" w:left="1247" w:header="851" w:footer="992" w:gutter="0"/>
          <w:pgBorders>
            <w:top w:val="none" w:sz="0" w:space="0"/>
            <w:left w:val="none" w:sz="0" w:space="0"/>
            <w:bottom w:val="none" w:sz="0" w:space="0"/>
            <w:right w:val="none" w:sz="0" w:space="0"/>
          </w:pgBorders>
          <w:cols w:space="0" w:num="1"/>
          <w:titlePg/>
          <w:docGrid w:linePitch="312" w:charSpace="0"/>
        </w:sect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65B2BADB">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r>
        <w:rPr>
          <w:rFonts w:hint="eastAsia" w:asciiTheme="minorEastAsia" w:hAnsiTheme="minorEastAsia" w:eastAsiaTheme="minorEastAsia" w:cstheme="minorEastAsia"/>
          <w:b/>
          <w:color w:val="auto"/>
          <w:spacing w:val="6"/>
          <w:sz w:val="32"/>
          <w:szCs w:val="32"/>
          <w:highlight w:val="none"/>
          <w:lang w:val="zh-CN"/>
        </w:rPr>
        <w:t>异议</w:t>
      </w:r>
      <w:r>
        <w:rPr>
          <w:rFonts w:hint="eastAsia" w:asciiTheme="minorEastAsia" w:hAnsiTheme="minorEastAsia" w:eastAsiaTheme="minorEastAsia" w:cstheme="minorEastAsia"/>
          <w:b/>
          <w:color w:val="auto"/>
          <w:spacing w:val="6"/>
          <w:sz w:val="32"/>
          <w:szCs w:val="32"/>
          <w:highlight w:val="none"/>
        </w:rPr>
        <w:t>函范本及制作说明</w:t>
      </w:r>
    </w:p>
    <w:p w14:paraId="14B74318">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异议函范本</w:t>
      </w:r>
    </w:p>
    <w:p w14:paraId="5595B9E6">
      <w:pPr>
        <w:snapToGrid w:val="0"/>
        <w:spacing w:before="240" w:beforeLines="10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一、异议响应人基本信息</w:t>
      </w:r>
    </w:p>
    <w:p w14:paraId="6C097FA6">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异议响应人：</w:t>
      </w:r>
      <w:r>
        <w:rPr>
          <w:rFonts w:hint="eastAsia" w:asciiTheme="minorEastAsia" w:hAnsiTheme="minorEastAsia" w:eastAsiaTheme="minorEastAsia" w:cstheme="minorEastAsia"/>
          <w:color w:val="auto"/>
          <w:sz w:val="24"/>
          <w:highlight w:val="none"/>
          <w:u w:val="dotted"/>
        </w:rPr>
        <w:t xml:space="preserve">                                        </w:t>
      </w:r>
    </w:p>
    <w:p w14:paraId="4372EE01">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2B216904">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3BC69153">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14:paraId="4BC1F2F2">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6A9206ED">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7F20AA34">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二、异议项目基本情况</w:t>
      </w:r>
    </w:p>
    <w:p w14:paraId="232E939D">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异议项目的名称：</w:t>
      </w:r>
      <w:r>
        <w:rPr>
          <w:rFonts w:hint="eastAsia" w:asciiTheme="minorEastAsia" w:hAnsiTheme="minorEastAsia" w:eastAsiaTheme="minorEastAsia" w:cstheme="minorEastAsia"/>
          <w:color w:val="auto"/>
          <w:sz w:val="24"/>
          <w:highlight w:val="none"/>
          <w:u w:val="dotted"/>
        </w:rPr>
        <w:t xml:space="preserve">                                      </w:t>
      </w:r>
    </w:p>
    <w:p w14:paraId="4CE1B84A">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异议项目的编号：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0A67C8F3">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交易发起人名称：</w:t>
      </w:r>
      <w:r>
        <w:rPr>
          <w:rFonts w:hint="eastAsia" w:asciiTheme="minorEastAsia" w:hAnsiTheme="minorEastAsia" w:eastAsiaTheme="minorEastAsia" w:cstheme="minorEastAsia"/>
          <w:color w:val="auto"/>
          <w:sz w:val="24"/>
          <w:highlight w:val="none"/>
          <w:u w:val="dotted"/>
        </w:rPr>
        <w:t xml:space="preserve">                                         </w:t>
      </w:r>
    </w:p>
    <w:p w14:paraId="4A94D27E">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公开竞争文件获取日期：</w:t>
      </w:r>
      <w:r>
        <w:rPr>
          <w:rFonts w:hint="eastAsia" w:asciiTheme="minorEastAsia" w:hAnsiTheme="minorEastAsia" w:eastAsiaTheme="minorEastAsia" w:cstheme="minorEastAsia"/>
          <w:color w:val="auto"/>
          <w:sz w:val="24"/>
          <w:highlight w:val="none"/>
          <w:u w:val="dotted"/>
        </w:rPr>
        <w:t xml:space="preserve">                                           </w:t>
      </w:r>
    </w:p>
    <w:p w14:paraId="4A5BF8CD">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三、异议事项具体内容</w:t>
      </w:r>
    </w:p>
    <w:p w14:paraId="45649FD2">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异议事项1：</w:t>
      </w:r>
      <w:r>
        <w:rPr>
          <w:rFonts w:hint="eastAsia" w:asciiTheme="minorEastAsia" w:hAnsiTheme="minorEastAsia" w:eastAsiaTheme="minorEastAsia" w:cstheme="minorEastAsia"/>
          <w:color w:val="auto"/>
          <w:sz w:val="24"/>
          <w:highlight w:val="none"/>
          <w:u w:val="dotted"/>
        </w:rPr>
        <w:t xml:space="preserve">                                         </w:t>
      </w:r>
    </w:p>
    <w:p w14:paraId="405422D7">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76C96CFE">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14:paraId="286732C7">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1A13C25B">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0313CA2B">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异议事项2</w:t>
      </w:r>
    </w:p>
    <w:p w14:paraId="293F9470">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072E44BD">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四、与异议事项相关的异议请求</w:t>
      </w:r>
    </w:p>
    <w:p w14:paraId="150FCC0C">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14:paraId="1A13A37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7E73653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2BFF16BF">
      <w:pPr>
        <w:spacing w:line="360" w:lineRule="auto"/>
        <w:jc w:val="center"/>
        <w:rPr>
          <w:rFonts w:hint="eastAsia" w:asciiTheme="minorEastAsia" w:hAnsiTheme="minorEastAsia" w:eastAsiaTheme="minorEastAsia" w:cstheme="minorEastAsia"/>
          <w:b/>
          <w:bCs/>
          <w:color w:val="auto"/>
          <w:sz w:val="24"/>
          <w:highlight w:val="none"/>
        </w:rPr>
      </w:pPr>
    </w:p>
    <w:p w14:paraId="74186B89">
      <w:pPr>
        <w:spacing w:line="360" w:lineRule="auto"/>
        <w:rPr>
          <w:rFonts w:hint="eastAsia" w:asciiTheme="minorEastAsia" w:hAnsiTheme="minorEastAsia" w:eastAsiaTheme="minorEastAsia" w:cstheme="minorEastAsia"/>
          <w:b/>
          <w:color w:val="auto"/>
          <w:sz w:val="24"/>
          <w:highlight w:val="none"/>
        </w:rPr>
      </w:pPr>
    </w:p>
    <w:p w14:paraId="67E251EA">
      <w:pPr>
        <w:spacing w:line="360" w:lineRule="auto"/>
        <w:rPr>
          <w:rFonts w:hint="eastAsia" w:asciiTheme="minorEastAsia" w:hAnsiTheme="minorEastAsia" w:eastAsiaTheme="minorEastAsia" w:cstheme="minorEastAsia"/>
          <w:b/>
          <w:color w:val="auto"/>
          <w:sz w:val="24"/>
          <w:highlight w:val="none"/>
        </w:rPr>
      </w:pPr>
    </w:p>
    <w:p w14:paraId="706D749E">
      <w:pPr>
        <w:spacing w:line="360" w:lineRule="auto"/>
        <w:rPr>
          <w:rFonts w:hint="eastAsia" w:asciiTheme="minorEastAsia" w:hAnsiTheme="minorEastAsia" w:eastAsiaTheme="minorEastAsia" w:cstheme="minorEastAsia"/>
          <w:b/>
          <w:color w:val="auto"/>
          <w:sz w:val="24"/>
          <w:highlight w:val="none"/>
        </w:rPr>
      </w:pPr>
    </w:p>
    <w:p w14:paraId="321FBFD8">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异议函制作说明：</w:t>
      </w:r>
    </w:p>
    <w:p w14:paraId="070F916C">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1.响应人提出异议时，应提交异议函和必要的证明材料。</w:t>
      </w:r>
    </w:p>
    <w:p w14:paraId="7B4A8870">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2.异议响应人若委托代理人进行异议的，异议函应按要求列明“授权代表”的有关内容，并在附件中提交由异议</w:t>
      </w:r>
      <w:r>
        <w:rPr>
          <w:rFonts w:hint="eastAsia" w:asciiTheme="minorEastAsia" w:hAnsiTheme="minorEastAsia" w:eastAsiaTheme="minorEastAsia" w:cstheme="minorEastAsia"/>
          <w:color w:val="auto"/>
          <w:kern w:val="0"/>
          <w:sz w:val="24"/>
          <w:highlight w:val="none"/>
        </w:rPr>
        <w:t>响应人签署的授权委托书。授权委托书应载明代理人的姓名或者名称、代理事项、具体权限、期限和相关事项。</w:t>
      </w:r>
    </w:p>
    <w:p w14:paraId="75613755">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3.异议响应人若对项目的某一分包进行异议，异议函中应列明具体分包号。</w:t>
      </w:r>
    </w:p>
    <w:p w14:paraId="2D94A174">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4.异议函的异议事项应具体、明确，并有必要的事实依据和法律依据。</w:t>
      </w:r>
    </w:p>
    <w:p w14:paraId="3A02B66F">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5.异议函的异议请求应与异议事项相关。</w:t>
      </w:r>
    </w:p>
    <w:p w14:paraId="151D8B41">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6.异议响应人为自然人的，异议函应由本人签字；异议响应人为法人或者其他组织的，异议函应由法定代表人、主要负责人，或者其授权代表签字或者盖章，并加盖公章。</w:t>
      </w:r>
    </w:p>
    <w:p w14:paraId="297408AB">
      <w:pPr>
        <w:widowControl/>
        <w:spacing w:line="360" w:lineRule="auto"/>
        <w:ind w:firstLine="600" w:firstLineChars="200"/>
        <w:jc w:val="left"/>
        <w:rPr>
          <w:rFonts w:hint="eastAsia" w:asciiTheme="minorEastAsia" w:hAnsiTheme="minorEastAsia" w:eastAsiaTheme="minorEastAsia" w:cstheme="minorEastAsia"/>
          <w:color w:val="auto"/>
          <w:sz w:val="30"/>
          <w:szCs w:val="30"/>
          <w:highlight w:val="none"/>
        </w:rPr>
      </w:pPr>
    </w:p>
    <w:p w14:paraId="637D499B">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587DB612">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69BEA68E">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52088381">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2BA9D79D">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2DC15D28">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6E1F8711">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4A8D9894">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52333EB">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228B8328">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5D3365A1">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17CEB200">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6F8F5BAD">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69BCE618">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0ED41671">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附件2：投诉书范本及制作说明</w:t>
      </w:r>
    </w:p>
    <w:p w14:paraId="796D99DB">
      <w:pPr>
        <w:spacing w:line="360" w:lineRule="auto"/>
        <w:jc w:val="center"/>
        <w:rPr>
          <w:rFonts w:hint="eastAsia" w:asciiTheme="minorEastAsia" w:hAnsiTheme="minorEastAsia" w:eastAsiaTheme="minorEastAsia" w:cstheme="minorEastAsia"/>
          <w:b/>
          <w:color w:val="auto"/>
          <w:sz w:val="24"/>
          <w:highlight w:val="none"/>
        </w:rPr>
      </w:pPr>
    </w:p>
    <w:p w14:paraId="7CB45839">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14:paraId="2DA971A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14:paraId="587AD423">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14:paraId="7B2917D5">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2842D67">
      <w:pPr>
        <w:tabs>
          <w:tab w:val="left" w:pos="651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53CEBF54">
      <w:pPr>
        <w:tabs>
          <w:tab w:val="left" w:pos="6510"/>
        </w:tabs>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3D8EDD8C">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2CD60A25">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dotted"/>
        </w:rPr>
        <w:t xml:space="preserve">                   </w:t>
      </w:r>
    </w:p>
    <w:p w14:paraId="2A4FEF74">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57A20FF4">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F4AE32C">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6F9FF8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14:paraId="6FCCB149">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1ABA363B">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相关响应人：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74BF40E2">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68291AEE">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0BFB0DF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14:paraId="395410C7">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交易名称：</w:t>
      </w:r>
      <w:r>
        <w:rPr>
          <w:rFonts w:hint="eastAsia" w:asciiTheme="minorEastAsia" w:hAnsiTheme="minorEastAsia" w:eastAsiaTheme="minorEastAsia" w:cstheme="minorEastAsia"/>
          <w:color w:val="auto"/>
          <w:sz w:val="24"/>
          <w:highlight w:val="none"/>
          <w:u w:val="dotted"/>
        </w:rPr>
        <w:t xml:space="preserve">                                        </w:t>
      </w:r>
    </w:p>
    <w:p w14:paraId="69147DC7">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交易编号：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522A332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交易发起人名称：</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37FA372A">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14:paraId="15231CBA">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公开竞争文件公告: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7F11D692">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成交结果公告: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6A61986C">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三、异议基本情况</w:t>
      </w:r>
    </w:p>
    <w:p w14:paraId="3D214AF7">
      <w:pPr>
        <w:spacing w:line="360" w:lineRule="auto"/>
        <w:ind w:firstLine="480" w:firstLineChars="200"/>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提出异议，异议事项为：</w:t>
      </w:r>
      <w:r>
        <w:rPr>
          <w:rFonts w:hint="eastAsia" w:asciiTheme="minorEastAsia" w:hAnsiTheme="minorEastAsia" w:eastAsiaTheme="minorEastAsia" w:cstheme="minorEastAsia"/>
          <w:color w:val="auto"/>
          <w:sz w:val="24"/>
          <w:highlight w:val="none"/>
          <w:u w:val="dotted"/>
        </w:rPr>
        <w:t xml:space="preserve">                                </w:t>
      </w:r>
    </w:p>
    <w:p w14:paraId="4145B681">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2A77455C">
      <w:pPr>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交易发起人/代理机构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日,就异议事项作出了答复/没有在法定期限内作出答复。</w:t>
      </w:r>
    </w:p>
    <w:p w14:paraId="3CACB3B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14:paraId="487820EB">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14:paraId="4393A73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1283E77E">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69548AD0">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6B5E36AF">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1864D1B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14:paraId="6ECDE996">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6C8721B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14:paraId="17255DF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0F93C480">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w:t>
      </w:r>
    </w:p>
    <w:p w14:paraId="32E6133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3F7B8E4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020E1236">
      <w:pPr>
        <w:spacing w:line="360" w:lineRule="auto"/>
        <w:rPr>
          <w:rFonts w:hint="eastAsia" w:asciiTheme="minorEastAsia" w:hAnsiTheme="minorEastAsia" w:eastAsiaTheme="minorEastAsia" w:cstheme="minorEastAsia"/>
          <w:b/>
          <w:color w:val="auto"/>
          <w:sz w:val="24"/>
          <w:highlight w:val="none"/>
        </w:rPr>
      </w:pPr>
    </w:p>
    <w:p w14:paraId="70DD61FA">
      <w:pPr>
        <w:spacing w:line="360" w:lineRule="auto"/>
        <w:rPr>
          <w:rFonts w:hint="eastAsia" w:asciiTheme="minorEastAsia" w:hAnsiTheme="minorEastAsia" w:eastAsiaTheme="minorEastAsia" w:cstheme="minorEastAsia"/>
          <w:b/>
          <w:color w:val="auto"/>
          <w:sz w:val="24"/>
          <w:highlight w:val="none"/>
        </w:rPr>
      </w:pPr>
    </w:p>
    <w:p w14:paraId="7804B525">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14:paraId="67A650FD">
      <w:pPr>
        <w:widowControl/>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1.投诉人提起投诉时，应当提交投诉书和必要的证明材料，并按照被投诉人和与投诉事项有关的响应人数量提供投诉书副本。</w:t>
      </w:r>
    </w:p>
    <w:p w14:paraId="727DE02F">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14:paraId="620E68F4">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14:paraId="5DDD3879">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4.投诉书应简要列明异议事项，异议函、异议答复等作为附件材料提供。</w:t>
      </w:r>
    </w:p>
    <w:p w14:paraId="0ACC6003">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14:paraId="5D8C15B3">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14:paraId="62296039">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685D4FA2">
      <w:pPr>
        <w:spacing w:line="360" w:lineRule="auto"/>
        <w:rPr>
          <w:rFonts w:hint="eastAsia" w:asciiTheme="minorEastAsia" w:hAnsiTheme="minorEastAsia" w:eastAsiaTheme="minorEastAsia" w:cstheme="minorEastAsia"/>
          <w:b/>
          <w:color w:val="auto"/>
          <w:sz w:val="24"/>
          <w:highlight w:val="none"/>
        </w:rPr>
      </w:pPr>
    </w:p>
    <w:p w14:paraId="5EC4ED6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3D3F29D">
      <w:pPr>
        <w:autoSpaceDE w:val="0"/>
        <w:autoSpaceDN w:val="0"/>
        <w:jc w:val="left"/>
        <w:rPr>
          <w:rFonts w:hint="eastAsia" w:asciiTheme="minorEastAsia" w:hAnsiTheme="minorEastAsia" w:eastAsiaTheme="minorEastAsia" w:cstheme="minorEastAsia"/>
          <w:b/>
          <w:color w:val="auto"/>
          <w:spacing w:val="6"/>
          <w:sz w:val="32"/>
          <w:szCs w:val="32"/>
          <w:highlight w:val="none"/>
        </w:rPr>
      </w:pPr>
    </w:p>
    <w:p w14:paraId="350F5058">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278A1B9C">
      <w:pPr>
        <w:autoSpaceDE w:val="0"/>
        <w:autoSpaceDN w:val="0"/>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w:t>
      </w:r>
    </w:p>
    <w:p w14:paraId="7851E8C4">
      <w:pPr>
        <w:autoSpaceDE w:val="0"/>
        <w:autoSpaceDN w:val="0"/>
        <w:jc w:val="center"/>
        <w:rPr>
          <w:rFonts w:hint="eastAsia" w:asciiTheme="minorEastAsia" w:hAnsiTheme="minorEastAsia" w:eastAsiaTheme="minorEastAsia" w:cstheme="minorEastAsia"/>
          <w:b/>
          <w:bCs/>
          <w:color w:val="auto"/>
          <w:sz w:val="32"/>
          <w:szCs w:val="32"/>
          <w:highlight w:val="none"/>
        </w:rPr>
      </w:pPr>
    </w:p>
    <w:p w14:paraId="795B90C6">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业务专用章使用说明函</w:t>
      </w:r>
    </w:p>
    <w:p w14:paraId="48CDF996">
      <w:pPr>
        <w:spacing w:line="360" w:lineRule="auto"/>
        <w:rPr>
          <w:rFonts w:hint="eastAsia" w:asciiTheme="minorEastAsia" w:hAnsiTheme="minorEastAsia" w:eastAsiaTheme="minorEastAsia" w:cstheme="minorEastAsia"/>
          <w:color w:val="auto"/>
          <w:sz w:val="24"/>
          <w:highlight w:val="none"/>
          <w:u w:val="single"/>
        </w:rPr>
      </w:pPr>
    </w:p>
    <w:p w14:paraId="20ECBA7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（交易发起人）、（代理机构）</w:t>
      </w:r>
    </w:p>
    <w:p w14:paraId="34BB6D2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(响应人全称)是中华人民共和国依法登记注册的合法企业，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w:t>
      </w:r>
      <w:r>
        <w:rPr>
          <w:rFonts w:hint="eastAsia" w:asciiTheme="minorEastAsia" w:hAnsiTheme="minorEastAsia" w:eastAsiaTheme="minorEastAsia" w:cstheme="minorEastAsia"/>
          <w:color w:val="auto"/>
          <w:sz w:val="24"/>
          <w:highlight w:val="none"/>
          <w:u w:val="single"/>
        </w:rPr>
        <w:t>（项目名称）项目【交易编号：      ）】</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14:paraId="15577B4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14:paraId="58208A1D">
      <w:pPr>
        <w:spacing w:line="360" w:lineRule="auto"/>
        <w:ind w:firstLine="494"/>
        <w:rPr>
          <w:rFonts w:hint="eastAsia" w:asciiTheme="minorEastAsia" w:hAnsiTheme="minorEastAsia" w:eastAsiaTheme="minorEastAsia" w:cstheme="minorEastAsia"/>
          <w:color w:val="auto"/>
          <w:sz w:val="24"/>
          <w:highlight w:val="none"/>
        </w:rPr>
      </w:pPr>
    </w:p>
    <w:p w14:paraId="735F4D07">
      <w:pPr>
        <w:spacing w:line="360" w:lineRule="auto"/>
        <w:ind w:firstLine="494"/>
        <w:rPr>
          <w:rFonts w:hint="eastAsia" w:asciiTheme="minorEastAsia" w:hAnsiTheme="minorEastAsia" w:eastAsiaTheme="minorEastAsia" w:cstheme="minorEastAsia"/>
          <w:color w:val="auto"/>
          <w:sz w:val="24"/>
          <w:highlight w:val="none"/>
        </w:rPr>
      </w:pPr>
    </w:p>
    <w:p w14:paraId="2A1B0539">
      <w:pPr>
        <w:spacing w:line="360" w:lineRule="auto"/>
        <w:ind w:firstLine="494"/>
        <w:rPr>
          <w:rFonts w:hint="eastAsia" w:asciiTheme="minorEastAsia" w:hAnsiTheme="minorEastAsia" w:eastAsiaTheme="minorEastAsia" w:cstheme="minorEastAsia"/>
          <w:color w:val="auto"/>
          <w:sz w:val="24"/>
          <w:highlight w:val="none"/>
        </w:rPr>
      </w:pPr>
    </w:p>
    <w:p w14:paraId="69A422F6">
      <w:pPr>
        <w:spacing w:line="360" w:lineRule="auto"/>
        <w:ind w:firstLine="494"/>
        <w:rPr>
          <w:rFonts w:hint="eastAsia" w:asciiTheme="minorEastAsia" w:hAnsiTheme="minorEastAsia" w:eastAsiaTheme="minorEastAsia" w:cstheme="minorEastAsia"/>
          <w:color w:val="auto"/>
          <w:sz w:val="24"/>
          <w:highlight w:val="none"/>
        </w:rPr>
      </w:pPr>
    </w:p>
    <w:p w14:paraId="58DE2D9A">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5E885EE9">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30ADF50D">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1C9EB67C">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72762844">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72762844">
                      <w:pPr>
                        <w:jc w:val="center"/>
                      </w:pPr>
                    </w:p>
                  </w:txbxContent>
                </v:textbox>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0FCB86D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DFFDC9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BBF40F6">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32BF39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82D842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532EBBB">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D8A6DE7">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2A7124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E74318F">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A9E350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2647A7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05AB3BDE">
      <w:pPr>
        <w:autoSpaceDE w:val="0"/>
        <w:autoSpaceDN w:val="0"/>
        <w:jc w:val="center"/>
        <w:rPr>
          <w:rFonts w:hint="eastAsia" w:asciiTheme="minorEastAsia" w:hAnsiTheme="minorEastAsia" w:eastAsiaTheme="minorEastAsia" w:cstheme="minorEastAsia"/>
          <w:b/>
          <w:color w:val="auto"/>
          <w:spacing w:val="6"/>
          <w:sz w:val="32"/>
          <w:szCs w:val="32"/>
          <w:highlight w:val="none"/>
        </w:rPr>
        <w:sectPr>
          <w:headerReference r:id="rId14" w:type="first"/>
          <w:footerReference r:id="rId17" w:type="first"/>
          <w:headerReference r:id="rId13" w:type="default"/>
          <w:footerReference r:id="rId15" w:type="default"/>
          <w:footerReference r:id="rId16" w:type="even"/>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pPr>
    </w:p>
    <w:p w14:paraId="0E9F272C">
      <w:pPr>
        <w:pStyle w:val="3"/>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highlight w:val="none"/>
        </w:rPr>
        <w:t>附件</w:t>
      </w:r>
      <w:r>
        <w:rPr>
          <w:rFonts w:hint="eastAsia" w:asciiTheme="minorEastAsia" w:hAnsiTheme="minorEastAsia" w:eastAsiaTheme="minorEastAsia" w:cstheme="minorEastAsia"/>
          <w:b/>
          <w:bCs/>
          <w:color w:val="auto"/>
          <w:highlight w:val="none"/>
          <w:lang w:val="en-US"/>
        </w:rPr>
        <w:t>4</w:t>
      </w:r>
      <w:r>
        <w:rPr>
          <w:rFonts w:hint="eastAsia" w:asciiTheme="minorEastAsia" w:hAnsiTheme="minorEastAsia" w:eastAsiaTheme="minorEastAsia" w:cstheme="minorEastAsia"/>
          <w:b/>
          <w:bCs/>
          <w:color w:val="auto"/>
          <w:highlight w:val="none"/>
        </w:rPr>
        <w:t>样品（演示）授权委托书</w:t>
      </w:r>
    </w:p>
    <w:p w14:paraId="0AAE7C88">
      <w:pPr>
        <w:jc w:val="center"/>
        <w:rPr>
          <w:rFonts w:hint="eastAsia" w:asciiTheme="minorEastAsia" w:hAnsiTheme="minorEastAsia" w:eastAsiaTheme="minorEastAsia" w:cstheme="minorEastAsia"/>
          <w:color w:val="auto"/>
          <w:sz w:val="40"/>
          <w:highlight w:val="none"/>
        </w:rPr>
      </w:pPr>
    </w:p>
    <w:p w14:paraId="62EC3410">
      <w:pPr>
        <w:jc w:val="center"/>
        <w:rPr>
          <w:rFonts w:hint="eastAsia" w:asciiTheme="minorEastAsia" w:hAnsiTheme="minorEastAsia" w:eastAsiaTheme="minorEastAsia" w:cstheme="minorEastAsia"/>
          <w:color w:val="auto"/>
          <w:sz w:val="40"/>
          <w:highlight w:val="none"/>
        </w:rPr>
      </w:pPr>
      <w:r>
        <w:rPr>
          <w:rFonts w:hint="eastAsia" w:asciiTheme="minorEastAsia" w:hAnsiTheme="minorEastAsia" w:eastAsiaTheme="minorEastAsia" w:cstheme="minorEastAsia"/>
          <w:color w:val="auto"/>
          <w:sz w:val="40"/>
          <w:highlight w:val="none"/>
        </w:rPr>
        <w:t>样品（演示）授权委托书</w:t>
      </w:r>
    </w:p>
    <w:p w14:paraId="1A962EAB">
      <w:pPr>
        <w:jc w:val="center"/>
        <w:rPr>
          <w:rFonts w:hint="eastAsia" w:asciiTheme="minorEastAsia" w:hAnsiTheme="minorEastAsia" w:eastAsiaTheme="minorEastAsia" w:cstheme="minorEastAsia"/>
          <w:color w:val="auto"/>
          <w:sz w:val="40"/>
          <w:highlight w:val="none"/>
        </w:rPr>
      </w:pPr>
    </w:p>
    <w:p w14:paraId="0E891C55">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XXX（交易发起人或代理机构）</w:t>
      </w:r>
      <w:r>
        <w:rPr>
          <w:rFonts w:hint="eastAsia" w:asciiTheme="minorEastAsia" w:hAnsiTheme="minorEastAsia" w:eastAsiaTheme="minorEastAsia" w:cstheme="minorEastAsia"/>
          <w:color w:val="auto"/>
          <w:highlight w:val="none"/>
          <w:lang w:val="zh-CN"/>
        </w:rPr>
        <w:t>：</w:t>
      </w:r>
    </w:p>
    <w:p w14:paraId="3D10A3EC">
      <w:pPr>
        <w:snapToGrid w:val="0"/>
        <w:spacing w:line="360" w:lineRule="auto"/>
        <w:ind w:left="254" w:leftChars="121" w:firstLine="420" w:firstLineChars="200"/>
        <w:rPr>
          <w:rFonts w:hint="eastAsia" w:asciiTheme="minorEastAsia" w:hAnsiTheme="minorEastAsia" w:eastAsiaTheme="minorEastAsia" w:cstheme="minorEastAsia"/>
          <w:color w:val="auto"/>
          <w:highlight w:val="none"/>
          <w:u w:val="single"/>
          <w:lang w:val="zh-CN"/>
        </w:rPr>
      </w:pPr>
      <w:r>
        <w:rPr>
          <w:rFonts w:hint="eastAsia" w:asciiTheme="minorEastAsia" w:hAnsiTheme="minorEastAsia" w:eastAsiaTheme="minorEastAsia" w:cstheme="minorEastAsia"/>
          <w:color w:val="auto"/>
          <w:highlight w:val="none"/>
          <w:lang w:val="zh-CN"/>
        </w:rPr>
        <w:t>兹委派</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先生/女士，身份证号：</w:t>
      </w:r>
      <w:r>
        <w:rPr>
          <w:rFonts w:hint="eastAsia" w:asciiTheme="minorEastAsia" w:hAnsiTheme="minorEastAsia" w:eastAsiaTheme="minorEastAsia" w:cstheme="minorEastAsia"/>
          <w:color w:val="auto"/>
          <w:highlight w:val="none"/>
          <w:u w:val="single"/>
          <w:lang w:val="zh-CN"/>
        </w:rPr>
        <w:t xml:space="preserve">                   </w:t>
      </w:r>
    </w:p>
    <w:p w14:paraId="426D73AB">
      <w:pPr>
        <w:snapToGrid w:val="0"/>
        <w:spacing w:line="360" w:lineRule="auto"/>
        <w:ind w:left="254" w:leftChars="121"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手机：</w:t>
      </w:r>
      <w:r>
        <w:rPr>
          <w:rFonts w:hint="eastAsia" w:asciiTheme="minorEastAsia" w:hAnsiTheme="minorEastAsia" w:eastAsiaTheme="minorEastAsia" w:cstheme="minorEastAsia"/>
          <w:color w:val="auto"/>
          <w:highlight w:val="none"/>
          <w:u w:val="single"/>
          <w:lang w:val="zh-CN"/>
        </w:rPr>
        <w:t xml:space="preserve">             </w:t>
      </w:r>
      <w:r>
        <w:rPr>
          <w:rFonts w:hint="eastAsia" w:asciiTheme="minorEastAsia" w:hAnsiTheme="minorEastAsia" w:eastAsiaTheme="minorEastAsia" w:cstheme="minorEastAsia"/>
          <w:color w:val="auto"/>
          <w:highlight w:val="none"/>
          <w:lang w:val="zh-CN"/>
        </w:rPr>
        <w:t>，代表我公司前来递交</w:t>
      </w:r>
      <w:r>
        <w:rPr>
          <w:rFonts w:hint="eastAsia" w:asciiTheme="minorEastAsia" w:hAnsiTheme="minorEastAsia" w:eastAsiaTheme="minorEastAsia" w:cstheme="minorEastAsia"/>
          <w:color w:val="auto"/>
          <w:highlight w:val="none"/>
          <w:u w:val="single"/>
          <w:lang w:val="zh-CN"/>
        </w:rPr>
        <w:t xml:space="preserve">                           采购项目</w:t>
      </w:r>
      <w:r>
        <w:rPr>
          <w:rFonts w:hint="eastAsia" w:asciiTheme="minorEastAsia" w:hAnsiTheme="minorEastAsia" w:eastAsiaTheme="minorEastAsia" w:cstheme="minorEastAsia"/>
          <w:color w:val="auto"/>
          <w:highlight w:val="none"/>
          <w:lang w:val="zh-CN"/>
        </w:rPr>
        <w:t>【项目编号：              】（标项号：  ）投标样品或参加演示，并全权负责标后取回样品等其他处理事宜。</w:t>
      </w:r>
    </w:p>
    <w:p w14:paraId="7BFB4647">
      <w:pPr>
        <w:snapToGrid w:val="0"/>
        <w:spacing w:line="360" w:lineRule="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  </w:t>
      </w:r>
    </w:p>
    <w:p w14:paraId="71C405DB">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特此告知。</w:t>
      </w:r>
    </w:p>
    <w:p w14:paraId="08218A57">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r>
        <w:rPr>
          <w:rFonts w:hint="eastAsia" w:asciiTheme="minorEastAsia" w:hAnsiTheme="minorEastAsia" w:eastAsiaTheme="minorEastAsia" w:cstheme="minorEastAsia"/>
          <w:color w:val="auto"/>
          <w:highlight w:val="none"/>
        </w:rPr>
        <w:t>供应商</w:t>
      </w:r>
      <w:r>
        <w:rPr>
          <w:rFonts w:hint="eastAsia" w:asciiTheme="minorEastAsia" w:hAnsiTheme="minorEastAsia" w:eastAsiaTheme="minorEastAsia" w:cstheme="minorEastAsia"/>
          <w:color w:val="auto"/>
          <w:highlight w:val="none"/>
          <w:lang w:val="zh-CN"/>
        </w:rPr>
        <w:t>名称(公章)：</w:t>
      </w:r>
    </w:p>
    <w:p w14:paraId="09C4CEC0">
      <w:pPr>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 xml:space="preserve">                                                  </w:t>
      </w:r>
    </w:p>
    <w:p w14:paraId="5E3C567E">
      <w:pPr>
        <w:snapToGrid w:val="0"/>
        <w:spacing w:line="360" w:lineRule="auto"/>
        <w:ind w:right="240"/>
        <w:jc w:val="righ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签发日期：  年  月   日</w:t>
      </w:r>
    </w:p>
    <w:p w14:paraId="4BCF0932">
      <w:pPr>
        <w:snapToGrid w:val="0"/>
        <w:spacing w:line="360" w:lineRule="auto"/>
        <w:ind w:right="240"/>
        <w:jc w:val="right"/>
        <w:rPr>
          <w:rFonts w:hint="eastAsia" w:asciiTheme="minorEastAsia" w:hAnsiTheme="minorEastAsia" w:eastAsiaTheme="minorEastAsia" w:cstheme="minorEastAsia"/>
          <w:color w:val="auto"/>
          <w:highlight w:val="none"/>
          <w:lang w:val="zh-CN"/>
        </w:rPr>
      </w:pPr>
    </w:p>
    <w:p w14:paraId="60A0B2CE">
      <w:pPr>
        <w:snapToGrid w:val="0"/>
        <w:spacing w:line="360" w:lineRule="auto"/>
        <w:ind w:right="1920"/>
        <w:rPr>
          <w:rFonts w:hint="eastAsia" w:asciiTheme="minorEastAsia" w:hAnsiTheme="minorEastAsia" w:eastAsiaTheme="minorEastAsia" w:cstheme="minorEastAsia"/>
          <w:color w:val="auto"/>
          <w:highlight w:val="none"/>
          <w:lang w:val="zh-CN"/>
        </w:rPr>
      </w:pPr>
    </w:p>
    <w:p w14:paraId="0FF87B68">
      <w:pPr>
        <w:snapToGrid w:val="0"/>
        <w:spacing w:line="360" w:lineRule="auto"/>
        <w:ind w:right="240"/>
        <w:jc w:val="right"/>
        <w:rPr>
          <w:rFonts w:hint="eastAsia" w:asciiTheme="minorEastAsia" w:hAnsiTheme="minorEastAsia" w:eastAsiaTheme="minorEastAsia" w:cstheme="minorEastAsia"/>
          <w:color w:val="auto"/>
          <w:highlight w:val="none"/>
          <w:lang w:val="zh-CN"/>
        </w:rPr>
      </w:pPr>
    </w:p>
    <w:p w14:paraId="4AA2EDD7">
      <w:pPr>
        <w:snapToGrid w:val="0"/>
        <w:spacing w:line="360" w:lineRule="auto"/>
        <w:ind w:right="240"/>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rPr>
        <w:t>受委托人</w:t>
      </w:r>
      <w:r>
        <w:rPr>
          <w:rFonts w:hint="eastAsia" w:asciiTheme="minorEastAsia" w:hAnsiTheme="minorEastAsia" w:eastAsiaTheme="minorEastAsia" w:cstheme="minorEastAsia"/>
          <w:b/>
          <w:bCs/>
          <w:color w:val="auto"/>
          <w:highlight w:val="none"/>
          <w:lang w:val="zh-CN"/>
        </w:rPr>
        <w:t>身份证复印件：</w:t>
      </w:r>
    </w:p>
    <w:p w14:paraId="678B3F9F">
      <w:pPr>
        <w:snapToGrid w:val="0"/>
        <w:spacing w:line="360" w:lineRule="auto"/>
        <w:ind w:right="240"/>
        <w:rPr>
          <w:rFonts w:hint="eastAsia" w:asciiTheme="minorEastAsia" w:hAnsiTheme="minorEastAsia" w:eastAsiaTheme="minorEastAsia" w:cstheme="minorEastAsia"/>
          <w:color w:val="auto"/>
          <w:highlight w:val="none"/>
          <w:lang w:val="zh-CN"/>
        </w:rPr>
      </w:pPr>
    </w:p>
    <w:p w14:paraId="6414B3E4">
      <w:pPr>
        <w:snapToGrid w:val="0"/>
        <w:spacing w:line="360" w:lineRule="auto"/>
        <w:ind w:right="240"/>
        <w:rPr>
          <w:rFonts w:hint="eastAsia" w:asciiTheme="minorEastAsia" w:hAnsiTheme="minorEastAsia" w:eastAsiaTheme="minorEastAsia" w:cstheme="minorEastAsia"/>
          <w:color w:val="auto"/>
          <w:highlight w:val="none"/>
          <w:lang w:val="zh-CN"/>
        </w:rPr>
      </w:pPr>
    </w:p>
    <w:p w14:paraId="094618B5">
      <w:pPr>
        <w:snapToGrid w:val="0"/>
        <w:spacing w:line="360" w:lineRule="auto"/>
        <w:ind w:right="240"/>
        <w:rPr>
          <w:rFonts w:hint="eastAsia" w:asciiTheme="minorEastAsia" w:hAnsiTheme="minorEastAsia" w:eastAsiaTheme="minorEastAsia" w:cstheme="minorEastAsia"/>
          <w:color w:val="auto"/>
          <w:highlight w:val="none"/>
          <w:lang w:val="zh-CN"/>
        </w:rPr>
      </w:pPr>
    </w:p>
    <w:p w14:paraId="612E9A4A">
      <w:pPr>
        <w:snapToGrid w:val="0"/>
        <w:spacing w:line="360" w:lineRule="auto"/>
        <w:ind w:right="240"/>
        <w:rPr>
          <w:rFonts w:hint="eastAsia" w:asciiTheme="minorEastAsia" w:hAnsiTheme="minorEastAsia" w:eastAsiaTheme="minorEastAsia" w:cstheme="minorEastAsia"/>
          <w:color w:val="auto"/>
          <w:highlight w:val="none"/>
          <w:lang w:val="zh-CN"/>
        </w:rPr>
      </w:pPr>
    </w:p>
    <w:p w14:paraId="53E1EE1C">
      <w:pPr>
        <w:snapToGrid w:val="0"/>
        <w:spacing w:line="360" w:lineRule="auto"/>
        <w:ind w:right="240"/>
        <w:rPr>
          <w:rFonts w:hint="eastAsia" w:asciiTheme="minorEastAsia" w:hAnsiTheme="minorEastAsia" w:eastAsiaTheme="minorEastAsia" w:cstheme="minorEastAsia"/>
          <w:color w:val="auto"/>
          <w:highlight w:val="none"/>
          <w:lang w:val="zh-CN"/>
        </w:rPr>
      </w:pPr>
    </w:p>
    <w:p w14:paraId="1D789139">
      <w:pPr>
        <w:snapToGrid w:val="0"/>
        <w:spacing w:line="360" w:lineRule="auto"/>
        <w:ind w:right="240"/>
        <w:rPr>
          <w:rFonts w:hint="eastAsia" w:asciiTheme="minorEastAsia" w:hAnsiTheme="minorEastAsia" w:eastAsiaTheme="minorEastAsia" w:cstheme="minorEastAsia"/>
          <w:color w:val="auto"/>
          <w:highlight w:val="none"/>
          <w:lang w:val="zh-CN"/>
        </w:rPr>
      </w:pPr>
    </w:p>
    <w:p w14:paraId="35680482">
      <w:pPr>
        <w:snapToGrid w:val="0"/>
        <w:spacing w:line="360" w:lineRule="auto"/>
        <w:ind w:right="240"/>
        <w:rPr>
          <w:rFonts w:hint="eastAsia" w:asciiTheme="minorEastAsia" w:hAnsiTheme="minorEastAsia" w:eastAsiaTheme="minorEastAsia" w:cstheme="minorEastAsia"/>
          <w:color w:val="auto"/>
          <w:highlight w:val="none"/>
          <w:lang w:val="zh-CN"/>
        </w:rPr>
      </w:pPr>
    </w:p>
    <w:p w14:paraId="7281D008">
      <w:pPr>
        <w:snapToGrid w:val="0"/>
        <w:spacing w:line="360" w:lineRule="auto"/>
        <w:ind w:right="24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说明：本委托书在有样品或演示时由受委托人携带至指定地点。</w:t>
      </w:r>
    </w:p>
    <w:p w14:paraId="7916B6D1">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同时有样品和演示的，可委托不同人员。</w:t>
      </w:r>
    </w:p>
    <w:p w14:paraId="7770702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F8A73B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D86D3BA">
      <w:pPr>
        <w:autoSpaceDE w:val="0"/>
        <w:autoSpaceDN w:val="0"/>
        <w:jc w:val="center"/>
        <w:rPr>
          <w:rFonts w:hint="eastAsia" w:asciiTheme="minorEastAsia" w:hAnsiTheme="minorEastAsia" w:eastAsiaTheme="minorEastAsia" w:cstheme="minorEastAsia"/>
          <w:b/>
          <w:color w:val="auto"/>
          <w:spacing w:val="6"/>
          <w:sz w:val="32"/>
          <w:szCs w:val="32"/>
          <w:highlight w:val="none"/>
        </w:rPr>
      </w:pPr>
    </w:p>
    <w:sectPr>
      <w:pgSz w:w="11906" w:h="16838"/>
      <w:pgMar w:top="1247" w:right="1417" w:bottom="1247" w:left="1417" w:header="851" w:footer="992" w:gutter="0"/>
      <w:pgBorders>
        <w:top w:val="none" w:sz="0" w:space="0"/>
        <w:left w:val="none" w:sz="0" w:space="0"/>
        <w:bottom w:val="none" w:sz="0" w:space="0"/>
        <w:right w:val="none" w:sz="0" w:space="0"/>
      </w:pgBorders>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Bk">
    <w:altName w:val="Courier New"/>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B1E11">
    <w:pPr>
      <w:spacing w:before="1" w:line="184" w:lineRule="auto"/>
      <w:ind w:right="287"/>
      <w:jc w:val="right"/>
      <w:rPr>
        <w:rFonts w:hint="eastAsia" w:ascii="宋体" w:hAnsi="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8D6BB">
    <w:pPr>
      <w:pStyle w:val="40"/>
      <w:jc w:val="center"/>
      <w:rPr>
        <w:rFonts w:ascii="仿宋_GB2312" w:eastAsia="仿宋_GB2312"/>
      </w:rPr>
    </w:pPr>
  </w:p>
  <w:p w14:paraId="2D62A139">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EA24F">
    <w:pPr>
      <w:spacing w:before="1" w:line="184" w:lineRule="auto"/>
      <w:ind w:right="287"/>
      <w:jc w:val="right"/>
      <w:rPr>
        <w:rFonts w:hint="eastAsia" w:ascii="宋体" w:hAnsi="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24CA1A">
                          <w:pPr>
                            <w:pStyle w:val="40"/>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C24CA1A">
                    <w:pPr>
                      <w:pStyle w:val="40"/>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87A52">
    <w:pPr>
      <w:pStyle w:val="4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892A5F">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8892A5F">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5279730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3AC3A">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B0A2CE">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28B0A2CE">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14:paraId="58A2F15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54798">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2443D8">
                          <w:pPr>
                            <w:pStyle w:val="4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742443D8">
                    <w:pPr>
                      <w:pStyle w:val="4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p w14:paraId="7BF87B6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D67C8">
    <w:pPr>
      <w:pStyle w:val="40"/>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D6F589">
                          <w:pPr>
                            <w:pStyle w:val="40"/>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12D6F589">
                    <w:pPr>
                      <w:pStyle w:val="40"/>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1707A">
    <w:pPr>
      <w:pStyle w:val="40"/>
      <w:framePr w:wrap="around" w:vAnchor="text" w:hAnchor="margin" w:xAlign="right" w:y="1"/>
      <w:rPr>
        <w:rStyle w:val="74"/>
      </w:rPr>
    </w:pPr>
    <w:r>
      <w:fldChar w:fldCharType="begin"/>
    </w:r>
    <w:r>
      <w:rPr>
        <w:rStyle w:val="74"/>
      </w:rPr>
      <w:instrText xml:space="preserve">PAGE  </w:instrText>
    </w:r>
    <w:r>
      <w:fldChar w:fldCharType="end"/>
    </w:r>
  </w:p>
  <w:p w14:paraId="5014E6EA">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5953F">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9162D9">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2A9162D9">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E700E">
    <w:pPr>
      <w:pStyle w:val="42"/>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150E3">
    <w:pPr>
      <w:pStyle w:val="42"/>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84B1D">
    <w:pPr>
      <w:pStyle w:val="42"/>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EDE4D">
    <w:pPr>
      <w:pStyle w:val="42"/>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C4350">
    <w:pPr>
      <w:pStyle w:val="42"/>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B6A62">
    <w:pPr>
      <w:pStyle w:val="42"/>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308BC"/>
    <w:multiLevelType w:val="singleLevel"/>
    <w:tmpl w:val="943308BC"/>
    <w:lvl w:ilvl="0" w:tentative="0">
      <w:start w:val="1"/>
      <w:numFmt w:val="chineseCounting"/>
      <w:suff w:val="nothing"/>
      <w:lvlText w:val="%1、"/>
      <w:lvlJc w:val="left"/>
      <w:rPr>
        <w:rFonts w:hint="eastAsia"/>
      </w:rPr>
    </w:lvl>
  </w:abstractNum>
  <w:abstractNum w:abstractNumId="1">
    <w:nsid w:val="C9068E0C"/>
    <w:multiLevelType w:val="singleLevel"/>
    <w:tmpl w:val="C9068E0C"/>
    <w:lvl w:ilvl="0" w:tentative="0">
      <w:start w:val="5"/>
      <w:numFmt w:val="chineseCounting"/>
      <w:suff w:val="space"/>
      <w:lvlText w:val="第%1部分"/>
      <w:lvlJc w:val="left"/>
      <w:rPr>
        <w:rFonts w:hint="eastAsia"/>
      </w:rPr>
    </w:lvl>
  </w:abstractNum>
  <w:abstractNum w:abstractNumId="2">
    <w:nsid w:val="434CA0FB"/>
    <w:multiLevelType w:val="singleLevel"/>
    <w:tmpl w:val="434CA0FB"/>
    <w:lvl w:ilvl="0" w:tentative="0">
      <w:start w:val="14"/>
      <w:numFmt w:val="decimal"/>
      <w:lvlText w:val="%1."/>
      <w:lvlJc w:val="left"/>
      <w:pPr>
        <w:tabs>
          <w:tab w:val="left" w:pos="312"/>
        </w:tabs>
      </w:pPr>
    </w:lvl>
  </w:abstractNum>
  <w:abstractNum w:abstractNumId="3">
    <w:nsid w:val="5D8A1DF6"/>
    <w:multiLevelType w:val="singleLevel"/>
    <w:tmpl w:val="5D8A1DF6"/>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1MWMxZmY0MTVkNzVlZGRmNTcxNGM1NmNkZjhjYzQifQ=="/>
    <w:docVar w:name="KSO_WPS_MARK_KEY" w:val="2fb6240f-43ca-4e78-9fe3-d002f0cdd61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1C5"/>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B6"/>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1C2"/>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CB4"/>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DD1"/>
    <w:rsid w:val="00227214"/>
    <w:rsid w:val="00227DDC"/>
    <w:rsid w:val="0023079F"/>
    <w:rsid w:val="00231135"/>
    <w:rsid w:val="00231B0B"/>
    <w:rsid w:val="00232555"/>
    <w:rsid w:val="00233538"/>
    <w:rsid w:val="00234248"/>
    <w:rsid w:val="0023449F"/>
    <w:rsid w:val="002344F5"/>
    <w:rsid w:val="0023454D"/>
    <w:rsid w:val="00234679"/>
    <w:rsid w:val="00234C4A"/>
    <w:rsid w:val="002359FC"/>
    <w:rsid w:val="002361C8"/>
    <w:rsid w:val="00236690"/>
    <w:rsid w:val="0023669D"/>
    <w:rsid w:val="00237EAE"/>
    <w:rsid w:val="00237FA2"/>
    <w:rsid w:val="002403D5"/>
    <w:rsid w:val="00240C1F"/>
    <w:rsid w:val="00240F55"/>
    <w:rsid w:val="00240F67"/>
    <w:rsid w:val="00241144"/>
    <w:rsid w:val="00242510"/>
    <w:rsid w:val="00242BE9"/>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BB6"/>
    <w:rsid w:val="002B6177"/>
    <w:rsid w:val="002B650C"/>
    <w:rsid w:val="002B68E6"/>
    <w:rsid w:val="002B6985"/>
    <w:rsid w:val="002B6D7A"/>
    <w:rsid w:val="002C02BA"/>
    <w:rsid w:val="002C0301"/>
    <w:rsid w:val="002C0326"/>
    <w:rsid w:val="002C0A9F"/>
    <w:rsid w:val="002C1268"/>
    <w:rsid w:val="002C1AB3"/>
    <w:rsid w:val="002C1BB7"/>
    <w:rsid w:val="002C1FB3"/>
    <w:rsid w:val="002C2665"/>
    <w:rsid w:val="002C28E1"/>
    <w:rsid w:val="002C327D"/>
    <w:rsid w:val="002C3890"/>
    <w:rsid w:val="002C3985"/>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96F"/>
    <w:rsid w:val="002D3BA3"/>
    <w:rsid w:val="002D43EE"/>
    <w:rsid w:val="002D4892"/>
    <w:rsid w:val="002D4D06"/>
    <w:rsid w:val="002D4DDE"/>
    <w:rsid w:val="002D4EE7"/>
    <w:rsid w:val="002D4EED"/>
    <w:rsid w:val="002D5AAD"/>
    <w:rsid w:val="002D5DA3"/>
    <w:rsid w:val="002D6097"/>
    <w:rsid w:val="002D65AD"/>
    <w:rsid w:val="002D6782"/>
    <w:rsid w:val="002D73FE"/>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DD"/>
    <w:rsid w:val="002F0DFB"/>
    <w:rsid w:val="002F134F"/>
    <w:rsid w:val="002F1D0B"/>
    <w:rsid w:val="002F1E1D"/>
    <w:rsid w:val="002F1F02"/>
    <w:rsid w:val="002F27E5"/>
    <w:rsid w:val="002F2D81"/>
    <w:rsid w:val="002F2F66"/>
    <w:rsid w:val="002F39D4"/>
    <w:rsid w:val="002F3CBC"/>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81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5CA"/>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B8"/>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8A"/>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50C"/>
    <w:rsid w:val="004F560C"/>
    <w:rsid w:val="004F5DBB"/>
    <w:rsid w:val="004F60B4"/>
    <w:rsid w:val="004F61A3"/>
    <w:rsid w:val="004F6874"/>
    <w:rsid w:val="004F7922"/>
    <w:rsid w:val="004F7A1F"/>
    <w:rsid w:val="004F7B47"/>
    <w:rsid w:val="0050079C"/>
    <w:rsid w:val="0050106A"/>
    <w:rsid w:val="005010BC"/>
    <w:rsid w:val="00501848"/>
    <w:rsid w:val="00501A50"/>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57F"/>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724"/>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0D06"/>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BA3"/>
    <w:rsid w:val="009E0D7D"/>
    <w:rsid w:val="009E0DAF"/>
    <w:rsid w:val="009E19BB"/>
    <w:rsid w:val="009E1C47"/>
    <w:rsid w:val="009E38D1"/>
    <w:rsid w:val="009E3DF1"/>
    <w:rsid w:val="009E514A"/>
    <w:rsid w:val="009E5177"/>
    <w:rsid w:val="009E5701"/>
    <w:rsid w:val="009E5711"/>
    <w:rsid w:val="009E6BEF"/>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C38"/>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931"/>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77C"/>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2FC8"/>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4E4"/>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831"/>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538"/>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A66"/>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B3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747"/>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787"/>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43A"/>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D69"/>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25AFB"/>
    <w:rsid w:val="01D55165"/>
    <w:rsid w:val="01DF6BF8"/>
    <w:rsid w:val="01EC2C57"/>
    <w:rsid w:val="02021298"/>
    <w:rsid w:val="020B640B"/>
    <w:rsid w:val="020C0EF6"/>
    <w:rsid w:val="025F0711"/>
    <w:rsid w:val="02644317"/>
    <w:rsid w:val="026B2E25"/>
    <w:rsid w:val="02824D4D"/>
    <w:rsid w:val="02BE3979"/>
    <w:rsid w:val="02DC4B10"/>
    <w:rsid w:val="02DD76CE"/>
    <w:rsid w:val="02F36323"/>
    <w:rsid w:val="02F5619C"/>
    <w:rsid w:val="0326446A"/>
    <w:rsid w:val="032D5555"/>
    <w:rsid w:val="036634D2"/>
    <w:rsid w:val="03756463"/>
    <w:rsid w:val="038A68D9"/>
    <w:rsid w:val="03986106"/>
    <w:rsid w:val="03DD35E4"/>
    <w:rsid w:val="04076900"/>
    <w:rsid w:val="041A5A3B"/>
    <w:rsid w:val="041B4CBD"/>
    <w:rsid w:val="042311BA"/>
    <w:rsid w:val="042B157A"/>
    <w:rsid w:val="048F763B"/>
    <w:rsid w:val="049F330E"/>
    <w:rsid w:val="04AA775C"/>
    <w:rsid w:val="04AE5DE4"/>
    <w:rsid w:val="04AF1889"/>
    <w:rsid w:val="04B85F11"/>
    <w:rsid w:val="04EE3F9B"/>
    <w:rsid w:val="04F66F48"/>
    <w:rsid w:val="04FF212C"/>
    <w:rsid w:val="051E28A6"/>
    <w:rsid w:val="05251E14"/>
    <w:rsid w:val="05507636"/>
    <w:rsid w:val="05770BD6"/>
    <w:rsid w:val="058806C7"/>
    <w:rsid w:val="05A16594"/>
    <w:rsid w:val="05A7762D"/>
    <w:rsid w:val="05BF4603"/>
    <w:rsid w:val="05C04DC2"/>
    <w:rsid w:val="060E5941"/>
    <w:rsid w:val="06110FAF"/>
    <w:rsid w:val="062B1711"/>
    <w:rsid w:val="06493CA7"/>
    <w:rsid w:val="065A6178"/>
    <w:rsid w:val="066D3597"/>
    <w:rsid w:val="066F1CF3"/>
    <w:rsid w:val="06930BB8"/>
    <w:rsid w:val="06956198"/>
    <w:rsid w:val="07245D42"/>
    <w:rsid w:val="07264C62"/>
    <w:rsid w:val="072F6604"/>
    <w:rsid w:val="074460BC"/>
    <w:rsid w:val="0779354C"/>
    <w:rsid w:val="077F0C95"/>
    <w:rsid w:val="07C300BD"/>
    <w:rsid w:val="07CD02C0"/>
    <w:rsid w:val="07DE2D8B"/>
    <w:rsid w:val="07EC6682"/>
    <w:rsid w:val="07FB7F9C"/>
    <w:rsid w:val="07FE18F3"/>
    <w:rsid w:val="08061376"/>
    <w:rsid w:val="08127C83"/>
    <w:rsid w:val="081A0204"/>
    <w:rsid w:val="08452D77"/>
    <w:rsid w:val="084E39E5"/>
    <w:rsid w:val="086401F8"/>
    <w:rsid w:val="08751CAA"/>
    <w:rsid w:val="0876556A"/>
    <w:rsid w:val="087E4C40"/>
    <w:rsid w:val="08A53637"/>
    <w:rsid w:val="08A871D0"/>
    <w:rsid w:val="08A93957"/>
    <w:rsid w:val="08D66AD6"/>
    <w:rsid w:val="08DA33A3"/>
    <w:rsid w:val="08E80F13"/>
    <w:rsid w:val="092612F3"/>
    <w:rsid w:val="092748F4"/>
    <w:rsid w:val="09335624"/>
    <w:rsid w:val="093E11FE"/>
    <w:rsid w:val="0944690F"/>
    <w:rsid w:val="09535675"/>
    <w:rsid w:val="095F057D"/>
    <w:rsid w:val="09642282"/>
    <w:rsid w:val="09733572"/>
    <w:rsid w:val="09772C16"/>
    <w:rsid w:val="097B2960"/>
    <w:rsid w:val="098353B5"/>
    <w:rsid w:val="09A92330"/>
    <w:rsid w:val="09B06B87"/>
    <w:rsid w:val="09C13146"/>
    <w:rsid w:val="09DC63EB"/>
    <w:rsid w:val="09E04166"/>
    <w:rsid w:val="09E268B9"/>
    <w:rsid w:val="09F81448"/>
    <w:rsid w:val="0A1C0718"/>
    <w:rsid w:val="0A2C10A7"/>
    <w:rsid w:val="0A3E7710"/>
    <w:rsid w:val="0A5B7E63"/>
    <w:rsid w:val="0A5E227D"/>
    <w:rsid w:val="0A7F4701"/>
    <w:rsid w:val="0A984F5C"/>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A212C6"/>
    <w:rsid w:val="0BF6188C"/>
    <w:rsid w:val="0BF73C91"/>
    <w:rsid w:val="0BF80826"/>
    <w:rsid w:val="0C170175"/>
    <w:rsid w:val="0C41327A"/>
    <w:rsid w:val="0C571A41"/>
    <w:rsid w:val="0C5C1171"/>
    <w:rsid w:val="0C5E1CBC"/>
    <w:rsid w:val="0C615B50"/>
    <w:rsid w:val="0C68577E"/>
    <w:rsid w:val="0C6E0EEC"/>
    <w:rsid w:val="0C8445DA"/>
    <w:rsid w:val="0C87121B"/>
    <w:rsid w:val="0CAE0BF3"/>
    <w:rsid w:val="0CC007F7"/>
    <w:rsid w:val="0CC617AC"/>
    <w:rsid w:val="0CFE707A"/>
    <w:rsid w:val="0D063BDA"/>
    <w:rsid w:val="0D08375F"/>
    <w:rsid w:val="0D184CFB"/>
    <w:rsid w:val="0D37621D"/>
    <w:rsid w:val="0D3D3B60"/>
    <w:rsid w:val="0D400115"/>
    <w:rsid w:val="0D4A7419"/>
    <w:rsid w:val="0D553231"/>
    <w:rsid w:val="0D555D1E"/>
    <w:rsid w:val="0D827401"/>
    <w:rsid w:val="0D84094E"/>
    <w:rsid w:val="0D8A00E9"/>
    <w:rsid w:val="0D8D589E"/>
    <w:rsid w:val="0D95362E"/>
    <w:rsid w:val="0DA01C73"/>
    <w:rsid w:val="0DD63300"/>
    <w:rsid w:val="0DF50604"/>
    <w:rsid w:val="0DF702FE"/>
    <w:rsid w:val="0E060E51"/>
    <w:rsid w:val="0E22536A"/>
    <w:rsid w:val="0E24319C"/>
    <w:rsid w:val="0E373674"/>
    <w:rsid w:val="0E47624F"/>
    <w:rsid w:val="0E5604B2"/>
    <w:rsid w:val="0E6D5D79"/>
    <w:rsid w:val="0E6F14E6"/>
    <w:rsid w:val="0E9B5E3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000D27"/>
    <w:rsid w:val="100A3C4E"/>
    <w:rsid w:val="10156805"/>
    <w:rsid w:val="1064447D"/>
    <w:rsid w:val="10646583"/>
    <w:rsid w:val="107D4B15"/>
    <w:rsid w:val="10841832"/>
    <w:rsid w:val="108A3C80"/>
    <w:rsid w:val="10A15184"/>
    <w:rsid w:val="10C26171"/>
    <w:rsid w:val="10DC700E"/>
    <w:rsid w:val="10F33360"/>
    <w:rsid w:val="10F4083A"/>
    <w:rsid w:val="10FC16EA"/>
    <w:rsid w:val="110F1D40"/>
    <w:rsid w:val="11266F33"/>
    <w:rsid w:val="113055C1"/>
    <w:rsid w:val="118963A1"/>
    <w:rsid w:val="11C6522A"/>
    <w:rsid w:val="11E104CC"/>
    <w:rsid w:val="11E20309"/>
    <w:rsid w:val="11F0289B"/>
    <w:rsid w:val="11FD14B9"/>
    <w:rsid w:val="12255233"/>
    <w:rsid w:val="12530213"/>
    <w:rsid w:val="12620DA8"/>
    <w:rsid w:val="127723A9"/>
    <w:rsid w:val="12862074"/>
    <w:rsid w:val="12883966"/>
    <w:rsid w:val="129E45B4"/>
    <w:rsid w:val="12B72C8C"/>
    <w:rsid w:val="12D14480"/>
    <w:rsid w:val="12D21374"/>
    <w:rsid w:val="12D46CFF"/>
    <w:rsid w:val="12D81596"/>
    <w:rsid w:val="13072A44"/>
    <w:rsid w:val="131A1B7F"/>
    <w:rsid w:val="13474EA5"/>
    <w:rsid w:val="135F4BE2"/>
    <w:rsid w:val="13683CD7"/>
    <w:rsid w:val="13692E64"/>
    <w:rsid w:val="13913864"/>
    <w:rsid w:val="139B1A0A"/>
    <w:rsid w:val="139B5BDE"/>
    <w:rsid w:val="139D25C7"/>
    <w:rsid w:val="13BF3CE4"/>
    <w:rsid w:val="13E47441"/>
    <w:rsid w:val="13E674F4"/>
    <w:rsid w:val="13FA7F17"/>
    <w:rsid w:val="140F0A5D"/>
    <w:rsid w:val="141008D8"/>
    <w:rsid w:val="14125FE6"/>
    <w:rsid w:val="142B70E5"/>
    <w:rsid w:val="14500381"/>
    <w:rsid w:val="146D271E"/>
    <w:rsid w:val="147B24A0"/>
    <w:rsid w:val="14982588"/>
    <w:rsid w:val="149A5AD9"/>
    <w:rsid w:val="14A7619D"/>
    <w:rsid w:val="14AA2978"/>
    <w:rsid w:val="14C445F3"/>
    <w:rsid w:val="14F25B02"/>
    <w:rsid w:val="150536C3"/>
    <w:rsid w:val="150C1963"/>
    <w:rsid w:val="151447A0"/>
    <w:rsid w:val="154A6454"/>
    <w:rsid w:val="15762120"/>
    <w:rsid w:val="15844A86"/>
    <w:rsid w:val="1586383D"/>
    <w:rsid w:val="15C1630E"/>
    <w:rsid w:val="15EB46A8"/>
    <w:rsid w:val="15F56AC3"/>
    <w:rsid w:val="1608540D"/>
    <w:rsid w:val="16204A74"/>
    <w:rsid w:val="166C515D"/>
    <w:rsid w:val="16A8729C"/>
    <w:rsid w:val="16B33777"/>
    <w:rsid w:val="16BC70A7"/>
    <w:rsid w:val="16C25E91"/>
    <w:rsid w:val="16C6339E"/>
    <w:rsid w:val="16C730F7"/>
    <w:rsid w:val="16D6012D"/>
    <w:rsid w:val="16FE2244"/>
    <w:rsid w:val="172F2D79"/>
    <w:rsid w:val="17557BEF"/>
    <w:rsid w:val="176D1E2A"/>
    <w:rsid w:val="17852075"/>
    <w:rsid w:val="17860D50"/>
    <w:rsid w:val="178B06F1"/>
    <w:rsid w:val="179B74BF"/>
    <w:rsid w:val="17A05FFC"/>
    <w:rsid w:val="17D349C1"/>
    <w:rsid w:val="17E066D8"/>
    <w:rsid w:val="1830729E"/>
    <w:rsid w:val="18394486"/>
    <w:rsid w:val="183A3B38"/>
    <w:rsid w:val="185134E3"/>
    <w:rsid w:val="185679D6"/>
    <w:rsid w:val="1870062C"/>
    <w:rsid w:val="18817102"/>
    <w:rsid w:val="18830A15"/>
    <w:rsid w:val="18852B28"/>
    <w:rsid w:val="188B5321"/>
    <w:rsid w:val="18A0112E"/>
    <w:rsid w:val="18C776A6"/>
    <w:rsid w:val="18CA21AC"/>
    <w:rsid w:val="18D64F20"/>
    <w:rsid w:val="18EE574D"/>
    <w:rsid w:val="19341F4D"/>
    <w:rsid w:val="193742F6"/>
    <w:rsid w:val="197524E7"/>
    <w:rsid w:val="19761DA4"/>
    <w:rsid w:val="19932372"/>
    <w:rsid w:val="19A07A88"/>
    <w:rsid w:val="19A20DD5"/>
    <w:rsid w:val="19AE03F1"/>
    <w:rsid w:val="19D16EBE"/>
    <w:rsid w:val="19E05098"/>
    <w:rsid w:val="1A071A03"/>
    <w:rsid w:val="1A1A5235"/>
    <w:rsid w:val="1A1A5A79"/>
    <w:rsid w:val="1A1A697E"/>
    <w:rsid w:val="1A1F16AE"/>
    <w:rsid w:val="1A3B5C77"/>
    <w:rsid w:val="1A78287A"/>
    <w:rsid w:val="1A7A249A"/>
    <w:rsid w:val="1A984BAD"/>
    <w:rsid w:val="1AB8220E"/>
    <w:rsid w:val="1AE4166C"/>
    <w:rsid w:val="1AF06CFB"/>
    <w:rsid w:val="1AF11B8D"/>
    <w:rsid w:val="1B11359C"/>
    <w:rsid w:val="1B155101"/>
    <w:rsid w:val="1B2A271F"/>
    <w:rsid w:val="1B530544"/>
    <w:rsid w:val="1B713184"/>
    <w:rsid w:val="1B825FBC"/>
    <w:rsid w:val="1B9A3283"/>
    <w:rsid w:val="1BA209CF"/>
    <w:rsid w:val="1BA411A5"/>
    <w:rsid w:val="1BB4777D"/>
    <w:rsid w:val="1BD75AB8"/>
    <w:rsid w:val="1BE22A26"/>
    <w:rsid w:val="1C0459C2"/>
    <w:rsid w:val="1C1B3B4A"/>
    <w:rsid w:val="1C537570"/>
    <w:rsid w:val="1C88086E"/>
    <w:rsid w:val="1CA045EE"/>
    <w:rsid w:val="1CC47A8B"/>
    <w:rsid w:val="1D266CE1"/>
    <w:rsid w:val="1D316024"/>
    <w:rsid w:val="1D3963AF"/>
    <w:rsid w:val="1D6A673C"/>
    <w:rsid w:val="1D9247AE"/>
    <w:rsid w:val="1DB567EC"/>
    <w:rsid w:val="1DEC22C4"/>
    <w:rsid w:val="1DF51A98"/>
    <w:rsid w:val="1E3D060F"/>
    <w:rsid w:val="1E3F7D2E"/>
    <w:rsid w:val="1E4134E4"/>
    <w:rsid w:val="1E5062B3"/>
    <w:rsid w:val="1E523514"/>
    <w:rsid w:val="1E5A660D"/>
    <w:rsid w:val="1E714A66"/>
    <w:rsid w:val="1E730E11"/>
    <w:rsid w:val="1E743AF2"/>
    <w:rsid w:val="1E802593"/>
    <w:rsid w:val="1E8B6156"/>
    <w:rsid w:val="1EA703CC"/>
    <w:rsid w:val="1EB7330C"/>
    <w:rsid w:val="1F0A0FF3"/>
    <w:rsid w:val="1F313724"/>
    <w:rsid w:val="1F366677"/>
    <w:rsid w:val="1F5771FF"/>
    <w:rsid w:val="1FE868A9"/>
    <w:rsid w:val="20034907"/>
    <w:rsid w:val="20173E4B"/>
    <w:rsid w:val="204E48BC"/>
    <w:rsid w:val="208921B3"/>
    <w:rsid w:val="2093370A"/>
    <w:rsid w:val="20973DEB"/>
    <w:rsid w:val="20B26522"/>
    <w:rsid w:val="20B34C6B"/>
    <w:rsid w:val="20B44310"/>
    <w:rsid w:val="20C808AA"/>
    <w:rsid w:val="20DA787E"/>
    <w:rsid w:val="20DF1008"/>
    <w:rsid w:val="20EE2FE4"/>
    <w:rsid w:val="211116EB"/>
    <w:rsid w:val="211E01F0"/>
    <w:rsid w:val="212B3763"/>
    <w:rsid w:val="212D6D8F"/>
    <w:rsid w:val="216133FC"/>
    <w:rsid w:val="218944CA"/>
    <w:rsid w:val="21B3021E"/>
    <w:rsid w:val="21D56769"/>
    <w:rsid w:val="21D62C50"/>
    <w:rsid w:val="21E52EF3"/>
    <w:rsid w:val="21FB5D7B"/>
    <w:rsid w:val="220B1C3D"/>
    <w:rsid w:val="221D1D20"/>
    <w:rsid w:val="22334A87"/>
    <w:rsid w:val="225520C6"/>
    <w:rsid w:val="225E0148"/>
    <w:rsid w:val="22636C97"/>
    <w:rsid w:val="22B61EBB"/>
    <w:rsid w:val="22B83BEE"/>
    <w:rsid w:val="22BE6801"/>
    <w:rsid w:val="22C04C60"/>
    <w:rsid w:val="22E03145"/>
    <w:rsid w:val="23113F1A"/>
    <w:rsid w:val="233500BF"/>
    <w:rsid w:val="23377FF7"/>
    <w:rsid w:val="233C02A6"/>
    <w:rsid w:val="234D540A"/>
    <w:rsid w:val="236B425F"/>
    <w:rsid w:val="23836192"/>
    <w:rsid w:val="23901F29"/>
    <w:rsid w:val="239C0061"/>
    <w:rsid w:val="23A27645"/>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347E7"/>
    <w:rsid w:val="24B95AD9"/>
    <w:rsid w:val="24BE24DA"/>
    <w:rsid w:val="24CF5825"/>
    <w:rsid w:val="24D663E6"/>
    <w:rsid w:val="24D77F2B"/>
    <w:rsid w:val="24E4449F"/>
    <w:rsid w:val="24E64937"/>
    <w:rsid w:val="25050C41"/>
    <w:rsid w:val="254F52B1"/>
    <w:rsid w:val="25571FF4"/>
    <w:rsid w:val="258B00E2"/>
    <w:rsid w:val="258D6809"/>
    <w:rsid w:val="25A34E23"/>
    <w:rsid w:val="25A917A6"/>
    <w:rsid w:val="25BE27CC"/>
    <w:rsid w:val="25E92F53"/>
    <w:rsid w:val="25EA3C74"/>
    <w:rsid w:val="25F74A5C"/>
    <w:rsid w:val="260C23EB"/>
    <w:rsid w:val="261260D7"/>
    <w:rsid w:val="2628662C"/>
    <w:rsid w:val="262D45DE"/>
    <w:rsid w:val="266E6AE8"/>
    <w:rsid w:val="267E09C1"/>
    <w:rsid w:val="26871DC8"/>
    <w:rsid w:val="26A53EF9"/>
    <w:rsid w:val="26A6481F"/>
    <w:rsid w:val="26A94201"/>
    <w:rsid w:val="26AC274F"/>
    <w:rsid w:val="26C97FF4"/>
    <w:rsid w:val="270377E9"/>
    <w:rsid w:val="27044A29"/>
    <w:rsid w:val="271D34C8"/>
    <w:rsid w:val="2729764F"/>
    <w:rsid w:val="272F6449"/>
    <w:rsid w:val="274C4FBA"/>
    <w:rsid w:val="276142BF"/>
    <w:rsid w:val="27783712"/>
    <w:rsid w:val="27907362"/>
    <w:rsid w:val="279B7084"/>
    <w:rsid w:val="27A02A0E"/>
    <w:rsid w:val="27D668AA"/>
    <w:rsid w:val="281366CC"/>
    <w:rsid w:val="282D0BDB"/>
    <w:rsid w:val="28333E1D"/>
    <w:rsid w:val="28454BD6"/>
    <w:rsid w:val="28455253"/>
    <w:rsid w:val="28551971"/>
    <w:rsid w:val="285B1C53"/>
    <w:rsid w:val="289B26A7"/>
    <w:rsid w:val="289F7086"/>
    <w:rsid w:val="28C32028"/>
    <w:rsid w:val="28CC490F"/>
    <w:rsid w:val="28DE40AA"/>
    <w:rsid w:val="29345E77"/>
    <w:rsid w:val="29421565"/>
    <w:rsid w:val="29453CBE"/>
    <w:rsid w:val="294C65AD"/>
    <w:rsid w:val="294E3480"/>
    <w:rsid w:val="29806583"/>
    <w:rsid w:val="298B3C4C"/>
    <w:rsid w:val="299D3240"/>
    <w:rsid w:val="29EB63A2"/>
    <w:rsid w:val="29F26D24"/>
    <w:rsid w:val="2A15033F"/>
    <w:rsid w:val="2A1662C1"/>
    <w:rsid w:val="2A196977"/>
    <w:rsid w:val="2A1C7367"/>
    <w:rsid w:val="2A200230"/>
    <w:rsid w:val="2A2815FA"/>
    <w:rsid w:val="2A6D6092"/>
    <w:rsid w:val="2A7A1CCA"/>
    <w:rsid w:val="2A7D76B4"/>
    <w:rsid w:val="2A830ABD"/>
    <w:rsid w:val="2AD8021A"/>
    <w:rsid w:val="2AEE1B3B"/>
    <w:rsid w:val="2AF47F2E"/>
    <w:rsid w:val="2B4118C4"/>
    <w:rsid w:val="2B437463"/>
    <w:rsid w:val="2B761C06"/>
    <w:rsid w:val="2B7807EE"/>
    <w:rsid w:val="2B8C47CE"/>
    <w:rsid w:val="2B945BCF"/>
    <w:rsid w:val="2BA50BF7"/>
    <w:rsid w:val="2BBF00EC"/>
    <w:rsid w:val="2BC37CFD"/>
    <w:rsid w:val="2BCB2E8E"/>
    <w:rsid w:val="2BD5237F"/>
    <w:rsid w:val="2BE536CE"/>
    <w:rsid w:val="2BE758D9"/>
    <w:rsid w:val="2BEA7DD3"/>
    <w:rsid w:val="2C09049E"/>
    <w:rsid w:val="2C0A653C"/>
    <w:rsid w:val="2C191F85"/>
    <w:rsid w:val="2C37616F"/>
    <w:rsid w:val="2C5037C0"/>
    <w:rsid w:val="2C6B3DCF"/>
    <w:rsid w:val="2C8C4873"/>
    <w:rsid w:val="2C994A93"/>
    <w:rsid w:val="2CE82D6F"/>
    <w:rsid w:val="2D2216DE"/>
    <w:rsid w:val="2D343236"/>
    <w:rsid w:val="2D706EC2"/>
    <w:rsid w:val="2D956040"/>
    <w:rsid w:val="2DC53663"/>
    <w:rsid w:val="2DD15014"/>
    <w:rsid w:val="2DF72DE4"/>
    <w:rsid w:val="2DFD17EA"/>
    <w:rsid w:val="2E0220AF"/>
    <w:rsid w:val="2E2A66CA"/>
    <w:rsid w:val="2E4B082A"/>
    <w:rsid w:val="2E5D4E86"/>
    <w:rsid w:val="2E5D790B"/>
    <w:rsid w:val="2E776A61"/>
    <w:rsid w:val="2E9A143D"/>
    <w:rsid w:val="2E9A3C18"/>
    <w:rsid w:val="2EB11E20"/>
    <w:rsid w:val="2EBB0FEE"/>
    <w:rsid w:val="2EC63002"/>
    <w:rsid w:val="2ECB46DA"/>
    <w:rsid w:val="2F064D1A"/>
    <w:rsid w:val="2F0A6B38"/>
    <w:rsid w:val="2F0E78D3"/>
    <w:rsid w:val="2F1E479C"/>
    <w:rsid w:val="2F585F5C"/>
    <w:rsid w:val="2F923332"/>
    <w:rsid w:val="2F946CCB"/>
    <w:rsid w:val="2FCD6103"/>
    <w:rsid w:val="2FD25781"/>
    <w:rsid w:val="2FDE33BA"/>
    <w:rsid w:val="2FF346DE"/>
    <w:rsid w:val="2FFB7730"/>
    <w:rsid w:val="2FFD7934"/>
    <w:rsid w:val="30201A01"/>
    <w:rsid w:val="305A2255"/>
    <w:rsid w:val="30733ACD"/>
    <w:rsid w:val="308C3862"/>
    <w:rsid w:val="309379D8"/>
    <w:rsid w:val="309B6899"/>
    <w:rsid w:val="30A270F7"/>
    <w:rsid w:val="30DF1478"/>
    <w:rsid w:val="30EA055D"/>
    <w:rsid w:val="30EC586F"/>
    <w:rsid w:val="319C6071"/>
    <w:rsid w:val="31AC537E"/>
    <w:rsid w:val="31B420C4"/>
    <w:rsid w:val="31B82C24"/>
    <w:rsid w:val="31C17BA9"/>
    <w:rsid w:val="31C549B6"/>
    <w:rsid w:val="31E3679B"/>
    <w:rsid w:val="31E732FD"/>
    <w:rsid w:val="31E758D7"/>
    <w:rsid w:val="31F52DF2"/>
    <w:rsid w:val="324E33D2"/>
    <w:rsid w:val="32517576"/>
    <w:rsid w:val="3262346C"/>
    <w:rsid w:val="32A64673"/>
    <w:rsid w:val="32AF5B38"/>
    <w:rsid w:val="32BE5C2C"/>
    <w:rsid w:val="32FB6478"/>
    <w:rsid w:val="331E793D"/>
    <w:rsid w:val="332637C2"/>
    <w:rsid w:val="33263B3F"/>
    <w:rsid w:val="33292AF7"/>
    <w:rsid w:val="336963EB"/>
    <w:rsid w:val="33816EEB"/>
    <w:rsid w:val="338863E7"/>
    <w:rsid w:val="33D80FFE"/>
    <w:rsid w:val="33EB55CD"/>
    <w:rsid w:val="33EC4C02"/>
    <w:rsid w:val="340D2360"/>
    <w:rsid w:val="340D3EB8"/>
    <w:rsid w:val="3410665D"/>
    <w:rsid w:val="34211214"/>
    <w:rsid w:val="342E63AB"/>
    <w:rsid w:val="34433534"/>
    <w:rsid w:val="3466782F"/>
    <w:rsid w:val="347B5D1E"/>
    <w:rsid w:val="34812DB4"/>
    <w:rsid w:val="34950E68"/>
    <w:rsid w:val="34986E94"/>
    <w:rsid w:val="34AF62C9"/>
    <w:rsid w:val="34CB4388"/>
    <w:rsid w:val="34DC2C0A"/>
    <w:rsid w:val="34F944D2"/>
    <w:rsid w:val="34FA6E12"/>
    <w:rsid w:val="350C0A39"/>
    <w:rsid w:val="354D7158"/>
    <w:rsid w:val="358D5588"/>
    <w:rsid w:val="35ED20FE"/>
    <w:rsid w:val="35F33921"/>
    <w:rsid w:val="36136070"/>
    <w:rsid w:val="363924A3"/>
    <w:rsid w:val="363A3B40"/>
    <w:rsid w:val="365302AE"/>
    <w:rsid w:val="36607A0A"/>
    <w:rsid w:val="366E227C"/>
    <w:rsid w:val="366F2E0D"/>
    <w:rsid w:val="367B6A5C"/>
    <w:rsid w:val="36A74ADA"/>
    <w:rsid w:val="36AD60D5"/>
    <w:rsid w:val="36B224F9"/>
    <w:rsid w:val="36E9446B"/>
    <w:rsid w:val="36EC0CC9"/>
    <w:rsid w:val="37390A8E"/>
    <w:rsid w:val="373F410B"/>
    <w:rsid w:val="3756404C"/>
    <w:rsid w:val="37611015"/>
    <w:rsid w:val="376A0174"/>
    <w:rsid w:val="3786509C"/>
    <w:rsid w:val="378C13F6"/>
    <w:rsid w:val="37BD1A5A"/>
    <w:rsid w:val="37E1109A"/>
    <w:rsid w:val="37E16E9C"/>
    <w:rsid w:val="37EE7094"/>
    <w:rsid w:val="37F724FF"/>
    <w:rsid w:val="38296C89"/>
    <w:rsid w:val="382A0C93"/>
    <w:rsid w:val="383002EB"/>
    <w:rsid w:val="38586797"/>
    <w:rsid w:val="388843DC"/>
    <w:rsid w:val="38BC0149"/>
    <w:rsid w:val="38C277EB"/>
    <w:rsid w:val="38C73E0A"/>
    <w:rsid w:val="38D87D1C"/>
    <w:rsid w:val="38DE6D4B"/>
    <w:rsid w:val="391F535F"/>
    <w:rsid w:val="392E73EA"/>
    <w:rsid w:val="3930278C"/>
    <w:rsid w:val="39636459"/>
    <w:rsid w:val="396B7F6C"/>
    <w:rsid w:val="39900FC9"/>
    <w:rsid w:val="399C14F7"/>
    <w:rsid w:val="39B417A9"/>
    <w:rsid w:val="39D00F17"/>
    <w:rsid w:val="39D17336"/>
    <w:rsid w:val="39F5707E"/>
    <w:rsid w:val="39FC5695"/>
    <w:rsid w:val="3A006D8E"/>
    <w:rsid w:val="3A093635"/>
    <w:rsid w:val="3A3651E5"/>
    <w:rsid w:val="3A4E2342"/>
    <w:rsid w:val="3A744481"/>
    <w:rsid w:val="3A8C7BEF"/>
    <w:rsid w:val="3A906246"/>
    <w:rsid w:val="3AEA0449"/>
    <w:rsid w:val="3B2349B7"/>
    <w:rsid w:val="3B4677B8"/>
    <w:rsid w:val="3B4F5EBB"/>
    <w:rsid w:val="3B616CFF"/>
    <w:rsid w:val="3B6259F6"/>
    <w:rsid w:val="3B894B0B"/>
    <w:rsid w:val="3B976654"/>
    <w:rsid w:val="3B9B68EE"/>
    <w:rsid w:val="3BC01EFC"/>
    <w:rsid w:val="3BC52CC1"/>
    <w:rsid w:val="3BCA786A"/>
    <w:rsid w:val="3BD06659"/>
    <w:rsid w:val="3BD31E2F"/>
    <w:rsid w:val="3BF15831"/>
    <w:rsid w:val="3C105946"/>
    <w:rsid w:val="3C3A44D8"/>
    <w:rsid w:val="3C471448"/>
    <w:rsid w:val="3C556941"/>
    <w:rsid w:val="3C5F759A"/>
    <w:rsid w:val="3C616601"/>
    <w:rsid w:val="3C6C525A"/>
    <w:rsid w:val="3CA60D3D"/>
    <w:rsid w:val="3CCE23CB"/>
    <w:rsid w:val="3CD17D17"/>
    <w:rsid w:val="3CD80F2B"/>
    <w:rsid w:val="3CED249E"/>
    <w:rsid w:val="3CEE6358"/>
    <w:rsid w:val="3D3B2FFA"/>
    <w:rsid w:val="3D3C7F39"/>
    <w:rsid w:val="3D4203D1"/>
    <w:rsid w:val="3D440F09"/>
    <w:rsid w:val="3D4504A0"/>
    <w:rsid w:val="3D4C6D37"/>
    <w:rsid w:val="3D5A1DE7"/>
    <w:rsid w:val="3D64467C"/>
    <w:rsid w:val="3D7E0A99"/>
    <w:rsid w:val="3D8734BB"/>
    <w:rsid w:val="3D9A11D4"/>
    <w:rsid w:val="3DA16D89"/>
    <w:rsid w:val="3DA364BE"/>
    <w:rsid w:val="3DA475D8"/>
    <w:rsid w:val="3DB67810"/>
    <w:rsid w:val="3DD50C8A"/>
    <w:rsid w:val="3DE041CB"/>
    <w:rsid w:val="3E0D48F6"/>
    <w:rsid w:val="3E1868B4"/>
    <w:rsid w:val="3E1D2DF9"/>
    <w:rsid w:val="3E2E7CD6"/>
    <w:rsid w:val="3E377251"/>
    <w:rsid w:val="3E42664B"/>
    <w:rsid w:val="3E5A7334"/>
    <w:rsid w:val="3E7B5D6B"/>
    <w:rsid w:val="3E843E66"/>
    <w:rsid w:val="3E8C6613"/>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400B2468"/>
    <w:rsid w:val="4019136A"/>
    <w:rsid w:val="4019356B"/>
    <w:rsid w:val="401C7172"/>
    <w:rsid w:val="401E1828"/>
    <w:rsid w:val="402B19D5"/>
    <w:rsid w:val="40592157"/>
    <w:rsid w:val="406E1CAE"/>
    <w:rsid w:val="40937DD1"/>
    <w:rsid w:val="40A0133A"/>
    <w:rsid w:val="40C31A53"/>
    <w:rsid w:val="40C657CD"/>
    <w:rsid w:val="40E84310"/>
    <w:rsid w:val="40F33AA5"/>
    <w:rsid w:val="40F92A66"/>
    <w:rsid w:val="40FF545D"/>
    <w:rsid w:val="410067C8"/>
    <w:rsid w:val="413C45E3"/>
    <w:rsid w:val="4147433B"/>
    <w:rsid w:val="418F0D2A"/>
    <w:rsid w:val="4193304C"/>
    <w:rsid w:val="419500D6"/>
    <w:rsid w:val="41D01505"/>
    <w:rsid w:val="42082B4F"/>
    <w:rsid w:val="4238518B"/>
    <w:rsid w:val="42474939"/>
    <w:rsid w:val="424C3C57"/>
    <w:rsid w:val="42613FF3"/>
    <w:rsid w:val="42660D96"/>
    <w:rsid w:val="428667D2"/>
    <w:rsid w:val="42CD1CE0"/>
    <w:rsid w:val="42D53E10"/>
    <w:rsid w:val="42DD4DBD"/>
    <w:rsid w:val="42E1381E"/>
    <w:rsid w:val="42ED6459"/>
    <w:rsid w:val="42FE58DD"/>
    <w:rsid w:val="43174B3D"/>
    <w:rsid w:val="433F0E43"/>
    <w:rsid w:val="434B790E"/>
    <w:rsid w:val="435A7958"/>
    <w:rsid w:val="4360274F"/>
    <w:rsid w:val="43977AB6"/>
    <w:rsid w:val="43A3342B"/>
    <w:rsid w:val="43AA2F9D"/>
    <w:rsid w:val="43C77C27"/>
    <w:rsid w:val="43D250DC"/>
    <w:rsid w:val="43DE09EE"/>
    <w:rsid w:val="44002FAD"/>
    <w:rsid w:val="4430589B"/>
    <w:rsid w:val="44356927"/>
    <w:rsid w:val="446612A5"/>
    <w:rsid w:val="449101DD"/>
    <w:rsid w:val="449D00C3"/>
    <w:rsid w:val="44DE1391"/>
    <w:rsid w:val="44E72961"/>
    <w:rsid w:val="451B225C"/>
    <w:rsid w:val="452410C9"/>
    <w:rsid w:val="452B71EC"/>
    <w:rsid w:val="452E1696"/>
    <w:rsid w:val="45317DFB"/>
    <w:rsid w:val="456D3CE4"/>
    <w:rsid w:val="4579042C"/>
    <w:rsid w:val="457E4BFD"/>
    <w:rsid w:val="457F0571"/>
    <w:rsid w:val="45851176"/>
    <w:rsid w:val="45853C91"/>
    <w:rsid w:val="458A2D71"/>
    <w:rsid w:val="458E4BD4"/>
    <w:rsid w:val="459C0750"/>
    <w:rsid w:val="45C63B94"/>
    <w:rsid w:val="45F134FD"/>
    <w:rsid w:val="45F621B4"/>
    <w:rsid w:val="460E7DA5"/>
    <w:rsid w:val="461A57AC"/>
    <w:rsid w:val="461B579A"/>
    <w:rsid w:val="46422483"/>
    <w:rsid w:val="4659254A"/>
    <w:rsid w:val="465B0637"/>
    <w:rsid w:val="465E3F0D"/>
    <w:rsid w:val="466A16E6"/>
    <w:rsid w:val="466D0DD7"/>
    <w:rsid w:val="46791209"/>
    <w:rsid w:val="46893F2B"/>
    <w:rsid w:val="46C4686E"/>
    <w:rsid w:val="472A3E43"/>
    <w:rsid w:val="47391126"/>
    <w:rsid w:val="473D0E4D"/>
    <w:rsid w:val="475B1A93"/>
    <w:rsid w:val="477B778F"/>
    <w:rsid w:val="478203EC"/>
    <w:rsid w:val="478464A5"/>
    <w:rsid w:val="47B025FA"/>
    <w:rsid w:val="47EC7057"/>
    <w:rsid w:val="48010DED"/>
    <w:rsid w:val="4809698F"/>
    <w:rsid w:val="48097DF4"/>
    <w:rsid w:val="480C2553"/>
    <w:rsid w:val="4811697D"/>
    <w:rsid w:val="4853049A"/>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06265"/>
    <w:rsid w:val="496F77D7"/>
    <w:rsid w:val="497654FD"/>
    <w:rsid w:val="498F505D"/>
    <w:rsid w:val="49B64211"/>
    <w:rsid w:val="49F0243A"/>
    <w:rsid w:val="49F6167F"/>
    <w:rsid w:val="4A064FA0"/>
    <w:rsid w:val="4A16615C"/>
    <w:rsid w:val="4A205A52"/>
    <w:rsid w:val="4A4424D7"/>
    <w:rsid w:val="4A493572"/>
    <w:rsid w:val="4A625D30"/>
    <w:rsid w:val="4A6E0CA4"/>
    <w:rsid w:val="4A83134F"/>
    <w:rsid w:val="4A930919"/>
    <w:rsid w:val="4AB82D0F"/>
    <w:rsid w:val="4AEB7664"/>
    <w:rsid w:val="4AFD7C19"/>
    <w:rsid w:val="4B0567D1"/>
    <w:rsid w:val="4B236AAE"/>
    <w:rsid w:val="4B555D27"/>
    <w:rsid w:val="4B6D6E85"/>
    <w:rsid w:val="4B707271"/>
    <w:rsid w:val="4B8464B4"/>
    <w:rsid w:val="4B9739F7"/>
    <w:rsid w:val="4B974368"/>
    <w:rsid w:val="4B9A6B21"/>
    <w:rsid w:val="4B9C1FA2"/>
    <w:rsid w:val="4BE96C25"/>
    <w:rsid w:val="4BEE2503"/>
    <w:rsid w:val="4BF80D38"/>
    <w:rsid w:val="4C245A30"/>
    <w:rsid w:val="4C5D53ED"/>
    <w:rsid w:val="4C676029"/>
    <w:rsid w:val="4CA601B0"/>
    <w:rsid w:val="4CAF7256"/>
    <w:rsid w:val="4CB6685F"/>
    <w:rsid w:val="4CC367FE"/>
    <w:rsid w:val="4CD54317"/>
    <w:rsid w:val="4D077F3C"/>
    <w:rsid w:val="4D123355"/>
    <w:rsid w:val="4D2A3B31"/>
    <w:rsid w:val="4D312C52"/>
    <w:rsid w:val="4D4B0F25"/>
    <w:rsid w:val="4D905305"/>
    <w:rsid w:val="4D964A72"/>
    <w:rsid w:val="4D9C1254"/>
    <w:rsid w:val="4E0E210B"/>
    <w:rsid w:val="4E526455"/>
    <w:rsid w:val="4E5A0B37"/>
    <w:rsid w:val="4E793892"/>
    <w:rsid w:val="4E800872"/>
    <w:rsid w:val="4E9532A8"/>
    <w:rsid w:val="4E9A20A5"/>
    <w:rsid w:val="4EC569ED"/>
    <w:rsid w:val="4ED50EA1"/>
    <w:rsid w:val="4EEC050C"/>
    <w:rsid w:val="4EF833C6"/>
    <w:rsid w:val="4F104EC3"/>
    <w:rsid w:val="4F47354A"/>
    <w:rsid w:val="4F911C54"/>
    <w:rsid w:val="4FE625E0"/>
    <w:rsid w:val="4FED5402"/>
    <w:rsid w:val="5021480F"/>
    <w:rsid w:val="505D15FC"/>
    <w:rsid w:val="506C1562"/>
    <w:rsid w:val="50707CB0"/>
    <w:rsid w:val="50755E1B"/>
    <w:rsid w:val="50962ECB"/>
    <w:rsid w:val="50A42E38"/>
    <w:rsid w:val="50A4577F"/>
    <w:rsid w:val="50B73D1F"/>
    <w:rsid w:val="50BD5BC9"/>
    <w:rsid w:val="50C11EEE"/>
    <w:rsid w:val="50D73351"/>
    <w:rsid w:val="50E97CFC"/>
    <w:rsid w:val="50EF43D0"/>
    <w:rsid w:val="50F1399D"/>
    <w:rsid w:val="50FA4028"/>
    <w:rsid w:val="50FE434C"/>
    <w:rsid w:val="510D65B7"/>
    <w:rsid w:val="511157AB"/>
    <w:rsid w:val="51221986"/>
    <w:rsid w:val="5142540C"/>
    <w:rsid w:val="518832C8"/>
    <w:rsid w:val="51A0432A"/>
    <w:rsid w:val="51A86090"/>
    <w:rsid w:val="51B7396D"/>
    <w:rsid w:val="51F4743E"/>
    <w:rsid w:val="522E4CC3"/>
    <w:rsid w:val="5244713B"/>
    <w:rsid w:val="52615633"/>
    <w:rsid w:val="526A04DD"/>
    <w:rsid w:val="52977FD4"/>
    <w:rsid w:val="52A25790"/>
    <w:rsid w:val="52A96B6F"/>
    <w:rsid w:val="52B45975"/>
    <w:rsid w:val="52D94AA4"/>
    <w:rsid w:val="52EA3A62"/>
    <w:rsid w:val="52F50BB8"/>
    <w:rsid w:val="53097272"/>
    <w:rsid w:val="53544462"/>
    <w:rsid w:val="53676980"/>
    <w:rsid w:val="53960CB2"/>
    <w:rsid w:val="5397158E"/>
    <w:rsid w:val="53D42C20"/>
    <w:rsid w:val="54013861"/>
    <w:rsid w:val="54487265"/>
    <w:rsid w:val="544D6070"/>
    <w:rsid w:val="545B4ECF"/>
    <w:rsid w:val="54605E1E"/>
    <w:rsid w:val="548D56AF"/>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F16964"/>
    <w:rsid w:val="55FA20BB"/>
    <w:rsid w:val="560A7BD7"/>
    <w:rsid w:val="561C1BE8"/>
    <w:rsid w:val="566B6D1E"/>
    <w:rsid w:val="567D2234"/>
    <w:rsid w:val="569E129D"/>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4238"/>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380D61"/>
    <w:rsid w:val="5A3E2560"/>
    <w:rsid w:val="5A5D3B6E"/>
    <w:rsid w:val="5A637A76"/>
    <w:rsid w:val="5A686384"/>
    <w:rsid w:val="5A6D33BA"/>
    <w:rsid w:val="5A792B1F"/>
    <w:rsid w:val="5A874767"/>
    <w:rsid w:val="5A9A655F"/>
    <w:rsid w:val="5AA85BE2"/>
    <w:rsid w:val="5AAD6F28"/>
    <w:rsid w:val="5AD63A24"/>
    <w:rsid w:val="5AE51FB6"/>
    <w:rsid w:val="5B0B0B6B"/>
    <w:rsid w:val="5B2E1A1D"/>
    <w:rsid w:val="5B843A1C"/>
    <w:rsid w:val="5B873E3F"/>
    <w:rsid w:val="5BC9690A"/>
    <w:rsid w:val="5C02690E"/>
    <w:rsid w:val="5C196DA7"/>
    <w:rsid w:val="5C214CC9"/>
    <w:rsid w:val="5C2A048C"/>
    <w:rsid w:val="5C2A578C"/>
    <w:rsid w:val="5C35640B"/>
    <w:rsid w:val="5C641793"/>
    <w:rsid w:val="5C7422AE"/>
    <w:rsid w:val="5C80234E"/>
    <w:rsid w:val="5C8A680C"/>
    <w:rsid w:val="5C990941"/>
    <w:rsid w:val="5CDE5BAD"/>
    <w:rsid w:val="5CE45C2B"/>
    <w:rsid w:val="5CEB387F"/>
    <w:rsid w:val="5D0C4701"/>
    <w:rsid w:val="5D0F0395"/>
    <w:rsid w:val="5D1E02B6"/>
    <w:rsid w:val="5D221076"/>
    <w:rsid w:val="5D307D5D"/>
    <w:rsid w:val="5D397964"/>
    <w:rsid w:val="5D551783"/>
    <w:rsid w:val="5D5A391C"/>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74631F"/>
    <w:rsid w:val="5E765627"/>
    <w:rsid w:val="5E7A0F3F"/>
    <w:rsid w:val="5E866777"/>
    <w:rsid w:val="5EF50A1B"/>
    <w:rsid w:val="5EFC7377"/>
    <w:rsid w:val="5F012A1A"/>
    <w:rsid w:val="5F06174D"/>
    <w:rsid w:val="5F3A3602"/>
    <w:rsid w:val="5F45733B"/>
    <w:rsid w:val="5F5B211E"/>
    <w:rsid w:val="5F6277C6"/>
    <w:rsid w:val="5F6D0B1D"/>
    <w:rsid w:val="5F8D0B82"/>
    <w:rsid w:val="5FA61B85"/>
    <w:rsid w:val="5FCC5339"/>
    <w:rsid w:val="5FE34A5B"/>
    <w:rsid w:val="5FFE1E36"/>
    <w:rsid w:val="60172C7B"/>
    <w:rsid w:val="60232584"/>
    <w:rsid w:val="60305BC5"/>
    <w:rsid w:val="605864BB"/>
    <w:rsid w:val="607330CE"/>
    <w:rsid w:val="60825176"/>
    <w:rsid w:val="60873AD9"/>
    <w:rsid w:val="6098238E"/>
    <w:rsid w:val="609F2AC4"/>
    <w:rsid w:val="60C413D5"/>
    <w:rsid w:val="60D63F79"/>
    <w:rsid w:val="60FA2EE8"/>
    <w:rsid w:val="60FD48E7"/>
    <w:rsid w:val="61054A27"/>
    <w:rsid w:val="610A52BC"/>
    <w:rsid w:val="611D2366"/>
    <w:rsid w:val="61421856"/>
    <w:rsid w:val="61436331"/>
    <w:rsid w:val="615227C4"/>
    <w:rsid w:val="61654E3F"/>
    <w:rsid w:val="617514F6"/>
    <w:rsid w:val="6182292A"/>
    <w:rsid w:val="618B5F69"/>
    <w:rsid w:val="61985864"/>
    <w:rsid w:val="619F7F92"/>
    <w:rsid w:val="61BB155E"/>
    <w:rsid w:val="61BD2EFD"/>
    <w:rsid w:val="61DA2E84"/>
    <w:rsid w:val="61F94C26"/>
    <w:rsid w:val="62000E56"/>
    <w:rsid w:val="62244584"/>
    <w:rsid w:val="624F3E49"/>
    <w:rsid w:val="62632286"/>
    <w:rsid w:val="62775066"/>
    <w:rsid w:val="62885958"/>
    <w:rsid w:val="628903DB"/>
    <w:rsid w:val="62A226C2"/>
    <w:rsid w:val="62BC7606"/>
    <w:rsid w:val="62C860CC"/>
    <w:rsid w:val="62F40B65"/>
    <w:rsid w:val="62FC2CFE"/>
    <w:rsid w:val="63024505"/>
    <w:rsid w:val="63540CCD"/>
    <w:rsid w:val="635B1DB5"/>
    <w:rsid w:val="63711FED"/>
    <w:rsid w:val="6384682A"/>
    <w:rsid w:val="63880DDC"/>
    <w:rsid w:val="63885935"/>
    <w:rsid w:val="638D750D"/>
    <w:rsid w:val="63AC52D2"/>
    <w:rsid w:val="63AC6CC0"/>
    <w:rsid w:val="63B048E8"/>
    <w:rsid w:val="64043733"/>
    <w:rsid w:val="64055776"/>
    <w:rsid w:val="64175397"/>
    <w:rsid w:val="64240056"/>
    <w:rsid w:val="64337D05"/>
    <w:rsid w:val="643E143A"/>
    <w:rsid w:val="644A0C02"/>
    <w:rsid w:val="648B6EEF"/>
    <w:rsid w:val="64C158BF"/>
    <w:rsid w:val="64CE2EAA"/>
    <w:rsid w:val="65092215"/>
    <w:rsid w:val="653C3090"/>
    <w:rsid w:val="65566EB7"/>
    <w:rsid w:val="65854376"/>
    <w:rsid w:val="658767BE"/>
    <w:rsid w:val="65882CD5"/>
    <w:rsid w:val="65892531"/>
    <w:rsid w:val="65E616BA"/>
    <w:rsid w:val="66153939"/>
    <w:rsid w:val="66195831"/>
    <w:rsid w:val="662E75B1"/>
    <w:rsid w:val="66342C2E"/>
    <w:rsid w:val="663E784C"/>
    <w:rsid w:val="66551A38"/>
    <w:rsid w:val="666D1F69"/>
    <w:rsid w:val="667133EA"/>
    <w:rsid w:val="668B6A45"/>
    <w:rsid w:val="66DE04FB"/>
    <w:rsid w:val="66F85C8F"/>
    <w:rsid w:val="671E7365"/>
    <w:rsid w:val="67230B7E"/>
    <w:rsid w:val="67277552"/>
    <w:rsid w:val="672F3F24"/>
    <w:rsid w:val="673E055F"/>
    <w:rsid w:val="67551CE3"/>
    <w:rsid w:val="67627080"/>
    <w:rsid w:val="67736CB8"/>
    <w:rsid w:val="67A22552"/>
    <w:rsid w:val="67A530AB"/>
    <w:rsid w:val="67B22DCC"/>
    <w:rsid w:val="67BE71AA"/>
    <w:rsid w:val="67D90273"/>
    <w:rsid w:val="67DE5875"/>
    <w:rsid w:val="67E55852"/>
    <w:rsid w:val="67EB1AB4"/>
    <w:rsid w:val="67FA1285"/>
    <w:rsid w:val="68551F4F"/>
    <w:rsid w:val="68647B92"/>
    <w:rsid w:val="687C10C9"/>
    <w:rsid w:val="68840C16"/>
    <w:rsid w:val="68876EFB"/>
    <w:rsid w:val="68884654"/>
    <w:rsid w:val="689F444F"/>
    <w:rsid w:val="68B96DBB"/>
    <w:rsid w:val="68CA2805"/>
    <w:rsid w:val="68E85AE5"/>
    <w:rsid w:val="68E937A3"/>
    <w:rsid w:val="693E15D3"/>
    <w:rsid w:val="695F5EA3"/>
    <w:rsid w:val="69627681"/>
    <w:rsid w:val="6977531D"/>
    <w:rsid w:val="69B51747"/>
    <w:rsid w:val="69BD5BBB"/>
    <w:rsid w:val="69CC2BFF"/>
    <w:rsid w:val="69D327F2"/>
    <w:rsid w:val="69FD55B8"/>
    <w:rsid w:val="6A0B1C62"/>
    <w:rsid w:val="6A0C584D"/>
    <w:rsid w:val="6A0D3F4C"/>
    <w:rsid w:val="6A23426E"/>
    <w:rsid w:val="6A2406C8"/>
    <w:rsid w:val="6A4516D3"/>
    <w:rsid w:val="6A4B328A"/>
    <w:rsid w:val="6A4B36BE"/>
    <w:rsid w:val="6A6362C3"/>
    <w:rsid w:val="6A8F2B46"/>
    <w:rsid w:val="6AB20DE6"/>
    <w:rsid w:val="6ABA3454"/>
    <w:rsid w:val="6ADC5EF8"/>
    <w:rsid w:val="6ADE0BD1"/>
    <w:rsid w:val="6AE96859"/>
    <w:rsid w:val="6B147746"/>
    <w:rsid w:val="6B24787C"/>
    <w:rsid w:val="6B573233"/>
    <w:rsid w:val="6B5B6274"/>
    <w:rsid w:val="6B694FD4"/>
    <w:rsid w:val="6B710BD6"/>
    <w:rsid w:val="6B935D53"/>
    <w:rsid w:val="6C196F71"/>
    <w:rsid w:val="6C226FCB"/>
    <w:rsid w:val="6C31226F"/>
    <w:rsid w:val="6C340BCC"/>
    <w:rsid w:val="6C390C24"/>
    <w:rsid w:val="6C552F0B"/>
    <w:rsid w:val="6C831D39"/>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41A5B"/>
    <w:rsid w:val="6DF43C2E"/>
    <w:rsid w:val="6DF4670C"/>
    <w:rsid w:val="6DF51CA3"/>
    <w:rsid w:val="6E0252EB"/>
    <w:rsid w:val="6E05604C"/>
    <w:rsid w:val="6E2F184C"/>
    <w:rsid w:val="6E8335BD"/>
    <w:rsid w:val="6E8E12EF"/>
    <w:rsid w:val="6E9045AA"/>
    <w:rsid w:val="6E972936"/>
    <w:rsid w:val="6EB74327"/>
    <w:rsid w:val="6EC91D52"/>
    <w:rsid w:val="6ED34821"/>
    <w:rsid w:val="6ED446C5"/>
    <w:rsid w:val="6EDD6C63"/>
    <w:rsid w:val="6EFA6CD6"/>
    <w:rsid w:val="6F0F7527"/>
    <w:rsid w:val="6F184A18"/>
    <w:rsid w:val="6F2A7D94"/>
    <w:rsid w:val="6F802313"/>
    <w:rsid w:val="6F8331F1"/>
    <w:rsid w:val="6FAE1A09"/>
    <w:rsid w:val="6FD75BF8"/>
    <w:rsid w:val="6FD97A1B"/>
    <w:rsid w:val="6FEF3B3E"/>
    <w:rsid w:val="70046BFE"/>
    <w:rsid w:val="701D23BC"/>
    <w:rsid w:val="703C638E"/>
    <w:rsid w:val="704318A8"/>
    <w:rsid w:val="707723D0"/>
    <w:rsid w:val="70DB77AC"/>
    <w:rsid w:val="70F5661B"/>
    <w:rsid w:val="70FF0D7D"/>
    <w:rsid w:val="7123737D"/>
    <w:rsid w:val="71360107"/>
    <w:rsid w:val="713B688E"/>
    <w:rsid w:val="716167CC"/>
    <w:rsid w:val="7183561A"/>
    <w:rsid w:val="71BE6408"/>
    <w:rsid w:val="71D43752"/>
    <w:rsid w:val="71D7083C"/>
    <w:rsid w:val="71DF0B1D"/>
    <w:rsid w:val="71F1796A"/>
    <w:rsid w:val="720846CC"/>
    <w:rsid w:val="72154626"/>
    <w:rsid w:val="721F290F"/>
    <w:rsid w:val="72202699"/>
    <w:rsid w:val="72262B5D"/>
    <w:rsid w:val="72283FF7"/>
    <w:rsid w:val="722E7212"/>
    <w:rsid w:val="72365DD1"/>
    <w:rsid w:val="723A0474"/>
    <w:rsid w:val="723F6D35"/>
    <w:rsid w:val="725923E4"/>
    <w:rsid w:val="72864BF7"/>
    <w:rsid w:val="729023FC"/>
    <w:rsid w:val="729B6005"/>
    <w:rsid w:val="730E55D1"/>
    <w:rsid w:val="733470C6"/>
    <w:rsid w:val="73533CC2"/>
    <w:rsid w:val="736D2DF9"/>
    <w:rsid w:val="73BF35C9"/>
    <w:rsid w:val="73C0646E"/>
    <w:rsid w:val="73D62258"/>
    <w:rsid w:val="742222F5"/>
    <w:rsid w:val="742348D0"/>
    <w:rsid w:val="74476126"/>
    <w:rsid w:val="74624977"/>
    <w:rsid w:val="74706664"/>
    <w:rsid w:val="7475702A"/>
    <w:rsid w:val="747F3682"/>
    <w:rsid w:val="749C4185"/>
    <w:rsid w:val="74A73931"/>
    <w:rsid w:val="74BE006A"/>
    <w:rsid w:val="74DA51BD"/>
    <w:rsid w:val="75067759"/>
    <w:rsid w:val="752E6DCD"/>
    <w:rsid w:val="7551380D"/>
    <w:rsid w:val="75600BE5"/>
    <w:rsid w:val="7564475C"/>
    <w:rsid w:val="75834A5C"/>
    <w:rsid w:val="7583797F"/>
    <w:rsid w:val="75D20F1D"/>
    <w:rsid w:val="75DA2C18"/>
    <w:rsid w:val="75F54412"/>
    <w:rsid w:val="75FF1B9F"/>
    <w:rsid w:val="761969BC"/>
    <w:rsid w:val="761D08E0"/>
    <w:rsid w:val="76400B70"/>
    <w:rsid w:val="765D347C"/>
    <w:rsid w:val="76826699"/>
    <w:rsid w:val="7688753D"/>
    <w:rsid w:val="76C87133"/>
    <w:rsid w:val="76CD08D5"/>
    <w:rsid w:val="76DB4B92"/>
    <w:rsid w:val="76FF4961"/>
    <w:rsid w:val="77052AA4"/>
    <w:rsid w:val="77136511"/>
    <w:rsid w:val="77340A39"/>
    <w:rsid w:val="77351FD0"/>
    <w:rsid w:val="77472422"/>
    <w:rsid w:val="777F31F2"/>
    <w:rsid w:val="77B30F41"/>
    <w:rsid w:val="77BC4C63"/>
    <w:rsid w:val="77C24C2D"/>
    <w:rsid w:val="77D1700D"/>
    <w:rsid w:val="77E4568D"/>
    <w:rsid w:val="77EC04CC"/>
    <w:rsid w:val="78006A23"/>
    <w:rsid w:val="781E6205"/>
    <w:rsid w:val="78775729"/>
    <w:rsid w:val="78A42DB0"/>
    <w:rsid w:val="78A656AB"/>
    <w:rsid w:val="78B2245C"/>
    <w:rsid w:val="78E172CC"/>
    <w:rsid w:val="78EA1D1F"/>
    <w:rsid w:val="7904172F"/>
    <w:rsid w:val="79062AD2"/>
    <w:rsid w:val="790F7E27"/>
    <w:rsid w:val="79206DB4"/>
    <w:rsid w:val="792A231A"/>
    <w:rsid w:val="79316829"/>
    <w:rsid w:val="79404FE3"/>
    <w:rsid w:val="797C7409"/>
    <w:rsid w:val="797E66A9"/>
    <w:rsid w:val="79A97383"/>
    <w:rsid w:val="79E27E8B"/>
    <w:rsid w:val="79F24465"/>
    <w:rsid w:val="79F850CE"/>
    <w:rsid w:val="79FD443C"/>
    <w:rsid w:val="7A1D1975"/>
    <w:rsid w:val="7A3902E6"/>
    <w:rsid w:val="7A3E5150"/>
    <w:rsid w:val="7A4670D6"/>
    <w:rsid w:val="7A534B63"/>
    <w:rsid w:val="7A615382"/>
    <w:rsid w:val="7A653600"/>
    <w:rsid w:val="7A67303B"/>
    <w:rsid w:val="7A940287"/>
    <w:rsid w:val="7AAB1D04"/>
    <w:rsid w:val="7ABA4368"/>
    <w:rsid w:val="7AD05746"/>
    <w:rsid w:val="7B0B04E0"/>
    <w:rsid w:val="7B226FCC"/>
    <w:rsid w:val="7B257FFD"/>
    <w:rsid w:val="7B343476"/>
    <w:rsid w:val="7B5A2978"/>
    <w:rsid w:val="7B5A7E4C"/>
    <w:rsid w:val="7B667AF9"/>
    <w:rsid w:val="7B7468F8"/>
    <w:rsid w:val="7BE64CF7"/>
    <w:rsid w:val="7BEE0103"/>
    <w:rsid w:val="7C0A0FE4"/>
    <w:rsid w:val="7C254906"/>
    <w:rsid w:val="7C5022FF"/>
    <w:rsid w:val="7C590818"/>
    <w:rsid w:val="7C6E0182"/>
    <w:rsid w:val="7C7C10F6"/>
    <w:rsid w:val="7C853BEA"/>
    <w:rsid w:val="7C881368"/>
    <w:rsid w:val="7CC935DE"/>
    <w:rsid w:val="7CE27788"/>
    <w:rsid w:val="7CE64D74"/>
    <w:rsid w:val="7CF548F1"/>
    <w:rsid w:val="7D0357E5"/>
    <w:rsid w:val="7D0C32F1"/>
    <w:rsid w:val="7D0F408D"/>
    <w:rsid w:val="7D491C6C"/>
    <w:rsid w:val="7D5429C0"/>
    <w:rsid w:val="7D6E6D43"/>
    <w:rsid w:val="7D7069D2"/>
    <w:rsid w:val="7D894AA5"/>
    <w:rsid w:val="7D8E125C"/>
    <w:rsid w:val="7D98456E"/>
    <w:rsid w:val="7DAD6DD7"/>
    <w:rsid w:val="7DB57A34"/>
    <w:rsid w:val="7DDB10A1"/>
    <w:rsid w:val="7DE60973"/>
    <w:rsid w:val="7DEF0916"/>
    <w:rsid w:val="7E1E5218"/>
    <w:rsid w:val="7E7514D4"/>
    <w:rsid w:val="7E9A4E1F"/>
    <w:rsid w:val="7EA7723A"/>
    <w:rsid w:val="7EB659FE"/>
    <w:rsid w:val="7EBC6AFC"/>
    <w:rsid w:val="7ED456CF"/>
    <w:rsid w:val="7EF56FBB"/>
    <w:rsid w:val="7EFC38CE"/>
    <w:rsid w:val="7F015C50"/>
    <w:rsid w:val="7F067E4D"/>
    <w:rsid w:val="7F0768EB"/>
    <w:rsid w:val="7F143BEC"/>
    <w:rsid w:val="7F19715A"/>
    <w:rsid w:val="7F5856D4"/>
    <w:rsid w:val="7F6137FA"/>
    <w:rsid w:val="7F715AF2"/>
    <w:rsid w:val="7F793597"/>
    <w:rsid w:val="7F886E69"/>
    <w:rsid w:val="7FCF2D12"/>
    <w:rsid w:val="7FFA1DC8"/>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30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4"/>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autoRedefine/>
    <w:qFormat/>
    <w:uiPriority w:val="0"/>
    <w:pPr>
      <w:ind w:left="2940"/>
    </w:p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10"/>
    <w:autoRedefine/>
    <w:qFormat/>
    <w:uiPriority w:val="0"/>
    <w:pPr>
      <w:shd w:val="clear" w:color="auto" w:fill="000080"/>
    </w:pPr>
  </w:style>
  <w:style w:type="paragraph" w:styleId="20">
    <w:name w:val="annotation text"/>
    <w:basedOn w:val="1"/>
    <w:link w:val="351"/>
    <w:autoRedefine/>
    <w:qFormat/>
    <w:uiPriority w:val="99"/>
    <w:pPr>
      <w:jc w:val="left"/>
    </w:pPr>
  </w:style>
  <w:style w:type="paragraph" w:styleId="21">
    <w:name w:val="Salutation"/>
    <w:basedOn w:val="1"/>
    <w:next w:val="1"/>
    <w:link w:val="305"/>
    <w:autoRedefine/>
    <w:qFormat/>
    <w:uiPriority w:val="0"/>
    <w:rPr>
      <w:rFonts w:ascii="仿宋_GB2312" w:eastAsia="仿宋_GB2312"/>
      <w:sz w:val="28"/>
      <w:szCs w:val="20"/>
    </w:rPr>
  </w:style>
  <w:style w:type="paragraph" w:styleId="22">
    <w:name w:val="Body Text 3"/>
    <w:basedOn w:val="1"/>
    <w:link w:val="337"/>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37"/>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72"/>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9"/>
    <w:autoRedefine/>
    <w:qFormat/>
    <w:uiPriority w:val="0"/>
    <w:pPr>
      <w:ind w:left="100" w:leftChars="2500"/>
    </w:pPr>
    <w:rPr>
      <w:rFonts w:ascii="宋体"/>
      <w:sz w:val="24"/>
      <w:szCs w:val="21"/>
      <w:lang w:val="zh-CN"/>
    </w:rPr>
  </w:style>
  <w:style w:type="paragraph" w:styleId="37">
    <w:name w:val="Body Text Indent 2"/>
    <w:basedOn w:val="1"/>
    <w:link w:val="31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8"/>
    <w:autoRedefine/>
    <w:qFormat/>
    <w:uiPriority w:val="0"/>
    <w:rPr>
      <w:lang w:val="zh-CN"/>
    </w:rPr>
  </w:style>
  <w:style w:type="paragraph" w:styleId="39">
    <w:name w:val="Balloon Text"/>
    <w:basedOn w:val="1"/>
    <w:link w:val="196"/>
    <w:autoRedefine/>
    <w:qFormat/>
    <w:uiPriority w:val="0"/>
    <w:rPr>
      <w:sz w:val="18"/>
      <w:szCs w:val="18"/>
    </w:rPr>
  </w:style>
  <w:style w:type="paragraph" w:styleId="40">
    <w:name w:val="footer"/>
    <w:basedOn w:val="1"/>
    <w:link w:val="390"/>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rPr>
  </w:style>
  <w:style w:type="paragraph" w:styleId="42">
    <w:name w:val="header"/>
    <w:basedOn w:val="1"/>
    <w:link w:val="399"/>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2"/>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4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6"/>
    <w:link w:val="317"/>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82"/>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9"/>
    <w:autoRedefine/>
    <w:qFormat/>
    <w:uiPriority w:val="0"/>
    <w:pPr>
      <w:spacing w:after="120" w:line="480" w:lineRule="auto"/>
    </w:pPr>
  </w:style>
  <w:style w:type="paragraph" w:styleId="58">
    <w:name w:val="HTML Preformatted"/>
    <w:basedOn w:val="1"/>
    <w:link w:val="3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3"/>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4"/>
    <w:autoRedefine/>
    <w:qFormat/>
    <w:uiPriority w:val="0"/>
    <w:rPr>
      <w:b/>
      <w:bCs/>
    </w:rPr>
  </w:style>
  <w:style w:type="paragraph" w:styleId="62">
    <w:name w:val="Body Text First Indent"/>
    <w:basedOn w:val="24"/>
    <w:link w:val="328"/>
    <w:autoRedefine/>
    <w:qFormat/>
    <w:uiPriority w:val="0"/>
    <w:pPr>
      <w:ind w:firstLine="420"/>
    </w:pPr>
    <w:rPr>
      <w:rFonts w:hAnsi="Calibri" w:cs="Times New Roman"/>
      <w:snapToGrid/>
      <w:szCs w:val="20"/>
    </w:rPr>
  </w:style>
  <w:style w:type="paragraph" w:styleId="63">
    <w:name w:val="Body Text First Indent 2"/>
    <w:basedOn w:val="25"/>
    <w:link w:val="129"/>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basedOn w:val="71"/>
    <w:autoRedefine/>
    <w:qFormat/>
    <w:uiPriority w:val="99"/>
    <w:rPr>
      <w:sz w:val="21"/>
      <w:szCs w:val="21"/>
    </w:rPr>
  </w:style>
  <w:style w:type="character" w:styleId="81">
    <w:name w:val="HTML Sample"/>
    <w:basedOn w:val="71"/>
    <w:autoRedefine/>
    <w:qFormat/>
    <w:uiPriority w:val="0"/>
    <w:rPr>
      <w:rFonts w:ascii="Courier New" w:hAnsi="Courier New"/>
    </w:rPr>
  </w:style>
  <w:style w:type="paragraph" w:customStyle="1" w:styleId="82">
    <w:name w:val="Default"/>
    <w:link w:val="24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样式 正文文本缩进 + 行距: 1.5 倍行距"/>
    <w:autoRedefine/>
    <w:qFormat/>
    <w:uiPriority w:val="0"/>
    <w:pPr>
      <w:widowControl w:val="0"/>
      <w:snapToGrid w:val="0"/>
      <w:spacing w:before="120" w:after="120" w:line="360" w:lineRule="atLeast"/>
      <w:ind w:left="90" w:leftChars="32" w:firstLine="560" w:firstLineChars="200"/>
      <w:jc w:val="both"/>
    </w:pPr>
    <w:rPr>
      <w:rFonts w:ascii="Times New Roman" w:hAnsi="Times New Roman" w:eastAsia="仿宋" w:cs="宋体"/>
      <w:kern w:val="2"/>
      <w:sz w:val="24"/>
      <w:szCs w:val="22"/>
      <w:lang w:val="en-US" w:eastAsia="zh-CN" w:bidi="ar-SA"/>
    </w:rPr>
  </w:style>
  <w:style w:type="paragraph" w:customStyle="1" w:styleId="84">
    <w:name w:val="xl5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85">
    <w:name w:val="正文首行缩进1"/>
    <w:basedOn w:val="24"/>
    <w:next w:val="1"/>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87">
    <w:name w:val="[Normal]"/>
    <w:autoRedefine/>
    <w:qFormat/>
    <w:uiPriority w:val="0"/>
    <w:rPr>
      <w:rFonts w:ascii="宋体" w:hAnsi="宋体" w:eastAsia="宋体" w:cs="Times New Roman"/>
      <w:sz w:val="24"/>
      <w:lang w:val="zh-CN" w:eastAsia="zh-CN" w:bidi="ar-SA"/>
    </w:rPr>
  </w:style>
  <w:style w:type="paragraph" w:styleId="88">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89">
    <w:name w:val="正文文本首行缩进 21"/>
    <w:basedOn w:val="25"/>
    <w:autoRedefine/>
    <w:qFormat/>
    <w:uiPriority w:val="99"/>
    <w:pPr>
      <w:spacing w:line="200" w:lineRule="atLeast"/>
      <w:ind w:firstLine="420"/>
    </w:pPr>
    <w:rPr>
      <w:rFonts w:hAnsi="Courier New"/>
      <w:spacing w:val="-4"/>
      <w:sz w:val="18"/>
    </w:rPr>
  </w:style>
  <w:style w:type="character" w:customStyle="1" w:styleId="90">
    <w:name w:val="表格非标题文字 Char"/>
    <w:link w:val="91"/>
    <w:autoRedefine/>
    <w:qFormat/>
    <w:uiPriority w:val="0"/>
    <w:rPr>
      <w:rFonts w:ascii="Futura Bk" w:hAnsi="Futura Bk"/>
      <w:kern w:val="2"/>
      <w:sz w:val="18"/>
      <w:szCs w:val="21"/>
      <w:lang w:val="en-US" w:eastAsia="zh-CN" w:bidi="ar-SA"/>
    </w:rPr>
  </w:style>
  <w:style w:type="paragraph" w:customStyle="1" w:styleId="91">
    <w:name w:val="表格非标题文字"/>
    <w:link w:val="9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autoRedefine/>
    <w:qFormat/>
    <w:locked/>
    <w:uiPriority w:val="0"/>
    <w:rPr>
      <w:rFonts w:ascii="宋体" w:hAnsi="宋体"/>
      <w:sz w:val="24"/>
    </w:rPr>
  </w:style>
  <w:style w:type="paragraph" w:customStyle="1" w:styleId="93">
    <w:name w:val="*正文"/>
    <w:basedOn w:val="1"/>
    <w:link w:val="92"/>
    <w:autoRedefine/>
    <w:qFormat/>
    <w:uiPriority w:val="0"/>
    <w:pPr>
      <w:snapToGrid w:val="0"/>
      <w:spacing w:line="360" w:lineRule="auto"/>
      <w:ind w:firstLine="482"/>
      <w:jc w:val="left"/>
    </w:pPr>
    <w:rPr>
      <w:rFonts w:ascii="宋体" w:hAnsi="宋体"/>
      <w:kern w:val="0"/>
      <w:sz w:val="24"/>
      <w:szCs w:val="20"/>
    </w:rPr>
  </w:style>
  <w:style w:type="character" w:customStyle="1" w:styleId="94">
    <w:name w:val="Char Char71"/>
    <w:autoRedefine/>
    <w:semiHidden/>
    <w:qFormat/>
    <w:uiPriority w:val="0"/>
    <w:rPr>
      <w:rFonts w:eastAsia="宋体"/>
      <w:kern w:val="2"/>
      <w:sz w:val="21"/>
      <w:szCs w:val="24"/>
      <w:lang w:val="en-US" w:eastAsia="zh-CN" w:bidi="ar-SA"/>
    </w:rPr>
  </w:style>
  <w:style w:type="character" w:customStyle="1" w:styleId="95">
    <w:name w:val="Char Char6"/>
    <w:autoRedefine/>
    <w:qFormat/>
    <w:uiPriority w:val="0"/>
    <w:rPr>
      <w:rFonts w:eastAsia="宋体"/>
      <w:kern w:val="2"/>
      <w:sz w:val="21"/>
      <w:szCs w:val="24"/>
      <w:lang w:val="en-US" w:eastAsia="zh-CN" w:bidi="ar-SA"/>
    </w:rPr>
  </w:style>
  <w:style w:type="character" w:customStyle="1" w:styleId="96">
    <w:name w:val="正文缩进 Char"/>
    <w:autoRedefine/>
    <w:qFormat/>
    <w:uiPriority w:val="0"/>
    <w:rPr>
      <w:rFonts w:eastAsia="宋体"/>
      <w:kern w:val="2"/>
      <w:sz w:val="21"/>
      <w:lang w:val="en-US" w:eastAsia="zh-CN"/>
    </w:rPr>
  </w:style>
  <w:style w:type="character" w:customStyle="1" w:styleId="9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8">
    <w:name w:val="Char Char28"/>
    <w:autoRedefine/>
    <w:qFormat/>
    <w:uiPriority w:val="6"/>
    <w:rPr>
      <w:rFonts w:ascii="仿宋_GB2312" w:hAnsi="仿宋_GB2312" w:eastAsia="仿宋_GB2312"/>
      <w:kern w:val="1"/>
      <w:sz w:val="28"/>
    </w:rPr>
  </w:style>
  <w:style w:type="character" w:customStyle="1" w:styleId="9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autoRedefine/>
    <w:qFormat/>
    <w:uiPriority w:val="6"/>
    <w:rPr>
      <w:rFonts w:ascii="Times New Roman" w:hAnsi="Times New Roman" w:eastAsia="黑体" w:cs="Times New Roman"/>
      <w:b/>
      <w:kern w:val="0"/>
      <w:sz w:val="24"/>
      <w:szCs w:val="24"/>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sz w:val="24"/>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字符"/>
    <w:link w:val="61"/>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autoRedefine/>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autoRedefine/>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 w:val="24"/>
      <w:szCs w:val="20"/>
    </w:rPr>
  </w:style>
  <w:style w:type="character" w:customStyle="1" w:styleId="111">
    <w:name w:val="未处理的提及1"/>
    <w:autoRedefine/>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autoRedefine/>
    <w:qFormat/>
    <w:uiPriority w:val="6"/>
    <w:rPr>
      <w:rFonts w:ascii="宋体" w:hAnsi="宋体"/>
      <w:kern w:val="2"/>
      <w:sz w:val="21"/>
      <w:szCs w:val="24"/>
      <w:lang w:val="en-US" w:eastAsia="zh-CN"/>
    </w:rPr>
  </w:style>
  <w:style w:type="character" w:customStyle="1" w:styleId="120">
    <w:name w:val="标题 4 Char"/>
    <w:autoRedefine/>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3"/>
    <w:autoRedefine/>
    <w:qFormat/>
    <w:uiPriority w:val="0"/>
    <w:rPr>
      <w:rFonts w:ascii="宋体" w:hAnsi="宋体"/>
      <w:kern w:val="2"/>
      <w:sz w:val="21"/>
      <w:szCs w:val="24"/>
    </w:rPr>
  </w:style>
  <w:style w:type="character" w:customStyle="1" w:styleId="130">
    <w:name w:val="font11"/>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71"/>
    <w:autoRedefine/>
    <w:qFormat/>
    <w:uiPriority w:val="0"/>
    <w:rPr>
      <w:rFonts w:ascii="Arial" w:hAnsi="Arial" w:eastAsia="黑体" w:cs="Arial"/>
      <w:snapToGrid w:val="0"/>
      <w:kern w:val="0"/>
      <w:szCs w:val="21"/>
    </w:rPr>
  </w:style>
  <w:style w:type="character" w:customStyle="1" w:styleId="133">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字符"/>
    <w:link w:val="48"/>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148"/>
    <w:autoRedefine/>
    <w:qFormat/>
    <w:uiPriority w:val="1"/>
    <w:rPr>
      <w:sz w:val="22"/>
      <w:szCs w:val="22"/>
      <w:lang w:val="en-US" w:eastAsia="zh-CN" w:bidi="ar-SA"/>
    </w:rPr>
  </w:style>
  <w:style w:type="paragraph" w:customStyle="1" w:styleId="148">
    <w:name w:val="无间隔1"/>
    <w:link w:val="147"/>
    <w:autoRedefine/>
    <w:qFormat/>
    <w:uiPriority w:val="1"/>
    <w:rPr>
      <w:rFonts w:ascii="Times New Roman" w:hAnsi="Times New Roman" w:eastAsia="宋体" w:cs="Times New Roman"/>
      <w:sz w:val="22"/>
      <w:szCs w:val="22"/>
      <w:lang w:val="en-US" w:eastAsia="zh-CN" w:bidi="ar-SA"/>
    </w:rPr>
  </w:style>
  <w:style w:type="character" w:customStyle="1" w:styleId="149">
    <w:name w:val="样式7 Char"/>
    <w:autoRedefine/>
    <w:qFormat/>
    <w:uiPriority w:val="0"/>
    <w:rPr>
      <w:rFonts w:ascii="仿宋_GB2312" w:hAnsi="仿宋" w:eastAsia="仿宋_GB2312"/>
      <w:b/>
      <w:kern w:val="2"/>
      <w:sz w:val="24"/>
      <w:szCs w:val="24"/>
    </w:rPr>
  </w:style>
  <w:style w:type="character" w:customStyle="1" w:styleId="150">
    <w:name w:val="font12gray1"/>
    <w:autoRedefine/>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autoRedefine/>
    <w:qFormat/>
    <w:locked/>
    <w:uiPriority w:val="0"/>
    <w:rPr>
      <w:rFonts w:eastAsia="宋体"/>
      <w:kern w:val="2"/>
      <w:sz w:val="21"/>
      <w:szCs w:val="24"/>
      <w:lang w:val="en-US" w:eastAsia="zh-CN" w:bidi="ar-SA"/>
    </w:rPr>
  </w:style>
  <w:style w:type="character" w:customStyle="1" w:styleId="154">
    <w:name w:val="font41"/>
    <w:autoRedefine/>
    <w:qFormat/>
    <w:uiPriority w:val="0"/>
    <w:rPr>
      <w:rFonts w:hint="eastAsia" w:ascii="仿宋_GB2312" w:eastAsia="仿宋_GB2312" w:cs="仿宋_GB2312"/>
      <w:color w:val="000000"/>
      <w:sz w:val="22"/>
      <w:szCs w:val="22"/>
      <w:u w:val="none"/>
    </w:rPr>
  </w:style>
  <w:style w:type="character" w:customStyle="1" w:styleId="155">
    <w:name w:val="标题 6 字符"/>
    <w:link w:val="7"/>
    <w:autoRedefine/>
    <w:qFormat/>
    <w:uiPriority w:val="0"/>
    <w:rPr>
      <w:rFonts w:ascii="Arial" w:hAnsi="Arial" w:eastAsia="黑体"/>
      <w:b/>
      <w:bCs/>
      <w:kern w:val="2"/>
      <w:sz w:val="24"/>
      <w:szCs w:val="24"/>
    </w:rPr>
  </w:style>
  <w:style w:type="character" w:customStyle="1" w:styleId="156">
    <w:name w:val="纯文本 Char_0"/>
    <w:link w:val="157"/>
    <w:autoRedefine/>
    <w:qFormat/>
    <w:uiPriority w:val="0"/>
    <w:rPr>
      <w:rFonts w:ascii="宋体" w:hAnsi="Courier New"/>
      <w:kern w:val="2"/>
      <w:sz w:val="21"/>
      <w:szCs w:val="21"/>
      <w:lang w:val="en-US" w:eastAsia="zh-CN"/>
    </w:rPr>
  </w:style>
  <w:style w:type="paragraph" w:customStyle="1" w:styleId="157">
    <w:name w:val="纯文本_0_0"/>
    <w:basedOn w:val="158"/>
    <w:link w:val="156"/>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autoRedefine/>
    <w:qFormat/>
    <w:locked/>
    <w:uiPriority w:val="0"/>
    <w:rPr>
      <w:rFonts w:eastAsia="宋体"/>
      <w:kern w:val="2"/>
      <w:sz w:val="18"/>
      <w:szCs w:val="18"/>
      <w:lang w:val="en-US" w:eastAsia="zh-CN" w:bidi="ar-SA"/>
    </w:rPr>
  </w:style>
  <w:style w:type="character" w:customStyle="1" w:styleId="160">
    <w:name w:val="正文 项目2 Char"/>
    <w:basedOn w:val="161"/>
    <w:autoRedefine/>
    <w:qFormat/>
    <w:uiPriority w:val="0"/>
    <w:rPr>
      <w:rFonts w:ascii="仿宋_GB2312" w:hAnsi="仿宋_GB2312" w:eastAsia="仿宋_GB2312"/>
      <w:kern w:val="2"/>
      <w:sz w:val="24"/>
      <w:lang w:bidi="ar-SA"/>
    </w:rPr>
  </w:style>
  <w:style w:type="character" w:customStyle="1" w:styleId="161">
    <w:name w:val="正文 项目 Char"/>
    <w:autoRedefine/>
    <w:qFormat/>
    <w:uiPriority w:val="0"/>
    <w:rPr>
      <w:rFonts w:ascii="仿宋_GB2312" w:hAnsi="仿宋_GB2312" w:eastAsia="仿宋_GB2312"/>
      <w:kern w:val="2"/>
      <w:sz w:val="24"/>
      <w:lang w:bidi="ar-SA"/>
    </w:rPr>
  </w:style>
  <w:style w:type="character" w:customStyle="1" w:styleId="162">
    <w:name w:val="h Char Char1"/>
    <w:autoRedefine/>
    <w:qFormat/>
    <w:uiPriority w:val="0"/>
    <w:rPr>
      <w:rFonts w:eastAsia="宋体"/>
      <w:kern w:val="2"/>
      <w:sz w:val="18"/>
      <w:szCs w:val="18"/>
      <w:lang w:val="en-US" w:eastAsia="zh-CN" w:bidi="ar-SA"/>
    </w:rPr>
  </w:style>
  <w:style w:type="character" w:customStyle="1" w:styleId="163">
    <w:name w:val="Char Char27"/>
    <w:autoRedefine/>
    <w:qFormat/>
    <w:uiPriority w:val="6"/>
    <w:rPr>
      <w:rFonts w:ascii="宋体" w:hAnsi="宋体" w:eastAsia="宋体"/>
      <w:color w:val="000000"/>
      <w:kern w:val="1"/>
      <w:sz w:val="28"/>
      <w:lang w:val="en-US" w:eastAsia="zh-CN" w:bidi="ar-SA"/>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autoRedefine/>
    <w:qFormat/>
    <w:uiPriority w:val="0"/>
    <w:rPr>
      <w:rFonts w:hint="default" w:ascii="Arial" w:hAnsi="Arial" w:cs="Arial"/>
      <w:b/>
      <w:bCs/>
      <w:color w:val="000000"/>
      <w:sz w:val="24"/>
      <w:szCs w:val="24"/>
    </w:rPr>
  </w:style>
  <w:style w:type="character" w:customStyle="1" w:styleId="168">
    <w:name w:val="正文（绿盟科技） Char"/>
    <w:link w:val="169"/>
    <w:autoRedefine/>
    <w:qFormat/>
    <w:uiPriority w:val="0"/>
    <w:rPr>
      <w:rFonts w:ascii="Arial" w:hAnsi="Arial"/>
      <w:sz w:val="21"/>
      <w:szCs w:val="21"/>
    </w:rPr>
  </w:style>
  <w:style w:type="paragraph" w:customStyle="1" w:styleId="169">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autoRedefine/>
    <w:qFormat/>
    <w:uiPriority w:val="6"/>
    <w:rPr>
      <w:rFonts w:ascii="宋体" w:hAnsi="宋体"/>
      <w:i/>
      <w:sz w:val="24"/>
      <w:szCs w:val="24"/>
    </w:rPr>
  </w:style>
  <w:style w:type="character" w:customStyle="1" w:styleId="171">
    <w:name w:val="页脚 Char"/>
    <w:autoRedefine/>
    <w:qFormat/>
    <w:uiPriority w:val="0"/>
    <w:rPr>
      <w:rFonts w:eastAsia="仿宋_GB2312"/>
      <w:kern w:val="2"/>
      <w:sz w:val="18"/>
      <w:lang w:val="en-US" w:eastAsia="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Comment Text Char"/>
    <w:autoRedefine/>
    <w:qFormat/>
    <w:locked/>
    <w:uiPriority w:val="0"/>
    <w:rPr>
      <w:rFonts w:ascii="宋体" w:hAnsi="宋体" w:eastAsia="宋体"/>
      <w:kern w:val="2"/>
      <w:sz w:val="24"/>
      <w:lang w:val="en-US" w:eastAsia="zh-CN" w:bidi="ar-SA"/>
    </w:rPr>
  </w:style>
  <w:style w:type="character" w:customStyle="1" w:styleId="174">
    <w:name w:val="标题 2 字符"/>
    <w:autoRedefine/>
    <w:qFormat/>
    <w:uiPriority w:val="1"/>
    <w:rPr>
      <w:rFonts w:ascii="仿宋_GB2312" w:hAnsi="Times New Roman" w:eastAsia="仿宋_GB2312" w:cs="Times New Roman"/>
      <w:b/>
      <w:kern w:val="2"/>
      <w:sz w:val="24"/>
      <w:lang w:val="zh-CN"/>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3"/>
    <w:link w:val="178"/>
    <w:autoRedefine/>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字符"/>
    <w:link w:val="36"/>
    <w:autoRedefine/>
    <w:qFormat/>
    <w:uiPriority w:val="0"/>
    <w:rPr>
      <w:rFonts w:ascii="宋体"/>
      <w:kern w:val="2"/>
      <w:sz w:val="24"/>
      <w:szCs w:val="21"/>
      <w:lang w:val="zh-CN"/>
    </w:rPr>
  </w:style>
  <w:style w:type="character" w:customStyle="1" w:styleId="190">
    <w:name w:val="标题 9 字符"/>
    <w:link w:val="10"/>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99"/>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字符1"/>
    <w:link w:val="39"/>
    <w:autoRedefine/>
    <w:qFormat/>
    <w:uiPriority w:val="0"/>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0"/>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字符"/>
    <w:link w:val="19"/>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标题 2 Char"/>
    <w:autoRedefine/>
    <w:qFormat/>
    <w:uiPriority w:val="0"/>
    <w:rPr>
      <w:rFonts w:ascii="Arial" w:hAnsi="Arial" w:eastAsia="黑体"/>
      <w:b/>
      <w:kern w:val="2"/>
      <w:sz w:val="32"/>
      <w:lang w:val="en-US" w:eastAsia="zh-CN"/>
    </w:rPr>
  </w:style>
  <w:style w:type="character" w:customStyle="1" w:styleId="218">
    <w:name w:val="maywed421"/>
    <w:autoRedefine/>
    <w:qFormat/>
    <w:uiPriority w:val="0"/>
    <w:rPr>
      <w:color w:val="366FB6"/>
      <w:u w:val="none"/>
    </w:rPr>
  </w:style>
  <w:style w:type="character" w:customStyle="1" w:styleId="219">
    <w:name w:val="正文文本缩进 Char"/>
    <w:autoRedefine/>
    <w:qFormat/>
    <w:uiPriority w:val="0"/>
    <w:rPr>
      <w:rFonts w:ascii="宋体" w:hAnsi="宋体"/>
      <w:kern w:val="2"/>
      <w:sz w:val="24"/>
      <w:szCs w:val="24"/>
    </w:rPr>
  </w:style>
  <w:style w:type="character" w:customStyle="1" w:styleId="220">
    <w:name w:val="Char Char102"/>
    <w:autoRedefine/>
    <w:semiHidden/>
    <w:qFormat/>
    <w:uiPriority w:val="0"/>
    <w:rPr>
      <w:rFonts w:ascii="宋体" w:hAnsi="宋体"/>
      <w:kern w:val="2"/>
      <w:sz w:val="21"/>
      <w:szCs w:val="24"/>
      <w:lang w:val="en-US" w:eastAsia="zh-CN"/>
    </w:rPr>
  </w:style>
  <w:style w:type="character" w:customStyle="1" w:styleId="221">
    <w:name w:val="页眉 Char1"/>
    <w:autoRedefine/>
    <w:qFormat/>
    <w:uiPriority w:val="0"/>
    <w:rPr>
      <w:rFonts w:eastAsia="宋体"/>
      <w:kern w:val="2"/>
      <w:sz w:val="18"/>
      <w:szCs w:val="18"/>
      <w:lang w:val="en-US" w:eastAsia="zh-CN" w:bidi="ar-SA"/>
    </w:rPr>
  </w:style>
  <w:style w:type="character" w:customStyle="1" w:styleId="222">
    <w:name w:val="md"/>
    <w:basedOn w:val="71"/>
    <w:autoRedefine/>
    <w:qFormat/>
    <w:uiPriority w:val="0"/>
    <w:rPr>
      <w:rFonts w:ascii="Arial" w:hAnsi="Arial" w:eastAsia="黑体" w:cs="Arial"/>
      <w:snapToGrid w:val="0"/>
      <w:kern w:val="0"/>
      <w:szCs w:val="21"/>
    </w:rPr>
  </w:style>
  <w:style w:type="character" w:customStyle="1" w:styleId="223">
    <w:name w:val="big1"/>
    <w:autoRedefine/>
    <w:qFormat/>
    <w:uiPriority w:val="0"/>
    <w:rPr>
      <w:rFonts w:hint="eastAsia" w:ascii="宋体" w:hAnsi="宋体" w:eastAsia="宋体"/>
      <w:color w:val="333333"/>
      <w:sz w:val="22"/>
      <w:szCs w:val="22"/>
    </w:rPr>
  </w:style>
  <w:style w:type="character" w:customStyle="1" w:styleId="224">
    <w:name w:val="Char Char311"/>
    <w:autoRedefine/>
    <w:qFormat/>
    <w:uiPriority w:val="0"/>
    <w:rPr>
      <w:rFonts w:eastAsia="宋体"/>
      <w:kern w:val="2"/>
      <w:sz w:val="21"/>
      <w:szCs w:val="24"/>
      <w:lang w:val="en-US" w:eastAsia="zh-CN" w:bidi="ar-SA"/>
    </w:rPr>
  </w:style>
  <w:style w:type="character" w:customStyle="1" w:styleId="225">
    <w:name w:val="Char Char81"/>
    <w:autoRedefine/>
    <w:qFormat/>
    <w:uiPriority w:val="6"/>
    <w:rPr>
      <w:rFonts w:eastAsia="宋体"/>
      <w:b/>
      <w:sz w:val="24"/>
      <w:lang w:val="en-GB" w:eastAsia="zh-CN"/>
    </w:rPr>
  </w:style>
  <w:style w:type="character" w:customStyle="1" w:styleId="226">
    <w:name w:val="样式3 Char"/>
    <w:basedOn w:val="177"/>
    <w:autoRedefine/>
    <w:qFormat/>
    <w:uiPriority w:val="0"/>
    <w:rPr>
      <w:rFonts w:ascii="仿宋_GB2312" w:hAnsi="仿宋" w:eastAsia="仿宋_GB2312" w:cs="仿宋_GB2312"/>
      <w:sz w:val="32"/>
      <w:szCs w:val="30"/>
      <w:lang w:val="zh-CN"/>
    </w:rPr>
  </w:style>
  <w:style w:type="character" w:customStyle="1" w:styleId="227">
    <w:name w:val="HTML 地址 字符"/>
    <w:link w:val="30"/>
    <w:autoRedefine/>
    <w:qFormat/>
    <w:uiPriority w:val="0"/>
    <w:rPr>
      <w:rFonts w:ascii="宋体" w:hAnsi="宋体"/>
      <w:i/>
      <w:iCs/>
      <w:sz w:val="24"/>
      <w:szCs w:val="24"/>
    </w:rPr>
  </w:style>
  <w:style w:type="character" w:customStyle="1" w:styleId="228">
    <w:name w:val="正文首行缩进 2 Char1"/>
    <w:autoRedefine/>
    <w:qFormat/>
    <w:uiPriority w:val="0"/>
    <w:rPr>
      <w:rFonts w:ascii="Times New Roman" w:hAnsi="Times New Roman" w:eastAsia="宋体" w:cs="Times New Roman"/>
      <w:kern w:val="2"/>
      <w:sz w:val="24"/>
      <w:szCs w:val="24"/>
    </w:rPr>
  </w:style>
  <w:style w:type="character" w:customStyle="1" w:styleId="229">
    <w:name w:val="副标题 Char2"/>
    <w:autoRedefine/>
    <w:qFormat/>
    <w:uiPriority w:val="0"/>
    <w:rPr>
      <w:rFonts w:ascii="Cambria" w:hAnsi="Cambria" w:eastAsia="宋体" w:cs="Times New Roman"/>
      <w:b/>
      <w:bCs/>
      <w:snapToGrid w:val="0"/>
      <w:kern w:val="28"/>
      <w:sz w:val="32"/>
      <w:szCs w:val="32"/>
    </w:rPr>
  </w:style>
  <w:style w:type="character" w:customStyle="1" w:styleId="230">
    <w:name w:val="标题4-dyf Char"/>
    <w:link w:val="231"/>
    <w:autoRedefine/>
    <w:qFormat/>
    <w:uiPriority w:val="0"/>
    <w:rPr>
      <w:rFonts w:ascii="Cambria" w:hAnsi="Cambria"/>
      <w:b/>
      <w:bCs/>
      <w:color w:val="000000"/>
      <w:kern w:val="2"/>
      <w:sz w:val="21"/>
      <w:szCs w:val="21"/>
    </w:rPr>
  </w:style>
  <w:style w:type="paragraph" w:customStyle="1" w:styleId="231">
    <w:name w:val="标题4-dyf"/>
    <w:basedOn w:val="5"/>
    <w:link w:val="23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autoRedefine/>
    <w:qFormat/>
    <w:uiPriority w:val="0"/>
    <w:rPr>
      <w:rFonts w:ascii="宋体" w:hAnsi="宋体" w:eastAsia="宋体"/>
      <w:color w:val="333333"/>
      <w:sz w:val="21"/>
      <w:szCs w:val="21"/>
      <w:u w:val="none"/>
    </w:rPr>
  </w:style>
  <w:style w:type="character" w:customStyle="1" w:styleId="233">
    <w:name w:val="冯 Char"/>
    <w:link w:val="234"/>
    <w:autoRedefine/>
    <w:qFormat/>
    <w:uiPriority w:val="0"/>
    <w:rPr>
      <w:rFonts w:ascii="宋体" w:hAnsi="宋体"/>
      <w:color w:val="000000"/>
      <w:sz w:val="24"/>
      <w:szCs w:val="24"/>
    </w:rPr>
  </w:style>
  <w:style w:type="paragraph" w:customStyle="1" w:styleId="234">
    <w:name w:val="冯"/>
    <w:basedOn w:val="1"/>
    <w:link w:val="23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autoRedefine/>
    <w:qFormat/>
    <w:locked/>
    <w:uiPriority w:val="0"/>
    <w:rPr>
      <w:rFonts w:eastAsia="宋体"/>
      <w:kern w:val="2"/>
      <w:sz w:val="18"/>
      <w:szCs w:val="18"/>
      <w:lang w:val="en-US" w:eastAsia="zh-CN" w:bidi="ar-SA"/>
    </w:rPr>
  </w:style>
  <w:style w:type="character" w:customStyle="1" w:styleId="236">
    <w:name w:val="Char Char12"/>
    <w:autoRedefine/>
    <w:qFormat/>
    <w:uiPriority w:val="0"/>
    <w:rPr>
      <w:rFonts w:ascii="仿宋_GB2312" w:eastAsia="仿宋_GB2312"/>
      <w:b/>
      <w:bCs/>
      <w:kern w:val="2"/>
      <w:sz w:val="24"/>
      <w:szCs w:val="24"/>
      <w:lang w:val="zh-CN" w:eastAsia="zh-CN" w:bidi="ar-SA"/>
    </w:rPr>
  </w:style>
  <w:style w:type="character" w:customStyle="1" w:styleId="237">
    <w:name w:val="题注 字符"/>
    <w:link w:val="17"/>
    <w:autoRedefine/>
    <w:qFormat/>
    <w:uiPriority w:val="0"/>
    <w:rPr>
      <w:b/>
      <w:kern w:val="2"/>
      <w:sz w:val="28"/>
    </w:rPr>
  </w:style>
  <w:style w:type="character" w:customStyle="1" w:styleId="238">
    <w:name w:val="普通文字 Char3"/>
    <w:autoRedefine/>
    <w:qFormat/>
    <w:uiPriority w:val="0"/>
    <w:rPr>
      <w:rFonts w:ascii="宋体" w:hAnsi="Courier New" w:eastAsia="宋体"/>
      <w:kern w:val="2"/>
      <w:sz w:val="21"/>
      <w:lang w:val="en-US" w:eastAsia="zh-CN" w:bidi="ar-SA"/>
    </w:rPr>
  </w:style>
  <w:style w:type="character" w:customStyle="1" w:styleId="239">
    <w:name w:val="公文正文 Char"/>
    <w:autoRedefine/>
    <w:qFormat/>
    <w:uiPriority w:val="0"/>
    <w:rPr>
      <w:rFonts w:ascii="仿宋_GB2312" w:eastAsia="仿宋_GB2312"/>
      <w:kern w:val="2"/>
      <w:sz w:val="24"/>
      <w:szCs w:val="24"/>
      <w:lang w:val="en-US" w:eastAsia="zh-CN" w:bidi="ar-SA"/>
    </w:rPr>
  </w:style>
  <w:style w:type="character" w:customStyle="1" w:styleId="240">
    <w:name w:val="正文首行缩进 Char Char Char Char Char"/>
    <w:autoRedefine/>
    <w:qFormat/>
    <w:uiPriority w:val="0"/>
    <w:rPr>
      <w:rFonts w:ascii="宋体"/>
      <w:kern w:val="2"/>
      <w:sz w:val="24"/>
      <w:lang w:val="zh-CN"/>
    </w:rPr>
  </w:style>
  <w:style w:type="character" w:customStyle="1" w:styleId="241">
    <w:name w:val="PI Char"/>
    <w:autoRedefine/>
    <w:qFormat/>
    <w:uiPriority w:val="0"/>
    <w:rPr>
      <w:rFonts w:ascii="宋体" w:hAnsi="宋体" w:eastAsia="宋体"/>
      <w:kern w:val="2"/>
      <w:sz w:val="24"/>
      <w:szCs w:val="24"/>
      <w:lang w:val="en-US" w:eastAsia="zh-CN" w:bidi="ar-SA"/>
    </w:rPr>
  </w:style>
  <w:style w:type="character" w:customStyle="1" w:styleId="242">
    <w:name w:val="Default Char"/>
    <w:link w:val="82"/>
    <w:autoRedefine/>
    <w:qFormat/>
    <w:uiPriority w:val="0"/>
    <w:rPr>
      <w:rFonts w:ascii="仿宋_GB2312" w:eastAsia="仿宋_GB2312" w:cs="仿宋_GB2312"/>
      <w:color w:val="000000"/>
      <w:sz w:val="24"/>
      <w:szCs w:val="24"/>
      <w:lang w:val="en-US" w:eastAsia="zh-CN" w:bidi="ar-SA"/>
    </w:rPr>
  </w:style>
  <w:style w:type="paragraph" w:customStyle="1" w:styleId="24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4">
    <w:name w:val="style91"/>
    <w:autoRedefine/>
    <w:qFormat/>
    <w:uiPriority w:val="0"/>
    <w:rPr>
      <w:color w:val="333333"/>
    </w:rPr>
  </w:style>
  <w:style w:type="character" w:customStyle="1" w:styleId="245">
    <w:name w:val="列出段落 Char2"/>
    <w:autoRedefine/>
    <w:qFormat/>
    <w:uiPriority w:val="34"/>
    <w:rPr>
      <w:rFonts w:ascii="Calibri" w:hAnsi="Calibri"/>
      <w:kern w:val="2"/>
      <w:sz w:val="28"/>
    </w:rPr>
  </w:style>
  <w:style w:type="character" w:customStyle="1" w:styleId="246">
    <w:name w:val="mdeck"/>
    <w:autoRedefine/>
    <w:qFormat/>
    <w:uiPriority w:val="0"/>
    <w:rPr>
      <w:rFonts w:ascii="仿宋_GB2312" w:eastAsia="微软雅黑"/>
      <w:b/>
      <w:kern w:val="2"/>
      <w:sz w:val="32"/>
      <w:szCs w:val="32"/>
      <w:lang w:val="en-US" w:eastAsia="zh-CN" w:bidi="ar-SA"/>
    </w:rPr>
  </w:style>
  <w:style w:type="character" w:customStyle="1" w:styleId="247">
    <w:name w:val="unnamed11"/>
    <w:autoRedefine/>
    <w:qFormat/>
    <w:uiPriority w:val="0"/>
    <w:rPr>
      <w:sz w:val="20"/>
      <w:szCs w:val="20"/>
    </w:rPr>
  </w:style>
  <w:style w:type="character" w:customStyle="1" w:styleId="248">
    <w:name w:val="正文文本 Char2"/>
    <w:autoRedefine/>
    <w:semiHidden/>
    <w:qFormat/>
    <w:uiPriority w:val="99"/>
    <w:rPr>
      <w:rFonts w:ascii="Times New Roman" w:hAnsi="Times New Roman" w:eastAsia="宋体" w:cs="Times New Roman"/>
      <w:snapToGrid w:val="0"/>
      <w:kern w:val="0"/>
      <w:szCs w:val="24"/>
    </w:rPr>
  </w:style>
  <w:style w:type="character" w:customStyle="1" w:styleId="249">
    <w:name w:val="标书正文格式 Char"/>
    <w:autoRedefine/>
    <w:qFormat/>
    <w:uiPriority w:val="0"/>
    <w:rPr>
      <w:rFonts w:eastAsia="楷体_GB2312"/>
      <w:kern w:val="2"/>
      <w:sz w:val="24"/>
      <w:szCs w:val="24"/>
      <w:lang w:bidi="ar-SA"/>
    </w:rPr>
  </w:style>
  <w:style w:type="character" w:customStyle="1" w:styleId="250">
    <w:name w:val="Char Char11"/>
    <w:autoRedefine/>
    <w:qFormat/>
    <w:locked/>
    <w:uiPriority w:val="0"/>
    <w:rPr>
      <w:rFonts w:ascii="宋体" w:hAnsi="宋体" w:eastAsia="宋体"/>
      <w:b/>
      <w:kern w:val="2"/>
      <w:sz w:val="24"/>
      <w:szCs w:val="24"/>
      <w:lang w:val="en-US" w:eastAsia="zh-CN" w:bidi="ar-SA"/>
    </w:rPr>
  </w:style>
  <w:style w:type="character" w:customStyle="1" w:styleId="251">
    <w:name w:val="ca-131"/>
    <w:autoRedefine/>
    <w:qFormat/>
    <w:uiPriority w:val="0"/>
    <w:rPr>
      <w:rFonts w:hint="eastAsia" w:ascii="仿宋_GB2312" w:eastAsia="仿宋_GB2312"/>
      <w:b/>
      <w:bCs/>
      <w:color w:val="000000"/>
      <w:spacing w:val="-20"/>
      <w:sz w:val="24"/>
      <w:szCs w:val="24"/>
    </w:rPr>
  </w:style>
  <w:style w:type="character" w:customStyle="1" w:styleId="252">
    <w:name w:val="tw4winMark"/>
    <w:autoRedefine/>
    <w:qFormat/>
    <w:uiPriority w:val="0"/>
    <w:rPr>
      <w:rFonts w:ascii="Courier New" w:hAnsi="Courier New" w:cs="Courier New"/>
      <w:vanish/>
      <w:color w:val="800080"/>
      <w:sz w:val="24"/>
      <w:szCs w:val="24"/>
      <w:vertAlign w:val="subscript"/>
    </w:rPr>
  </w:style>
  <w:style w:type="character" w:customStyle="1" w:styleId="253">
    <w:name w:val="正文样式 Char"/>
    <w:link w:val="254"/>
    <w:autoRedefine/>
    <w:qFormat/>
    <w:uiPriority w:val="0"/>
    <w:rPr>
      <w:rFonts w:ascii="Calibri" w:hAnsi="Calibri"/>
      <w:sz w:val="24"/>
      <w:szCs w:val="24"/>
    </w:rPr>
  </w:style>
  <w:style w:type="paragraph" w:customStyle="1" w:styleId="254">
    <w:name w:val="正文样式"/>
    <w:basedOn w:val="1"/>
    <w:link w:val="253"/>
    <w:autoRedefine/>
    <w:qFormat/>
    <w:uiPriority w:val="0"/>
    <w:pPr>
      <w:adjustRightInd/>
      <w:spacing w:line="360" w:lineRule="auto"/>
      <w:ind w:firstLine="480" w:firstLineChars="200"/>
    </w:pPr>
    <w:rPr>
      <w:kern w:val="0"/>
      <w:sz w:val="24"/>
    </w:rPr>
  </w:style>
  <w:style w:type="character" w:customStyle="1" w:styleId="255">
    <w:name w:val="表正文 Char3"/>
    <w:autoRedefine/>
    <w:qFormat/>
    <w:uiPriority w:val="0"/>
    <w:rPr>
      <w:rFonts w:eastAsia="宋体"/>
    </w:rPr>
  </w:style>
  <w:style w:type="character" w:customStyle="1" w:styleId="256">
    <w:name w:val="H5 Char"/>
    <w:autoRedefine/>
    <w:qFormat/>
    <w:uiPriority w:val="0"/>
    <w:rPr>
      <w:b/>
      <w:bCs/>
      <w:kern w:val="2"/>
      <w:sz w:val="28"/>
      <w:szCs w:val="28"/>
    </w:rPr>
  </w:style>
  <w:style w:type="character" w:customStyle="1" w:styleId="257">
    <w:name w:val="Char Char3"/>
    <w:autoRedefine/>
    <w:qFormat/>
    <w:uiPriority w:val="0"/>
    <w:rPr>
      <w:rFonts w:eastAsia="宋体"/>
      <w:kern w:val="2"/>
      <w:sz w:val="21"/>
      <w:szCs w:val="24"/>
      <w:lang w:val="en-US" w:eastAsia="zh-CN" w:bidi="ar-SA"/>
    </w:rPr>
  </w:style>
  <w:style w:type="character" w:customStyle="1" w:styleId="258">
    <w:name w:val="正文 编号 Char"/>
    <w:autoRedefine/>
    <w:qFormat/>
    <w:uiPriority w:val="0"/>
    <w:rPr>
      <w:rFonts w:ascii="仿宋_GB2312" w:hAnsi="仿宋_GB2312" w:eastAsia="仿宋_GB2312"/>
      <w:kern w:val="2"/>
      <w:sz w:val="24"/>
      <w:lang w:bidi="ar-SA"/>
    </w:rPr>
  </w:style>
  <w:style w:type="character" w:customStyle="1" w:styleId="259">
    <w:name w:val="question-title2"/>
    <w:autoRedefine/>
    <w:qFormat/>
    <w:uiPriority w:val="6"/>
    <w:rPr>
      <w:rFonts w:ascii="Arial" w:hAnsi="Arial" w:eastAsia="黑体" w:cs="Arial"/>
      <w:snapToGrid w:val="0"/>
      <w:kern w:val="0"/>
      <w:szCs w:val="21"/>
    </w:rPr>
  </w:style>
  <w:style w:type="character" w:customStyle="1" w:styleId="260">
    <w:name w:val="gf正文1 Char Char"/>
    <w:link w:val="261"/>
    <w:autoRedefine/>
    <w:qFormat/>
    <w:uiPriority w:val="0"/>
    <w:rPr>
      <w:rFonts w:ascii="宋体" w:hAnsi="宋体" w:cs="宋体"/>
      <w:kern w:val="2"/>
      <w:sz w:val="24"/>
      <w:szCs w:val="24"/>
    </w:rPr>
  </w:style>
  <w:style w:type="paragraph" w:customStyle="1" w:styleId="261">
    <w:name w:val="gf正文1"/>
    <w:basedOn w:val="1"/>
    <w:link w:val="26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autoRedefine/>
    <w:qFormat/>
    <w:uiPriority w:val="6"/>
    <w:rPr>
      <w:rFonts w:ascii="宋体" w:hAnsi="宋体"/>
      <w:kern w:val="1"/>
      <w:sz w:val="21"/>
    </w:rPr>
  </w:style>
  <w:style w:type="character" w:customStyle="1" w:styleId="263">
    <w:name w:val="正文缩进 Char3"/>
    <w:autoRedefine/>
    <w:qFormat/>
    <w:uiPriority w:val="0"/>
    <w:rPr>
      <w:rFonts w:ascii="宋体" w:eastAsia="宋体"/>
      <w:snapToGrid w:val="0"/>
      <w:color w:val="000000"/>
      <w:kern w:val="28"/>
      <w:sz w:val="28"/>
      <w:lang w:val="en-US" w:eastAsia="zh-CN" w:bidi="ar-SA"/>
    </w:rPr>
  </w:style>
  <w:style w:type="character" w:customStyle="1" w:styleId="264">
    <w:name w:val="列出段落 Char1"/>
    <w:link w:val="265"/>
    <w:autoRedefine/>
    <w:qFormat/>
    <w:uiPriority w:val="0"/>
    <w:rPr>
      <w:rFonts w:ascii="Calibri" w:hAnsi="Calibri"/>
      <w:sz w:val="24"/>
      <w:lang w:eastAsia="en-US"/>
    </w:rPr>
  </w:style>
  <w:style w:type="paragraph" w:customStyle="1" w:styleId="265">
    <w:name w:val="列表1"/>
    <w:basedOn w:val="1"/>
    <w:next w:val="88"/>
    <w:link w:val="264"/>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autoRedefine/>
    <w:qFormat/>
    <w:uiPriority w:val="0"/>
    <w:rPr>
      <w:rFonts w:eastAsia="宋体"/>
      <w:b/>
      <w:sz w:val="24"/>
      <w:lang w:val="en-GB" w:eastAsia="zh-CN"/>
    </w:rPr>
  </w:style>
  <w:style w:type="character" w:customStyle="1" w:styleId="267">
    <w:name w:val="Normal Indent Char Char"/>
    <w:autoRedefine/>
    <w:qFormat/>
    <w:uiPriority w:val="0"/>
    <w:rPr>
      <w:rFonts w:eastAsia="宋体"/>
      <w:kern w:val="2"/>
      <w:sz w:val="21"/>
      <w:lang w:val="en-US" w:eastAsia="zh-CN" w:bidi="ar-SA"/>
    </w:rPr>
  </w:style>
  <w:style w:type="character" w:customStyle="1" w:styleId="268">
    <w:name w:val="列表段落 字符"/>
    <w:autoRedefine/>
    <w:qFormat/>
    <w:uiPriority w:val="99"/>
  </w:style>
  <w:style w:type="character" w:customStyle="1" w:styleId="269">
    <w:name w:val="Ò³Ã¼ Char Char1"/>
    <w:autoRedefine/>
    <w:qFormat/>
    <w:uiPriority w:val="0"/>
    <w:rPr>
      <w:rFonts w:eastAsia="宋体"/>
      <w:kern w:val="2"/>
      <w:sz w:val="18"/>
      <w:szCs w:val="18"/>
      <w:lang w:val="en-US" w:eastAsia="zh-CN" w:bidi="ar-SA"/>
    </w:rPr>
  </w:style>
  <w:style w:type="character" w:customStyle="1" w:styleId="270">
    <w:name w:val="方案正文 Char"/>
    <w:autoRedefine/>
    <w:qFormat/>
    <w:uiPriority w:val="0"/>
    <w:rPr>
      <w:rFonts w:ascii="仿宋_GB2312" w:eastAsia="仿宋_GB2312"/>
      <w:b/>
      <w:color w:val="000000"/>
      <w:kern w:val="2"/>
      <w:sz w:val="24"/>
      <w:lang w:val="en-US" w:eastAsia="zh-CN" w:bidi="ar-SA"/>
    </w:rPr>
  </w:style>
  <w:style w:type="character" w:customStyle="1" w:styleId="271">
    <w:name w:val="Char Char30"/>
    <w:autoRedefine/>
    <w:qFormat/>
    <w:uiPriority w:val="6"/>
    <w:rPr>
      <w:rFonts w:ascii="Arial" w:hAnsi="Arial" w:eastAsia="黑体"/>
      <w:kern w:val="1"/>
      <w:sz w:val="21"/>
      <w:szCs w:val="21"/>
    </w:rPr>
  </w:style>
  <w:style w:type="character" w:customStyle="1" w:styleId="272">
    <w:name w:val="正文文本缩进 字符1"/>
    <w:link w:val="25"/>
    <w:autoRedefine/>
    <w:qFormat/>
    <w:uiPriority w:val="0"/>
    <w:rPr>
      <w:rFonts w:ascii="宋体" w:hAnsi="宋体"/>
      <w:kern w:val="2"/>
      <w:sz w:val="24"/>
      <w:szCs w:val="24"/>
    </w:rPr>
  </w:style>
  <w:style w:type="character" w:customStyle="1" w:styleId="273">
    <w:name w:val="font01"/>
    <w:autoRedefine/>
    <w:qFormat/>
    <w:uiPriority w:val="0"/>
    <w:rPr>
      <w:rFonts w:hint="eastAsia" w:ascii="微软雅黑" w:hAnsi="微软雅黑" w:eastAsia="微软雅黑" w:cs="微软雅黑"/>
      <w:color w:val="000000"/>
      <w:sz w:val="20"/>
      <w:szCs w:val="20"/>
      <w:u w:val="none"/>
    </w:rPr>
  </w:style>
  <w:style w:type="character" w:customStyle="1" w:styleId="274">
    <w:name w:val="Char Char20"/>
    <w:autoRedefine/>
    <w:qFormat/>
    <w:uiPriority w:val="6"/>
    <w:rPr>
      <w:kern w:val="1"/>
      <w:sz w:val="24"/>
    </w:rPr>
  </w:style>
  <w:style w:type="character" w:customStyle="1" w:styleId="275">
    <w:name w:val="tw4winExternal"/>
    <w:autoRedefine/>
    <w:qFormat/>
    <w:uiPriority w:val="0"/>
    <w:rPr>
      <w:rFonts w:ascii="Courier New" w:hAnsi="Courier New" w:cs="Courier New"/>
      <w:color w:val="808080"/>
      <w:lang w:val="en-US" w:eastAsia="zh-CN"/>
    </w:rPr>
  </w:style>
  <w:style w:type="character" w:customStyle="1" w:styleId="276">
    <w:name w:val="标题 4 Char1"/>
    <w:autoRedefine/>
    <w:qFormat/>
    <w:uiPriority w:val="9"/>
    <w:rPr>
      <w:rFonts w:ascii="Cambria" w:hAnsi="Cambria" w:eastAsia="宋体" w:cs="Times New Roman"/>
      <w:b/>
      <w:bCs/>
      <w:kern w:val="2"/>
      <w:sz w:val="28"/>
      <w:szCs w:val="28"/>
    </w:rPr>
  </w:style>
  <w:style w:type="character" w:customStyle="1" w:styleId="277">
    <w:name w:val="批注文字 Char2"/>
    <w:autoRedefine/>
    <w:qFormat/>
    <w:uiPriority w:val="99"/>
    <w:rPr>
      <w:rFonts w:ascii="Times New Roman" w:hAnsi="Times New Roman" w:eastAsia="宋体" w:cs="Times New Roman"/>
      <w:snapToGrid w:val="0"/>
      <w:kern w:val="0"/>
      <w:szCs w:val="24"/>
    </w:rPr>
  </w:style>
  <w:style w:type="character" w:customStyle="1" w:styleId="278">
    <w:name w:val="正文文本 2 Char"/>
    <w:autoRedefine/>
    <w:qFormat/>
    <w:uiPriority w:val="0"/>
    <w:rPr>
      <w:rFonts w:eastAsia="宋体"/>
      <w:kern w:val="2"/>
      <w:sz w:val="21"/>
      <w:szCs w:val="24"/>
      <w:lang w:val="en-US" w:eastAsia="zh-CN" w:bidi="ar-SA"/>
    </w:rPr>
  </w:style>
  <w:style w:type="character" w:customStyle="1" w:styleId="279">
    <w:name w:val="Ò³Ã¼ Char Char"/>
    <w:autoRedefine/>
    <w:qFormat/>
    <w:uiPriority w:val="0"/>
    <w:rPr>
      <w:rFonts w:eastAsia="宋体"/>
      <w:kern w:val="2"/>
      <w:sz w:val="18"/>
      <w:lang w:val="en-US" w:eastAsia="zh-CN" w:bidi="ar-SA"/>
    </w:rPr>
  </w:style>
  <w:style w:type="character" w:customStyle="1" w:styleId="280">
    <w:name w:val="message1"/>
    <w:autoRedefine/>
    <w:qFormat/>
    <w:uiPriority w:val="0"/>
    <w:rPr>
      <w:rFonts w:hint="default" w:ascii="Tahoma" w:hAnsi="Tahoma" w:cs="Tahoma"/>
      <w:sz w:val="18"/>
      <w:szCs w:val="18"/>
    </w:rPr>
  </w:style>
  <w:style w:type="character" w:customStyle="1" w:styleId="281">
    <w:name w:val="Char Char23"/>
    <w:autoRedefine/>
    <w:qFormat/>
    <w:uiPriority w:val="6"/>
    <w:rPr>
      <w:color w:val="0000FF"/>
      <w:sz w:val="21"/>
    </w:rPr>
  </w:style>
  <w:style w:type="character" w:customStyle="1" w:styleId="282">
    <w:name w:val="批注框文本 字符"/>
    <w:autoRedefine/>
    <w:qFormat/>
    <w:uiPriority w:val="0"/>
    <w:rPr>
      <w:rFonts w:ascii="Arial" w:hAnsi="Arial" w:eastAsia="黑体" w:cs="Arial"/>
      <w:snapToGrid w:val="0"/>
      <w:kern w:val="0"/>
      <w:sz w:val="18"/>
      <w:szCs w:val="18"/>
    </w:rPr>
  </w:style>
  <w:style w:type="character" w:customStyle="1" w:styleId="283">
    <w:name w:val="纯文本 Char2"/>
    <w:autoRedefine/>
    <w:semiHidden/>
    <w:qFormat/>
    <w:uiPriority w:val="99"/>
    <w:rPr>
      <w:rFonts w:ascii="宋体" w:hAnsi="Courier New" w:eastAsia="宋体" w:cs="Courier New"/>
    </w:rPr>
  </w:style>
  <w:style w:type="character" w:customStyle="1" w:styleId="284">
    <w:name w:val="Char Char25"/>
    <w:autoRedefine/>
    <w:qFormat/>
    <w:uiPriority w:val="6"/>
    <w:rPr>
      <w:rFonts w:ascii="宋体" w:hAnsi="宋体"/>
      <w:kern w:val="1"/>
      <w:sz w:val="24"/>
      <w:lang w:val="zh-CN"/>
    </w:rPr>
  </w:style>
  <w:style w:type="character" w:customStyle="1" w:styleId="285">
    <w:name w:val="Char Char411"/>
    <w:autoRedefine/>
    <w:qFormat/>
    <w:uiPriority w:val="0"/>
    <w:rPr>
      <w:rFonts w:eastAsia="宋体"/>
      <w:b/>
      <w:sz w:val="24"/>
      <w:lang w:val="en-GB" w:eastAsia="zh-CN" w:bidi="ar-SA"/>
    </w:rPr>
  </w:style>
  <w:style w:type="character" w:customStyle="1" w:styleId="286">
    <w:name w:val="Heading 7 Char"/>
    <w:autoRedefine/>
    <w:qFormat/>
    <w:locked/>
    <w:uiPriority w:val="0"/>
    <w:rPr>
      <w:rFonts w:ascii="宋体" w:hAnsi="宋体" w:eastAsia="宋体"/>
      <w:b/>
      <w:bCs/>
      <w:kern w:val="2"/>
      <w:sz w:val="24"/>
      <w:szCs w:val="24"/>
      <w:lang w:val="en-US" w:eastAsia="zh-CN" w:bidi="ar-SA"/>
    </w:rPr>
  </w:style>
  <w:style w:type="character" w:customStyle="1" w:styleId="287">
    <w:name w:val="此正文 Char"/>
    <w:link w:val="288"/>
    <w:autoRedefine/>
    <w:qFormat/>
    <w:uiPriority w:val="0"/>
    <w:rPr>
      <w:kern w:val="2"/>
      <w:sz w:val="24"/>
      <w:szCs w:val="24"/>
    </w:rPr>
  </w:style>
  <w:style w:type="paragraph" w:customStyle="1" w:styleId="288">
    <w:name w:val="此正文"/>
    <w:basedOn w:val="1"/>
    <w:link w:val="287"/>
    <w:autoRedefine/>
    <w:qFormat/>
    <w:uiPriority w:val="0"/>
    <w:pPr>
      <w:adjustRightInd/>
      <w:spacing w:line="360" w:lineRule="auto"/>
      <w:ind w:firstLine="200" w:firstLineChars="200"/>
    </w:pPr>
    <w:rPr>
      <w:sz w:val="24"/>
    </w:rPr>
  </w:style>
  <w:style w:type="character" w:customStyle="1" w:styleId="289">
    <w:name w:val="Char Char2"/>
    <w:autoRedefine/>
    <w:qFormat/>
    <w:uiPriority w:val="0"/>
    <w:rPr>
      <w:rFonts w:eastAsia="宋体"/>
      <w:b/>
      <w:bCs/>
      <w:kern w:val="2"/>
      <w:sz w:val="21"/>
      <w:szCs w:val="24"/>
      <w:lang w:val="en-US" w:eastAsia="zh-CN" w:bidi="ar-SA"/>
    </w:rPr>
  </w:style>
  <w:style w:type="character" w:customStyle="1" w:styleId="290">
    <w:name w:val="标题 1 字符1"/>
    <w:link w:val="2"/>
    <w:autoRedefine/>
    <w:qFormat/>
    <w:uiPriority w:val="9"/>
    <w:rPr>
      <w:b/>
      <w:bCs/>
      <w:kern w:val="44"/>
      <w:sz w:val="44"/>
      <w:szCs w:val="44"/>
    </w:rPr>
  </w:style>
  <w:style w:type="character" w:customStyle="1" w:styleId="291">
    <w:name w:val="Footer-Even Char1"/>
    <w:autoRedefine/>
    <w:qFormat/>
    <w:uiPriority w:val="0"/>
    <w:rPr>
      <w:rFonts w:eastAsia="宋体"/>
      <w:kern w:val="2"/>
      <w:sz w:val="18"/>
      <w:szCs w:val="18"/>
      <w:lang w:val="en-US" w:eastAsia="zh-CN" w:bidi="ar-SA"/>
    </w:rPr>
  </w:style>
  <w:style w:type="character" w:customStyle="1" w:styleId="292">
    <w:name w:val="Char Char29"/>
    <w:autoRedefine/>
    <w:qFormat/>
    <w:uiPriority w:val="6"/>
    <w:rPr>
      <w:rFonts w:ascii="Arial" w:hAnsi="Arial" w:eastAsia="微软雅黑"/>
      <w:b/>
      <w:kern w:val="1"/>
      <w:sz w:val="44"/>
      <w:szCs w:val="32"/>
      <w:lang w:val="en-US" w:eastAsia="zh-CN" w:bidi="ar-SA"/>
    </w:rPr>
  </w:style>
  <w:style w:type="character" w:customStyle="1" w:styleId="293">
    <w:name w:val="标题 字符"/>
    <w:link w:val="60"/>
    <w:autoRedefine/>
    <w:qFormat/>
    <w:uiPriority w:val="10"/>
    <w:rPr>
      <w:b/>
      <w:sz w:val="24"/>
      <w:lang w:val="en-GB"/>
    </w:rPr>
  </w:style>
  <w:style w:type="character" w:customStyle="1" w:styleId="294">
    <w:name w:val="font81"/>
    <w:autoRedefine/>
    <w:qFormat/>
    <w:uiPriority w:val="0"/>
    <w:rPr>
      <w:rFonts w:ascii="微软雅黑" w:hAnsi="微软雅黑" w:eastAsia="微软雅黑" w:cs="微软雅黑"/>
      <w:color w:val="000000"/>
      <w:sz w:val="20"/>
      <w:szCs w:val="20"/>
      <w:u w:val="none"/>
    </w:rPr>
  </w:style>
  <w:style w:type="character" w:customStyle="1" w:styleId="29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6">
    <w:name w:val="t21"/>
    <w:autoRedefine/>
    <w:qFormat/>
    <w:uiPriority w:val="0"/>
    <w:rPr>
      <w:rFonts w:ascii="仿宋_GB2312" w:eastAsia="微软雅黑"/>
      <w:b/>
      <w:kern w:val="2"/>
      <w:sz w:val="23"/>
      <w:szCs w:val="23"/>
      <w:lang w:val="en-US" w:eastAsia="zh-CN" w:bidi="ar-SA"/>
    </w:rPr>
  </w:style>
  <w:style w:type="character" w:customStyle="1" w:styleId="297">
    <w:name w:val="样式8 Char"/>
    <w:autoRedefine/>
    <w:qFormat/>
    <w:uiPriority w:val="0"/>
    <w:rPr>
      <w:rFonts w:ascii="仿宋_GB2312" w:hAnsi="宋体" w:eastAsia="仿宋_GB2312"/>
      <w:b/>
      <w:bCs/>
      <w:kern w:val="2"/>
      <w:sz w:val="24"/>
      <w:szCs w:val="24"/>
    </w:rPr>
  </w:style>
  <w:style w:type="character" w:customStyle="1" w:styleId="298">
    <w:name w:val="表格 Char Char"/>
    <w:autoRedefine/>
    <w:qFormat/>
    <w:uiPriority w:val="0"/>
    <w:rPr>
      <w:rFonts w:ascii="宋体" w:hAnsi="宋体" w:eastAsia="宋体"/>
      <w:lang w:bidi="ar-SA"/>
    </w:rPr>
  </w:style>
  <w:style w:type="character" w:customStyle="1" w:styleId="299">
    <w:name w:val="正文文本 字符1"/>
    <w:autoRedefine/>
    <w:qFormat/>
    <w:uiPriority w:val="0"/>
    <w:rPr>
      <w:rFonts w:ascii="Calibri" w:hAnsi="Calibri" w:eastAsia="黑体" w:cs="Arial"/>
      <w:snapToGrid w:val="0"/>
      <w:kern w:val="2"/>
      <w:sz w:val="28"/>
      <w:szCs w:val="21"/>
    </w:rPr>
  </w:style>
  <w:style w:type="character" w:customStyle="1" w:styleId="300">
    <w:name w:val="标题 5 字符"/>
    <w:link w:val="6"/>
    <w:autoRedefine/>
    <w:qFormat/>
    <w:uiPriority w:val="9"/>
    <w:rPr>
      <w:b/>
      <w:bCs/>
      <w:kern w:val="2"/>
      <w:sz w:val="28"/>
      <w:szCs w:val="28"/>
    </w:rPr>
  </w:style>
  <w:style w:type="character" w:customStyle="1" w:styleId="301">
    <w:name w:val="标题 6 Char1"/>
    <w:autoRedefine/>
    <w:qFormat/>
    <w:uiPriority w:val="0"/>
    <w:rPr>
      <w:rFonts w:ascii="Arial" w:hAnsi="Arial" w:eastAsia="黑体" w:cs="Times New Roman"/>
      <w:b/>
      <w:sz w:val="24"/>
      <w:szCs w:val="20"/>
      <w:lang w:bidi="ar-SA"/>
    </w:rPr>
  </w:style>
  <w:style w:type="character" w:customStyle="1" w:styleId="302">
    <w:name w:val="带编号样式 Char"/>
    <w:autoRedefine/>
    <w:qFormat/>
    <w:uiPriority w:val="0"/>
    <w:rPr>
      <w:rFonts w:ascii="仿宋_GB2312" w:eastAsia="仿宋_GB2312"/>
      <w:color w:val="000000"/>
      <w:sz w:val="24"/>
      <w:lang w:bidi="ar-SA"/>
    </w:rPr>
  </w:style>
  <w:style w:type="character" w:customStyle="1" w:styleId="303">
    <w:name w:val="unnamed31"/>
    <w:autoRedefine/>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autoRedefine/>
    <w:qFormat/>
    <w:uiPriority w:val="0"/>
    <w:rPr>
      <w:rFonts w:ascii="宋体" w:eastAsia="宋体"/>
      <w:kern w:val="2"/>
      <w:sz w:val="24"/>
      <w:szCs w:val="24"/>
      <w:lang w:val="zh-CN" w:bidi="ar-SA"/>
    </w:rPr>
  </w:style>
  <w:style w:type="character" w:customStyle="1" w:styleId="305">
    <w:name w:val="称呼 字符"/>
    <w:link w:val="21"/>
    <w:autoRedefine/>
    <w:qFormat/>
    <w:uiPriority w:val="0"/>
    <w:rPr>
      <w:rFonts w:ascii="仿宋_GB2312" w:eastAsia="仿宋_GB2312"/>
      <w:kern w:val="2"/>
      <w:sz w:val="28"/>
    </w:rPr>
  </w:style>
  <w:style w:type="character" w:customStyle="1" w:styleId="306">
    <w:name w:val="文本正文 Char Char"/>
    <w:autoRedefine/>
    <w:qFormat/>
    <w:locked/>
    <w:uiPriority w:val="0"/>
    <w:rPr>
      <w:sz w:val="24"/>
      <w:lang w:bidi="ar-SA"/>
    </w:rPr>
  </w:style>
  <w:style w:type="character" w:customStyle="1" w:styleId="307">
    <w:name w:val="正文缩进 字符"/>
    <w:autoRedefine/>
    <w:qFormat/>
    <w:uiPriority w:val="0"/>
    <w:rPr>
      <w:rFonts w:ascii="宋体" w:eastAsia="宋体"/>
      <w:snapToGrid w:val="0"/>
      <w:color w:val="000000"/>
      <w:kern w:val="28"/>
      <w:sz w:val="28"/>
      <w:lang w:val="en-US" w:eastAsia="zh-CN" w:bidi="ar-SA"/>
    </w:rPr>
  </w:style>
  <w:style w:type="character" w:customStyle="1" w:styleId="308">
    <w:name w:val="HTML 预设格式 字符"/>
    <w:link w:val="58"/>
    <w:autoRedefine/>
    <w:qFormat/>
    <w:uiPriority w:val="0"/>
    <w:rPr>
      <w:rFonts w:ascii="黑体" w:hAnsi="Courier New" w:eastAsia="黑体"/>
    </w:rPr>
  </w:style>
  <w:style w:type="character" w:customStyle="1" w:styleId="309">
    <w:name w:val="正文文本 2 字符1"/>
    <w:link w:val="57"/>
    <w:autoRedefine/>
    <w:qFormat/>
    <w:uiPriority w:val="0"/>
    <w:rPr>
      <w:kern w:val="2"/>
      <w:sz w:val="21"/>
      <w:szCs w:val="24"/>
    </w:rPr>
  </w:style>
  <w:style w:type="character" w:customStyle="1" w:styleId="310">
    <w:name w:val="样式 样式 标题 4h4H4Fab-4T5Ref Heading 1rh1Heading sqlsect 1.2.3.... +... Char"/>
    <w:link w:val="311"/>
    <w:autoRedefine/>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autoRedefine/>
    <w:qFormat/>
    <w:uiPriority w:val="0"/>
    <w:pPr>
      <w:tabs>
        <w:tab w:val="left" w:pos="2356"/>
      </w:tabs>
    </w:pPr>
  </w:style>
  <w:style w:type="paragraph" w:customStyle="1" w:styleId="312">
    <w:name w:val="样式 标题 4h4H4Fab-4T5Ref Heading 1rh1Heading sqlsect 1.2.3...."/>
    <w:basedOn w:val="5"/>
    <w:link w:val="42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autoRedefine/>
    <w:qFormat/>
    <w:uiPriority w:val="0"/>
    <w:rPr>
      <w:rFonts w:ascii="宋体" w:eastAsia="宋体"/>
      <w:snapToGrid w:val="0"/>
      <w:color w:val="000000"/>
      <w:kern w:val="28"/>
      <w:sz w:val="28"/>
      <w:lang w:val="en-US" w:eastAsia="zh-CN" w:bidi="ar-SA"/>
    </w:rPr>
  </w:style>
  <w:style w:type="character" w:customStyle="1" w:styleId="314">
    <w:name w:val="标题 7 字符"/>
    <w:link w:val="8"/>
    <w:autoRedefine/>
    <w:qFormat/>
    <w:uiPriority w:val="0"/>
    <w:rPr>
      <w:b/>
      <w:bCs/>
      <w:kern w:val="2"/>
      <w:sz w:val="24"/>
      <w:szCs w:val="24"/>
    </w:rPr>
  </w:style>
  <w:style w:type="character" w:customStyle="1" w:styleId="315">
    <w:name w:val="正文文本缩进 2 字符"/>
    <w:link w:val="37"/>
    <w:qFormat/>
    <w:uiPriority w:val="0"/>
    <w:rPr>
      <w:rFonts w:ascii="宋体"/>
      <w:sz w:val="28"/>
    </w:rPr>
  </w:style>
  <w:style w:type="character" w:customStyle="1" w:styleId="316">
    <w:name w:val="Char Char5"/>
    <w:autoRedefine/>
    <w:qFormat/>
    <w:uiPriority w:val="0"/>
    <w:rPr>
      <w:rFonts w:ascii="宋体" w:hAnsi="Courier New" w:eastAsia="宋体"/>
      <w:kern w:val="2"/>
      <w:sz w:val="21"/>
      <w:lang w:val="en-US" w:eastAsia="zh-CN"/>
    </w:rPr>
  </w:style>
  <w:style w:type="character" w:customStyle="1" w:styleId="317">
    <w:name w:val="脚注文本 字符"/>
    <w:link w:val="51"/>
    <w:autoRedefine/>
    <w:qFormat/>
    <w:uiPriority w:val="0"/>
    <w:rPr>
      <w:color w:val="0000FF"/>
      <w:sz w:val="21"/>
    </w:rPr>
  </w:style>
  <w:style w:type="character" w:customStyle="1" w:styleId="318">
    <w:name w:val="称呼 Char1"/>
    <w:autoRedefine/>
    <w:qFormat/>
    <w:uiPriority w:val="0"/>
    <w:rPr>
      <w:rFonts w:ascii="Times New Roman" w:hAnsi="Times New Roman" w:eastAsia="宋体" w:cs="Times New Roman"/>
      <w:szCs w:val="24"/>
    </w:rPr>
  </w:style>
  <w:style w:type="character" w:customStyle="1" w:styleId="319">
    <w:name w:val="正文1 Char"/>
    <w:autoRedefine/>
    <w:qFormat/>
    <w:uiPriority w:val="0"/>
    <w:rPr>
      <w:rFonts w:ascii="宋体" w:eastAsia="宋体"/>
      <w:snapToGrid w:val="0"/>
      <w:color w:val="000000"/>
      <w:kern w:val="28"/>
      <w:sz w:val="28"/>
      <w:lang w:val="en-US" w:eastAsia="zh-CN" w:bidi="ar-SA"/>
    </w:rPr>
  </w:style>
  <w:style w:type="character" w:customStyle="1" w:styleId="320">
    <w:name w:val="正文缩进 Char1"/>
    <w:autoRedefine/>
    <w:qFormat/>
    <w:uiPriority w:val="0"/>
    <w:rPr>
      <w:rFonts w:ascii="宋体" w:eastAsia="宋体"/>
      <w:snapToGrid w:val="0"/>
      <w:color w:val="000000"/>
      <w:kern w:val="28"/>
      <w:sz w:val="28"/>
      <w:lang w:val="en-US" w:eastAsia="zh-CN" w:bidi="ar-SA"/>
    </w:rPr>
  </w:style>
  <w:style w:type="character" w:customStyle="1" w:styleId="321">
    <w:name w:val="font21"/>
    <w:autoRedefine/>
    <w:qFormat/>
    <w:uiPriority w:val="0"/>
    <w:rPr>
      <w:rFonts w:hint="eastAsia" w:ascii="宋体" w:hAnsi="宋体" w:eastAsia="宋体"/>
      <w:kern w:val="2"/>
      <w:sz w:val="28"/>
      <w:szCs w:val="28"/>
      <w:lang w:val="en-US" w:eastAsia="zh-CN" w:bidi="ar-SA"/>
    </w:rPr>
  </w:style>
  <w:style w:type="character" w:customStyle="1" w:styleId="322">
    <w:name w:val="Char Char26"/>
    <w:autoRedefine/>
    <w:qFormat/>
    <w:uiPriority w:val="6"/>
    <w:rPr>
      <w:kern w:val="1"/>
      <w:sz w:val="21"/>
      <w:szCs w:val="24"/>
    </w:rPr>
  </w:style>
  <w:style w:type="character" w:customStyle="1" w:styleId="323">
    <w:name w:val="Item List Char"/>
    <w:link w:val="324"/>
    <w:autoRedefine/>
    <w:qFormat/>
    <w:uiPriority w:val="0"/>
    <w:rPr>
      <w:rFonts w:ascii="Arial"/>
      <w:bCs/>
      <w:sz w:val="21"/>
      <w:szCs w:val="21"/>
      <w:lang w:val="en-US" w:eastAsia="zh-CN" w:bidi="ar-SA"/>
    </w:rPr>
  </w:style>
  <w:style w:type="paragraph" w:customStyle="1" w:styleId="324">
    <w:name w:val="Item List"/>
    <w:link w:val="32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autoRedefine/>
    <w:qFormat/>
    <w:uiPriority w:val="0"/>
    <w:rPr>
      <w:rFonts w:ascii="Times New Roman" w:hAnsi="Times New Roman" w:eastAsia="宋体" w:cs="Times New Roman"/>
      <w:sz w:val="18"/>
      <w:szCs w:val="18"/>
    </w:rPr>
  </w:style>
  <w:style w:type="character" w:customStyle="1" w:styleId="326">
    <w:name w:val="纯文本 Char1"/>
    <w:link w:val="327"/>
    <w:autoRedefine/>
    <w:qFormat/>
    <w:uiPriority w:val="0"/>
    <w:rPr>
      <w:rFonts w:ascii="宋体" w:hAnsi="Courier New"/>
    </w:rPr>
  </w:style>
  <w:style w:type="paragraph" w:customStyle="1" w:styleId="327">
    <w:name w:val="纯文本1"/>
    <w:basedOn w:val="1"/>
    <w:link w:val="326"/>
    <w:autoRedefine/>
    <w:qFormat/>
    <w:uiPriority w:val="0"/>
    <w:pPr>
      <w:adjustRightInd/>
    </w:pPr>
    <w:rPr>
      <w:rFonts w:ascii="宋体" w:hAnsi="Courier New"/>
      <w:kern w:val="0"/>
      <w:sz w:val="20"/>
      <w:szCs w:val="20"/>
    </w:rPr>
  </w:style>
  <w:style w:type="character" w:customStyle="1" w:styleId="328">
    <w:name w:val="正文文本首行缩进 字符"/>
    <w:link w:val="62"/>
    <w:autoRedefine/>
    <w:qFormat/>
    <w:uiPriority w:val="0"/>
    <w:rPr>
      <w:rFonts w:ascii="宋体"/>
      <w:kern w:val="2"/>
      <w:sz w:val="24"/>
      <w:lang w:val="zh-CN"/>
    </w:rPr>
  </w:style>
  <w:style w:type="character" w:customStyle="1" w:styleId="329">
    <w:name w:val="h3 Char"/>
    <w:autoRedefine/>
    <w:qFormat/>
    <w:uiPriority w:val="0"/>
    <w:rPr>
      <w:rFonts w:eastAsia="宋体"/>
      <w:b/>
      <w:kern w:val="2"/>
      <w:sz w:val="32"/>
      <w:lang w:val="en-US" w:eastAsia="zh-CN" w:bidi="ar-SA"/>
    </w:rPr>
  </w:style>
  <w:style w:type="character" w:customStyle="1" w:styleId="330">
    <w:name w:val="dandyren_title1"/>
    <w:autoRedefine/>
    <w:qFormat/>
    <w:uiPriority w:val="0"/>
    <w:rPr>
      <w:b/>
      <w:bCs/>
      <w:color w:val="FF6633"/>
      <w:sz w:val="18"/>
      <w:szCs w:val="18"/>
    </w:rPr>
  </w:style>
  <w:style w:type="character" w:customStyle="1" w:styleId="331">
    <w:name w:val="Char Char31"/>
    <w:autoRedefine/>
    <w:qFormat/>
    <w:uiPriority w:val="6"/>
    <w:rPr>
      <w:rFonts w:ascii="Arial" w:hAnsi="Arial" w:eastAsia="黑体"/>
      <w:kern w:val="1"/>
      <w:sz w:val="24"/>
      <w:szCs w:val="24"/>
    </w:rPr>
  </w:style>
  <w:style w:type="character" w:customStyle="1" w:styleId="332">
    <w:name w:val="h Char1"/>
    <w:autoRedefine/>
    <w:qFormat/>
    <w:uiPriority w:val="0"/>
    <w:rPr>
      <w:sz w:val="18"/>
      <w:szCs w:val="18"/>
    </w:rPr>
  </w:style>
  <w:style w:type="character" w:customStyle="1" w:styleId="333">
    <w:name w:val="solutionfonts"/>
    <w:autoRedefine/>
    <w:qFormat/>
    <w:uiPriority w:val="0"/>
  </w:style>
  <w:style w:type="character" w:customStyle="1" w:styleId="334">
    <w:name w:val="标题 4 字符1"/>
    <w:link w:val="5"/>
    <w:autoRedefine/>
    <w:qFormat/>
    <w:uiPriority w:val="9"/>
    <w:rPr>
      <w:rFonts w:ascii="Arial" w:hAnsi="Arial" w:eastAsia="黑体"/>
      <w:b/>
      <w:bCs/>
      <w:kern w:val="2"/>
      <w:sz w:val="28"/>
      <w:szCs w:val="28"/>
      <w:lang w:val="zh-CN"/>
    </w:rPr>
  </w:style>
  <w:style w:type="character" w:customStyle="1" w:styleId="335">
    <w:name w:val="首行缩进 Char"/>
    <w:autoRedefine/>
    <w:qFormat/>
    <w:uiPriority w:val="0"/>
    <w:rPr>
      <w:rFonts w:ascii="宋体" w:eastAsia="宋体"/>
      <w:kern w:val="2"/>
      <w:sz w:val="24"/>
      <w:lang w:val="en-US" w:eastAsia="zh-CN" w:bidi="ar-SA"/>
    </w:rPr>
  </w:style>
  <w:style w:type="character" w:customStyle="1" w:styleId="336">
    <w:name w:val="Char Char52"/>
    <w:autoRedefine/>
    <w:qFormat/>
    <w:uiPriority w:val="0"/>
    <w:rPr>
      <w:rFonts w:ascii="宋体" w:hAnsi="Courier New" w:eastAsia="宋体"/>
      <w:kern w:val="2"/>
      <w:sz w:val="21"/>
      <w:lang w:val="en-US" w:eastAsia="zh-CN"/>
    </w:rPr>
  </w:style>
  <w:style w:type="character" w:customStyle="1" w:styleId="337">
    <w:name w:val="正文文本 3 字符"/>
    <w:link w:val="22"/>
    <w:autoRedefine/>
    <w:qFormat/>
    <w:uiPriority w:val="0"/>
    <w:rPr>
      <w:kern w:val="2"/>
      <w:sz w:val="21"/>
    </w:rPr>
  </w:style>
  <w:style w:type="character" w:customStyle="1" w:styleId="338">
    <w:name w:val="font31"/>
    <w:autoRedefine/>
    <w:qFormat/>
    <w:uiPriority w:val="0"/>
    <w:rPr>
      <w:rFonts w:hint="eastAsia" w:ascii="仿宋" w:hAnsi="仿宋" w:eastAsia="仿宋" w:cs="仿宋"/>
      <w:color w:val="000000"/>
      <w:sz w:val="20"/>
      <w:szCs w:val="20"/>
      <w:u w:val="none"/>
    </w:rPr>
  </w:style>
  <w:style w:type="character" w:customStyle="1" w:styleId="339">
    <w:name w:val="正文说明 Char"/>
    <w:link w:val="340"/>
    <w:autoRedefine/>
    <w:qFormat/>
    <w:uiPriority w:val="0"/>
    <w:rPr>
      <w:sz w:val="24"/>
      <w:szCs w:val="24"/>
    </w:rPr>
  </w:style>
  <w:style w:type="paragraph" w:customStyle="1" w:styleId="340">
    <w:name w:val="正文说明"/>
    <w:basedOn w:val="1"/>
    <w:link w:val="339"/>
    <w:autoRedefine/>
    <w:qFormat/>
    <w:uiPriority w:val="0"/>
    <w:pPr>
      <w:adjustRightInd/>
      <w:spacing w:line="360" w:lineRule="auto"/>
    </w:pPr>
    <w:rPr>
      <w:kern w:val="0"/>
      <w:sz w:val="24"/>
    </w:rPr>
  </w:style>
  <w:style w:type="character" w:customStyle="1" w:styleId="341">
    <w:name w:val="脚注文本 Char1"/>
    <w:autoRedefine/>
    <w:qFormat/>
    <w:uiPriority w:val="0"/>
    <w:rPr>
      <w:rFonts w:ascii="Times New Roman" w:hAnsi="Times New Roman" w:eastAsia="宋体" w:cs="Times New Roman"/>
      <w:sz w:val="18"/>
      <w:szCs w:val="18"/>
    </w:rPr>
  </w:style>
  <w:style w:type="character" w:customStyle="1" w:styleId="342">
    <w:name w:val="Char Char1211"/>
    <w:autoRedefine/>
    <w:qFormat/>
    <w:uiPriority w:val="0"/>
    <w:rPr>
      <w:rFonts w:ascii="仿宋_GB2312" w:eastAsia="仿宋_GB2312"/>
      <w:b/>
      <w:bCs/>
      <w:kern w:val="2"/>
      <w:sz w:val="24"/>
      <w:szCs w:val="24"/>
      <w:lang w:val="zh-CN" w:eastAsia="zh-CN" w:bidi="ar-SA"/>
    </w:rPr>
  </w:style>
  <w:style w:type="character" w:customStyle="1" w:styleId="343">
    <w:name w:val="标题 Char"/>
    <w:autoRedefine/>
    <w:qFormat/>
    <w:uiPriority w:val="0"/>
    <w:rPr>
      <w:rFonts w:eastAsia="宋体"/>
      <w:b/>
      <w:sz w:val="24"/>
      <w:lang w:val="en-GB" w:eastAsia="zh-CN" w:bidi="ar-SA"/>
    </w:rPr>
  </w:style>
  <w:style w:type="character" w:customStyle="1" w:styleId="344">
    <w:name w:val="Char Char35"/>
    <w:autoRedefine/>
    <w:qFormat/>
    <w:uiPriority w:val="6"/>
    <w:rPr>
      <w:rFonts w:ascii="Arial" w:hAnsi="Arial" w:eastAsia="黑体"/>
      <w:b/>
      <w:kern w:val="1"/>
      <w:sz w:val="28"/>
      <w:szCs w:val="28"/>
      <w:lang w:val="zh-CN"/>
    </w:rPr>
  </w:style>
  <w:style w:type="character" w:customStyle="1" w:styleId="345">
    <w:name w:val="纯文本 Char Char Char"/>
    <w:autoRedefine/>
    <w:qFormat/>
    <w:uiPriority w:val="0"/>
    <w:rPr>
      <w:rFonts w:ascii="宋体" w:hAnsi="Courier New" w:eastAsia="宋体"/>
      <w:kern w:val="2"/>
      <w:sz w:val="21"/>
      <w:lang w:val="en-US" w:eastAsia="zh-CN" w:bidi="ar-SA"/>
    </w:rPr>
  </w:style>
  <w:style w:type="character" w:customStyle="1" w:styleId="346">
    <w:name w:val="Table Text Char"/>
    <w:link w:val="347"/>
    <w:autoRedefine/>
    <w:qFormat/>
    <w:uiPriority w:val="0"/>
    <w:rPr>
      <w:sz w:val="24"/>
      <w:szCs w:val="24"/>
    </w:rPr>
  </w:style>
  <w:style w:type="paragraph" w:customStyle="1" w:styleId="347">
    <w:name w:val="Table Text"/>
    <w:basedOn w:val="1"/>
    <w:link w:val="346"/>
    <w:autoRedefine/>
    <w:qFormat/>
    <w:uiPriority w:val="0"/>
    <w:pPr>
      <w:widowControl/>
      <w:spacing w:before="60" w:after="60"/>
      <w:jc w:val="left"/>
    </w:pPr>
    <w:rPr>
      <w:kern w:val="0"/>
      <w:sz w:val="24"/>
    </w:rPr>
  </w:style>
  <w:style w:type="character" w:customStyle="1" w:styleId="348">
    <w:name w:val="正文1 Char1"/>
    <w:autoRedefine/>
    <w:qFormat/>
    <w:uiPriority w:val="0"/>
    <w:rPr>
      <w:rFonts w:ascii="仿宋_GB2312" w:hAnsi="Courier New" w:eastAsia="仿宋_GB2312"/>
      <w:kern w:val="28"/>
      <w:sz w:val="24"/>
      <w:szCs w:val="24"/>
      <w:lang w:val="en-US" w:eastAsia="zh-CN"/>
    </w:rPr>
  </w:style>
  <w:style w:type="character" w:customStyle="1" w:styleId="349">
    <w:name w:val="页脚 Char1"/>
    <w:autoRedefine/>
    <w:qFormat/>
    <w:uiPriority w:val="0"/>
    <w:rPr>
      <w:rFonts w:eastAsia="宋体"/>
      <w:kern w:val="2"/>
      <w:sz w:val="18"/>
      <w:szCs w:val="18"/>
      <w:lang w:val="en-US" w:eastAsia="zh-CN" w:bidi="ar-SA"/>
    </w:rPr>
  </w:style>
  <w:style w:type="character" w:customStyle="1" w:styleId="350">
    <w:name w:val="Bold"/>
    <w:autoRedefine/>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0"/>
    <w:autoRedefine/>
    <w:qFormat/>
    <w:uiPriority w:val="0"/>
    <w:rPr>
      <w:kern w:val="2"/>
      <w:sz w:val="21"/>
      <w:szCs w:val="24"/>
    </w:rPr>
  </w:style>
  <w:style w:type="character" w:customStyle="1" w:styleId="352">
    <w:name w:val="签名 字符"/>
    <w:link w:val="43"/>
    <w:autoRedefine/>
    <w:qFormat/>
    <w:uiPriority w:val="0"/>
    <w:rPr>
      <w:rFonts w:eastAsia="仿宋_GB2312"/>
      <w:sz w:val="24"/>
    </w:rPr>
  </w:style>
  <w:style w:type="character" w:customStyle="1" w:styleId="353">
    <w:name w:val="hui3"/>
    <w:autoRedefine/>
    <w:qFormat/>
    <w:uiPriority w:val="0"/>
    <w:rPr>
      <w:color w:val="333333"/>
    </w:rPr>
  </w:style>
  <w:style w:type="character" w:customStyle="1" w:styleId="354">
    <w:name w:val="Char Char17"/>
    <w:autoRedefine/>
    <w:qFormat/>
    <w:uiPriority w:val="6"/>
    <w:rPr>
      <w:rFonts w:eastAsia="仿宋_GB2312"/>
      <w:sz w:val="24"/>
    </w:rPr>
  </w:style>
  <w:style w:type="character" w:customStyle="1" w:styleId="35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6">
    <w:name w:val="Char Char37"/>
    <w:autoRedefine/>
    <w:qFormat/>
    <w:uiPriority w:val="6"/>
    <w:rPr>
      <w:b/>
      <w:kern w:val="1"/>
      <w:sz w:val="44"/>
      <w:szCs w:val="44"/>
    </w:rPr>
  </w:style>
  <w:style w:type="character" w:customStyle="1" w:styleId="357">
    <w:name w:val="列出段落 Char"/>
    <w:autoRedefine/>
    <w:qFormat/>
    <w:uiPriority w:val="0"/>
    <w:rPr>
      <w:rFonts w:eastAsia="楷体_GB2312" w:cs="Lucida Sans"/>
      <w:kern w:val="2"/>
      <w:sz w:val="24"/>
      <w:szCs w:val="24"/>
      <w:lang w:val="en-US" w:eastAsia="zh-CN" w:bidi="ar-SA"/>
    </w:rPr>
  </w:style>
  <w:style w:type="character" w:customStyle="1" w:styleId="358">
    <w:name w:val="正文文本缩进 3 Char1"/>
    <w:autoRedefine/>
    <w:semiHidden/>
    <w:qFormat/>
    <w:uiPriority w:val="99"/>
    <w:rPr>
      <w:rFonts w:ascii="Times New Roman" w:hAnsi="Times New Roman" w:eastAsia="宋体" w:cs="Times New Roman"/>
      <w:sz w:val="16"/>
      <w:szCs w:val="16"/>
    </w:rPr>
  </w:style>
  <w:style w:type="character" w:customStyle="1" w:styleId="359">
    <w:name w:val="公文正文 Char Char"/>
    <w:link w:val="360"/>
    <w:autoRedefine/>
    <w:qFormat/>
    <w:uiPriority w:val="0"/>
    <w:rPr>
      <w:rFonts w:ascii="仿宋_GB2312" w:eastAsia="仿宋_GB2312"/>
      <w:kern w:val="2"/>
      <w:sz w:val="24"/>
      <w:szCs w:val="24"/>
    </w:rPr>
  </w:style>
  <w:style w:type="paragraph" w:customStyle="1" w:styleId="360">
    <w:name w:val="公文正文"/>
    <w:basedOn w:val="1"/>
    <w:link w:val="359"/>
    <w:autoRedefine/>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autoRedefine/>
    <w:qFormat/>
    <w:uiPriority w:val="0"/>
    <w:rPr>
      <w:rFonts w:eastAsia="宋体"/>
      <w:sz w:val="24"/>
      <w:szCs w:val="24"/>
      <w:lang w:val="en-US" w:eastAsia="zh-CN" w:bidi="ar-SA"/>
    </w:rPr>
  </w:style>
  <w:style w:type="character" w:customStyle="1" w:styleId="362">
    <w:name w:val="标题 1 Char Char"/>
    <w:autoRedefine/>
    <w:qFormat/>
    <w:uiPriority w:val="0"/>
    <w:rPr>
      <w:rFonts w:hint="eastAsia" w:ascii="宋体" w:hAnsi="宋体" w:eastAsia="宋体"/>
      <w:b/>
      <w:spacing w:val="-2"/>
      <w:sz w:val="24"/>
      <w:lang w:val="en-US" w:eastAsia="zh-CN" w:bidi="ar-SA"/>
    </w:rPr>
  </w:style>
  <w:style w:type="character" w:customStyle="1" w:styleId="363">
    <w:name w:val="正文（缩进2汉字） Char"/>
    <w:link w:val="364"/>
    <w:autoRedefine/>
    <w:qFormat/>
    <w:uiPriority w:val="0"/>
    <w:rPr>
      <w:rFonts w:ascii="宋体"/>
    </w:rPr>
  </w:style>
  <w:style w:type="paragraph" w:customStyle="1" w:styleId="364">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9"/>
    <w:autoRedefine/>
    <w:qFormat/>
    <w:uiPriority w:val="0"/>
    <w:rPr>
      <w:rFonts w:ascii="Arial" w:hAnsi="Arial" w:eastAsia="黑体"/>
      <w:kern w:val="2"/>
      <w:sz w:val="24"/>
      <w:szCs w:val="24"/>
    </w:rPr>
  </w:style>
  <w:style w:type="character" w:customStyle="1" w:styleId="366">
    <w:name w:val="标书表格字体格式 Char"/>
    <w:autoRedefine/>
    <w:qFormat/>
    <w:uiPriority w:val="0"/>
    <w:rPr>
      <w:kern w:val="2"/>
      <w:sz w:val="21"/>
      <w:szCs w:val="24"/>
      <w:lang w:bidi="ar-SA"/>
    </w:rPr>
  </w:style>
  <w:style w:type="character" w:customStyle="1" w:styleId="367">
    <w:name w:val="tw4winError"/>
    <w:autoRedefine/>
    <w:qFormat/>
    <w:uiPriority w:val="0"/>
    <w:rPr>
      <w:rFonts w:ascii="Courier New" w:hAnsi="Courier New" w:cs="Courier New"/>
      <w:color w:val="00FF00"/>
      <w:sz w:val="40"/>
      <w:szCs w:val="40"/>
    </w:rPr>
  </w:style>
  <w:style w:type="character" w:customStyle="1" w:styleId="368">
    <w:name w:val="Body Text(ch) Char Char"/>
    <w:autoRedefine/>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autoRedefine/>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autoRedefin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autoRedefine/>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4"/>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autoRedefine/>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0"/>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autoRedefine/>
    <w:qFormat/>
    <w:uiPriority w:val="6"/>
    <w:rPr>
      <w:rFonts w:eastAsia="宋体"/>
      <w:kern w:val="2"/>
      <w:sz w:val="21"/>
      <w:szCs w:val="24"/>
      <w:lang w:val="en-US" w:eastAsia="zh-CN" w:bidi="ar-SA"/>
    </w:rPr>
  </w:style>
  <w:style w:type="character" w:customStyle="1" w:styleId="393">
    <w:name w:val="正文文字缩进 2 Char Char"/>
    <w:autoRedefine/>
    <w:qFormat/>
    <w:uiPriority w:val="0"/>
    <w:rPr>
      <w:rFonts w:ascii="宋体"/>
      <w:sz w:val="28"/>
    </w:rPr>
  </w:style>
  <w:style w:type="character" w:customStyle="1" w:styleId="394">
    <w:name w:val="f141"/>
    <w:autoRedefine/>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autoRedefine/>
    <w:qFormat/>
    <w:uiPriority w:val="0"/>
  </w:style>
  <w:style w:type="character" w:customStyle="1" w:styleId="399">
    <w:name w:val="页眉 字符2"/>
    <w:link w:val="42"/>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autoRedefine/>
    <w:qFormat/>
    <w:uiPriority w:val="0"/>
    <w:rPr>
      <w:sz w:val="24"/>
    </w:rPr>
  </w:style>
  <w:style w:type="paragraph" w:customStyle="1" w:styleId="404">
    <w:name w:val="正文段"/>
    <w:basedOn w:val="1"/>
    <w:link w:val="403"/>
    <w:autoRedefine/>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autoRedefine/>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8">
    <w:name w:val="未用 Char"/>
    <w:autoRedefine/>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autoRedefine/>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autoRedefine/>
    <w:qFormat/>
    <w:uiPriority w:val="9"/>
    <w:rPr>
      <w:rFonts w:ascii="Arial" w:hAnsi="Arial" w:eastAsia="黑体" w:cs="Arial"/>
      <w:b/>
      <w:bCs/>
      <w:snapToGrid w:val="0"/>
      <w:kern w:val="44"/>
      <w:sz w:val="44"/>
      <w:szCs w:val="44"/>
    </w:rPr>
  </w:style>
  <w:style w:type="character" w:customStyle="1" w:styleId="428">
    <w:name w:val="style36"/>
    <w:basedOn w:val="71"/>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autoRedefine/>
    <w:qFormat/>
    <w:uiPriority w:val="99"/>
    <w:rPr>
      <w:kern w:val="2"/>
      <w:sz w:val="18"/>
      <w:szCs w:val="18"/>
    </w:rPr>
  </w:style>
  <w:style w:type="character" w:customStyle="1" w:styleId="433">
    <w:name w:val="正文2 Char"/>
    <w:autoRedefine/>
    <w:qFormat/>
    <w:uiPriority w:val="0"/>
    <w:rPr>
      <w:rFonts w:eastAsia="宋体"/>
      <w:kern w:val="2"/>
      <w:sz w:val="24"/>
      <w:lang w:val="en-US" w:eastAsia="zh-CN" w:bidi="ar-SA"/>
    </w:rPr>
  </w:style>
  <w:style w:type="character" w:customStyle="1" w:styleId="434">
    <w:name w:val="Char Char21"/>
    <w:autoRedefine/>
    <w:qFormat/>
    <w:uiPriority w:val="6"/>
    <w:rPr>
      <w:rFonts w:ascii="宋体" w:hAnsi="宋体"/>
      <w:kern w:val="1"/>
      <w:sz w:val="24"/>
      <w:szCs w:val="21"/>
      <w:lang w:val="zh-CN"/>
    </w:rPr>
  </w:style>
  <w:style w:type="character" w:customStyle="1" w:styleId="435">
    <w:name w:val="样式 正文缩进 + 首行缩进:  2 字符 Char Char"/>
    <w:link w:val="436"/>
    <w:autoRedefine/>
    <w:qFormat/>
    <w:uiPriority w:val="0"/>
    <w:rPr>
      <w:rFonts w:cs="宋体"/>
      <w:kern w:val="2"/>
      <w:sz w:val="24"/>
    </w:rPr>
  </w:style>
  <w:style w:type="paragraph" w:customStyle="1" w:styleId="436">
    <w:name w:val="样式 正文缩进 + 首行缩进:  2 字符"/>
    <w:basedOn w:val="16"/>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8">
    <w:name w:val="gray6"/>
    <w:basedOn w:val="71"/>
    <w:autoRedefine/>
    <w:qFormat/>
    <w:uiPriority w:val="0"/>
    <w:rPr>
      <w:rFonts w:ascii="Arial" w:hAnsi="Arial" w:eastAsia="黑体" w:cs="Arial"/>
      <w:snapToGrid w:val="0"/>
      <w:kern w:val="0"/>
      <w:szCs w:val="21"/>
    </w:rPr>
  </w:style>
  <w:style w:type="character" w:customStyle="1" w:styleId="439">
    <w:name w:val="hui"/>
    <w:basedOn w:val="71"/>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5"/>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autoRedefine/>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autoRedefine/>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autoRedefine/>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autoRedefine/>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8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autoRedefine/>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qFormat/>
    <w:uiPriority w:val="0"/>
    <w:pPr>
      <w:tabs>
        <w:tab w:val="left" w:pos="1260"/>
      </w:tabs>
      <w:ind w:left="1260" w:hanging="420"/>
    </w:pPr>
    <w:rPr>
      <w:rFonts w:ascii="Arial" w:hAnsi="Arial" w:eastAsia="黑体"/>
      <w:lang w:val="en-US"/>
    </w:rPr>
  </w:style>
  <w:style w:type="paragraph" w:customStyle="1" w:styleId="497">
    <w:name w:val="五级无标题条"/>
    <w:basedOn w:val="1"/>
    <w:autoRedefine/>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autoRedefine/>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6"/>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autoRedefine/>
    <w:qFormat/>
    <w:uiPriority w:val="0"/>
    <w:rPr>
      <w:rFonts w:ascii="仿宋_GB2312" w:eastAsia="仿宋_GB2312"/>
      <w:b/>
      <w:sz w:val="32"/>
      <w:szCs w:val="32"/>
    </w:rPr>
  </w:style>
  <w:style w:type="paragraph" w:customStyle="1" w:styleId="510">
    <w:name w:val="Char2 Char Char Char1"/>
    <w:basedOn w:val="1"/>
    <w:autoRedefine/>
    <w:qFormat/>
    <w:uiPriority w:val="6"/>
    <w:rPr>
      <w:rFonts w:ascii="仿宋_GB2312" w:eastAsia="仿宋_GB2312"/>
      <w:b/>
      <w:sz w:val="32"/>
      <w:szCs w:val="32"/>
    </w:rPr>
  </w:style>
  <w:style w:type="paragraph" w:customStyle="1" w:styleId="511">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autoRedefine/>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autoRedefine/>
    <w:qFormat/>
    <w:uiPriority w:val="0"/>
    <w:pPr>
      <w:adjustRightInd/>
      <w:ind w:firstLine="200" w:firstLineChars="200"/>
      <w:jc w:val="right"/>
    </w:pPr>
  </w:style>
  <w:style w:type="paragraph" w:customStyle="1" w:styleId="532">
    <w:name w:val="Char Char11 Char Char Char Char Char Char Char Char Char"/>
    <w:basedOn w:val="1"/>
    <w:autoRedefine/>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autoRedefine/>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5"/>
    <w:autoRedefine/>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2"/>
    <w:next w:val="82"/>
    <w:autoRedefine/>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2"/>
    <w:next w:val="82"/>
    <w:autoRedefine/>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autoRedefine/>
    <w:qFormat/>
    <w:uiPriority w:val="0"/>
    <w:pPr>
      <w:spacing w:line="360" w:lineRule="auto"/>
    </w:pPr>
    <w:rPr>
      <w:szCs w:val="20"/>
    </w:rPr>
  </w:style>
  <w:style w:type="paragraph" w:customStyle="1" w:styleId="562">
    <w:name w:val="Char"/>
    <w:basedOn w:val="1"/>
    <w:autoRedefine/>
    <w:qFormat/>
    <w:uiPriority w:val="0"/>
    <w:rPr>
      <w:rFonts w:ascii="仿宋_GB2312" w:eastAsia="仿宋_GB2312"/>
      <w:b/>
      <w:sz w:val="32"/>
      <w:szCs w:val="32"/>
    </w:rPr>
  </w:style>
  <w:style w:type="paragraph" w:customStyle="1" w:styleId="56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autoRedefine/>
    <w:qFormat/>
    <w:uiPriority w:val="0"/>
    <w:rPr>
      <w:szCs w:val="20"/>
    </w:rPr>
  </w:style>
  <w:style w:type="paragraph" w:customStyle="1" w:styleId="56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autoRedefine/>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autoRedefine/>
    <w:qFormat/>
    <w:uiPriority w:val="0"/>
    <w:rPr>
      <w:szCs w:val="20"/>
    </w:rPr>
  </w:style>
  <w:style w:type="paragraph" w:customStyle="1" w:styleId="58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autoRedefine/>
    <w:qFormat/>
    <w:uiPriority w:val="0"/>
    <w:rPr>
      <w:rFonts w:ascii="Tahoma" w:hAnsi="Tahoma"/>
      <w:sz w:val="24"/>
      <w:szCs w:val="20"/>
    </w:rPr>
  </w:style>
  <w:style w:type="paragraph" w:customStyle="1" w:styleId="591">
    <w:name w:val="标题五"/>
    <w:basedOn w:val="1"/>
    <w:autoRedefine/>
    <w:qFormat/>
    <w:uiPriority w:val="0"/>
    <w:pPr>
      <w:adjustRightInd/>
      <w:spacing w:beforeLines="50" w:line="360" w:lineRule="auto"/>
    </w:pPr>
    <w:rPr>
      <w:b/>
      <w:sz w:val="24"/>
    </w:rPr>
  </w:style>
  <w:style w:type="paragraph" w:customStyle="1" w:styleId="592">
    <w:name w:val="Char Char1101"/>
    <w:basedOn w:val="1"/>
    <w:autoRedefine/>
    <w:qFormat/>
    <w:uiPriority w:val="0"/>
    <w:pPr>
      <w:spacing w:line="360" w:lineRule="auto"/>
    </w:pPr>
    <w:rPr>
      <w:rFonts w:ascii="Tahoma" w:hAnsi="Tahoma"/>
      <w:sz w:val="24"/>
      <w:szCs w:val="20"/>
    </w:rPr>
  </w:style>
  <w:style w:type="paragraph" w:customStyle="1" w:styleId="593">
    <w:name w:val="Char Char Char Char Char Char Char Char1"/>
    <w:basedOn w:val="1"/>
    <w:autoRedefine/>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autoRedefine/>
    <w:qFormat/>
    <w:uiPriority w:val="0"/>
    <w:rPr>
      <w:rFonts w:ascii="仿宋_GB2312" w:eastAsia="仿宋_GB2312"/>
      <w:b/>
      <w:sz w:val="32"/>
      <w:szCs w:val="32"/>
    </w:rPr>
  </w:style>
  <w:style w:type="paragraph" w:customStyle="1" w:styleId="59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autoRedefine/>
    <w:qFormat/>
    <w:uiPriority w:val="0"/>
    <w:pPr>
      <w:adjustRightInd/>
    </w:pPr>
    <w:rPr>
      <w:sz w:val="18"/>
      <w:szCs w:val="20"/>
    </w:rPr>
  </w:style>
  <w:style w:type="paragraph" w:customStyle="1" w:styleId="60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7"/>
    <w:autoRedefine/>
    <w:qFormat/>
    <w:uiPriority w:val="0"/>
    <w:pPr>
      <w:snapToGrid w:val="0"/>
      <w:spacing w:line="360" w:lineRule="auto"/>
    </w:pPr>
    <w:rPr>
      <w:rFonts w:ascii="宋体"/>
      <w:b/>
      <w:sz w:val="24"/>
      <w:szCs w:val="20"/>
    </w:rPr>
  </w:style>
  <w:style w:type="paragraph" w:customStyle="1" w:styleId="61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autoRedefine/>
    <w:qFormat/>
    <w:uiPriority w:val="0"/>
    <w:pPr>
      <w:adjustRightInd/>
    </w:pPr>
    <w:rPr>
      <w:rFonts w:ascii="仿宋_GB2312" w:eastAsia="仿宋_GB2312"/>
      <w:b/>
      <w:sz w:val="32"/>
      <w:szCs w:val="32"/>
    </w:rPr>
  </w:style>
  <w:style w:type="paragraph" w:customStyle="1" w:styleId="61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autoRedefine/>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autoRedefine/>
    <w:qFormat/>
    <w:uiPriority w:val="0"/>
    <w:pPr>
      <w:widowControl/>
      <w:adjustRightInd/>
      <w:spacing w:after="160" w:line="240" w:lineRule="exact"/>
      <w:jc w:val="left"/>
    </w:pPr>
    <w:rPr>
      <w:szCs w:val="20"/>
    </w:rPr>
  </w:style>
  <w:style w:type="paragraph" w:customStyle="1" w:styleId="624">
    <w:name w:val="表格标题2"/>
    <w:basedOn w:val="625"/>
    <w:autoRedefine/>
    <w:qFormat/>
    <w:uiPriority w:val="0"/>
    <w:rPr>
      <w:b/>
    </w:rPr>
  </w:style>
  <w:style w:type="paragraph" w:customStyle="1" w:styleId="625">
    <w:name w:val="表格内文"/>
    <w:basedOn w:val="1"/>
    <w:autoRedefine/>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autoRedefine/>
    <w:qFormat/>
    <w:uiPriority w:val="0"/>
    <w:rPr>
      <w:rFonts w:ascii="仿宋_GB2312" w:eastAsia="仿宋_GB2312"/>
      <w:b/>
      <w:sz w:val="32"/>
      <w:szCs w:val="32"/>
    </w:rPr>
  </w:style>
  <w:style w:type="paragraph" w:customStyle="1" w:styleId="62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autoRedefine/>
    <w:qFormat/>
    <w:uiPriority w:val="0"/>
    <w:pPr>
      <w:snapToGrid w:val="0"/>
      <w:ind w:firstLine="42" w:firstLineChars="21"/>
    </w:pPr>
    <w:rPr>
      <w:rFonts w:ascii="宋体" w:hAnsi="宋体"/>
      <w:kern w:val="0"/>
      <w:sz w:val="20"/>
      <w:szCs w:val="20"/>
    </w:rPr>
  </w:style>
  <w:style w:type="paragraph" w:customStyle="1" w:styleId="636">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autoRedefine/>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autoRedefine/>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autoRedefine/>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autoRedefine/>
    <w:qFormat/>
    <w:uiPriority w:val="0"/>
    <w:pPr>
      <w:tabs>
        <w:tab w:val="left" w:pos="1260"/>
        <w:tab w:val="left" w:pos="1680"/>
      </w:tabs>
      <w:spacing w:beforeLines="0" w:afterLines="0"/>
      <w:ind w:left="1680"/>
      <w:outlineLvl w:val="2"/>
    </w:pPr>
  </w:style>
  <w:style w:type="paragraph" w:customStyle="1" w:styleId="665">
    <w:name w:val="章标题"/>
    <w:next w:val="64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autoRedefine/>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autoRedefine/>
    <w:qFormat/>
    <w:uiPriority w:val="0"/>
    <w:pPr>
      <w:jc w:val="left"/>
      <w:outlineLvl w:val="1"/>
    </w:pPr>
    <w:rPr>
      <w:rFonts w:ascii="Times New Roman" w:hAnsi="Times New Roman" w:eastAsia="仿宋"/>
      <w:sz w:val="30"/>
    </w:rPr>
  </w:style>
  <w:style w:type="paragraph" w:customStyle="1" w:styleId="68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autoRedefine/>
    <w:qFormat/>
    <w:uiPriority w:val="0"/>
    <w:pPr>
      <w:tabs>
        <w:tab w:val="left" w:pos="840"/>
      </w:tabs>
      <w:adjustRightInd/>
      <w:ind w:left="840" w:hanging="420"/>
    </w:pPr>
  </w:style>
  <w:style w:type="paragraph" w:customStyle="1" w:styleId="68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5"/>
    <w:autoRedefine/>
    <w:qFormat/>
    <w:uiPriority w:val="0"/>
    <w:pPr>
      <w:tabs>
        <w:tab w:val="left" w:pos="2100"/>
      </w:tabs>
      <w:adjustRightInd/>
      <w:ind w:left="2100" w:hanging="420"/>
    </w:pPr>
    <w:rPr>
      <w:lang w:val="en-US"/>
    </w:rPr>
  </w:style>
  <w:style w:type="paragraph" w:customStyle="1" w:styleId="69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autoRedefine/>
    <w:qFormat/>
    <w:uiPriority w:val="6"/>
    <w:pPr>
      <w:spacing w:line="360" w:lineRule="auto"/>
    </w:pPr>
    <w:rPr>
      <w:szCs w:val="20"/>
    </w:rPr>
  </w:style>
  <w:style w:type="paragraph" w:customStyle="1" w:styleId="69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autoRedefine/>
    <w:qFormat/>
    <w:uiPriority w:val="6"/>
    <w:rPr>
      <w:rFonts w:ascii="仿宋_GB2312" w:eastAsia="仿宋_GB2312"/>
      <w:b/>
      <w:sz w:val="32"/>
      <w:szCs w:val="32"/>
    </w:rPr>
  </w:style>
  <w:style w:type="paragraph" w:customStyle="1" w:styleId="709">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autoRedefine/>
    <w:qFormat/>
    <w:uiPriority w:val="0"/>
    <w:pPr>
      <w:widowControl/>
      <w:adjustRightInd/>
      <w:spacing w:after="160" w:line="240" w:lineRule="exact"/>
      <w:jc w:val="left"/>
    </w:pPr>
    <w:rPr>
      <w:szCs w:val="20"/>
    </w:rPr>
  </w:style>
  <w:style w:type="paragraph" w:customStyle="1" w:styleId="712">
    <w:name w:val="Char Char1121"/>
    <w:basedOn w:val="1"/>
    <w:autoRedefine/>
    <w:qFormat/>
    <w:uiPriority w:val="0"/>
    <w:pPr>
      <w:spacing w:line="360" w:lineRule="auto"/>
    </w:pPr>
    <w:rPr>
      <w:szCs w:val="20"/>
    </w:rPr>
  </w:style>
  <w:style w:type="paragraph" w:customStyle="1" w:styleId="71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autoRedefine/>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2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autoRedefine/>
    <w:qFormat/>
    <w:uiPriority w:val="0"/>
    <w:pPr>
      <w:spacing w:line="240" w:lineRule="atLeast"/>
      <w:ind w:left="420" w:firstLine="420"/>
    </w:pPr>
    <w:rPr>
      <w:sz w:val="24"/>
    </w:rPr>
  </w:style>
  <w:style w:type="paragraph" w:customStyle="1" w:styleId="723">
    <w:name w:val="WW-正文文字缩进 2"/>
    <w:basedOn w:val="1"/>
    <w:autoRedefine/>
    <w:qFormat/>
    <w:uiPriority w:val="0"/>
    <w:pPr>
      <w:suppressAutoHyphens/>
      <w:adjustRightInd/>
      <w:ind w:firstLine="420"/>
    </w:pPr>
    <w:rPr>
      <w:kern w:val="1"/>
      <w:szCs w:val="20"/>
    </w:rPr>
  </w:style>
  <w:style w:type="paragraph" w:customStyle="1" w:styleId="72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autoRedefine/>
    <w:qFormat/>
    <w:uiPriority w:val="0"/>
    <w:pPr>
      <w:adjustRightInd/>
      <w:spacing w:line="400" w:lineRule="exact"/>
      <w:ind w:firstLine="200" w:firstLineChars="200"/>
    </w:pPr>
    <w:rPr>
      <w:rFonts w:ascii="Arial" w:hAnsi="Arial"/>
    </w:rPr>
  </w:style>
  <w:style w:type="paragraph" w:customStyle="1" w:styleId="72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7"/>
    <w:qFormat/>
    <w:uiPriority w:val="0"/>
    <w:pPr>
      <w:spacing w:after="120" w:line="480" w:lineRule="auto"/>
      <w:ind w:left="420" w:leftChars="200"/>
    </w:pPr>
    <w:rPr>
      <w:sz w:val="24"/>
      <w:szCs w:val="20"/>
    </w:rPr>
  </w:style>
  <w:style w:type="paragraph" w:customStyle="1" w:styleId="73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autoRedefine/>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autoRedefine/>
    <w:qFormat/>
    <w:uiPriority w:val="0"/>
    <w:rPr>
      <w:rFonts w:ascii="仿宋_GB2312" w:eastAsia="仿宋_GB2312"/>
      <w:b/>
      <w:sz w:val="32"/>
      <w:szCs w:val="32"/>
    </w:rPr>
  </w:style>
  <w:style w:type="paragraph" w:customStyle="1" w:styleId="743">
    <w:name w:val="Char3 Char Char Char1"/>
    <w:basedOn w:val="1"/>
    <w:autoRedefine/>
    <w:qFormat/>
    <w:uiPriority w:val="6"/>
    <w:pPr>
      <w:widowControl/>
      <w:adjustRightInd/>
      <w:spacing w:after="160" w:line="240" w:lineRule="exact"/>
      <w:jc w:val="left"/>
    </w:pPr>
    <w:rPr>
      <w:szCs w:val="20"/>
    </w:rPr>
  </w:style>
  <w:style w:type="paragraph" w:customStyle="1" w:styleId="744">
    <w:name w:val="Char1 Char Char Char21"/>
    <w:basedOn w:val="1"/>
    <w:autoRedefine/>
    <w:qFormat/>
    <w:uiPriority w:val="0"/>
    <w:rPr>
      <w:rFonts w:ascii="Tahoma" w:hAnsi="Tahoma"/>
      <w:sz w:val="24"/>
      <w:szCs w:val="20"/>
    </w:rPr>
  </w:style>
  <w:style w:type="paragraph" w:customStyle="1" w:styleId="74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autoRedefine/>
    <w:qFormat/>
    <w:uiPriority w:val="0"/>
    <w:pPr>
      <w:spacing w:line="360" w:lineRule="auto"/>
      <w:ind w:firstLine="200" w:firstLineChars="200"/>
    </w:pPr>
    <w:rPr>
      <w:sz w:val="24"/>
    </w:rPr>
  </w:style>
  <w:style w:type="paragraph" w:customStyle="1" w:styleId="74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autoRedefine/>
    <w:qFormat/>
    <w:uiPriority w:val="0"/>
    <w:pPr>
      <w:adjustRightInd/>
      <w:ind w:firstLine="200" w:firstLineChars="200"/>
    </w:pPr>
    <w:rPr>
      <w:rFonts w:ascii="Tahoma" w:hAnsi="Tahoma"/>
      <w:sz w:val="24"/>
      <w:szCs w:val="20"/>
    </w:rPr>
  </w:style>
  <w:style w:type="paragraph" w:customStyle="1" w:styleId="753">
    <w:name w:val="_标题2"/>
    <w:basedOn w:val="720"/>
    <w:next w:val="72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autoRedefine/>
    <w:qFormat/>
    <w:uiPriority w:val="0"/>
    <w:pPr>
      <w:adjustRightInd/>
    </w:pPr>
    <w:rPr>
      <w:rFonts w:ascii="Tahoma" w:hAnsi="Tahoma"/>
      <w:sz w:val="24"/>
    </w:rPr>
  </w:style>
  <w:style w:type="paragraph" w:customStyle="1" w:styleId="761">
    <w:name w:val="Char Char Char Char11"/>
    <w:basedOn w:val="1"/>
    <w:autoRedefine/>
    <w:qFormat/>
    <w:uiPriority w:val="0"/>
    <w:rPr>
      <w:rFonts w:ascii="Tahoma" w:hAnsi="Tahoma"/>
      <w:sz w:val="24"/>
      <w:szCs w:val="20"/>
    </w:rPr>
  </w:style>
  <w:style w:type="paragraph" w:customStyle="1" w:styleId="76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autoRedefine/>
    <w:qFormat/>
    <w:uiPriority w:val="0"/>
    <w:pPr>
      <w:adjustRightInd/>
    </w:pPr>
    <w:rPr>
      <w:szCs w:val="20"/>
    </w:rPr>
  </w:style>
  <w:style w:type="paragraph" w:customStyle="1" w:styleId="76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autoRedefine/>
    <w:qFormat/>
    <w:uiPriority w:val="34"/>
    <w:pPr>
      <w:adjustRightInd/>
      <w:ind w:firstLine="420" w:firstLineChars="200"/>
    </w:pPr>
    <w:rPr>
      <w:rFonts w:eastAsia="仿宋_GB2312"/>
      <w:sz w:val="28"/>
    </w:rPr>
  </w:style>
  <w:style w:type="paragraph" w:customStyle="1" w:styleId="76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autoRedefine/>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autoRedefine/>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autoRedefine/>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autoRedefine/>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autoRedefine/>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autoRedefine/>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autoRedefine/>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autoRedefine/>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6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autoRedefine/>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autoRedefine/>
    <w:qFormat/>
    <w:uiPriority w:val="0"/>
    <w:rPr>
      <w:rFonts w:ascii="Tahoma" w:hAnsi="Tahoma" w:cs="仿宋_GB2312"/>
      <w:sz w:val="24"/>
      <w:szCs w:val="20"/>
    </w:rPr>
  </w:style>
  <w:style w:type="paragraph" w:customStyle="1" w:styleId="87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80">
    <w:name w:val="_Style 12"/>
    <w:basedOn w:val="19"/>
    <w:autoRedefine/>
    <w:qFormat/>
    <w:uiPriority w:val="0"/>
    <w:pPr>
      <w:snapToGrid w:val="0"/>
      <w:spacing w:line="360" w:lineRule="auto"/>
    </w:pPr>
  </w:style>
  <w:style w:type="paragraph" w:customStyle="1" w:styleId="88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88"/>
    <w:autoRedefine/>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autoRedefine/>
    <w:qFormat/>
    <w:uiPriority w:val="0"/>
    <w:pPr>
      <w:outlineLvl w:val="2"/>
    </w:pPr>
  </w:style>
  <w:style w:type="paragraph" w:customStyle="1" w:styleId="88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autoRedefine/>
    <w:qFormat/>
    <w:uiPriority w:val="0"/>
    <w:pPr>
      <w:adjustRightInd/>
      <w:ind w:firstLine="200" w:firstLineChars="200"/>
    </w:pPr>
    <w:rPr>
      <w:rFonts w:ascii="Tahoma" w:hAnsi="Tahoma"/>
      <w:sz w:val="24"/>
      <w:szCs w:val="20"/>
    </w:rPr>
  </w:style>
  <w:style w:type="paragraph" w:customStyle="1" w:styleId="89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91">
    <w:name w:val="MM Empty"/>
    <w:basedOn w:val="1"/>
    <w:autoRedefine/>
    <w:qFormat/>
    <w:uiPriority w:val="0"/>
    <w:pPr>
      <w:adjustRightInd/>
    </w:pPr>
  </w:style>
  <w:style w:type="paragraph" w:customStyle="1" w:styleId="892">
    <w:name w:val="Char24"/>
    <w:basedOn w:val="1"/>
    <w:autoRedefine/>
    <w:qFormat/>
    <w:uiPriority w:val="0"/>
    <w:rPr>
      <w:rFonts w:ascii="仿宋_GB2312" w:eastAsia="仿宋_GB2312"/>
      <w:b/>
      <w:sz w:val="32"/>
      <w:szCs w:val="32"/>
    </w:rPr>
  </w:style>
  <w:style w:type="paragraph" w:customStyle="1" w:styleId="893">
    <w:name w:val="正文箭头"/>
    <w:basedOn w:val="545"/>
    <w:autoRedefine/>
    <w:qFormat/>
    <w:uiPriority w:val="0"/>
  </w:style>
  <w:style w:type="paragraph" w:customStyle="1" w:styleId="894">
    <w:name w:val="U_编号2"/>
    <w:basedOn w:val="1"/>
    <w:autoRedefine/>
    <w:qFormat/>
    <w:uiPriority w:val="0"/>
    <w:pPr>
      <w:tabs>
        <w:tab w:val="left" w:pos="785"/>
      </w:tabs>
      <w:adjustRightInd/>
      <w:spacing w:beforeLines="10" w:afterLines="10" w:line="300" w:lineRule="auto"/>
    </w:pPr>
    <w:rPr>
      <w:sz w:val="24"/>
    </w:rPr>
  </w:style>
  <w:style w:type="paragraph" w:customStyle="1" w:styleId="89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autoRedefine/>
    <w:qFormat/>
    <w:uiPriority w:val="34"/>
    <w:pPr>
      <w:adjustRightInd/>
      <w:ind w:firstLine="420" w:firstLineChars="200"/>
    </w:pPr>
    <w:rPr>
      <w:rFonts w:eastAsia="仿宋_GB2312"/>
      <w:sz w:val="28"/>
    </w:rPr>
  </w:style>
  <w:style w:type="paragraph" w:customStyle="1" w:styleId="900">
    <w:name w:val="表格 内容"/>
    <w:basedOn w:val="736"/>
    <w:autoRedefine/>
    <w:qFormat/>
    <w:uiPriority w:val="0"/>
    <w:rPr>
      <w:b w:val="0"/>
      <w:sz w:val="20"/>
    </w:rPr>
  </w:style>
  <w:style w:type="paragraph" w:customStyle="1" w:styleId="90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6"/>
    <w:next w:val="1"/>
    <w:autoRedefine/>
    <w:qFormat/>
    <w:uiPriority w:val="0"/>
    <w:pPr>
      <w:tabs>
        <w:tab w:val="left" w:pos="1080"/>
      </w:tabs>
      <w:ind w:left="1080" w:hanging="1080"/>
    </w:pPr>
  </w:style>
  <w:style w:type="paragraph" w:customStyle="1" w:styleId="903">
    <w:name w:val="数字标题1"/>
    <w:basedOn w:val="2"/>
    <w:next w:val="1"/>
    <w:autoRedefine/>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autoRedefine/>
    <w:qFormat/>
    <w:uiPriority w:val="0"/>
    <w:pPr>
      <w:widowControl/>
    </w:pPr>
    <w:rPr>
      <w:kern w:val="0"/>
      <w:sz w:val="24"/>
      <w:szCs w:val="20"/>
    </w:rPr>
  </w:style>
  <w:style w:type="paragraph" w:customStyle="1" w:styleId="911">
    <w:name w:val="Char Char113"/>
    <w:basedOn w:val="1"/>
    <w:autoRedefine/>
    <w:qFormat/>
    <w:uiPriority w:val="0"/>
    <w:pPr>
      <w:widowControl/>
      <w:spacing w:after="160" w:line="240" w:lineRule="exact"/>
      <w:jc w:val="left"/>
    </w:pPr>
    <w:rPr>
      <w:rFonts w:eastAsia="仿宋_GB2312"/>
      <w:sz w:val="28"/>
    </w:rPr>
  </w:style>
  <w:style w:type="paragraph" w:customStyle="1" w:styleId="91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autoRedefine/>
    <w:qFormat/>
    <w:uiPriority w:val="34"/>
    <w:pPr>
      <w:adjustRightInd/>
      <w:ind w:firstLine="420" w:firstLineChars="200"/>
    </w:pPr>
    <w:rPr>
      <w:rFonts w:eastAsia="仿宋_GB2312"/>
      <w:sz w:val="28"/>
    </w:rPr>
  </w:style>
  <w:style w:type="paragraph" w:customStyle="1" w:styleId="91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autoRedefine/>
    <w:qFormat/>
    <w:uiPriority w:val="6"/>
    <w:pPr>
      <w:widowControl/>
      <w:spacing w:after="160" w:line="240" w:lineRule="exact"/>
      <w:jc w:val="left"/>
    </w:pPr>
    <w:rPr>
      <w:rFonts w:eastAsia="仿宋_GB2312"/>
      <w:sz w:val="28"/>
    </w:rPr>
  </w:style>
  <w:style w:type="paragraph" w:customStyle="1" w:styleId="920">
    <w:name w:val="正文 图"/>
    <w:basedOn w:val="450"/>
    <w:autoRedefine/>
    <w:qFormat/>
    <w:uiPriority w:val="0"/>
    <w:pPr>
      <w:adjustRightInd/>
      <w:spacing w:before="0"/>
      <w:ind w:firstLine="0"/>
      <w:jc w:val="center"/>
    </w:pPr>
    <w:rPr>
      <w:rFonts w:ascii="微软雅黑" w:hAnsi="微软雅黑"/>
    </w:rPr>
  </w:style>
  <w:style w:type="paragraph" w:customStyle="1" w:styleId="921">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autoRedefine/>
    <w:qFormat/>
    <w:uiPriority w:val="0"/>
    <w:pPr>
      <w:ind w:left="0"/>
    </w:pPr>
  </w:style>
  <w:style w:type="paragraph" w:customStyle="1" w:styleId="92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autoRedefine/>
    <w:qFormat/>
    <w:uiPriority w:val="0"/>
    <w:pPr>
      <w:adjustRightInd/>
      <w:spacing w:line="360" w:lineRule="auto"/>
      <w:ind w:firstLine="480"/>
    </w:pPr>
    <w:rPr>
      <w:sz w:val="24"/>
    </w:rPr>
  </w:style>
  <w:style w:type="table" w:customStyle="1" w:styleId="927">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autoRedefine/>
    <w:qFormat/>
    <w:uiPriority w:val="34"/>
    <w:pPr>
      <w:ind w:firstLine="420" w:firstLineChars="200"/>
    </w:pPr>
  </w:style>
  <w:style w:type="character" w:customStyle="1" w:styleId="934">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autoRedefine/>
    <w:qFormat/>
    <w:uiPriority w:val="0"/>
    <w:rPr>
      <w:rFonts w:ascii="宋体" w:eastAsia="宋体"/>
      <w:snapToGrid w:val="0"/>
      <w:color w:val="000000"/>
      <w:kern w:val="28"/>
      <w:sz w:val="28"/>
      <w:lang w:val="en-US" w:eastAsia="zh-CN" w:bidi="ar-SA"/>
    </w:rPr>
  </w:style>
  <w:style w:type="character" w:customStyle="1" w:styleId="936">
    <w:name w:val="页脚 字符1"/>
    <w:autoRedefine/>
    <w:qFormat/>
    <w:locked/>
    <w:uiPriority w:val="99"/>
    <w:rPr>
      <w:kern w:val="2"/>
      <w:sz w:val="18"/>
      <w:szCs w:val="18"/>
    </w:rPr>
  </w:style>
  <w:style w:type="character" w:customStyle="1" w:styleId="937">
    <w:name w:val="页眉 字符1"/>
    <w:autoRedefine/>
    <w:qFormat/>
    <w:uiPriority w:val="99"/>
    <w:rPr>
      <w:kern w:val="2"/>
      <w:sz w:val="18"/>
      <w:szCs w:val="18"/>
    </w:rPr>
  </w:style>
  <w:style w:type="character" w:customStyle="1" w:styleId="938">
    <w:name w:val="尾注文本 字符"/>
    <w:link w:val="38"/>
    <w:autoRedefine/>
    <w:qFormat/>
    <w:uiPriority w:val="0"/>
    <w:rPr>
      <w:kern w:val="2"/>
      <w:sz w:val="21"/>
      <w:szCs w:val="24"/>
      <w:lang w:val="zh-CN"/>
    </w:rPr>
  </w:style>
  <w:style w:type="character" w:customStyle="1" w:styleId="939">
    <w:name w:val="无间隔 字符"/>
    <w:link w:val="490"/>
    <w:autoRedefine/>
    <w:qFormat/>
    <w:uiPriority w:val="99"/>
    <w:rPr>
      <w:kern w:val="2"/>
      <w:sz w:val="21"/>
      <w:szCs w:val="22"/>
    </w:rPr>
  </w:style>
  <w:style w:type="character" w:customStyle="1" w:styleId="940">
    <w:name w:val="标准文本 Char Char"/>
    <w:link w:val="941"/>
    <w:autoRedefine/>
    <w:qFormat/>
    <w:uiPriority w:val="0"/>
    <w:rPr>
      <w:rFonts w:cs="宋体"/>
      <w:kern w:val="2"/>
      <w:sz w:val="24"/>
    </w:rPr>
  </w:style>
  <w:style w:type="paragraph" w:customStyle="1" w:styleId="941">
    <w:name w:val="标准文本"/>
    <w:basedOn w:val="1"/>
    <w:link w:val="940"/>
    <w:autoRedefine/>
    <w:qFormat/>
    <w:uiPriority w:val="0"/>
    <w:pPr>
      <w:adjustRightInd/>
      <w:spacing w:line="360" w:lineRule="auto"/>
      <w:ind w:firstLine="480" w:firstLineChars="200"/>
    </w:pPr>
    <w:rPr>
      <w:rFonts w:cs="宋体"/>
      <w:sz w:val="24"/>
      <w:szCs w:val="20"/>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autoRedefine/>
    <w:qFormat/>
    <w:uiPriority w:val="0"/>
    <w:rPr>
      <w:sz w:val="20"/>
      <w:szCs w:val="20"/>
    </w:rPr>
  </w:style>
  <w:style w:type="character" w:customStyle="1" w:styleId="948">
    <w:name w:val="正文文本缩进 字符"/>
    <w:autoRedefine/>
    <w:qFormat/>
    <w:uiPriority w:val="0"/>
    <w:rPr>
      <w:rFonts w:ascii="Century Gothic" w:hAnsi="Century Gothic" w:eastAsia="Century Gothic"/>
      <w:kern w:val="2"/>
      <w:sz w:val="24"/>
      <w:lang w:val="en-US" w:eastAsia="zh-CN" w:bidi="ar-SA"/>
    </w:rPr>
  </w:style>
  <w:style w:type="character" w:customStyle="1" w:styleId="949">
    <w:name w:val="正文文本 2 字符"/>
    <w:autoRedefine/>
    <w:qFormat/>
    <w:uiPriority w:val="0"/>
    <w:rPr>
      <w:rFonts w:ascii="Arial" w:hAnsi="Arial" w:eastAsia="宋体"/>
      <w:kern w:val="2"/>
      <w:sz w:val="24"/>
      <w:szCs w:val="24"/>
      <w:lang w:val="en-US" w:eastAsia="zh-CN" w:bidi="ar-SA"/>
    </w:rPr>
  </w:style>
  <w:style w:type="character" w:customStyle="1" w:styleId="950">
    <w:name w:val="edui-clickable2"/>
    <w:autoRedefine/>
    <w:qFormat/>
    <w:uiPriority w:val="0"/>
    <w:rPr>
      <w:color w:val="0000FF"/>
      <w:u w:val="single"/>
    </w:rPr>
  </w:style>
  <w:style w:type="character" w:customStyle="1" w:styleId="951">
    <w:name w:val="style1"/>
    <w:autoRedefine/>
    <w:qFormat/>
    <w:uiPriority w:val="0"/>
    <w:rPr>
      <w:rFonts w:ascii="Arial" w:hAnsi="Arial" w:eastAsia="黑体" w:cs="Arial"/>
      <w:snapToGrid w:val="0"/>
      <w:kern w:val="0"/>
      <w:szCs w:val="21"/>
    </w:rPr>
  </w:style>
  <w:style w:type="character" w:customStyle="1" w:styleId="952">
    <w:name w:val="zbggtop11 style5"/>
    <w:autoRedefine/>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4">
    <w:name w:val="bulletintext1"/>
    <w:autoRedefine/>
    <w:qFormat/>
    <w:uiPriority w:val="0"/>
    <w:rPr>
      <w:color w:val="000000"/>
      <w:sz w:val="18"/>
    </w:rPr>
  </w:style>
  <w:style w:type="paragraph" w:customStyle="1" w:styleId="955">
    <w:name w:val="_Style 947"/>
    <w:basedOn w:val="1"/>
    <w:next w:val="88"/>
    <w:autoRedefine/>
    <w:qFormat/>
    <w:uiPriority w:val="34"/>
    <w:pPr>
      <w:adjustRightInd/>
      <w:ind w:firstLine="420" w:firstLineChars="200"/>
    </w:pPr>
  </w:style>
  <w:style w:type="paragraph" w:customStyle="1" w:styleId="95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autoRedefine/>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autoRedefine/>
    <w:qFormat/>
    <w:uiPriority w:val="0"/>
    <w:pPr>
      <w:adjustRightInd/>
      <w:jc w:val="left"/>
    </w:pPr>
    <w:rPr>
      <w:rFonts w:ascii="Calibri" w:hAnsi="Calibri"/>
      <w:kern w:val="0"/>
      <w:sz w:val="22"/>
      <w:szCs w:val="22"/>
      <w:lang w:eastAsia="en-US"/>
    </w:rPr>
  </w:style>
  <w:style w:type="paragraph" w:customStyle="1" w:styleId="9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autoRedefine/>
    <w:qFormat/>
    <w:uiPriority w:val="0"/>
    <w:rPr>
      <w:color w:val="000000"/>
      <w:shd w:val="clear" w:color="auto" w:fill="EFD200"/>
    </w:rPr>
  </w:style>
  <w:style w:type="character" w:customStyle="1" w:styleId="968">
    <w:name w:val="font71"/>
    <w:autoRedefine/>
    <w:qFormat/>
    <w:uiPriority w:val="0"/>
    <w:rPr>
      <w:rFonts w:hint="eastAsia" w:ascii="宋体" w:hAnsi="宋体" w:eastAsia="宋体" w:cs="宋体"/>
      <w:color w:val="000000"/>
      <w:sz w:val="22"/>
      <w:szCs w:val="22"/>
      <w:u w:val="none"/>
    </w:rPr>
  </w:style>
  <w:style w:type="character" w:customStyle="1" w:styleId="969">
    <w:name w:val="font91"/>
    <w:autoRedefine/>
    <w:qFormat/>
    <w:uiPriority w:val="0"/>
    <w:rPr>
      <w:rFonts w:hint="eastAsia" w:ascii="仿宋" w:hAnsi="仿宋" w:eastAsia="仿宋" w:cs="仿宋"/>
      <w:color w:val="000000"/>
      <w:sz w:val="22"/>
      <w:szCs w:val="22"/>
      <w:u w:val="none"/>
    </w:rPr>
  </w:style>
  <w:style w:type="paragraph" w:customStyle="1" w:styleId="970">
    <w:name w:val="Body text|1"/>
    <w:basedOn w:val="1"/>
    <w:autoRedefine/>
    <w:qFormat/>
    <w:uiPriority w:val="0"/>
    <w:pPr>
      <w:spacing w:line="391" w:lineRule="auto"/>
      <w:ind w:firstLine="400"/>
    </w:pPr>
    <w:rPr>
      <w:rFonts w:ascii="宋体" w:hAnsi="宋体" w:cs="宋体"/>
      <w:lang w:val="zh-TW" w:eastAsia="zh-TW" w:bidi="zh-TW"/>
    </w:rPr>
  </w:style>
  <w:style w:type="character" w:customStyle="1" w:styleId="971">
    <w:name w:val="font101"/>
    <w:basedOn w:val="71"/>
    <w:autoRedefine/>
    <w:qFormat/>
    <w:uiPriority w:val="0"/>
    <w:rPr>
      <w:rFonts w:hint="eastAsia" w:ascii="宋体" w:hAnsi="宋体" w:eastAsia="宋体" w:cs="宋体"/>
      <w:color w:val="FF0000"/>
      <w:sz w:val="20"/>
      <w:szCs w:val="20"/>
      <w:u w:val="none"/>
    </w:rPr>
  </w:style>
  <w:style w:type="paragraph" w:customStyle="1" w:styleId="972">
    <w:name w:val="封面编号"/>
    <w:basedOn w:val="1"/>
    <w:autoRedefine/>
    <w:qFormat/>
    <w:uiPriority w:val="0"/>
    <w:pPr>
      <w:spacing w:line="360" w:lineRule="auto"/>
      <w:jc w:val="center"/>
    </w:pPr>
    <w:rPr>
      <w:rFonts w:ascii="黑体" w:hAnsi="宋体" w:eastAsia="黑体" w:cs="宋体"/>
      <w:b/>
      <w:bCs/>
      <w:sz w:val="38"/>
      <w:szCs w:val="20"/>
    </w:rPr>
  </w:style>
  <w:style w:type="table" w:customStyle="1" w:styleId="973">
    <w:name w:val="Table Normal"/>
    <w:autoRedefine/>
    <w:semiHidden/>
    <w:unhideWhenUsed/>
    <w:qFormat/>
    <w:uiPriority w:val="0"/>
    <w:tblPr>
      <w:tblCellMar>
        <w:top w:w="0" w:type="dxa"/>
        <w:left w:w="0" w:type="dxa"/>
        <w:bottom w:w="0" w:type="dxa"/>
        <w:right w:w="0" w:type="dxa"/>
      </w:tblCellMar>
    </w:tblPr>
  </w:style>
  <w:style w:type="character" w:customStyle="1" w:styleId="974">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75">
    <w:name w:val="null3"/>
    <w:autoRedefine/>
    <w:qFormat/>
    <w:uiPriority w:val="0"/>
    <w:rPr>
      <w:rFonts w:hint="eastAsia" w:ascii="Calibri" w:hAnsi="Calibri" w:eastAsia="宋体" w:cs="Times New Roman"/>
      <w:lang w:val="en-US" w:eastAsia="zh-Hans" w:bidi="ar-SA"/>
    </w:rPr>
  </w:style>
  <w:style w:type="paragraph" w:customStyle="1" w:styleId="976">
    <w:name w:val="Normal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_Style 2"/>
    <w:basedOn w:val="1"/>
    <w:autoRedefine/>
    <w:qFormat/>
    <w:uiPriority w:val="34"/>
    <w:pPr>
      <w:ind w:firstLine="420" w:firstLineChars="200"/>
    </w:pPr>
    <w:rPr>
      <w:rFonts w:ascii="等线" w:hAnsi="等线" w:eastAsia="等线"/>
      <w:szCs w:val="22"/>
    </w:rPr>
  </w:style>
  <w:style w:type="paragraph" w:customStyle="1" w:styleId="978">
    <w:name w:val="U_正文2"/>
    <w:basedOn w:val="1"/>
    <w:qFormat/>
    <w:uiPriority w:val="99"/>
    <w:pPr>
      <w:spacing w:before="10" w:beforeLines="10" w:after="10" w:afterLines="10" w:line="300" w:lineRule="auto"/>
    </w:pPr>
    <w:rPr>
      <w:sz w:val="24"/>
      <w:szCs w:val="20"/>
    </w:rPr>
  </w:style>
  <w:style w:type="paragraph" w:customStyle="1" w:styleId="97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47</Pages>
  <Words>4566</Words>
  <Characters>5061</Characters>
  <Lines>206</Lines>
  <Paragraphs>58</Paragraphs>
  <TotalTime>24</TotalTime>
  <ScaleCrop>false</ScaleCrop>
  <LinksUpToDate>false</LinksUpToDate>
  <CharactersWithSpaces>5121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2024-10-10T11:26:00Z</dcterms:created>
  <dc:creator>玥</dc:creator>
  <cp:lastModifiedBy>admin</cp:lastModifiedBy>
  <cp:lastPrinted>2021-12-27T03:06:00Z</cp:lastPrinted>
  <dcterms:modified xsi:type="dcterms:W3CDTF">2025-06-20T04:14:50Z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031759D9DA4A4E10988C695C959537D6_13</vt:lpwstr>
  </property>
  <property fmtid="{D5CDD505-2E9C-101B-9397-08002B2CF9AE}" pid="5" name="commondata">
    <vt:lpwstr>eyJoZGlkIjoiMzdkYTNjODAzOWEyZTBjZWI2OWE0Y2U2MTNhOGNiNmUifQ==</vt:lpwstr>
  </property>
  <property fmtid="{D5CDD505-2E9C-101B-9397-08002B2CF9AE}" pid="6" name="KSOTemplateDocerSaveRecord">
    <vt:lpwstr>eyJoZGlkIjoiMTA1MWMxZmY0MTVkNzVlZGRmNTcxNGM1NmNkZjhjYzQiLCJ1c2VySWQiOiIzNjMyMzU2MzYifQ==</vt:lpwstr>
  </property>
</Properties>
</file>