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2"/>
        <w:tabs>
          <w:tab w:val="left" w:pos="6615"/>
        </w:tabs>
        <w:snapToGrid w:val="0"/>
        <w:spacing w:line="360" w:lineRule="auto"/>
        <w:ind w:firstLine="1911" w:firstLineChars="595"/>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rPr>
        <w:t>ZJ-2531695</w:t>
      </w:r>
    </w:p>
    <w:p>
      <w:pPr>
        <w:pStyle w:val="42"/>
        <w:snapToGrid w:val="0"/>
        <w:spacing w:line="360" w:lineRule="auto"/>
        <w:ind w:firstLine="1911" w:firstLineChars="59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bookmarkStart w:id="0" w:name="OLE_LINK1"/>
      <w:r>
        <w:rPr>
          <w:rFonts w:hint="eastAsia" w:ascii="Times New Roman" w:hAnsi="Times New Roman"/>
          <w:b/>
          <w:color w:val="auto"/>
          <w:sz w:val="32"/>
          <w:szCs w:val="32"/>
          <w:highlight w:val="none"/>
        </w:rPr>
        <w:t>临床检验服务</w:t>
      </w:r>
      <w:r>
        <w:rPr>
          <w:rFonts w:hint="eastAsia" w:ascii="Times New Roman" w:hAnsi="Times New Roman"/>
          <w:b/>
          <w:color w:val="auto"/>
          <w:sz w:val="32"/>
          <w:szCs w:val="32"/>
          <w:highlight w:val="none"/>
        </w:rPr>
        <w:tab/>
      </w:r>
      <w:r>
        <w:rPr>
          <w:rFonts w:hint="eastAsia" w:ascii="Times New Roman" w:hAnsi="Times New Roman"/>
          <w:b/>
          <w:color w:val="auto"/>
          <w:sz w:val="32"/>
          <w:szCs w:val="32"/>
          <w:highlight w:val="none"/>
        </w:rPr>
        <w:t>项目</w:t>
      </w:r>
      <w:bookmarkEnd w:id="0"/>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杭州市妇产科医院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2025年</w:t>
      </w:r>
      <w:r>
        <w:rPr>
          <w:rFonts w:hint="eastAsia"/>
          <w:b/>
          <w:bCs/>
          <w:color w:val="auto"/>
          <w:w w:val="95"/>
          <w:sz w:val="32"/>
          <w:szCs w:val="32"/>
          <w:highlight w:val="none"/>
          <w:lang w:val="en-US" w:eastAsia="zh-CN"/>
        </w:rPr>
        <w:t>7</w:t>
      </w:r>
      <w:r>
        <w:rPr>
          <w:rFonts w:hint="eastAsia"/>
          <w:b/>
          <w:bCs/>
          <w:color w:val="auto"/>
          <w:w w:val="95"/>
          <w:sz w:val="32"/>
          <w:szCs w:val="32"/>
          <w:highlight w:val="none"/>
        </w:rPr>
        <w:t>月</w:t>
      </w:r>
    </w:p>
    <w:p>
      <w:pPr>
        <w:spacing w:line="480" w:lineRule="auto"/>
        <w:jc w:val="center"/>
        <w:rPr>
          <w:color w:val="auto"/>
          <w:sz w:val="28"/>
          <w:szCs w:val="28"/>
          <w:highlight w:val="none"/>
        </w:rPr>
      </w:pPr>
      <w:r>
        <w:rPr>
          <w:color w:val="auto"/>
          <w:szCs w:val="32"/>
          <w:highlight w:val="none"/>
        </w:rPr>
        <w:br w:type="page"/>
      </w:r>
      <w:r>
        <w:rPr>
          <w:b/>
          <w:color w:val="auto"/>
          <w:sz w:val="44"/>
          <w:szCs w:val="44"/>
          <w:highlight w:val="none"/>
        </w:rPr>
        <w:t>目  录</w:t>
      </w:r>
    </w:p>
    <w:p>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rPr>
        <w:t>15</w:t>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36</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41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hint="eastAsia" w:ascii="Times New Roman" w:hAnsi="Times New Roman"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rPr>
        <w:t>3</w:t>
      </w:r>
      <w:r>
        <w:rPr>
          <w:rFonts w:hint="eastAsia"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5</w:t>
      </w:r>
    </w:p>
    <w:p>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1" w:name="_Toc495317667"/>
      <w:bookmarkStart w:id="2" w:name="_Toc293343927"/>
      <w:r>
        <w:rPr>
          <w:rFonts w:ascii="Times New Roman" w:hAnsi="Times New Roman" w:eastAsia="宋体"/>
          <w:color w:val="auto"/>
          <w:highlight w:val="none"/>
        </w:rPr>
        <w:t>第一章  招标公告</w:t>
      </w:r>
      <w:bookmarkEnd w:id="1"/>
      <w:bookmarkEnd w:id="2"/>
    </w:p>
    <w:p>
      <w:pPr>
        <w:spacing w:line="360" w:lineRule="auto"/>
        <w:ind w:firstLine="420" w:firstLineChars="200"/>
        <w:rPr>
          <w:color w:val="auto"/>
          <w:highlight w:val="none"/>
        </w:rPr>
      </w:pPr>
      <w:r>
        <w:rPr>
          <w:color w:val="auto"/>
          <w:highlight w:val="none"/>
        </w:rPr>
        <w:t>项目概况</w:t>
      </w:r>
    </w:p>
    <w:p>
      <w:pPr>
        <w:spacing w:line="360" w:lineRule="auto"/>
        <w:ind w:firstLine="420" w:firstLineChars="200"/>
        <w:rPr>
          <w:color w:val="auto"/>
          <w:highlight w:val="none"/>
        </w:rPr>
      </w:pPr>
      <w:r>
        <w:rPr>
          <w:rFonts w:hint="eastAsia"/>
          <w:color w:val="auto"/>
          <w:highlight w:val="none"/>
        </w:rPr>
        <w:t>杭州市妇产科医院临床检验服务</w:t>
      </w:r>
      <w:r>
        <w:rPr>
          <w:rFonts w:hint="eastAsia"/>
          <w:color w:val="auto"/>
          <w:highlight w:val="none"/>
        </w:rPr>
        <w:tab/>
      </w:r>
      <w:r>
        <w:rPr>
          <w:rFonts w:hint="eastAsia"/>
          <w:color w:val="auto"/>
          <w:highlight w:val="none"/>
        </w:rPr>
        <w:t>项目招标项目的潜在投标人应在乐采云平台（http://www.lecaiyun.com）线上获取获取（下载）招标文件，并于2025年</w:t>
      </w:r>
      <w:r>
        <w:rPr>
          <w:rFonts w:hint="eastAsia"/>
          <w:color w:val="auto"/>
          <w:highlight w:val="none"/>
          <w:lang w:eastAsia="zh-CN"/>
        </w:rPr>
        <w:t>7月24</w:t>
      </w:r>
      <w:r>
        <w:rPr>
          <w:rFonts w:hint="eastAsia"/>
          <w:color w:val="auto"/>
          <w:highlight w:val="none"/>
        </w:rPr>
        <w:t>日</w:t>
      </w:r>
      <w:r>
        <w:rPr>
          <w:rFonts w:hint="eastAsia"/>
          <w:color w:val="auto"/>
          <w:highlight w:val="none"/>
          <w:lang w:eastAsia="zh-CN"/>
        </w:rPr>
        <w:t>9:00</w:t>
      </w:r>
      <w:r>
        <w:rPr>
          <w:rFonts w:hint="eastAsia"/>
          <w:color w:val="auto"/>
          <w:highlight w:val="none"/>
        </w:rPr>
        <w:t>（北京时间）前递交（上传）投标文件。</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项目编号：ZJ-2531695</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项目名称：杭州市妇产科医院临床检验服务项目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预算金额（元）：900000</w:t>
      </w:r>
    </w:p>
    <w:p>
      <w:pPr>
        <w:pStyle w:val="76"/>
        <w:spacing w:before="0" w:beforeAutospacing="0" w:after="0" w:afterAutospacing="0" w:line="360" w:lineRule="auto"/>
        <w:ind w:firstLine="420" w:firstLineChars="200"/>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lang w:val="en-US" w:eastAsia="zh-CN"/>
        </w:rPr>
        <w:t>最高限价：/</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pPr>
        <w:pStyle w:val="76"/>
        <w:spacing w:before="0" w:beforeAutospacing="0" w:after="0" w:afterAutospacing="0" w:line="360" w:lineRule="auto"/>
        <w:ind w:left="420" w:leftChars="200"/>
        <w:rPr>
          <w:rFonts w:ascii="Times New Roman" w:hAnsi="Times New Roman"/>
          <w:color w:val="auto"/>
          <w:kern w:val="2"/>
          <w:sz w:val="21"/>
          <w:highlight w:val="none"/>
        </w:rPr>
      </w:pPr>
      <w:r>
        <w:rPr>
          <w:rFonts w:hint="eastAsia" w:ascii="Times New Roman" w:hAnsi="Times New Roman"/>
          <w:color w:val="auto"/>
          <w:kern w:val="2"/>
          <w:sz w:val="21"/>
          <w:highlight w:val="none"/>
        </w:rPr>
        <w:t>标项名称: 杭州市妇产科医院临床检验服务项目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数量: 1项</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预算金额（元）：900000</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简要规格描述或项目基本概况介绍、用途：临床检验服务</w:t>
      </w:r>
      <w:r>
        <w:rPr>
          <w:rFonts w:hint="eastAsia" w:ascii="Times New Roman" w:hAnsi="Times New Roman"/>
          <w:color w:val="auto"/>
          <w:kern w:val="2"/>
          <w:sz w:val="21"/>
          <w:highlight w:val="none"/>
          <w:lang w:eastAsia="zh-CN"/>
        </w:rPr>
        <w:t>，</w:t>
      </w:r>
      <w:r>
        <w:rPr>
          <w:rFonts w:hint="eastAsia" w:ascii="Times New Roman" w:hAnsi="Times New Roman"/>
          <w:color w:val="auto"/>
          <w:kern w:val="2"/>
          <w:sz w:val="21"/>
          <w:highlight w:val="none"/>
        </w:rPr>
        <w:t> 详见第二章采购需求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备注：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本项目（是）接受联合体投标。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pPr>
        <w:pStyle w:val="76"/>
        <w:spacing w:before="0" w:beforeAutospacing="0" w:after="0" w:afterAutospacing="0" w:line="360" w:lineRule="auto"/>
        <w:ind w:left="420" w:leftChars="200"/>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3.本项目的特定资格要求：【标项1】本项目的特定资格要求：无。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时间：2025年</w:t>
      </w:r>
      <w:r>
        <w:rPr>
          <w:rFonts w:hint="eastAsia" w:ascii="Times New Roman" w:hAnsi="Times New Roman"/>
          <w:color w:val="auto"/>
          <w:kern w:val="2"/>
          <w:sz w:val="21"/>
          <w:highlight w:val="none"/>
          <w:lang w:eastAsia="zh-CN"/>
        </w:rPr>
        <w:t>7月</w:t>
      </w:r>
      <w:r>
        <w:rPr>
          <w:rFonts w:hint="eastAsia" w:ascii="Times New Roman" w:hAnsi="Times New Roman"/>
          <w:color w:val="auto"/>
          <w:kern w:val="2"/>
          <w:sz w:val="21"/>
          <w:highlight w:val="none"/>
          <w:lang w:val="en-US" w:eastAsia="zh-CN"/>
        </w:rPr>
        <w:t>4</w:t>
      </w:r>
      <w:r>
        <w:rPr>
          <w:rFonts w:hint="eastAsia" w:ascii="Times New Roman" w:hAnsi="Times New Roman"/>
          <w:color w:val="auto"/>
          <w:kern w:val="2"/>
          <w:sz w:val="21"/>
          <w:highlight w:val="none"/>
        </w:rPr>
        <w:t>日至2025年</w:t>
      </w:r>
      <w:r>
        <w:rPr>
          <w:rFonts w:hint="eastAsia" w:ascii="Times New Roman" w:hAnsi="Times New Roman"/>
          <w:color w:val="auto"/>
          <w:kern w:val="2"/>
          <w:sz w:val="21"/>
          <w:highlight w:val="none"/>
          <w:lang w:eastAsia="zh-CN"/>
        </w:rPr>
        <w:t>7月24</w:t>
      </w:r>
      <w:r>
        <w:rPr>
          <w:rFonts w:hint="eastAsia" w:ascii="Times New Roman" w:hAnsi="Times New Roman"/>
          <w:color w:val="auto"/>
          <w:kern w:val="2"/>
          <w:sz w:val="21"/>
          <w:highlight w:val="none"/>
        </w:rPr>
        <w:t>日，每天上午00:00至12:00，下午12:00至23:59（北京时间，法定节假日除外）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售价（元）：0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提交投标文件截止时间：2025年</w:t>
      </w:r>
      <w:r>
        <w:rPr>
          <w:rFonts w:hint="eastAsia" w:ascii="Times New Roman" w:hAnsi="Times New Roman"/>
          <w:color w:val="auto"/>
          <w:kern w:val="2"/>
          <w:sz w:val="21"/>
          <w:highlight w:val="none"/>
          <w:lang w:eastAsia="zh-CN"/>
        </w:rPr>
        <w:t>7月24</w:t>
      </w:r>
      <w:r>
        <w:rPr>
          <w:rFonts w:hint="eastAsia" w:ascii="Times New Roman" w:hAnsi="Times New Roman"/>
          <w:color w:val="auto"/>
          <w:kern w:val="2"/>
          <w:sz w:val="21"/>
          <w:highlight w:val="none"/>
        </w:rPr>
        <w:t>日</w:t>
      </w:r>
      <w:r>
        <w:rPr>
          <w:rFonts w:hint="eastAsia" w:ascii="Times New Roman" w:hAnsi="Times New Roman"/>
          <w:color w:val="auto"/>
          <w:kern w:val="2"/>
          <w:sz w:val="21"/>
          <w:highlight w:val="none"/>
          <w:lang w:eastAsia="zh-CN"/>
        </w:rPr>
        <w:t>9:00</w:t>
      </w:r>
      <w:r>
        <w:rPr>
          <w:rFonts w:hint="eastAsia" w:ascii="Times New Roman" w:hAnsi="Times New Roman"/>
          <w:color w:val="auto"/>
          <w:kern w:val="2"/>
          <w:sz w:val="21"/>
          <w:highlight w:val="none"/>
        </w:rPr>
        <w:t>（北京时间）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投标地点（网址）： 请登录乐采云投标客户端投标，客户端下载地址: LeCaiYunSetup.latest.exe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开标时间：2025年</w:t>
      </w:r>
      <w:r>
        <w:rPr>
          <w:rFonts w:hint="eastAsia" w:ascii="Times New Roman" w:hAnsi="Times New Roman"/>
          <w:color w:val="auto"/>
          <w:kern w:val="2"/>
          <w:sz w:val="21"/>
          <w:highlight w:val="none"/>
          <w:lang w:eastAsia="zh-CN"/>
        </w:rPr>
        <w:t>7月24</w:t>
      </w:r>
      <w:r>
        <w:rPr>
          <w:rFonts w:hint="eastAsia" w:ascii="Times New Roman" w:hAnsi="Times New Roman"/>
          <w:color w:val="auto"/>
          <w:kern w:val="2"/>
          <w:sz w:val="21"/>
          <w:highlight w:val="none"/>
        </w:rPr>
        <w:t>日</w:t>
      </w:r>
      <w:r>
        <w:rPr>
          <w:rFonts w:hint="eastAsia" w:ascii="Times New Roman" w:hAnsi="Times New Roman"/>
          <w:color w:val="auto"/>
          <w:kern w:val="2"/>
          <w:sz w:val="21"/>
          <w:highlight w:val="none"/>
          <w:lang w:eastAsia="zh-CN"/>
        </w:rPr>
        <w:t>9:00</w:t>
      </w:r>
      <w:r>
        <w:rPr>
          <w:rFonts w:hint="eastAsia" w:ascii="Times New Roman" w:hAnsi="Times New Roman"/>
          <w:color w:val="auto"/>
          <w:kern w:val="2"/>
          <w:sz w:val="21"/>
          <w:highlight w:val="none"/>
        </w:rPr>
        <w:t>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（1）投标事宜</w:t>
      </w:r>
    </w:p>
    <w:p>
      <w:pPr>
        <w:pStyle w:val="76"/>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（5）本项目为非政府采购项目。</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color w:val="auto"/>
          <w:highlight w:val="none"/>
        </w:rPr>
        <w:t>（6）</w:t>
      </w:r>
      <w:r>
        <w:rPr>
          <w:rFonts w:hint="eastAsia" w:ascii="宋体" w:hAnsi="宋体" w:cs="宋体"/>
          <w:color w:val="auto"/>
          <w:kern w:val="0"/>
          <w:szCs w:val="21"/>
          <w:highlight w:val="none"/>
        </w:rPr>
        <w:t>质疑联系人：</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招标人监察室联系人：汪主任；联系电话：0571-56005566</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pPr>
        <w:pStyle w:val="76"/>
        <w:spacing w:before="0" w:beforeAutospacing="0" w:after="0" w:afterAutospacing="0" w:line="360" w:lineRule="auto"/>
        <w:ind w:firstLine="210" w:firstLineChars="100"/>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1.采购人信息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名    称：杭州市妇产科医院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地    址：杭州市鲲鹏路369号        </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联系人： 宣主任</w:t>
      </w:r>
    </w:p>
    <w:p>
      <w:pPr>
        <w:pStyle w:val="76"/>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联系方式：0571-56005099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2.采购代理机构信息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名    称： 浙江国际招投标有限公司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    址：浙江省杭州市西湖区文三路90号东部软件园1号楼3楼                     </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项目联系人：苑洪春、李博</w:t>
      </w:r>
    </w:p>
    <w:p>
      <w:pPr>
        <w:pStyle w:val="76"/>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联系方式：0571-81061814    </w:t>
      </w:r>
    </w:p>
    <w:p>
      <w:pPr>
        <w:rPr>
          <w:color w:val="auto"/>
          <w:highlight w:val="none"/>
        </w:rPr>
      </w:pPr>
      <w:r>
        <w:rPr>
          <w:rFonts w:hint="eastAsia"/>
          <w:color w:val="auto"/>
          <w:highlight w:val="none"/>
        </w:rPr>
        <w:br w:type="page"/>
      </w:r>
    </w:p>
    <w:p>
      <w:pPr>
        <w:rPr>
          <w:color w:val="auto"/>
          <w:highlight w:val="none"/>
        </w:rPr>
      </w:pPr>
    </w:p>
    <w:p>
      <w:pPr>
        <w:pStyle w:val="2"/>
        <w:snapToGrid w:val="0"/>
        <w:rPr>
          <w:rFonts w:ascii="Times New Roman" w:hAnsi="Times New Roman" w:eastAsia="宋体"/>
          <w:color w:val="auto"/>
          <w:highlight w:val="none"/>
        </w:rPr>
      </w:pPr>
      <w:bookmarkStart w:id="3"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3"/>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pPr>
              <w:pStyle w:val="129"/>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pPr>
              <w:pStyle w:val="129"/>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采购人</w:t>
            </w:r>
          </w:p>
        </w:tc>
        <w:tc>
          <w:tcPr>
            <w:tcW w:w="6604" w:type="dxa"/>
            <w:vAlign w:val="center"/>
          </w:tcPr>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招标人：杭州市妇产科医院</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联系人：宣主任</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联系电话： 0571-56005099</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地址：杭州市鲲鹏路369号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pPr>
              <w:pStyle w:val="129"/>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名称：浙江国际招投标有限公司</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地址：杭州市文三路90号东部软件园1号楼3楼</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联系人：苑洪春</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联系电话：0571-81061814，13065702633</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邮编：310012</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pPr>
              <w:snapToGrid w:val="0"/>
              <w:spacing w:line="360" w:lineRule="auto"/>
              <w:rPr>
                <w:rFonts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pPr>
              <w:pStyle w:val="129"/>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核心产品为：本项目不适用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szCs w:val="21"/>
                <w:highlight w:val="none"/>
              </w:rPr>
              <w:t>6</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pPr>
              <w:pStyle w:val="129"/>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pPr>
              <w:pStyle w:val="129"/>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pPr>
              <w:pStyle w:val="129"/>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2025年</w:t>
            </w:r>
            <w:r>
              <w:rPr>
                <w:rFonts w:hint="eastAsia"/>
                <w:color w:val="auto"/>
                <w:highlight w:val="none"/>
                <w:lang w:eastAsia="zh-CN"/>
              </w:rPr>
              <w:t>7月</w:t>
            </w:r>
            <w:r>
              <w:rPr>
                <w:rFonts w:hint="eastAsia"/>
                <w:color w:val="auto"/>
                <w:highlight w:val="none"/>
                <w:lang w:val="en-US" w:eastAsia="zh-CN"/>
              </w:rPr>
              <w:t>11</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发送至该电子邮件（邮箱14847913@qq.com）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本项目实行电子投标。</w:t>
            </w:r>
          </w:p>
          <w:p>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pPr>
              <w:pStyle w:val="129"/>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杭州市文三路90号东部软件园1号楼3楼307室，接收人：苑洪春，电话：0571-81061814</w:t>
            </w:r>
            <w:r>
              <w:rPr>
                <w:rFonts w:hint="eastAsia"/>
                <w:color w:val="auto"/>
                <w:szCs w:val="21"/>
                <w:highlight w:val="none"/>
              </w:rPr>
              <w:t>，以便电子加密投标文件解密异常时应急使用。</w:t>
            </w:r>
          </w:p>
          <w:p>
            <w:pPr>
              <w:pStyle w:val="129"/>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9"/>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投标截止前一个工作日，将备份投标文件通过快递形式或直接送达采购代理机构处，以便标书解密异常时应急使用（地址：杭州市文三路90号东部软件园1号楼3楼307室，接收人：苑洪春，电话：0571-81061814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pPr>
              <w:pStyle w:val="129"/>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color w:val="auto"/>
                <w:kern w:val="0"/>
                <w:highlight w:val="none"/>
              </w:rPr>
            </w:pPr>
            <w:r>
              <w:rPr>
                <w:rFonts w:hint="eastAsia" w:ascii="Times New Roman" w:hAnsi="Times New Roman"/>
                <w:color w:val="auto"/>
                <w:highlight w:val="none"/>
              </w:rPr>
              <w:t>16</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供应商应知其权益受到损害之日，是指：</w:t>
            </w:r>
          </w:p>
          <w:p>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rPr>
              <w:t>人</w:t>
            </w:r>
            <w:r>
              <w:rPr>
                <w:color w:val="auto"/>
                <w:highlight w:val="none"/>
              </w:rPr>
              <w:t>监督管理部门投诉。</w:t>
            </w:r>
          </w:p>
          <w:p>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pPr>
              <w:snapToGrid w:val="0"/>
              <w:spacing w:line="360" w:lineRule="auto"/>
              <w:jc w:val="left"/>
              <w:rPr>
                <w:color w:val="auto"/>
                <w:szCs w:val="21"/>
                <w:highlight w:val="none"/>
              </w:rPr>
            </w:pPr>
            <w:r>
              <w:rPr>
                <w:color w:val="auto"/>
                <w:szCs w:val="21"/>
                <w:highlight w:val="none"/>
              </w:rPr>
              <w:t>样品</w:t>
            </w:r>
          </w:p>
        </w:tc>
        <w:tc>
          <w:tcPr>
            <w:tcW w:w="6604"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pPr>
              <w:snapToGrid w:val="0"/>
              <w:spacing w:line="360" w:lineRule="auto"/>
              <w:jc w:val="left"/>
              <w:rPr>
                <w:color w:val="auto"/>
                <w:szCs w:val="21"/>
                <w:highlight w:val="none"/>
              </w:rPr>
            </w:pPr>
            <w:r>
              <w:rPr>
                <w:color w:val="auto"/>
                <w:szCs w:val="21"/>
                <w:highlight w:val="none"/>
              </w:rPr>
              <w:t>演示</w:t>
            </w:r>
          </w:p>
        </w:tc>
        <w:tc>
          <w:tcPr>
            <w:tcW w:w="6604" w:type="dxa"/>
            <w:vAlign w:val="center"/>
          </w:tcPr>
          <w:p>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不要求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pPr>
              <w:spacing w:line="360" w:lineRule="auto"/>
              <w:rPr>
                <w:color w:val="auto"/>
                <w:highlight w:val="none"/>
              </w:rPr>
            </w:pPr>
            <w:r>
              <w:rPr>
                <w:rFonts w:hint="eastAsia"/>
                <w:color w:val="auto"/>
                <w:highlight w:val="none"/>
              </w:rPr>
              <w:t>（1）以联合体形式投标的，联合体各方的业绩证明材料均认可。</w:t>
            </w:r>
          </w:p>
          <w:p>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lang w:val="en-US" w:eastAsia="zh-CN"/>
              </w:rPr>
              <w:t>不</w:t>
            </w:r>
            <w:r>
              <w:rPr>
                <w:rFonts w:hint="eastAsia"/>
                <w:color w:val="auto"/>
                <w:highlight w:val="none"/>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pPr>
              <w:snapToGrid w:val="0"/>
              <w:spacing w:line="360" w:lineRule="auto"/>
              <w:jc w:val="left"/>
              <w:rPr>
                <w:color w:val="auto"/>
                <w:kern w:val="0"/>
                <w:highlight w:val="none"/>
              </w:rPr>
            </w:pPr>
            <w:r>
              <w:rPr>
                <w:color w:val="auto"/>
                <w:kern w:val="0"/>
                <w:highlight w:val="none"/>
              </w:rPr>
              <w:t>其他</w:t>
            </w:r>
          </w:p>
        </w:tc>
        <w:tc>
          <w:tcPr>
            <w:tcW w:w="6604" w:type="dxa"/>
            <w:vAlign w:val="center"/>
          </w:tcPr>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2"/>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2"/>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pPr>
              <w:pStyle w:val="42"/>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jc w:val="center"/>
        <w:rPr>
          <w:rFonts w:ascii="宋体" w:hAnsi="宋体"/>
          <w:b/>
          <w:bCs/>
          <w:color w:val="auto"/>
          <w:sz w:val="32"/>
          <w:szCs w:val="32"/>
          <w:highlight w:val="none"/>
        </w:rPr>
      </w:pPr>
      <w:r>
        <w:rPr>
          <w:color w:val="auto"/>
          <w:kern w:val="0"/>
          <w:szCs w:val="21"/>
          <w:highlight w:val="none"/>
        </w:rPr>
        <w:br w:type="page"/>
      </w:r>
      <w:bookmarkStart w:id="4" w:name="_Toc294012141"/>
      <w:bookmarkStart w:id="5" w:name="_Toc298767927"/>
      <w:bookmarkStart w:id="6" w:name="_Toc495317669"/>
      <w:r>
        <w:rPr>
          <w:b/>
          <w:bCs/>
          <w:color w:val="auto"/>
          <w:sz w:val="32"/>
          <w:szCs w:val="32"/>
          <w:highlight w:val="none"/>
        </w:rPr>
        <w:t>第二章</w:t>
      </w:r>
      <w:bookmarkEnd w:id="4"/>
      <w:bookmarkEnd w:id="5"/>
      <w:r>
        <w:rPr>
          <w:b/>
          <w:bCs/>
          <w:color w:val="auto"/>
          <w:sz w:val="32"/>
          <w:szCs w:val="32"/>
          <w:highlight w:val="none"/>
        </w:rPr>
        <w:t xml:space="preserve">  采购内容及需求</w:t>
      </w:r>
      <w:bookmarkEnd w:id="6"/>
      <w:bookmarkStart w:id="7" w:name="_Toc273624872"/>
      <w:bookmarkStart w:id="8" w:name="_Toc495317670"/>
      <w:bookmarkStart w:id="9" w:name="_Toc82873316"/>
      <w:bookmarkStart w:id="10" w:name="_Toc82338233"/>
      <w:bookmarkStart w:id="11" w:name="_Toc211745565"/>
    </w:p>
    <w:p>
      <w:pPr>
        <w:rPr>
          <w:rFonts w:hint="eastAsia" w:ascii="宋体" w:hAnsi="宋体" w:eastAsia="宋体" w:cs="宋体"/>
          <w:b/>
          <w:bCs/>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bookmarkStart w:id="12" w:name="_Toc372127729"/>
      <w:bookmarkStart w:id="13" w:name="_Toc364167673"/>
      <w:bookmarkStart w:id="14" w:name="_Toc364614346"/>
      <w:bookmarkStart w:id="15" w:name="_Toc364168111"/>
      <w:bookmarkStart w:id="16" w:name="_Toc338102453"/>
      <w:bookmarkStart w:id="17" w:name="_Toc236047431"/>
      <w:bookmarkStart w:id="18" w:name="_Toc204483585"/>
      <w:bookmarkStart w:id="19" w:name="_Toc294777238"/>
      <w:bookmarkStart w:id="20" w:name="_Toc368998510"/>
      <w:bookmarkStart w:id="21" w:name="_Toc364236194"/>
      <w:bookmarkStart w:id="22" w:name="_Toc390342474"/>
      <w:bookmarkStart w:id="23" w:name="_Toc426996356"/>
      <w:r>
        <w:rPr>
          <w:rFonts w:hint="eastAsia" w:ascii="宋体" w:hAnsi="宋体" w:eastAsia="宋体" w:cs="宋体"/>
          <w:color w:val="auto"/>
          <w:sz w:val="21"/>
          <w:szCs w:val="21"/>
          <w:highlight w:val="none"/>
        </w:rPr>
        <w:t>一、检测项目</w:t>
      </w:r>
    </w:p>
    <w:tbl>
      <w:tblPr>
        <w:tblStyle w:val="80"/>
        <w:tblW w:w="0" w:type="auto"/>
        <w:tblInd w:w="91" w:type="dxa"/>
        <w:tblLayout w:type="fixed"/>
        <w:tblCellMar>
          <w:top w:w="0" w:type="dxa"/>
          <w:left w:w="108" w:type="dxa"/>
          <w:bottom w:w="0" w:type="dxa"/>
          <w:right w:w="108" w:type="dxa"/>
        </w:tblCellMar>
      </w:tblPr>
      <w:tblGrid>
        <w:gridCol w:w="830"/>
        <w:gridCol w:w="3706"/>
        <w:gridCol w:w="1251"/>
        <w:gridCol w:w="1233"/>
        <w:gridCol w:w="2196"/>
      </w:tblGrid>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检测项目名称</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要求报告周期</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医院收费价格（元）</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检测方法学要求</w:t>
            </w: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抗精子抗体三项（IgA、IgG、IgM）</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ELISA</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12"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抗磷脂相关抗体（包括：抗心磷脂抗体IgA、IgG、IgM ；抗β2糖蛋白1抗体IgG、IgM）</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165</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全血六元素（包括：钙、铜、铁、镁、铅、锌6元素）</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58</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原子吸收光谱法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全血铅锌二元素</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原子吸收光谱法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葡萄糖6磷酸脱氢酶活性</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葡萄糖-6-磷酸底物法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总前列腺特异性抗原</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游离前列腺特异性抗原</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抗核抗体ANA、抗核抗体核型1 颗粒型、抗核抗体核型2 核仁型</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280</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抗nRNP抗体、抗Sm抗体、抗SS-A抗体、抗SS-B抗体、抗ScI-70抗体、抗JO-1抗体、抗PM-ScI、抗增殖细胞核抗原抗体PCNA、抗组蛋白抗体、抗着丝点抗体B蛋白、抗核糖体P蛋白抗体、抗核小体抗体、抗线粒体抗体M2型、RO52</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抗dsDNA抗体、抗心磷脂抗体ACA</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系统性硬化症：抗核抗体、抗ScI-70抗体、抗PM-ScI抗体、抗着丝点抗体B蛋白</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皮肌炎：抗核抗体、抗Jo-1抗体、抗Ro-52抗体、抗PM-ScI抗体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原发性胆汁性胆管炎PBC：抗核抗体、抗SSA抗体、抗SSB抗体、抗Ro-52抗体、抗线粒体抗体M2型</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自免肝七项：抗核抗体、抗着丝点抗体、肝细胞质抗体-I型、抗线粒体抗体M2型、抗肝肾微粒体抗体-1型、抗平滑肌抗体、抗可溶性肝抗原抗体。</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135</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抗核抗体一项：ANA</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间接免疫荧光法</w:t>
            </w: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抗核抗体二项：ANA、抗dsDNA</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抗核抗体三项：ANA、ENA6项、抗dsDNA</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抗中性粒细胞胞浆抗体四项：c-ANCA、p-ANCA、PR3-ANCA、MPO-ANCA</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间接免疫荧光法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尿蛋白</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免疫比浊法/尿N-乙酰-</w:t>
            </w:r>
            <w:r>
              <w:rPr>
                <w:rStyle w:val="1344"/>
                <w:rFonts w:hint="eastAsia" w:ascii="宋体" w:hAnsi="宋体" w:eastAsia="宋体" w:cs="宋体"/>
                <w:color w:val="auto"/>
                <w:sz w:val="21"/>
                <w:szCs w:val="21"/>
                <w:highlight w:val="none"/>
                <w:lang w:bidi="ar"/>
              </w:rPr>
              <w:t>β</w:t>
            </w:r>
            <w:r>
              <w:rPr>
                <w:rFonts w:hint="eastAsia" w:ascii="宋体" w:hAnsi="宋体" w:eastAsia="宋体" w:cs="宋体"/>
                <w:color w:val="auto"/>
                <w:kern w:val="0"/>
                <w:sz w:val="21"/>
                <w:szCs w:val="21"/>
                <w:highlight w:val="none"/>
                <w:lang w:bidi="ar"/>
              </w:rPr>
              <w:t>-D-氨基糖苷酶(NAG)MPT底物法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尿视黄醇结合蛋白（RBP）</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尿α1微球蛋白（α1-MG）</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N乙酰β-D氨基葡萄糖苷酶/尿肌酐</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尿微量白蛋白/肌酐</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尿蛋白/尿肌酐</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N乙酰β-D氨基葡萄糖苷酶</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免疫比浊法/尿肌酐(Ucr)肌氨酸氧化酶法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尿免疫球蛋白lgG/尿肌酐</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尿α1微球蛋白/尿肌酐</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尿视黄醇结合蛋白/尿肌酐</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尿转铁蛋白/尿肌酐</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尿转铁蛋白</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尿免疫球蛋白lgG</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新血栓三项（TM、TAT、t-PAIC）</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糖类抗原CA72-4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神经元特异性烯醇化酶测定(NSE)</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血清转铁蛋白</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免疫比浊法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血清总铁结合力</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肝纤维化五项</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甲状旁腺素(PTH)</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甲状腺球蛋白测定</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促甲状腺受体抗体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胃蛋白酶原Ⅰ、Ⅱ</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血清胃功能检测</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ELISA</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抗环瓜氨酸抗体（CCP）</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血皮质醇（8AM）</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血皮质醇（4PM）</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ACTH（8AM）</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ACTH（4PM）</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丙型肝炎病毒RNA</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荧光PCR法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生长激素0分钟</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生长激素30分钟</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生长激素60分钟</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生长激素90分钟</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生长激素120分钟</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抗子宫内膜抗体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ELISA</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抗卵细胞透明带抗体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ELISA</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肿瘤坏死因子</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白介素10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抗平滑肌抗体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结核杆菌抗体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金标法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血清C肽</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幽门螺杆菌抗体测定</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单纯疱疹病毒II型DNA</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荧光定量PVR</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49</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N-端骨钙素(N-MID)+（电化学发光法）</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降钙素（CT）+（酶化学发光法）</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I型胶原羧基端肽β特殊序列(β-CTx)+（电化学发光法）</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总Ⅰ型胶原氨基酸延长肽(t-P1NP)+（电化学发光法）</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w:t>
            </w:r>
          </w:p>
        </w:tc>
        <w:tc>
          <w:tcPr>
            <w:tcW w:w="3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肾素-血管紧张素-醛固酮-卧位</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3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color w:val="auto"/>
                <w:sz w:val="21"/>
                <w:szCs w:val="21"/>
                <w:highlight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水痘—带状疱疹病毒抗体测定</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ELISA</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血清蛋白电泳</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琼脂糖凝胶电泳法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抗肾小球基底膜抗体IgG</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57</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髓过氧化物酶抗体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58</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抗蛋白酶-3抗体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59</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脂蛋白相关磷脂酶A2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连续监测法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促红细胞生成素</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内源性凝血因子四项</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凝固法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62</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抗细小病毒B19</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ELISA</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内因子抗体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总T细胞（CD45+CD3+）</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流式细胞检测</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辅助/诱导T细胞（CD3+CD4+）</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66</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抑制/杀伤T细胞（CD3+CD8+）</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67</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CD4/CD8比值（Th/Ts）</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NK自然杀伤细胞（CD3-CD19+）</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69</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封闭抗体</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流式细胞检测</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结核感染T细胞斑点试验（T-SPOT）</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477</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酶联免疫斑点法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人类白细胞抗原B27测定(HLA-B27)</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荧光PCR法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万古霉素药物浓度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LC-MS/MS</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宫颈癌基因甲基化分子检测（至少两个位点）</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548</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荧光定量PCR</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子宫内膜癌基因甲基化分子检测（至少两个位点）</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548</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荧光定量PCR</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类胰岛素样生长因子-1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化学发光法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类胰岛素样生长因子-3</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化学放光法</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77</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地高辛浓度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LC-MS/MS</w:t>
            </w:r>
          </w:p>
        </w:tc>
      </w:tr>
      <w:tr>
        <w:tblPrEx>
          <w:tblCellMar>
            <w:top w:w="0" w:type="dxa"/>
            <w:left w:w="108" w:type="dxa"/>
            <w:bottom w:w="0" w:type="dxa"/>
            <w:right w:w="108" w:type="dxa"/>
          </w:tblCellMar>
        </w:tblPrEx>
        <w:trPr>
          <w:trHeight w:val="4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78</w:t>
            </w:r>
          </w:p>
        </w:tc>
        <w:tc>
          <w:tcPr>
            <w:tcW w:w="3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丙戊酸盐浓度</w:t>
            </w:r>
          </w:p>
        </w:tc>
        <w:tc>
          <w:tcPr>
            <w:tcW w:w="1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5个工作日</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LC-MS/MS</w:t>
            </w:r>
          </w:p>
        </w:tc>
      </w:tr>
    </w:tbl>
    <w:p>
      <w:pPr>
        <w:spacing w:line="360" w:lineRule="auto"/>
        <w:ind w:firstLine="420" w:firstLineChars="200"/>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二、服务要求</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1、所有检测项目报告应按时出具，时间计算从患者标本采集之日起。</w:t>
      </w:r>
      <w:r>
        <w:rPr>
          <w:rFonts w:hint="eastAsia" w:ascii="宋体" w:hAnsi="宋体" w:eastAsia="宋体" w:cs="宋体"/>
          <w:color w:val="auto"/>
          <w:sz w:val="21"/>
          <w:szCs w:val="21"/>
          <w:highlight w:val="none"/>
        </w:rPr>
        <w:t>标本物流次数：每天一次，特殊情况按需临时增加。</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2、应每月提供反应标本物流及检测过程的信息，包括但不限于运输过程的温度监控信息、标本接收转运信息，检测人员资质，检测过程的质控数据等。</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3、本次招标项目投标人如不能提供国家或省临检中心室间质评证书，</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每季度每项测试送检5个盲样，检测费用由中标人承担。</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5、对本次招标的具体检测项目投标方需明确提供每个项目的检测方法学、每个项目的检验报告单、使用相应设备三证台账、使用试剂三证台账等的佐证材料。</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、报告方式</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提供（但不限于）以下报告发放和查询方式：可通过内、外网查询并发放报告，且报告形式符合ISO15189对委托检验的要求：即在发放委托检测机构检验报告的同时结果在招标人信息系统存档，实现招标人报告发放需求所产生的相应费用由中标人承担。</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、其他</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1中标人负责提供标本采集、运送所需的技术方法、运送所需的相应文本和材料，并采取必要措施保证样本在寄送过程中的安全和有效性。所有样本的运送必须符合样本温度的管理要求，有专业的标本冷链物流配送，温度控制在全程2-8℃，数据记录保存≥2年，备查。</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.2突发情况：院方自己开展项目仪器发生故障时，提供标本紧急检验服务，按照同类外送项目标本折扣收取费用，不另计费：</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.3提供专业客户服务人员：服务时效：日常电话及时应答，投诉2小时内回复调查进展；</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.4根据招标人需求，免费提供院方用于相关标本存放用品、耗材等，提供每次到货清单、货联、</w:t>
      </w:r>
      <w:r>
        <w:rPr>
          <w:rFonts w:hint="eastAsia" w:ascii="宋体" w:hAnsi="宋体" w:eastAsia="宋体" w:cs="宋体"/>
          <w:color w:val="auto"/>
          <w:sz w:val="21"/>
          <w:szCs w:val="21"/>
          <w:highlight w:val="none"/>
        </w:rPr>
        <w:t>合格证、医疗器械注册证等；</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.5如有特别异常结果（血铅、肿瘤标志物结果≥参考区间上限2倍）、传染病阳性相关的报告等，中标人应负责指定专门人员及时电话报告给送检单位指定联系人。</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.6如因检测延误、结果错误等原因导致的患者投诉或诉讼，由中标人承担相应的经济赔偿或法律责任。</w:t>
      </w:r>
    </w:p>
    <w:p>
      <w:pPr>
        <w:keepNext w:val="0"/>
        <w:keepLines w:val="0"/>
        <w:pageBreakBefore w:val="0"/>
        <w:widowControl w:val="0"/>
        <w:kinsoku/>
        <w:wordWrap/>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.7遵守保密制度，保护受检者的秘密，不得向无关人员泄露受检者的检验情况。</w:t>
      </w:r>
    </w:p>
    <w:p>
      <w:pPr>
        <w:pStyle w:val="67"/>
        <w:keepNext w:val="0"/>
        <w:keepLines w:val="0"/>
        <w:pageBreakBefore w:val="0"/>
        <w:widowControl w:val="0"/>
        <w:kinsoku/>
        <w:wordWrap/>
        <w:overflowPunct/>
        <w:topLinePunct w:val="0"/>
        <w:bidi w:val="0"/>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每周七次到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钱江院区实验室收取标本，上门收取标本时间为周一至周日下午14：00-16：00。</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每周一到周日每天三次(分别为上午10：00、中午13：30、下午16：30)到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城西院区实验室收取标本物流到钱江院区。节假日等特殊情况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收样时间以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实时沟通后所确认的时间为准。</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在收到标本后，按照不同的检测项目所需工作日完成相关检验，对样本实行条形码管理，使样本信息与结果报告一致并按上表承诺时间发放报告。因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过错导致报告结果延迟发放，由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承担相应责任；同时，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索赔，每例检测的索赔金额按收费价格或实际因此产生的患者要求赔偿金额核算。</w:t>
      </w:r>
    </w:p>
    <w:p>
      <w:pPr>
        <w:keepNext w:val="0"/>
        <w:keepLines w:val="0"/>
        <w:pageBreakBefore w:val="0"/>
        <w:widowControl w:val="0"/>
        <w:kinsoku/>
        <w:wordWrap/>
        <w:overflowPunct/>
        <w:topLinePunct w:val="0"/>
        <w:bidi w:val="0"/>
        <w:adjustRightInd w:val="0"/>
        <w:snapToGrid w:val="0"/>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其他要求</w:t>
      </w:r>
    </w:p>
    <w:p>
      <w:pPr>
        <w:keepNext w:val="0"/>
        <w:keepLines w:val="0"/>
        <w:pageBreakBefore w:val="0"/>
        <w:widowControl w:val="0"/>
        <w:kinsoku/>
        <w:wordWrap/>
        <w:overflowPunct/>
        <w:topLinePunct w:val="0"/>
        <w:bidi w:val="0"/>
        <w:spacing w:line="360" w:lineRule="auto"/>
        <w:ind w:firstLine="56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、负责本项目实验室要求</w:t>
      </w:r>
    </w:p>
    <w:p>
      <w:pPr>
        <w:pStyle w:val="67"/>
        <w:keepNext w:val="0"/>
        <w:keepLines w:val="0"/>
        <w:pageBreakBefore w:val="0"/>
        <w:widowControl w:val="0"/>
        <w:kinsoku/>
        <w:wordWrap/>
        <w:overflowPunct/>
        <w:topLinePunct w:val="0"/>
        <w:bidi w:val="0"/>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▲（1）投标人具有从事采购检测内容相关检测服务的许可，具</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中华人民共和国医疗机构执业许可证，“医疗机构执业许可证”所列“诊疗科目”应包括：“临床免疫、血清学专业”、“临床化学检验专业”、具有临床医学检验实验室（临床医学检验机构），</w:t>
      </w:r>
      <w:r>
        <w:rPr>
          <w:rFonts w:hint="eastAsia" w:ascii="宋体" w:hAnsi="宋体" w:eastAsia="宋体" w:cs="宋体"/>
          <w:color w:val="auto"/>
          <w:sz w:val="21"/>
          <w:szCs w:val="21"/>
          <w:highlight w:val="none"/>
          <w:lang w:val="en-US" w:eastAsia="zh-CN"/>
        </w:rPr>
        <w:t>为采购人</w:t>
      </w:r>
      <w:r>
        <w:rPr>
          <w:rFonts w:hint="eastAsia" w:ascii="宋体" w:hAnsi="宋体" w:eastAsia="宋体" w:cs="宋体"/>
          <w:color w:val="auto"/>
          <w:sz w:val="21"/>
          <w:szCs w:val="21"/>
          <w:highlight w:val="none"/>
        </w:rPr>
        <w:t>提供相应服务；</w:t>
      </w:r>
    </w:p>
    <w:p>
      <w:pPr>
        <w:pStyle w:val="67"/>
        <w:keepNext w:val="0"/>
        <w:keepLines w:val="0"/>
        <w:pageBreakBefore w:val="0"/>
        <w:widowControl w:val="0"/>
        <w:kinsoku/>
        <w:wordWrap/>
        <w:overflowPunct/>
        <w:topLinePunct w:val="0"/>
        <w:bidi w:val="0"/>
        <w:adjustRightInd w:val="0"/>
        <w:snapToGrid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（2）投标实验室需通过ISO 15189认可并提供质量管理体系有效运行的认可证书，如应标项目获得ISO 15189认可的一并提供认可佐证材料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填写表格见附表1</w:t>
      </w:r>
      <w:r>
        <w:rPr>
          <w:rFonts w:hint="eastAsia" w:ascii="宋体" w:hAnsi="宋体" w:eastAsia="宋体" w:cs="宋体"/>
          <w:color w:val="auto"/>
          <w:sz w:val="21"/>
          <w:szCs w:val="21"/>
          <w:highlight w:val="none"/>
        </w:rPr>
        <w:t>。 提供应标项目实验室室间质评证书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填写表格见附表2。</w:t>
      </w:r>
    </w:p>
    <w:p>
      <w:pPr>
        <w:pStyle w:val="67"/>
        <w:keepNext w:val="0"/>
        <w:keepLines w:val="0"/>
        <w:pageBreakBefore w:val="0"/>
        <w:widowControl w:val="0"/>
        <w:kinsoku/>
        <w:wordWrap/>
        <w:overflowPunct/>
        <w:topLinePunct w:val="0"/>
        <w:bidi w:val="0"/>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提供实验室检测技术人员的情况，包括学历、工作经验、培训经历、职称、资质证书等：</w:t>
      </w:r>
    </w:p>
    <w:p>
      <w:pPr>
        <w:pStyle w:val="67"/>
        <w:keepNext w:val="0"/>
        <w:keepLines w:val="0"/>
        <w:pageBreakBefore w:val="0"/>
        <w:widowControl w:val="0"/>
        <w:kinsoku/>
        <w:wordWrap/>
        <w:overflowPunct/>
        <w:topLinePunct w:val="0"/>
        <w:bidi w:val="0"/>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提供实验室检测应标项目的相关仪器设备情况，提供设备清单、品牌，型号和具体性能参数；</w:t>
      </w:r>
    </w:p>
    <w:p>
      <w:pPr>
        <w:pStyle w:val="67"/>
        <w:keepNext w:val="0"/>
        <w:keepLines w:val="0"/>
        <w:pageBreakBefore w:val="0"/>
        <w:widowControl w:val="0"/>
        <w:kinsoku/>
        <w:wordWrap/>
        <w:overflowPunct/>
        <w:topLinePunct w:val="0"/>
        <w:bidi w:val="0"/>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提供质量控制措施方案；</w:t>
      </w:r>
    </w:p>
    <w:p>
      <w:pPr>
        <w:pStyle w:val="67"/>
        <w:keepNext w:val="0"/>
        <w:keepLines w:val="0"/>
        <w:pageBreakBefore w:val="0"/>
        <w:widowControl w:val="0"/>
        <w:kinsoku/>
        <w:wordWrap/>
        <w:overflowPunct/>
        <w:topLinePunct w:val="0"/>
        <w:bidi w:val="0"/>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提供检测报告与医院网络系统对接方案。</w:t>
      </w:r>
    </w:p>
    <w:p>
      <w:pPr>
        <w:pStyle w:val="67"/>
        <w:keepNext w:val="0"/>
        <w:keepLines w:val="0"/>
        <w:pageBreakBefore w:val="0"/>
        <w:widowControl w:val="0"/>
        <w:kinsoku/>
        <w:wordWrap/>
        <w:overflowPunct/>
        <w:topLinePunct w:val="0"/>
        <w:bidi w:val="0"/>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6、派驻技术人员</w:t>
      </w:r>
    </w:p>
    <w:p>
      <w:pPr>
        <w:pStyle w:val="67"/>
        <w:keepNext w:val="0"/>
        <w:keepLines w:val="0"/>
        <w:pageBreakBefore w:val="0"/>
        <w:widowControl w:val="0"/>
        <w:kinsoku/>
        <w:wordWrap/>
        <w:overflowPunct/>
        <w:topLinePunct w:val="0"/>
        <w:bidi w:val="0"/>
        <w:adjustRightInd w:val="0"/>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需派驻一名工作人员在检验科，具体要求为护理或检验专业，具有《护士资格证书》或《临床医学检验技术》专业技术资格证书（初级及以上），负责采血、外送标本整理、打包、交接及检验科安排的其他工作，工作时间与医院工作时间一致，并接受医院统一安排的各类培训。</w:t>
      </w:r>
    </w:p>
    <w:p>
      <w:pPr>
        <w:adjustRightInd w:val="0"/>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1、服务期：检测服务期限暂定1年或合同累计金额90万元合同终止。合同期满后，经甲方相关部门综合测评获较高满意度，经甲方同意，可进行合同续签，续签期限不超过1年，续签不超过2次。</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▲2、报价方式：</w:t>
      </w:r>
    </w:p>
    <w:p>
      <w:pPr>
        <w:adjustRightInd w:val="0"/>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本次报价分两部分，报价1和报价2.</w:t>
      </w:r>
    </w:p>
    <w:p>
      <w:pPr>
        <w:adjustRightInd w:val="0"/>
        <w:snapToGrid w:val="0"/>
        <w:spacing w:line="360" w:lineRule="auto"/>
        <w:ind w:firstLine="632" w:firstLineChars="3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报价1对检测清单中序号1-60进行报价，投标价为本次招标的1-60检测项目医院收费价格基础上的折扣。</w:t>
      </w:r>
    </w:p>
    <w:p>
      <w:pPr>
        <w:adjustRightInd w:val="0"/>
        <w:snapToGrid w:val="0"/>
        <w:spacing w:line="360" w:lineRule="auto"/>
        <w:ind w:firstLine="632" w:firstLineChars="3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报价2对检测清单中序号61-78进行报价，投标价为本次招标的61-78检测项目医院收费价格基础上的折扣。</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检测服务费须包括检测费、出具报告费、运输费、</w:t>
      </w:r>
      <w:r>
        <w:rPr>
          <w:rFonts w:hint="eastAsia" w:ascii="宋体" w:hAnsi="宋体" w:eastAsia="宋体" w:cs="宋体"/>
          <w:color w:val="auto"/>
          <w:kern w:val="1"/>
          <w:sz w:val="21"/>
          <w:szCs w:val="21"/>
          <w:highlight w:val="none"/>
        </w:rPr>
        <w:t>售后服务费、</w:t>
      </w:r>
      <w:r>
        <w:rPr>
          <w:rFonts w:hint="eastAsia" w:ascii="宋体" w:hAnsi="宋体" w:eastAsia="宋体" w:cs="宋体"/>
          <w:color w:val="auto"/>
          <w:sz w:val="21"/>
          <w:szCs w:val="21"/>
          <w:highlight w:val="none"/>
        </w:rPr>
        <w:t>质量监控信息费、管理费</w:t>
      </w:r>
      <w:r>
        <w:rPr>
          <w:rFonts w:hint="eastAsia" w:ascii="宋体" w:hAnsi="宋体" w:eastAsia="宋体" w:cs="宋体"/>
          <w:color w:val="auto"/>
          <w:kern w:val="1"/>
          <w:sz w:val="21"/>
          <w:szCs w:val="21"/>
          <w:highlight w:val="none"/>
        </w:rPr>
        <w:t>、利润、税金等所有费用</w:t>
      </w:r>
      <w:r>
        <w:rPr>
          <w:rFonts w:hint="eastAsia" w:ascii="宋体" w:hAnsi="宋体" w:eastAsia="宋体" w:cs="宋体"/>
          <w:color w:val="auto"/>
          <w:sz w:val="21"/>
          <w:szCs w:val="21"/>
          <w:highlight w:val="none"/>
        </w:rPr>
        <w:t>和招标代理服务费等</w:t>
      </w:r>
      <w:r>
        <w:rPr>
          <w:rFonts w:hint="eastAsia" w:ascii="宋体" w:hAnsi="宋体" w:eastAsia="宋体" w:cs="宋体"/>
          <w:color w:val="auto"/>
          <w:kern w:val="1"/>
          <w:sz w:val="21"/>
          <w:szCs w:val="21"/>
          <w:highlight w:val="none"/>
        </w:rPr>
        <w:t>招标文件已提到和招标文件虽未提到的但应该包括的完成本项目所产生的一切费用由投标人承担。</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▲中标单价=检测项目医院收费价格*中标折扣</w:t>
      </w:r>
    </w:p>
    <w:p>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3、付款方式</w:t>
      </w:r>
    </w:p>
    <w:p>
      <w:pPr>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中标人应于每月月底前与采购人核对上一个月的样本数、报告数及检测服务费，核对后达成一致的，开具增值税普通发票。次月将账款打入中标人公司账户。</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4、履约保证金</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合同签订后5个工作日内，中标人须向采购人交纳9000元的履约保证金。</w:t>
      </w:r>
      <w:bookmarkEnd w:id="12"/>
      <w:bookmarkEnd w:id="13"/>
      <w:bookmarkEnd w:id="14"/>
      <w:bookmarkEnd w:id="15"/>
      <w:bookmarkEnd w:id="16"/>
      <w:bookmarkEnd w:id="17"/>
      <w:bookmarkEnd w:id="18"/>
      <w:bookmarkEnd w:id="19"/>
      <w:bookmarkEnd w:id="20"/>
      <w:bookmarkEnd w:id="21"/>
      <w:bookmarkEnd w:id="22"/>
    </w:p>
    <w:bookmarkEnd w:id="23"/>
    <w:p>
      <w:pPr>
        <w:pStyle w:val="3"/>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附表1 通过ISO15189认可项目情况一览表</w:t>
      </w:r>
    </w:p>
    <w:tbl>
      <w:tblPr>
        <w:tblStyle w:val="8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3911"/>
        <w:gridCol w:w="2373"/>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是否通过ISO15189认证</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对应ISO15189认可证书附件清单序号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抗精子抗体Ig-A</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抗精子抗体Ig-G</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抗精子抗体Ig-M</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抗心磷脂抗体IgG</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抗心磷脂抗体IgM</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抗心磷脂抗体IgA</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抗β2-糖蛋白1抗体IgG</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抗β2-糖蛋白1抗体IgM</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钙</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镁</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铅</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锌</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葡萄糖6磷酸脱氢酶活性</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总前列腺特异性抗原</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游离前列腺特异性抗原</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抗核抗体核型1 颗粒型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抗核抗体核型2 核仁型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抗nRNP抗体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抗Sm抗体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抗SS-A抗体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抗SS-B抗体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抗ScI-70抗体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抗JO-1抗体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抗PM-ScI</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抗增殖细胞核抗原抗体PCNA</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抗组蛋白抗体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抗着丝点抗体B蛋白</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抗核糖体P蛋白抗体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抗核小体抗体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抗线粒体抗体M2型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抗Ro-52抗体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抗dsDNA抗体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抗心磷脂抗体ACA</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抗着丝点抗体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肝细胞质抗体-I型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抗肝肾微粒体抗体-1型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抗平滑肌抗体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抗可溶性肝抗原抗体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抗中性粒细胞胞浆抗体(cANCA)检测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抗中性粒细胞胞浆抗体(pANCA)检测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中性粒粒细胞抗体(PR3)检测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中性粒粒细胞抗体(MPO)检测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尿蛋白</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尿微量白蛋白</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尿视黄醇结合蛋白（RBP）</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尿α1微球蛋白（α1-MG）</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尿肌酐</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N乙酰β-D氨基葡萄糖苷酶</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尿免疫球蛋白lgG</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尿转铁蛋白</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总T细胞（CD45+CD3+）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辅助/诱导T细胞（CD3+CD4+）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抑制/杀伤T细胞（CD3+CD8+）</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CD4/CD8比值（Th/Ts）</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NK自然杀伤细胞（CD3-CD19+）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封闭抗体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N-端骨钙素(N-MID)+（电化学发光法）</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降钙素（CT）</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I型胶原羧基端肽β特殊序列(β-CTx)</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总Ⅰ型胶原氨基酸延长肽(t-P1NP)</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血栓调节蛋白</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凝血酶-抗凝血酶Ⅲ复合物检测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组织纤溶酶原激活物-纤溶酶原激活物抑制剂-1复合物检测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糖类抗原CA72-4</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神经元特异性烯醇化酶测定(NSE)</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血清转铁蛋白</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血清总铁结合力</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血清透明质酸测定(HA)+(酶免疫发光)</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血清层粘连蛋白测定(LN)+(酶免疫发光)</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血清Ⅲ型前胶原测定(PCⅢ)+(酶免疫发光)</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血清Ⅳ型胶原测定(CIV)+(酶免疫发光)</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腺苷脱氨酶测定(ADA)+(生化)</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结核感染T细胞斑点试验（T-SPOT）</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人类白细胞抗原B27测定(HLA-B27)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甲状旁腺素(PTH)</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甲状腺球蛋白测定</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促甲状腺受体抗体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胃蛋白酶原Ⅰ</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胃蛋白酶原Ⅱ</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胃泌素-17</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抗环瓜氨酸抗体（CCP）</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血皮质醇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血促肾上腺皮质激素</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万古霉素药物浓度</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宫颈癌基因甲基化分子检测（至少两个位点）</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子宫内膜癌基因甲基化分子检测（至少两个位点）</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血浆肾素活性测定(血管紧张素I)</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血管紧张素Ⅰ(AT-Ⅰ)</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血管紧张素Ⅱ(AT-Ⅱ)</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醛固酮(ALD)</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水痘—带状疱疹病毒抗体测定</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凝血因子Ⅷ抑制物定量检测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凝血因子IX抑制物定量检测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凝血因子XI抑制物定量检测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凝血因子XII抑制物定量检测</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血清蛋白电泳</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抗肾小球基底膜抗体IgG</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髓过氧化物酶抗体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抗蛋白酶-3抗体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抗细小病毒B19</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类胰岛素样生长因子-1</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2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类胰岛素样生长因子-3</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丙型肝炎病毒RNA</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生长激素</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抗子宫内膜抗体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抗卵细胞透明带抗体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肿瘤坏死因子</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白介素10</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结核杆菌抗体</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20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血清C肽</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bl>
    <w:p>
      <w:pPr>
        <w:pStyle w:val="2"/>
        <w:snapToGrid w:val="0"/>
        <w:rPr>
          <w:rFonts w:hint="eastAsia" w:ascii="宋体" w:hAnsi="宋体" w:eastAsia="宋体" w:cs="宋体"/>
          <w:color w:val="auto"/>
          <w:sz w:val="21"/>
          <w:szCs w:val="21"/>
          <w:highlight w:val="none"/>
        </w:rPr>
      </w:pPr>
    </w:p>
    <w:p>
      <w:pPr>
        <w:pStyle w:val="3"/>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附表2 通过国家卫健委临检中心2024年室间质评项目情况一览表</w:t>
      </w:r>
    </w:p>
    <w:tbl>
      <w:tblPr>
        <w:tblStyle w:val="8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4809"/>
        <w:gridCol w:w="3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是否通过2024年国家卫健委临检中心室间质评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抗精子抗体Ig-A</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抗精子抗体Ig-G</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抗精子抗体Ig-M</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抗心磷脂抗体IgG</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抗心磷脂抗体IgM</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抗心磷脂抗体IgA</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抗β2-糖蛋白1抗体IgG</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抗β2-糖蛋白1抗体IgM</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钙</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镁</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铅</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锌</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葡萄糖6磷酸脱氢酶活性</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总前列腺特异性抗原</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游离前列腺特异性抗原</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抗核抗体核型1 颗粒型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抗核抗体核型2 核仁型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抗nRNP抗体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抗Sm抗体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抗SS-A抗体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抗SS-B抗体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抗ScI-70抗体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抗JO-1抗体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抗PM-ScI</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抗增殖细胞核抗原抗体PCNA</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抗组蛋白抗体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抗着丝点抗体B蛋白</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抗核糖体P蛋白抗体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抗核小体抗体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抗线粒体抗体M2型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抗Ro-52抗体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抗dsDNA抗体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抗心磷脂抗体ACA</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抗着丝点抗体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肝细胞质抗体-I型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抗肝肾微粒体抗体-1型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抗平滑肌抗体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抗可溶性肝抗原抗体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抗中性粒细胞胞浆抗体(cANCA)检测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抗中性粒细胞胞浆抗体(pANCA)检测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中性粒粒细胞抗体(PR3)检测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中性粒粒细胞抗体(MPO)检测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尿蛋白</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尿微量白蛋白</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尿视黄醇结合蛋白（RBP）</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尿α1微球蛋白（α1-MG）</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尿肌酐</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N乙酰β-D氨基葡萄糖苷酶</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尿免疫球蛋白lgG</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尿转铁蛋白</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总T细胞（CD45+CD3+）</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辅助/诱导T细胞（CD3+CD4+）</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抑制/杀伤T细胞（CD3+CD8+）</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CD4/CD8比值（Th/Ts）</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NK自然杀伤细胞（CD3-CD19+）</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封闭抗体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N-端骨钙素(N-MID)+（电化学发光法）</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降钙素（CT）</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I型胶原羧基端肽β特殊序列(β-CTx)</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总Ⅰ型胶原氨基酸延长肽(t-P1NP)</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血栓调节蛋白</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凝血酶-抗凝血酶Ⅲ复合物检测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组织纤溶酶原激活物-纤溶酶原激活物抑制剂-1复合物检测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糖类抗原CA72-4</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神经元特异性烯醇化酶测定(NSE)</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血清转铁蛋白</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血清总铁结合力</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血清透明质酸测定(HA)+(酶免疫发光)</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血清层粘连蛋白测定(LN)+(酶免疫发光)</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血清Ⅲ型前胶原测定(PCⅢ)+(酶免疫发光)</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血清Ⅳ型胶原测定(CIV)+(酶免疫发光)</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腺苷脱氨酶测定(ADA)+(生化)</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结核感染T细胞斑点试验（T-SPOT）</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人类白细胞抗原B27测定(HLA-B27)</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甲状旁腺素(PTH)</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甲状腺球蛋白测定</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促甲状腺受体抗体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胃蛋白酶原Ⅰ</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胃蛋白酶原Ⅱ</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胃泌素-17</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抗环瓜氨酸抗体（CCP）</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血皮质醇</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血促肾上腺皮质激素</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万古霉素药物浓度</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宫颈癌基因甲基化分子检测（至少两个位点）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子宫内膜癌基因甲基化分子检测（至少两个位点）</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血浆肾素活性测定(血管紧张素I)</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血管紧张素Ⅰ(AT-Ⅰ)</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血管紧张素Ⅱ(AT-Ⅱ)</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醛固酮(ALD)</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水痘—带状疱疹病毒抗体测定</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凝血因子Ⅷ抑制物定量检测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凝血因子IX抑制物定量检测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凝血因子XI抑制物定量检测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2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凝血因子XII抑制物定量检测</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血清蛋白电泳</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抗肾小球基底膜抗体IgG</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髓过氧化物酶抗体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抗蛋白酶-3抗体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抗细小病毒B19</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类胰岛素样生长因子-1</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2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类胰岛素样生长因子-3</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丙型肝炎病毒RNA</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生长激素</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抗子宫内膜抗体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抗卵细胞透明带抗体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肿瘤坏死因子</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白介素10</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结核杆菌抗体</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25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血清C肽</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r>
    </w:tbl>
    <w:p>
      <w:pPr>
        <w:rPr>
          <w:rFonts w:hint="eastAsia" w:ascii="宋体" w:hAnsi="宋体" w:eastAsia="宋体" w:cs="宋体"/>
          <w:color w:val="auto"/>
          <w:sz w:val="21"/>
          <w:szCs w:val="21"/>
          <w:highlight w:val="none"/>
        </w:rPr>
      </w:pPr>
    </w:p>
    <w:p>
      <w:pPr>
        <w:bidi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注：按照本表顺序提供2024年国家卫健委临检中心室间质评证书</w:t>
      </w:r>
    </w:p>
    <w:p>
      <w:pPr>
        <w:pStyle w:val="2"/>
        <w:snapToGrid w:val="0"/>
        <w:rPr>
          <w:bCs/>
          <w:color w:val="auto"/>
          <w:szCs w:val="32"/>
          <w:highlight w:val="none"/>
        </w:rPr>
      </w:pPr>
      <w:r>
        <w:rPr>
          <w:rFonts w:hint="eastAsia" w:ascii="宋体" w:hAnsi="宋体" w:eastAsia="宋体" w:cs="宋体"/>
          <w:color w:val="auto"/>
          <w:sz w:val="21"/>
          <w:szCs w:val="21"/>
          <w:highlight w:val="none"/>
        </w:rPr>
        <w:br w:type="page"/>
      </w:r>
      <w:r>
        <w:rPr>
          <w:bCs/>
          <w:color w:val="auto"/>
          <w:szCs w:val="32"/>
          <w:highlight w:val="none"/>
        </w:rPr>
        <w:t>第三</w:t>
      </w:r>
      <w:r>
        <w:rPr>
          <w:rFonts w:ascii="Times New Roman" w:hAnsi="Times New Roman" w:eastAsia="宋体"/>
          <w:color w:val="auto"/>
          <w:highlight w:val="none"/>
        </w:rPr>
        <w:t>章</w:t>
      </w:r>
      <w:bookmarkEnd w:id="7"/>
      <w:r>
        <w:rPr>
          <w:rFonts w:ascii="Times New Roman" w:hAnsi="Times New Roman" w:eastAsia="宋体"/>
          <w:color w:val="auto"/>
          <w:highlight w:val="none"/>
        </w:rPr>
        <w:t xml:space="preserve">  </w:t>
      </w:r>
      <w:r>
        <w:rPr>
          <w:rFonts w:hint="eastAsia" w:ascii="Times New Roman" w:hAnsi="Times New Roman" w:eastAsia="宋体"/>
          <w:color w:val="auto"/>
          <w:highlight w:val="none"/>
        </w:rPr>
        <w:t>供应商</w:t>
      </w:r>
      <w:r>
        <w:rPr>
          <w:bCs/>
          <w:color w:val="auto"/>
          <w:szCs w:val="32"/>
          <w:highlight w:val="none"/>
        </w:rPr>
        <w:t>须知</w:t>
      </w:r>
      <w:bookmarkEnd w:id="8"/>
      <w:bookmarkEnd w:id="9"/>
      <w:bookmarkEnd w:id="10"/>
      <w:bookmarkEnd w:id="11"/>
      <w:bookmarkStart w:id="24" w:name="_Toc82338239"/>
      <w:bookmarkStart w:id="25" w:name="_Toc82873322"/>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24"/>
      <w:bookmarkEnd w:id="25"/>
      <w:r>
        <w:rPr>
          <w:rFonts w:ascii="Times New Roman" w:hAnsi="Times New Roman"/>
          <w:color w:val="auto"/>
          <w:highlight w:val="none"/>
        </w:rPr>
        <w:t>总则</w:t>
      </w:r>
    </w:p>
    <w:p>
      <w:pPr>
        <w:pStyle w:val="4"/>
        <w:spacing w:line="360" w:lineRule="auto"/>
        <w:ind w:firstLine="422"/>
        <w:rPr>
          <w:rFonts w:ascii="Times New Roman" w:hAnsi="Times New Roman"/>
          <w:color w:val="auto"/>
          <w:highlight w:val="none"/>
        </w:rPr>
      </w:pPr>
      <w:bookmarkStart w:id="26" w:name="_Toc82338240"/>
      <w:bookmarkStart w:id="27" w:name="_Toc82873323"/>
      <w:r>
        <w:rPr>
          <w:rFonts w:ascii="Times New Roman" w:hAnsi="Times New Roman"/>
          <w:color w:val="auto"/>
          <w:highlight w:val="none"/>
        </w:rPr>
        <w:t>1.1 实施依据</w:t>
      </w:r>
    </w:p>
    <w:p>
      <w:pPr>
        <w:pStyle w:val="129"/>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29"/>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采购人：杭州市妇产科医院，见“供应商须知前附表”；</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29"/>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pPr>
        <w:pStyle w:val="12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29"/>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29"/>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26"/>
      <w:bookmarkEnd w:id="27"/>
    </w:p>
    <w:p>
      <w:pPr>
        <w:pStyle w:val="4"/>
        <w:spacing w:line="360" w:lineRule="auto"/>
        <w:ind w:firstLine="422"/>
        <w:rPr>
          <w:rFonts w:ascii="Times New Roman" w:hAnsi="Times New Roman"/>
          <w:color w:val="auto"/>
          <w:highlight w:val="none"/>
        </w:rPr>
      </w:pPr>
      <w:bookmarkStart w:id="28" w:name="_Toc82873324"/>
      <w:bookmarkStart w:id="29" w:name="_Toc82338241"/>
      <w:r>
        <w:rPr>
          <w:rFonts w:ascii="Times New Roman" w:hAnsi="Times New Roman"/>
          <w:color w:val="auto"/>
          <w:highlight w:val="none"/>
        </w:rPr>
        <w:t>2.1 采购文件组成</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28"/>
      <w:bookmarkEnd w:id="29"/>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2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29"/>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2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2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29"/>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29"/>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9"/>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9"/>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9"/>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（1）投标函；</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（2）检验服务清单；</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（3）技术规格偏离表；</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（4）商务条款偏离表；</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（5）法定代表人资格证明书；</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（6）法定代表人授权委托书（法定代表人签署不需提供此书）；</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法定代表人及授权代表身份证正反面复印件；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社保机构出具的投标截止日前6个月内授权代表的投标单位社保缴纳证明，任职不足6个月的可提供劳动合同证明文件；</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（7）业绩：自202</w:t>
      </w:r>
      <w:r>
        <w:rPr>
          <w:rFonts w:hint="eastAsia" w:ascii="Times New Roman" w:hAnsi="Times New Roman"/>
          <w:color w:val="auto"/>
          <w:highlight w:val="none"/>
          <w:lang w:val="en-US" w:eastAsia="zh-CN"/>
        </w:rPr>
        <w:t>2</w:t>
      </w:r>
      <w:r>
        <w:rPr>
          <w:rFonts w:hint="eastAsia" w:ascii="Times New Roman" w:hAnsi="Times New Roman"/>
          <w:color w:val="auto"/>
          <w:highlight w:val="none"/>
        </w:rPr>
        <w:t>年1月1日起，投标人具有</w:t>
      </w:r>
      <w:r>
        <w:rPr>
          <w:rFonts w:hint="eastAsia" w:ascii="Times New Roman" w:hAnsi="Times New Roman"/>
          <w:color w:val="auto"/>
          <w:highlight w:val="none"/>
          <w:lang w:val="en-US" w:eastAsia="zh-CN"/>
        </w:rPr>
        <w:t>检验外送</w:t>
      </w:r>
      <w:r>
        <w:rPr>
          <w:rFonts w:hint="eastAsia" w:ascii="Times New Roman" w:hAnsi="Times New Roman"/>
          <w:color w:val="auto"/>
          <w:highlight w:val="none"/>
        </w:rPr>
        <w:t>服务业绩，提供合同复印件；</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（8）</w:t>
      </w:r>
      <w:r>
        <w:rPr>
          <w:rFonts w:hint="eastAsia" w:ascii="Times New Roman" w:hAnsi="Times New Roman"/>
          <w:color w:val="auto"/>
          <w:highlight w:val="none"/>
          <w:lang w:eastAsia="zh-CN"/>
        </w:rPr>
        <w:t>投标人医疗机构执业许可证复印件</w:t>
      </w:r>
      <w:r>
        <w:rPr>
          <w:rFonts w:hint="eastAsia" w:ascii="Times New Roman" w:hAnsi="Times New Roman"/>
          <w:color w:val="auto"/>
          <w:highlight w:val="none"/>
        </w:rPr>
        <w:t>；</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（9）总体实施方案；</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（10）质量控制措施方案；</w:t>
      </w:r>
    </w:p>
    <w:p>
      <w:pPr>
        <w:pStyle w:val="129"/>
        <w:snapToGrid w:val="0"/>
        <w:spacing w:line="360" w:lineRule="auto"/>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质量控制措施方案，保证检验质量</w:t>
      </w:r>
      <w:r>
        <w:rPr>
          <w:rFonts w:hint="eastAsia" w:ascii="Times New Roman" w:hAnsi="Times New Roman"/>
          <w:color w:val="auto"/>
          <w:highlight w:val="none"/>
          <w:lang w:val="en-US" w:eastAsia="zh-CN"/>
        </w:rPr>
        <w:t>情况；</w:t>
      </w:r>
    </w:p>
    <w:p>
      <w:pPr>
        <w:pStyle w:val="129"/>
        <w:snapToGrid w:val="0"/>
        <w:spacing w:line="360" w:lineRule="auto"/>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实验室通过ISO15189认可项目</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ascii="宋体" w:hAnsi="宋体" w:eastAsia="宋体" w:cs="宋体"/>
          <w:color w:val="auto"/>
          <w:sz w:val="21"/>
          <w:szCs w:val="21"/>
          <w:highlight w:val="none"/>
        </w:rPr>
        <w:t>对比清单</w:t>
      </w:r>
      <w:r>
        <w:rPr>
          <w:rFonts w:hint="eastAsia" w:ascii="宋体" w:hAnsi="宋体" w:cs="宋体"/>
          <w:color w:val="auto"/>
          <w:sz w:val="21"/>
          <w:szCs w:val="21"/>
          <w:highlight w:val="none"/>
          <w:lang w:val="en-US" w:eastAsia="zh-CN"/>
        </w:rPr>
        <w:t>及证明资料</w:t>
      </w:r>
      <w:r>
        <w:rPr>
          <w:rFonts w:hint="eastAsia" w:ascii="Times New Roman" w:hAnsi="Times New Roman"/>
          <w:color w:val="auto"/>
          <w:highlight w:val="none"/>
          <w:lang w:val="en-US" w:eastAsia="zh-CN"/>
        </w:rPr>
        <w:t>；</w:t>
      </w:r>
    </w:p>
    <w:p>
      <w:pPr>
        <w:pStyle w:val="129"/>
        <w:snapToGrid w:val="0"/>
        <w:spacing w:line="360" w:lineRule="auto"/>
        <w:ind w:firstLine="42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2024年国家卫生健康委临床检验中心室间质评项目</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ascii="宋体" w:hAnsi="宋体" w:eastAsia="宋体" w:cs="宋体"/>
          <w:color w:val="auto"/>
          <w:sz w:val="21"/>
          <w:szCs w:val="21"/>
          <w:highlight w:val="none"/>
        </w:rPr>
        <w:t>对比清单</w:t>
      </w:r>
      <w:r>
        <w:rPr>
          <w:rFonts w:hint="eastAsia" w:ascii="宋体" w:hAnsi="宋体" w:cs="宋体"/>
          <w:color w:val="auto"/>
          <w:sz w:val="21"/>
          <w:szCs w:val="21"/>
          <w:highlight w:val="none"/>
          <w:lang w:val="en-US" w:eastAsia="zh-CN"/>
        </w:rPr>
        <w:t>及证明资料</w:t>
      </w:r>
      <w:r>
        <w:rPr>
          <w:rFonts w:hint="eastAsia" w:ascii="Times New Roman" w:hAnsi="Times New Roman"/>
          <w:color w:val="auto"/>
          <w:highlight w:val="none"/>
          <w:lang w:val="en-US" w:eastAsia="zh-CN"/>
        </w:rPr>
        <w:t>；</w:t>
      </w:r>
    </w:p>
    <w:p>
      <w:pPr>
        <w:pStyle w:val="129"/>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rPr>
        <w:t>（11）实验室设备：提供设备的品牌，型号，具体性能参数</w:t>
      </w:r>
      <w:r>
        <w:rPr>
          <w:rFonts w:hint="eastAsia" w:ascii="Times New Roman" w:hAnsi="Times New Roman"/>
          <w:color w:val="auto"/>
          <w:highlight w:val="none"/>
          <w:lang w:eastAsia="zh-CN"/>
        </w:rPr>
        <w:t>；</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（12）试剂耗材</w:t>
      </w:r>
      <w:r>
        <w:rPr>
          <w:rFonts w:hint="eastAsia" w:ascii="Times New Roman" w:hAnsi="Times New Roman"/>
          <w:color w:val="auto"/>
          <w:highlight w:val="none"/>
          <w:lang w:val="en-US" w:eastAsia="zh-CN"/>
        </w:rPr>
        <w:t>清单</w:t>
      </w:r>
      <w:r>
        <w:rPr>
          <w:rFonts w:hint="eastAsia" w:ascii="Times New Roman" w:hAnsi="Times New Roman"/>
          <w:color w:val="auto"/>
          <w:highlight w:val="none"/>
        </w:rPr>
        <w:t>；</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（13）对接方案；</w:t>
      </w:r>
    </w:p>
    <w:p>
      <w:pPr>
        <w:pStyle w:val="129"/>
        <w:snapToGrid w:val="0"/>
        <w:spacing w:line="360" w:lineRule="auto"/>
        <w:ind w:firstLine="420"/>
        <w:rPr>
          <w:rFonts w:hint="eastAsia" w:ascii="Times New Roman" w:hAnsi="Times New Roman"/>
          <w:color w:val="auto"/>
          <w:highlight w:val="none"/>
          <w:lang w:eastAsia="zh-CN"/>
        </w:rPr>
      </w:pPr>
      <w:r>
        <w:rPr>
          <w:rFonts w:hint="eastAsia" w:ascii="Times New Roman" w:hAnsi="Times New Roman"/>
          <w:color w:val="auto"/>
          <w:highlight w:val="none"/>
        </w:rPr>
        <w:t>（14）样本运输方案</w:t>
      </w:r>
      <w:r>
        <w:rPr>
          <w:rFonts w:hint="eastAsia" w:ascii="Times New Roman" w:hAnsi="Times New Roman"/>
          <w:color w:val="auto"/>
          <w:highlight w:val="none"/>
          <w:lang w:eastAsia="zh-CN"/>
        </w:rPr>
        <w:t>：</w:t>
      </w:r>
    </w:p>
    <w:p>
      <w:pPr>
        <w:pStyle w:val="129"/>
        <w:snapToGrid w:val="0"/>
        <w:spacing w:line="360" w:lineRule="auto"/>
        <w:ind w:firstLine="420"/>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1）</w:t>
      </w:r>
      <w:r>
        <w:rPr>
          <w:rFonts w:hint="eastAsia" w:ascii="宋体" w:hAnsi="宋体" w:cs="宋体"/>
          <w:color w:val="auto"/>
          <w:szCs w:val="21"/>
          <w:highlight w:val="none"/>
        </w:rPr>
        <w:t>物流方案包括样本采集、保存及物流质控、物流安全保障、物流及时性等</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cs="宋体"/>
          <w:color w:val="auto"/>
          <w:szCs w:val="21"/>
          <w:highlight w:val="none"/>
          <w:lang w:eastAsia="zh-CN"/>
        </w:rPr>
      </w:pPr>
      <w:r>
        <w:rPr>
          <w:rFonts w:hint="eastAsia" w:ascii="Times New Roman" w:hAnsi="Times New Roman"/>
          <w:color w:val="auto"/>
          <w:highlight w:val="none"/>
          <w:lang w:val="en-US" w:eastAsia="zh-CN"/>
        </w:rPr>
        <w:t>2）</w:t>
      </w:r>
      <w:r>
        <w:rPr>
          <w:rFonts w:hint="eastAsia" w:ascii="宋体" w:hAnsi="宋体" w:cs="宋体"/>
          <w:color w:val="auto"/>
          <w:szCs w:val="21"/>
          <w:highlight w:val="none"/>
        </w:rPr>
        <w:t>提供投标人实验室名称、地址、第三方导航软件截图作为证明材料</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配置车辆的数量、性能、冷链设施，车辆上配有专业设备情况</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冷链物流配送单位，经营资质文件复印件</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针对本项目的运输应急预案</w:t>
      </w:r>
      <w:r>
        <w:rPr>
          <w:rFonts w:hint="eastAsia" w:ascii="宋体" w:hAnsi="宋体" w:cs="宋体"/>
          <w:color w:val="auto"/>
          <w:szCs w:val="21"/>
          <w:highlight w:val="none"/>
          <w:lang w:eastAsia="zh-CN"/>
        </w:rPr>
        <w:t>；</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（15）项目实施小组组成情况：提供证书复印件和近三个月任意一个月投标人为其缴纳社保证明或聘用合同）</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（16）投标人认为有必要提供的其它文件（附：中标服务费支付承诺书）。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29"/>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w:t>
      </w:r>
      <w:r>
        <w:rPr>
          <w:rFonts w:hint="eastAsia" w:ascii="Times New Roman" w:hAnsi="Times New Roman"/>
          <w:b/>
          <w:color w:val="auto"/>
          <w:highlight w:val="none"/>
          <w:u w:val="single"/>
          <w:lang w:val="en-US" w:eastAsia="zh-CN"/>
        </w:rPr>
        <w:t>百分比</w:t>
      </w:r>
      <w:r>
        <w:rPr>
          <w:rFonts w:ascii="Times New Roman" w:hAnsi="Times New Roman"/>
          <w:color w:val="auto"/>
          <w:highlight w:val="none"/>
          <w:u w:val="single"/>
        </w:rPr>
        <w:t>。</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29"/>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所投标项不接受有选择报价的投标文件。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3"/>
        <w:spacing w:line="360" w:lineRule="auto"/>
        <w:ind w:firstLine="422"/>
        <w:rPr>
          <w:rFonts w:ascii="Times New Roman" w:hAnsi="Times New Roman"/>
          <w:color w:val="auto"/>
          <w:highlight w:val="none"/>
        </w:rPr>
      </w:pPr>
      <w:bookmarkStart w:id="30" w:name="_Toc82873325"/>
      <w:bookmarkStart w:id="31" w:name="_Toc82338242"/>
      <w:r>
        <w:rPr>
          <w:rFonts w:ascii="Times New Roman" w:hAnsi="Times New Roman"/>
          <w:color w:val="auto"/>
          <w:highlight w:val="none"/>
        </w:rPr>
        <w:t>四、投标</w:t>
      </w:r>
      <w:bookmarkEnd w:id="30"/>
      <w:bookmarkEnd w:id="31"/>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3"/>
        <w:spacing w:line="360" w:lineRule="auto"/>
        <w:ind w:firstLine="422"/>
        <w:rPr>
          <w:rFonts w:ascii="Times New Roman" w:hAnsi="Times New Roman"/>
          <w:color w:val="auto"/>
          <w:highlight w:val="none"/>
        </w:rPr>
      </w:pPr>
      <w:bookmarkStart w:id="32" w:name="_Toc82873326"/>
      <w:bookmarkStart w:id="33" w:name="_Toc82338243"/>
      <w:r>
        <w:rPr>
          <w:rFonts w:ascii="Times New Roman" w:hAnsi="Times New Roman"/>
          <w:color w:val="auto"/>
          <w:highlight w:val="none"/>
        </w:rPr>
        <w:t>五、开标、评标</w:t>
      </w:r>
      <w:bookmarkEnd w:id="32"/>
      <w:bookmarkEnd w:id="33"/>
      <w:r>
        <w:rPr>
          <w:rFonts w:ascii="Times New Roman" w:hAnsi="Times New Roman"/>
          <w:color w:val="auto"/>
          <w:highlight w:val="none"/>
        </w:rPr>
        <w:t>及合同签订</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pPr>
        <w:pStyle w:val="129"/>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29"/>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（6）商务技术文件开启后30分钟内，供应商通过邮件形式将经授权代表签署的《采购活动现场确认声明书》（格式见附件）扫描件发至代理机构经办人邮箱（邮箱地址：14847913@qq.com，联系人：苑洪春）；</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29"/>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29"/>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pPr>
        <w:pStyle w:val="129"/>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w:t>
      </w:r>
      <w:r>
        <w:rPr>
          <w:rFonts w:hint="eastAsia"/>
          <w:snapToGrid w:val="0"/>
          <w:color w:val="auto"/>
          <w:kern w:val="0"/>
          <w:highlight w:val="none"/>
        </w:rPr>
        <w:t>服务期</w:t>
      </w:r>
      <w:r>
        <w:rPr>
          <w:snapToGrid w:val="0"/>
          <w:color w:val="auto"/>
          <w:kern w:val="0"/>
          <w:highlight w:val="none"/>
        </w:rPr>
        <w:t>期不能满足</w:t>
      </w:r>
      <w:r>
        <w:rPr>
          <w:rFonts w:hint="eastAsia"/>
          <w:snapToGrid w:val="0"/>
          <w:color w:val="auto"/>
          <w:kern w:val="0"/>
          <w:highlight w:val="none"/>
        </w:rPr>
        <w:t>采购文件</w:t>
      </w:r>
      <w:r>
        <w:rPr>
          <w:snapToGrid w:val="0"/>
          <w:color w:val="auto"/>
          <w:kern w:val="0"/>
          <w:highlight w:val="none"/>
        </w:rPr>
        <w:t>要求的；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供应商IP、MAC、设备硬件信息一致</w:t>
      </w:r>
      <w:r>
        <w:rPr>
          <w:rFonts w:hint="eastAsia"/>
          <w:color w:val="auto"/>
          <w:highlight w:val="none"/>
        </w:rPr>
        <w:t>的；</w:t>
      </w:r>
    </w:p>
    <w:p>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29"/>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预算金额</w:t>
      </w:r>
      <w:r>
        <w:rPr>
          <w:color w:val="auto"/>
          <w:spacing w:val="20"/>
          <w:szCs w:val="21"/>
          <w:highlight w:val="none"/>
        </w:rPr>
        <w:t>P</w:t>
      </w:r>
      <w:r>
        <w:rPr>
          <w:rFonts w:ascii="Times New Roman" w:hAnsi="Times New Roman"/>
          <w:color w:val="auto"/>
          <w:highlight w:val="none"/>
        </w:rPr>
        <w:t>作为收费的计算基数。</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的78%</w:t>
      </w:r>
      <w:r>
        <w:rPr>
          <w:rFonts w:ascii="Times New Roman" w:hAnsi="Times New Roman"/>
          <w:color w:val="auto"/>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3413" w:type="dxa"/>
          </w:tcPr>
          <w:p>
            <w:pPr>
              <w:widowControl/>
              <w:spacing w:after="156" w:line="360" w:lineRule="auto"/>
              <w:jc w:val="center"/>
              <w:rPr>
                <w:color w:val="auto"/>
                <w:kern w:val="0"/>
                <w:szCs w:val="21"/>
                <w:highlight w:val="none"/>
              </w:rPr>
            </w:pPr>
            <w:bookmarkStart w:id="34" w:name="RANGE!A9"/>
            <w:r>
              <w:rPr>
                <w:rFonts w:hint="eastAsia"/>
                <w:color w:val="auto"/>
                <w:kern w:val="0"/>
                <w:szCs w:val="21"/>
                <w:highlight w:val="none"/>
              </w:rPr>
              <w:t>预算</w:t>
            </w:r>
            <w:r>
              <w:rPr>
                <w:color w:val="auto"/>
                <w:kern w:val="0"/>
                <w:szCs w:val="21"/>
                <w:highlight w:val="none"/>
              </w:rPr>
              <w:t>金额</w:t>
            </w:r>
            <w:r>
              <w:rPr>
                <w:color w:val="auto"/>
                <w:spacing w:val="20"/>
                <w:szCs w:val="21"/>
                <w:highlight w:val="none"/>
              </w:rPr>
              <w:t>P</w:t>
            </w:r>
            <w:r>
              <w:rPr>
                <w:color w:val="auto"/>
                <w:kern w:val="0"/>
                <w:szCs w:val="21"/>
                <w:highlight w:val="none"/>
              </w:rPr>
              <w:t>（万元人民币）</w:t>
            </w:r>
            <w:bookmarkEnd w:id="34"/>
          </w:p>
        </w:tc>
        <w:tc>
          <w:tcPr>
            <w:tcW w:w="4315" w:type="dxa"/>
          </w:tcPr>
          <w:p>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37.4+P*0.05%</w:t>
            </w:r>
          </w:p>
        </w:tc>
      </w:tr>
    </w:tbl>
    <w:p>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35" w:name="_Toc495317671"/>
      <w:r>
        <w:rPr>
          <w:rFonts w:ascii="Times New Roman" w:hAnsi="Times New Roman" w:eastAsia="宋体"/>
          <w:color w:val="auto"/>
          <w:highlight w:val="none"/>
        </w:rPr>
        <w:t>第四章  评标办法</w:t>
      </w:r>
      <w:bookmarkEnd w:id="35"/>
    </w:p>
    <w:p>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36" w:name="_Toc345320402"/>
      <w:r>
        <w:rPr>
          <w:color w:val="auto"/>
          <w:szCs w:val="21"/>
          <w:highlight w:val="none"/>
        </w:rPr>
        <w:t>1）</w:t>
      </w:r>
      <w:r>
        <w:rPr>
          <w:b/>
          <w:bCs/>
          <w:color w:val="auto"/>
          <w:szCs w:val="21"/>
          <w:highlight w:val="none"/>
        </w:rPr>
        <w:t>商务技术分</w:t>
      </w:r>
      <w:bookmarkEnd w:id="36"/>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27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99"/>
        <w:gridCol w:w="6361"/>
        <w:gridCol w:w="9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199" w:type="dxa"/>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评分因素</w:t>
            </w:r>
          </w:p>
        </w:tc>
        <w:tc>
          <w:tcPr>
            <w:tcW w:w="6361" w:type="dxa"/>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评分细则</w:t>
            </w:r>
          </w:p>
        </w:tc>
        <w:tc>
          <w:tcPr>
            <w:tcW w:w="994" w:type="dxa"/>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一</w:t>
            </w:r>
          </w:p>
        </w:tc>
        <w:tc>
          <w:tcPr>
            <w:tcW w:w="7560" w:type="dxa"/>
            <w:gridSpan w:val="2"/>
            <w:vAlign w:val="center"/>
          </w:tcPr>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商务资信</w:t>
            </w:r>
          </w:p>
        </w:tc>
        <w:tc>
          <w:tcPr>
            <w:tcW w:w="994" w:type="dxa"/>
            <w:vAlign w:val="center"/>
          </w:tcPr>
          <w:p>
            <w:pPr>
              <w:spacing w:line="360" w:lineRule="auto"/>
              <w:rPr>
                <w:rFonts w:ascii="宋体" w:hAnsi="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199" w:type="dxa"/>
            <w:vAlign w:val="center"/>
          </w:tcPr>
          <w:p>
            <w:pPr>
              <w:spacing w:line="360" w:lineRule="auto"/>
              <w:rPr>
                <w:rFonts w:ascii="宋体" w:hAnsi="宋体" w:cs="宋体"/>
                <w:bCs/>
                <w:color w:val="auto"/>
                <w:sz w:val="21"/>
                <w:szCs w:val="21"/>
                <w:highlight w:val="none"/>
              </w:rPr>
            </w:pPr>
            <w:r>
              <w:rPr>
                <w:rFonts w:hint="eastAsia" w:ascii="宋体" w:hAnsi="宋体" w:cs="宋体"/>
                <w:color w:val="auto"/>
                <w:sz w:val="21"/>
                <w:szCs w:val="21"/>
                <w:highlight w:val="none"/>
              </w:rPr>
              <w:t>业绩</w:t>
            </w:r>
          </w:p>
        </w:tc>
        <w:tc>
          <w:tcPr>
            <w:tcW w:w="6361" w:type="dxa"/>
            <w:shd w:val="clear" w:color="auto" w:fill="auto"/>
            <w:vAlign w:val="center"/>
          </w:tcPr>
          <w:p>
            <w:pPr>
              <w:spacing w:line="360" w:lineRule="auto"/>
              <w:rPr>
                <w:rFonts w:ascii="宋体" w:hAnsi="宋体" w:cs="宋体"/>
                <w:bCs/>
                <w:color w:val="auto"/>
                <w:sz w:val="21"/>
                <w:szCs w:val="21"/>
                <w:highlight w:val="none"/>
              </w:rPr>
            </w:pPr>
            <w:r>
              <w:rPr>
                <w:rFonts w:hint="eastAsia" w:ascii="宋体" w:hAnsi="宋体" w:cs="宋体"/>
                <w:color w:val="auto"/>
                <w:sz w:val="21"/>
                <w:szCs w:val="21"/>
                <w:highlight w:val="none"/>
              </w:rPr>
              <w:t>自202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年1月1日起，投标人具有</w:t>
            </w:r>
            <w:r>
              <w:rPr>
                <w:rFonts w:hint="eastAsia" w:ascii="宋体" w:hAnsi="宋体" w:cs="宋体"/>
                <w:color w:val="auto"/>
                <w:sz w:val="21"/>
                <w:szCs w:val="21"/>
                <w:highlight w:val="none"/>
                <w:lang w:val="en-US" w:eastAsia="zh-CN"/>
              </w:rPr>
              <w:t>检验外送</w:t>
            </w:r>
            <w:r>
              <w:rPr>
                <w:rFonts w:hint="eastAsia" w:ascii="宋体" w:hAnsi="宋体" w:cs="宋体"/>
                <w:color w:val="auto"/>
                <w:sz w:val="21"/>
                <w:szCs w:val="21"/>
                <w:highlight w:val="none"/>
              </w:rPr>
              <w:t>服务业绩的，每提供1个合同复印件得1分，最多得3分。同一用户不重复得分。提供合同复印件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合同内容中需体现或包含</w:t>
            </w:r>
            <w:r>
              <w:rPr>
                <w:rFonts w:hint="eastAsia" w:ascii="宋体" w:hAnsi="宋体" w:cs="宋体"/>
                <w:color w:val="auto"/>
                <w:sz w:val="21"/>
                <w:szCs w:val="21"/>
                <w:highlight w:val="none"/>
              </w:rPr>
              <w:t>本次招标</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检验项目。</w:t>
            </w:r>
          </w:p>
        </w:tc>
        <w:tc>
          <w:tcPr>
            <w:tcW w:w="994" w:type="dxa"/>
            <w:shd w:val="clear" w:color="auto" w:fill="auto"/>
            <w:vAlign w:val="center"/>
          </w:tcPr>
          <w:p>
            <w:pPr>
              <w:spacing w:line="360" w:lineRule="auto"/>
              <w:jc w:val="center"/>
              <w:rPr>
                <w:rFonts w:ascii="宋体" w:hAnsi="宋体" w:cs="宋体"/>
                <w:bCs/>
                <w:color w:val="auto"/>
                <w:sz w:val="21"/>
                <w:szCs w:val="21"/>
                <w:highlight w:val="none"/>
              </w:rPr>
            </w:pPr>
            <w:r>
              <w:rPr>
                <w:rFonts w:hint="eastAsia" w:ascii="宋体" w:hAnsi="宋体" w:cs="宋体"/>
                <w:color w:val="auto"/>
                <w:sz w:val="21"/>
                <w:szCs w:val="21"/>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二</w:t>
            </w:r>
          </w:p>
        </w:tc>
        <w:tc>
          <w:tcPr>
            <w:tcW w:w="7560" w:type="dxa"/>
            <w:gridSpan w:val="2"/>
            <w:vAlign w:val="center"/>
          </w:tcPr>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技术要求</w:t>
            </w:r>
          </w:p>
        </w:tc>
        <w:tc>
          <w:tcPr>
            <w:tcW w:w="994" w:type="dxa"/>
            <w:vAlign w:val="center"/>
          </w:tcPr>
          <w:p>
            <w:pPr>
              <w:spacing w:line="360" w:lineRule="auto"/>
              <w:jc w:val="center"/>
              <w:rPr>
                <w:rFonts w:ascii="宋体" w:hAnsi="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199" w:type="dxa"/>
            <w:vAlign w:val="center"/>
          </w:tcPr>
          <w:p>
            <w:pPr>
              <w:spacing w:line="360" w:lineRule="auto"/>
              <w:rPr>
                <w:rFonts w:ascii="宋体" w:hAnsi="宋体" w:cs="宋体"/>
                <w:bCs/>
                <w:color w:val="auto"/>
                <w:sz w:val="21"/>
                <w:szCs w:val="21"/>
                <w:highlight w:val="none"/>
              </w:rPr>
            </w:pPr>
            <w:r>
              <w:rPr>
                <w:rFonts w:hint="eastAsia" w:ascii="宋体" w:hAnsi="宋体" w:cs="宋体"/>
                <w:color w:val="auto"/>
                <w:sz w:val="21"/>
                <w:szCs w:val="21"/>
                <w:highlight w:val="none"/>
              </w:rPr>
              <w:t>检测要求响应情况</w:t>
            </w:r>
          </w:p>
        </w:tc>
        <w:tc>
          <w:tcPr>
            <w:tcW w:w="636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对采购文件第二章“一、检测项目</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，二、服务要求</w:t>
            </w:r>
            <w:r>
              <w:rPr>
                <w:rFonts w:hint="eastAsia" w:ascii="宋体" w:hAnsi="宋体" w:cs="宋体"/>
                <w:color w:val="auto"/>
                <w:sz w:val="21"/>
                <w:szCs w:val="21"/>
                <w:highlight w:val="none"/>
              </w:rPr>
              <w:t>”的响应情况，每一条要求不满足采购文件要求的扣2分，扣完为止。</w:t>
            </w:r>
          </w:p>
        </w:tc>
        <w:tc>
          <w:tcPr>
            <w:tcW w:w="994" w:type="dxa"/>
            <w:vAlign w:val="center"/>
          </w:tcPr>
          <w:p>
            <w:pPr>
              <w:spacing w:line="360" w:lineRule="auto"/>
              <w:jc w:val="center"/>
              <w:rPr>
                <w:rFonts w:ascii="宋体" w:hAnsi="宋体" w:cs="宋体"/>
                <w:bCs/>
                <w:color w:val="auto"/>
                <w:sz w:val="21"/>
                <w:szCs w:val="21"/>
                <w:highlight w:val="none"/>
              </w:rPr>
            </w:pPr>
            <w:r>
              <w:rPr>
                <w:rFonts w:hint="eastAsia" w:ascii="宋体" w:hAnsi="宋体" w:cs="宋体"/>
                <w:color w:val="auto"/>
                <w:sz w:val="21"/>
                <w:szCs w:val="21"/>
                <w:highlight w:val="none"/>
              </w:rPr>
              <w:t>24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199" w:type="dxa"/>
            <w:shd w:val="clear" w:color="auto" w:fill="auto"/>
            <w:vAlign w:val="center"/>
          </w:tcPr>
          <w:p>
            <w:pPr>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cs="宋体"/>
                <w:color w:val="auto"/>
                <w:sz w:val="21"/>
                <w:szCs w:val="21"/>
                <w:highlight w:val="none"/>
              </w:rPr>
              <w:t>总体实施方案</w:t>
            </w:r>
          </w:p>
        </w:tc>
        <w:tc>
          <w:tcPr>
            <w:tcW w:w="6361" w:type="dxa"/>
            <w:shd w:val="clear" w:color="auto" w:fill="auto"/>
            <w:vAlign w:val="center"/>
          </w:tcPr>
          <w:p>
            <w:pPr>
              <w:spacing w:line="360"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投标人需结合服务内容及要求，提供项目总体实施方案，包括：收集样本流程、时间节点，检测流程，报告反馈，数据分析实施规划、工作时间进度表、工作程序和步骤、管理和协调方法、关键步骤的思路和要点；给</w:t>
            </w:r>
            <w:r>
              <w:rPr>
                <w:rFonts w:hint="eastAsia" w:ascii="宋体" w:hAnsi="宋体" w:cs="宋体"/>
                <w:color w:val="auto"/>
                <w:sz w:val="21"/>
                <w:szCs w:val="21"/>
                <w:highlight w:val="none"/>
                <w:lang w:val="en-US" w:eastAsia="zh-CN"/>
              </w:rPr>
              <w:t>0-3</w:t>
            </w:r>
            <w:r>
              <w:rPr>
                <w:rFonts w:hint="eastAsia" w:ascii="宋体" w:hAnsi="宋体" w:cs="宋体"/>
                <w:color w:val="auto"/>
                <w:sz w:val="21"/>
                <w:szCs w:val="21"/>
                <w:highlight w:val="none"/>
              </w:rPr>
              <w:t>分。</w:t>
            </w:r>
          </w:p>
        </w:tc>
        <w:tc>
          <w:tcPr>
            <w:tcW w:w="994" w:type="dxa"/>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4</w:t>
            </w:r>
          </w:p>
        </w:tc>
        <w:tc>
          <w:tcPr>
            <w:tcW w:w="1199" w:type="dxa"/>
            <w:vMerge w:val="restart"/>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质量控制措施方案</w:t>
            </w:r>
          </w:p>
        </w:tc>
        <w:tc>
          <w:tcPr>
            <w:tcW w:w="636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根据投标人提供的质量控制措施方案，保证检验质量情况给</w:t>
            </w:r>
            <w:r>
              <w:rPr>
                <w:rFonts w:hint="eastAsia" w:ascii="宋体" w:hAnsi="宋体" w:cs="宋体"/>
                <w:color w:val="auto"/>
                <w:sz w:val="21"/>
                <w:szCs w:val="21"/>
                <w:highlight w:val="none"/>
                <w:lang w:val="en-US" w:eastAsia="zh-CN"/>
              </w:rPr>
              <w:t>0-2</w:t>
            </w:r>
            <w:r>
              <w:rPr>
                <w:rFonts w:hint="eastAsia" w:ascii="宋体" w:hAnsi="宋体" w:cs="宋体"/>
                <w:color w:val="auto"/>
                <w:sz w:val="21"/>
                <w:szCs w:val="21"/>
                <w:highlight w:val="none"/>
              </w:rPr>
              <w:t>分。</w:t>
            </w:r>
          </w:p>
        </w:tc>
        <w:tc>
          <w:tcPr>
            <w:tcW w:w="994"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199" w:type="dxa"/>
            <w:vMerge w:val="continue"/>
            <w:vAlign w:val="center"/>
          </w:tcPr>
          <w:p>
            <w:pPr>
              <w:spacing w:line="360" w:lineRule="auto"/>
              <w:rPr>
                <w:rFonts w:hint="eastAsia" w:ascii="宋体" w:hAnsi="宋体" w:cs="宋体"/>
                <w:color w:val="auto"/>
                <w:sz w:val="21"/>
                <w:szCs w:val="21"/>
                <w:highlight w:val="none"/>
              </w:rPr>
            </w:pPr>
          </w:p>
        </w:tc>
        <w:tc>
          <w:tcPr>
            <w:tcW w:w="6361" w:type="dxa"/>
            <w:vAlign w:val="center"/>
          </w:tcPr>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根据投标人实验室通过ISO15189认可项目与本次招标检测项目清单匹配程度进行评分。投标人通过ISO15189认可项目与本次招标检测项目清单进行对比，根据通过的项目数量进行评分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数量≥55项得3分，50≤数量＜55项得2分，45≤数量＜50项得1分，数量＜45项不得分。</w:t>
            </w:r>
            <w:r>
              <w:rPr>
                <w:rFonts w:hint="eastAsia" w:ascii="宋体" w:hAnsi="宋体" w:cs="宋体"/>
                <w:color w:val="auto"/>
                <w:sz w:val="21"/>
                <w:szCs w:val="21"/>
                <w:highlight w:val="none"/>
              </w:rPr>
              <w:t>提供投标人通过ISO15189认可项目与本次招标检测项目的对比清单</w:t>
            </w:r>
            <w:r>
              <w:rPr>
                <w:rFonts w:hint="eastAsia" w:ascii="宋体" w:hAnsi="宋体" w:cs="宋体"/>
                <w:color w:val="auto"/>
                <w:sz w:val="21"/>
                <w:szCs w:val="21"/>
                <w:highlight w:val="none"/>
                <w:lang w:val="en-US" w:eastAsia="zh-CN"/>
              </w:rPr>
              <w:t>及证明资料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清单填写格式按照</w:t>
            </w:r>
            <w:r>
              <w:rPr>
                <w:rFonts w:hint="eastAsia" w:ascii="宋体" w:hAnsi="宋体" w:cs="宋体"/>
                <w:b w:val="0"/>
                <w:bCs w:val="0"/>
                <w:color w:val="auto"/>
                <w:sz w:val="21"/>
                <w:szCs w:val="21"/>
                <w:highlight w:val="none"/>
              </w:rPr>
              <w:t>采购内容及需求</w:t>
            </w:r>
            <w:r>
              <w:rPr>
                <w:rFonts w:hint="eastAsia" w:ascii="宋体" w:hAnsi="宋体" w:cs="宋体"/>
                <w:b w:val="0"/>
                <w:bCs w:val="0"/>
                <w:color w:val="auto"/>
                <w:sz w:val="21"/>
                <w:szCs w:val="21"/>
                <w:highlight w:val="none"/>
                <w:lang w:val="en-US" w:eastAsia="zh-CN"/>
              </w:rPr>
              <w:t>的附表1，需要提供ISO 15189认可证书（证书附件需标注检测项目清单序号）。不提供清单及证明材料不得分。</w:t>
            </w:r>
          </w:p>
        </w:tc>
        <w:tc>
          <w:tcPr>
            <w:tcW w:w="99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199" w:type="dxa"/>
            <w:vMerge w:val="continue"/>
            <w:vAlign w:val="center"/>
          </w:tcPr>
          <w:p>
            <w:pPr>
              <w:spacing w:line="360" w:lineRule="auto"/>
              <w:rPr>
                <w:rFonts w:hint="eastAsia" w:ascii="宋体" w:hAnsi="宋体" w:cs="宋体"/>
                <w:color w:val="auto"/>
                <w:sz w:val="21"/>
                <w:szCs w:val="21"/>
                <w:highlight w:val="none"/>
              </w:rPr>
            </w:pPr>
          </w:p>
        </w:tc>
        <w:tc>
          <w:tcPr>
            <w:tcW w:w="6361" w:type="dxa"/>
            <w:vAlign w:val="center"/>
          </w:tcPr>
          <w:p>
            <w:pPr>
              <w:spacing w:line="360" w:lineRule="auto"/>
              <w:rPr>
                <w:rFonts w:hint="default" w:ascii="宋体" w:hAnsi="宋体" w:cs="宋体"/>
                <w:color w:val="auto"/>
                <w:sz w:val="21"/>
                <w:szCs w:val="21"/>
                <w:highlight w:val="none"/>
                <w:lang w:val="en-US"/>
              </w:rPr>
            </w:pPr>
            <w:r>
              <w:rPr>
                <w:rFonts w:ascii="宋体" w:hAnsi="宋体" w:eastAsia="宋体" w:cs="宋体"/>
                <w:color w:val="auto"/>
                <w:sz w:val="21"/>
                <w:szCs w:val="21"/>
                <w:highlight w:val="none"/>
              </w:rPr>
              <w:t>投标人通过2024年国家卫生健康委临床检验中心室间质评项目与本次招标检测项目清单进行对比，</w:t>
            </w:r>
            <w:r>
              <w:rPr>
                <w:rFonts w:hint="eastAsia" w:ascii="宋体" w:hAnsi="宋体" w:cs="宋体"/>
                <w:color w:val="auto"/>
                <w:sz w:val="21"/>
                <w:szCs w:val="21"/>
                <w:highlight w:val="none"/>
              </w:rPr>
              <w:t>根据通过的项目数量进行评分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数量≥55项得3分，50≤数量＜55项得2分，45≤数量＜50项得1分，数量＜45项不得分。</w:t>
            </w:r>
            <w:r>
              <w:rPr>
                <w:rFonts w:ascii="宋体" w:hAnsi="宋体" w:eastAsia="宋体" w:cs="宋体"/>
                <w:color w:val="auto"/>
                <w:sz w:val="21"/>
                <w:szCs w:val="21"/>
                <w:highlight w:val="none"/>
              </w:rPr>
              <w:t>提供投标人通过2024年国家卫生健康委临床检验中心室间质评与本次招标检测项目的对比清单</w:t>
            </w:r>
            <w:r>
              <w:rPr>
                <w:rFonts w:hint="eastAsia" w:ascii="宋体" w:hAnsi="宋体" w:cs="宋体"/>
                <w:color w:val="auto"/>
                <w:sz w:val="21"/>
                <w:szCs w:val="21"/>
                <w:highlight w:val="none"/>
                <w:lang w:val="en-US" w:eastAsia="zh-CN"/>
              </w:rPr>
              <w:t>及证明资料</w:t>
            </w:r>
            <w:r>
              <w:rPr>
                <w:rFonts w:hint="eastAsia"/>
                <w:color w:val="auto"/>
                <w:sz w:val="21"/>
                <w:szCs w:val="21"/>
                <w:highlight w:val="none"/>
                <w:lang w:eastAsia="zh-CN"/>
              </w:rPr>
              <w:t>。</w:t>
            </w:r>
            <w:r>
              <w:rPr>
                <w:rFonts w:hint="eastAsia" w:ascii="宋体" w:hAnsi="宋体" w:cs="宋体"/>
                <w:color w:val="auto"/>
                <w:sz w:val="21"/>
                <w:szCs w:val="21"/>
                <w:highlight w:val="none"/>
                <w:lang w:val="en-US" w:eastAsia="zh-CN"/>
              </w:rPr>
              <w:t>清单填写格式按照</w:t>
            </w:r>
            <w:r>
              <w:rPr>
                <w:rFonts w:hint="eastAsia" w:ascii="宋体" w:hAnsi="宋体" w:cs="宋体"/>
                <w:b w:val="0"/>
                <w:bCs w:val="0"/>
                <w:color w:val="auto"/>
                <w:sz w:val="21"/>
                <w:szCs w:val="21"/>
                <w:highlight w:val="none"/>
              </w:rPr>
              <w:t>采购内容及需求</w:t>
            </w:r>
            <w:r>
              <w:rPr>
                <w:rFonts w:hint="eastAsia" w:ascii="宋体" w:hAnsi="宋体" w:cs="宋体"/>
                <w:b w:val="0"/>
                <w:bCs w:val="0"/>
                <w:color w:val="auto"/>
                <w:sz w:val="21"/>
                <w:szCs w:val="21"/>
                <w:highlight w:val="none"/>
                <w:lang w:val="en-US" w:eastAsia="zh-CN"/>
              </w:rPr>
              <w:t>的附表2，同时提供2024年证书作为证明材料。不提供清单及证明材料不得分。</w:t>
            </w:r>
          </w:p>
        </w:tc>
        <w:tc>
          <w:tcPr>
            <w:tcW w:w="99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shd w:val="clear" w:color="auto" w:fill="auto"/>
            <w:vAlign w:val="center"/>
          </w:tcPr>
          <w:p>
            <w:pPr>
              <w:spacing w:line="360"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7</w:t>
            </w:r>
          </w:p>
        </w:tc>
        <w:tc>
          <w:tcPr>
            <w:tcW w:w="1199"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实验室设备</w:t>
            </w:r>
          </w:p>
        </w:tc>
        <w:tc>
          <w:tcPr>
            <w:tcW w:w="636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实验室具备检测本项目的相关仪器设备，提供设备的品牌，型号，具体性能参数。根据设备的数量、种类、性能质量、先进程度、临床使用效果给0-5分。</w:t>
            </w:r>
          </w:p>
        </w:tc>
        <w:tc>
          <w:tcPr>
            <w:tcW w:w="994"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shd w:val="clear" w:color="auto" w:fill="auto"/>
            <w:vAlign w:val="center"/>
          </w:tcPr>
          <w:p>
            <w:pPr>
              <w:spacing w:line="360"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8</w:t>
            </w:r>
          </w:p>
        </w:tc>
        <w:tc>
          <w:tcPr>
            <w:tcW w:w="1199"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试剂耗材</w:t>
            </w:r>
          </w:p>
        </w:tc>
        <w:tc>
          <w:tcPr>
            <w:tcW w:w="6361"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根据投标人拟采用的试剂耗材情况，根据试剂耗材的品牌性能质量给0-5分</w:t>
            </w:r>
            <w:r>
              <w:rPr>
                <w:rFonts w:hint="eastAsia" w:ascii="宋体" w:hAnsi="宋体" w:cs="宋体"/>
                <w:color w:val="auto"/>
                <w:sz w:val="21"/>
                <w:szCs w:val="21"/>
                <w:highlight w:val="none"/>
                <w:lang w:eastAsia="zh-CN"/>
              </w:rPr>
              <w:t>。</w:t>
            </w:r>
          </w:p>
        </w:tc>
        <w:tc>
          <w:tcPr>
            <w:tcW w:w="994"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shd w:val="clear" w:color="auto" w:fill="auto"/>
            <w:vAlign w:val="center"/>
          </w:tcPr>
          <w:p>
            <w:pPr>
              <w:spacing w:line="360"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9</w:t>
            </w:r>
          </w:p>
        </w:tc>
        <w:tc>
          <w:tcPr>
            <w:tcW w:w="1199"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对接方案</w:t>
            </w:r>
          </w:p>
        </w:tc>
        <w:tc>
          <w:tcPr>
            <w:tcW w:w="636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提供检测报告与医院网络系统对接方案并承担相应费用得2分，不提供不得分。</w:t>
            </w:r>
          </w:p>
        </w:tc>
        <w:tc>
          <w:tcPr>
            <w:tcW w:w="994" w:type="dxa"/>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shd w:val="clear" w:color="auto" w:fill="auto"/>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10</w:t>
            </w:r>
          </w:p>
        </w:tc>
        <w:tc>
          <w:tcPr>
            <w:tcW w:w="1199" w:type="dxa"/>
            <w:vMerge w:val="restart"/>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样本运输</w:t>
            </w:r>
          </w:p>
        </w:tc>
        <w:tc>
          <w:tcPr>
            <w:tcW w:w="6361" w:type="dxa"/>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提供物流方案包括样本采集、保存及物流质控、物流安全保障、物流及时性等给</w:t>
            </w:r>
            <w:r>
              <w:rPr>
                <w:rFonts w:hint="eastAsia" w:ascii="宋体" w:hAnsi="宋体" w:cs="宋体"/>
                <w:color w:val="auto"/>
                <w:sz w:val="21"/>
                <w:szCs w:val="21"/>
                <w:highlight w:val="none"/>
                <w:lang w:eastAsia="zh-CN"/>
              </w:rPr>
              <w:t>0</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c>
          <w:tcPr>
            <w:tcW w:w="994"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shd w:val="clear" w:color="auto" w:fill="auto"/>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11</w:t>
            </w:r>
          </w:p>
        </w:tc>
        <w:tc>
          <w:tcPr>
            <w:tcW w:w="1199" w:type="dxa"/>
            <w:vMerge w:val="continue"/>
            <w:vAlign w:val="center"/>
          </w:tcPr>
          <w:p>
            <w:pPr>
              <w:spacing w:line="360" w:lineRule="auto"/>
              <w:rPr>
                <w:rFonts w:hint="eastAsia" w:ascii="宋体" w:hAnsi="宋体" w:cs="宋体"/>
                <w:color w:val="auto"/>
                <w:sz w:val="21"/>
                <w:szCs w:val="21"/>
                <w:highlight w:val="none"/>
              </w:rPr>
            </w:pPr>
          </w:p>
        </w:tc>
        <w:tc>
          <w:tcPr>
            <w:tcW w:w="636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提供样本运输时间承诺、计划采取的运输方案及佐证材料，从钱江院区收集标本出发至乙方实验室运输时间≤</w:t>
            </w:r>
            <w:r>
              <w:rPr>
                <w:rFonts w:ascii="宋体" w:hAnsi="宋体" w:cs="宋体"/>
                <w:color w:val="auto"/>
                <w:sz w:val="21"/>
                <w:szCs w:val="21"/>
                <w:highlight w:val="none"/>
              </w:rPr>
              <w:t>5小时得2分；5-8小时得1分；</w:t>
            </w:r>
            <w:r>
              <w:rPr>
                <w:rFonts w:hint="eastAsia" w:ascii="宋体" w:hAnsi="宋体" w:cs="宋体"/>
                <w:color w:val="auto"/>
                <w:sz w:val="21"/>
                <w:szCs w:val="21"/>
                <w:highlight w:val="none"/>
              </w:rPr>
              <w:t>超过</w:t>
            </w:r>
            <w:r>
              <w:rPr>
                <w:rFonts w:ascii="宋体" w:hAnsi="宋体" w:cs="宋体"/>
                <w:color w:val="auto"/>
                <w:sz w:val="21"/>
                <w:szCs w:val="21"/>
                <w:highlight w:val="none"/>
              </w:rPr>
              <w:t>8小时不得分。</w:t>
            </w:r>
          </w:p>
          <w:p>
            <w:pPr>
              <w:spacing w:line="360" w:lineRule="auto"/>
              <w:rPr>
                <w:rFonts w:hint="eastAsia" w:ascii="宋体" w:hAnsi="宋体" w:cs="宋体"/>
                <w:color w:val="auto"/>
                <w:sz w:val="21"/>
                <w:szCs w:val="21"/>
                <w:highlight w:val="none"/>
              </w:rPr>
            </w:pPr>
            <w:r>
              <w:rPr>
                <w:rFonts w:ascii="宋体" w:hAnsi="宋体" w:cs="宋体"/>
                <w:color w:val="auto"/>
                <w:sz w:val="21"/>
                <w:szCs w:val="21"/>
                <w:highlight w:val="none"/>
              </w:rPr>
              <w:t>城西院区三次标本收取时间差</w:t>
            </w:r>
            <w:r>
              <w:rPr>
                <w:rFonts w:hint="eastAsia" w:ascii="宋体" w:hAnsi="宋体" w:cs="宋体"/>
                <w:color w:val="auto"/>
                <w:sz w:val="21"/>
                <w:szCs w:val="21"/>
                <w:highlight w:val="none"/>
              </w:rPr>
              <w:t>≤约定时间</w:t>
            </w:r>
            <w:r>
              <w:rPr>
                <w:rFonts w:ascii="宋体" w:hAnsi="宋体" w:cs="宋体"/>
                <w:color w:val="auto"/>
                <w:sz w:val="21"/>
                <w:szCs w:val="21"/>
                <w:highlight w:val="none"/>
              </w:rPr>
              <w:t>15分钟，得1分</w:t>
            </w:r>
            <w:r>
              <w:rPr>
                <w:rFonts w:hint="eastAsia" w:ascii="宋体" w:hAnsi="宋体" w:cs="宋体"/>
                <w:color w:val="auto"/>
                <w:sz w:val="21"/>
                <w:szCs w:val="21"/>
                <w:highlight w:val="none"/>
              </w:rPr>
              <w:t>；</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城西院区收取标本送达钱江院区运输时间</w:t>
            </w:r>
            <w:r>
              <w:rPr>
                <w:rFonts w:ascii="宋体" w:hAnsi="宋体" w:cs="宋体"/>
                <w:color w:val="auto"/>
                <w:sz w:val="21"/>
                <w:szCs w:val="21"/>
                <w:highlight w:val="none"/>
              </w:rPr>
              <w:t>70分钟内得1分。</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提供投标人实验室名称、地址、第三方导航软件截图作为证明材料，资料提供不全不得分。</w:t>
            </w:r>
            <w:r>
              <w:rPr>
                <w:rFonts w:hint="eastAsia" w:ascii="宋体" w:hAnsi="宋体" w:cs="宋体"/>
                <w:color w:val="auto"/>
                <w:sz w:val="21"/>
                <w:szCs w:val="21"/>
                <w:highlight w:val="none"/>
                <w:lang w:eastAsia="zh-CN"/>
              </w:rPr>
              <w:t>）</w:t>
            </w:r>
          </w:p>
        </w:tc>
        <w:tc>
          <w:tcPr>
            <w:tcW w:w="99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shd w:val="clear" w:color="auto" w:fill="auto"/>
            <w:vAlign w:val="center"/>
          </w:tcPr>
          <w:p>
            <w:pPr>
              <w:spacing w:line="360"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12</w:t>
            </w:r>
          </w:p>
        </w:tc>
        <w:tc>
          <w:tcPr>
            <w:tcW w:w="1199" w:type="dxa"/>
            <w:vMerge w:val="continue"/>
            <w:vAlign w:val="center"/>
          </w:tcPr>
          <w:p>
            <w:pPr>
              <w:spacing w:line="360" w:lineRule="auto"/>
              <w:rPr>
                <w:rFonts w:ascii="宋体" w:hAnsi="宋体" w:cs="宋体"/>
                <w:bCs/>
                <w:color w:val="auto"/>
                <w:sz w:val="21"/>
                <w:szCs w:val="21"/>
                <w:highlight w:val="none"/>
              </w:rPr>
            </w:pPr>
          </w:p>
        </w:tc>
        <w:tc>
          <w:tcPr>
            <w:tcW w:w="6361"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根据配置车辆的数量、性能、冷链设施，车辆上配有专业设备情况，给0-3分</w:t>
            </w:r>
            <w:r>
              <w:rPr>
                <w:rFonts w:hint="eastAsia" w:ascii="宋体" w:hAnsi="宋体" w:cs="宋体"/>
                <w:color w:val="auto"/>
                <w:sz w:val="21"/>
                <w:szCs w:val="21"/>
                <w:highlight w:val="none"/>
                <w:lang w:eastAsia="zh-CN"/>
              </w:rPr>
              <w:t>。</w:t>
            </w:r>
          </w:p>
        </w:tc>
        <w:tc>
          <w:tcPr>
            <w:tcW w:w="994" w:type="dxa"/>
            <w:vAlign w:val="center"/>
          </w:tcPr>
          <w:p>
            <w:pPr>
              <w:spacing w:line="360" w:lineRule="auto"/>
              <w:jc w:val="center"/>
              <w:rPr>
                <w:rFonts w:ascii="宋体" w:hAnsi="宋体" w:cs="宋体"/>
                <w:bCs/>
                <w:color w:val="auto"/>
                <w:sz w:val="21"/>
                <w:szCs w:val="21"/>
                <w:highlight w:val="none"/>
              </w:rPr>
            </w:pPr>
            <w:r>
              <w:rPr>
                <w:rFonts w:hint="eastAsia" w:ascii="宋体" w:hAnsi="宋体" w:cs="宋体"/>
                <w:color w:val="auto"/>
                <w:sz w:val="21"/>
                <w:szCs w:val="21"/>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3" w:type="dxa"/>
            <w:shd w:val="clear" w:color="auto" w:fill="auto"/>
            <w:vAlign w:val="center"/>
          </w:tcPr>
          <w:p>
            <w:pPr>
              <w:spacing w:line="36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13</w:t>
            </w:r>
          </w:p>
        </w:tc>
        <w:tc>
          <w:tcPr>
            <w:tcW w:w="1199" w:type="dxa"/>
            <w:vMerge w:val="continue"/>
            <w:vAlign w:val="center"/>
          </w:tcPr>
          <w:p>
            <w:pPr>
              <w:spacing w:line="360" w:lineRule="auto"/>
              <w:rPr>
                <w:rFonts w:ascii="宋体" w:hAnsi="宋体" w:cs="宋体"/>
                <w:bCs/>
                <w:color w:val="auto"/>
                <w:sz w:val="21"/>
                <w:szCs w:val="21"/>
                <w:highlight w:val="none"/>
              </w:rPr>
            </w:pPr>
          </w:p>
        </w:tc>
        <w:tc>
          <w:tcPr>
            <w:tcW w:w="6361" w:type="dxa"/>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冷链物流配送单位，提供经营资质文件复印件的得2分。</w:t>
            </w:r>
          </w:p>
        </w:tc>
        <w:tc>
          <w:tcPr>
            <w:tcW w:w="994" w:type="dxa"/>
            <w:vAlign w:val="center"/>
          </w:tcPr>
          <w:p>
            <w:pPr>
              <w:spacing w:line="360" w:lineRule="auto"/>
              <w:jc w:val="center"/>
              <w:rPr>
                <w:rFonts w:ascii="宋体" w:hAnsi="宋体" w:cs="宋体"/>
                <w:bCs/>
                <w:color w:val="auto"/>
                <w:sz w:val="21"/>
                <w:szCs w:val="21"/>
                <w:highlight w:val="none"/>
              </w:rPr>
            </w:pPr>
            <w:r>
              <w:rPr>
                <w:rFonts w:hint="eastAsia" w:ascii="宋体" w:hAnsi="宋体" w:cs="宋体"/>
                <w:color w:val="auto"/>
                <w:sz w:val="21"/>
                <w:szCs w:val="21"/>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14</w:t>
            </w:r>
          </w:p>
        </w:tc>
        <w:tc>
          <w:tcPr>
            <w:tcW w:w="1199" w:type="dxa"/>
            <w:vMerge w:val="continue"/>
            <w:vAlign w:val="center"/>
          </w:tcPr>
          <w:p>
            <w:pPr>
              <w:spacing w:line="360" w:lineRule="auto"/>
              <w:rPr>
                <w:rFonts w:ascii="宋体" w:hAnsi="宋体" w:cs="宋体"/>
                <w:bCs/>
                <w:color w:val="auto"/>
                <w:sz w:val="21"/>
                <w:szCs w:val="21"/>
                <w:highlight w:val="none"/>
              </w:rPr>
            </w:pPr>
          </w:p>
        </w:tc>
        <w:tc>
          <w:tcPr>
            <w:tcW w:w="6361" w:type="dxa"/>
            <w:vAlign w:val="center"/>
          </w:tcPr>
          <w:p>
            <w:pPr>
              <w:spacing w:line="360" w:lineRule="auto"/>
              <w:rPr>
                <w:rFonts w:ascii="宋体" w:hAnsi="宋体" w:cs="宋体"/>
                <w:bCs/>
                <w:color w:val="auto"/>
                <w:sz w:val="21"/>
                <w:szCs w:val="21"/>
                <w:highlight w:val="none"/>
              </w:rPr>
            </w:pPr>
            <w:r>
              <w:rPr>
                <w:rFonts w:hint="eastAsia" w:ascii="宋体" w:hAnsi="宋体" w:cs="宋体"/>
                <w:color w:val="auto"/>
                <w:sz w:val="21"/>
                <w:szCs w:val="21"/>
                <w:highlight w:val="none"/>
              </w:rPr>
              <w:t>提供针对本项目的运输应急预案；根据应急处理措施的全面性，预见性，解决突发问题的能力给0-3分。</w:t>
            </w:r>
          </w:p>
        </w:tc>
        <w:tc>
          <w:tcPr>
            <w:tcW w:w="994" w:type="dxa"/>
            <w:vAlign w:val="center"/>
          </w:tcPr>
          <w:p>
            <w:pPr>
              <w:spacing w:line="360" w:lineRule="auto"/>
              <w:jc w:val="center"/>
              <w:rPr>
                <w:rFonts w:ascii="宋体" w:hAnsi="宋体" w:cs="宋体"/>
                <w:bCs/>
                <w:color w:val="auto"/>
                <w:sz w:val="21"/>
                <w:szCs w:val="21"/>
                <w:highlight w:val="none"/>
              </w:rPr>
            </w:pPr>
            <w:r>
              <w:rPr>
                <w:rFonts w:hint="eastAsia" w:ascii="宋体" w:hAnsi="宋体" w:cs="宋体"/>
                <w:color w:val="auto"/>
                <w:sz w:val="21"/>
                <w:szCs w:val="21"/>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三</w:t>
            </w:r>
          </w:p>
        </w:tc>
        <w:tc>
          <w:tcPr>
            <w:tcW w:w="7560" w:type="dxa"/>
            <w:gridSpan w:val="2"/>
            <w:vAlign w:val="center"/>
          </w:tcPr>
          <w:p>
            <w:pPr>
              <w:spacing w:line="360" w:lineRule="auto"/>
              <w:rPr>
                <w:rFonts w:ascii="宋体" w:hAnsi="宋体" w:cs="宋体"/>
                <w:bCs/>
                <w:color w:val="auto"/>
                <w:sz w:val="21"/>
                <w:szCs w:val="21"/>
                <w:highlight w:val="none"/>
              </w:rPr>
            </w:pPr>
            <w:r>
              <w:rPr>
                <w:rFonts w:hint="eastAsia" w:ascii="宋体" w:hAnsi="宋体" w:cs="宋体"/>
                <w:b/>
                <w:color w:val="auto"/>
                <w:sz w:val="21"/>
                <w:szCs w:val="21"/>
                <w:highlight w:val="none"/>
              </w:rPr>
              <w:t>人员配置</w:t>
            </w:r>
          </w:p>
        </w:tc>
        <w:tc>
          <w:tcPr>
            <w:tcW w:w="994" w:type="dxa"/>
            <w:vAlign w:val="center"/>
          </w:tcPr>
          <w:p>
            <w:pPr>
              <w:spacing w:line="360" w:lineRule="auto"/>
              <w:jc w:val="center"/>
              <w:rPr>
                <w:rFonts w:ascii="宋体" w:hAnsi="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w:t>
            </w:r>
          </w:p>
        </w:tc>
        <w:tc>
          <w:tcPr>
            <w:tcW w:w="1199" w:type="dxa"/>
            <w:vAlign w:val="center"/>
          </w:tcPr>
          <w:p>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项目实施小组</w:t>
            </w:r>
          </w:p>
        </w:tc>
        <w:tc>
          <w:tcPr>
            <w:tcW w:w="6361" w:type="dxa"/>
            <w:vAlign w:val="center"/>
          </w:tcPr>
          <w:p>
            <w:pPr>
              <w:spacing w:line="360" w:lineRule="auto"/>
              <w:rPr>
                <w:rFonts w:ascii="宋体" w:hAnsi="宋体" w:cs="宋体"/>
                <w:bCs/>
                <w:color w:val="auto"/>
                <w:sz w:val="21"/>
                <w:szCs w:val="21"/>
                <w:highlight w:val="none"/>
              </w:rPr>
            </w:pPr>
            <w:r>
              <w:rPr>
                <w:rFonts w:hint="eastAsia" w:ascii="宋体" w:hAnsi="宋体" w:cs="宋体"/>
                <w:color w:val="auto"/>
                <w:sz w:val="21"/>
                <w:szCs w:val="21"/>
                <w:highlight w:val="none"/>
              </w:rPr>
              <w:t>提供投标项目对应实验室技术人员的情况，要求为投标项目的实际检验者和审核</w:t>
            </w:r>
            <w:r>
              <w:rPr>
                <w:rFonts w:ascii="宋体" w:hAnsi="宋体" w:cs="宋体"/>
                <w:color w:val="auto"/>
                <w:sz w:val="21"/>
                <w:szCs w:val="21"/>
                <w:highlight w:val="none"/>
              </w:rPr>
              <w:t>者</w:t>
            </w:r>
            <w:r>
              <w:rPr>
                <w:rFonts w:hint="eastAsia" w:ascii="宋体" w:hAnsi="宋体" w:cs="宋体"/>
                <w:color w:val="auto"/>
                <w:sz w:val="21"/>
                <w:szCs w:val="21"/>
                <w:highlight w:val="none"/>
              </w:rPr>
              <w:t>（包括人员数量、学历、同类项目工作经验、培训经历、职称、资质证书等），提供证书复印件和近三个月任意一个月投标人为其缴纳社保证明或聘用合同）；0-5分</w:t>
            </w:r>
          </w:p>
        </w:tc>
        <w:tc>
          <w:tcPr>
            <w:tcW w:w="994" w:type="dxa"/>
            <w:vAlign w:val="center"/>
          </w:tcPr>
          <w:p>
            <w:pPr>
              <w:spacing w:line="360" w:lineRule="auto"/>
              <w:jc w:val="center"/>
              <w:rPr>
                <w:rFonts w:ascii="宋体" w:hAnsi="宋体" w:cs="宋体"/>
                <w:bCs/>
                <w:color w:val="auto"/>
                <w:sz w:val="21"/>
                <w:szCs w:val="21"/>
                <w:highlight w:val="none"/>
              </w:rPr>
            </w:pPr>
            <w:r>
              <w:rPr>
                <w:rFonts w:hint="eastAsia" w:ascii="宋体" w:hAnsi="宋体" w:cs="宋体"/>
                <w:color w:val="auto"/>
                <w:sz w:val="21"/>
                <w:szCs w:val="21"/>
                <w:highlight w:val="none"/>
              </w:rPr>
              <w:t>5</w:t>
            </w:r>
          </w:p>
        </w:tc>
      </w:tr>
    </w:tbl>
    <w:p>
      <w:pPr>
        <w:pStyle w:val="67"/>
        <w:adjustRightInd w:val="0"/>
        <w:snapToGrid w:val="0"/>
        <w:spacing w:line="360" w:lineRule="auto"/>
        <w:ind w:firstLine="420"/>
        <w:rPr>
          <w:rFonts w:eastAsia="宋体"/>
          <w:color w:val="auto"/>
          <w:sz w:val="21"/>
          <w:szCs w:val="21"/>
          <w:highlight w:val="none"/>
        </w:rPr>
      </w:pPr>
    </w:p>
    <w:p>
      <w:pPr>
        <w:pStyle w:val="67"/>
        <w:adjustRightInd w:val="0"/>
        <w:snapToGrid w:val="0"/>
        <w:spacing w:line="360" w:lineRule="auto"/>
        <w:ind w:firstLine="420"/>
        <w:rPr>
          <w:rFonts w:eastAsia="宋体"/>
          <w:color w:val="auto"/>
          <w:sz w:val="21"/>
          <w:szCs w:val="21"/>
          <w:highlight w:val="none"/>
        </w:rPr>
      </w:pPr>
      <w:bookmarkStart w:id="37" w:name="_Toc345320401"/>
      <w:r>
        <w:rPr>
          <w:rFonts w:eastAsia="宋体"/>
          <w:color w:val="auto"/>
          <w:sz w:val="21"/>
          <w:szCs w:val="21"/>
          <w:highlight w:val="none"/>
        </w:rPr>
        <w:t>2）</w:t>
      </w:r>
      <w:r>
        <w:rPr>
          <w:rFonts w:eastAsia="宋体"/>
          <w:b/>
          <w:color w:val="auto"/>
          <w:sz w:val="21"/>
          <w:szCs w:val="21"/>
          <w:highlight w:val="none"/>
        </w:rPr>
        <w:t>价格分</w:t>
      </w:r>
      <w:bookmarkEnd w:id="37"/>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报价1:满分18分</w:t>
      </w: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价格评分将在有效投标人范围内进行，最高得18分，最低得0分（小数点后保留二位小数，第三位四舍五入）。满足采购文件要求且投标价格最低的</w:t>
      </w:r>
      <w:r>
        <w:rPr>
          <w:rFonts w:hint="eastAsia" w:ascii="宋体" w:hAnsi="宋体" w:cs="宋体"/>
          <w:b/>
          <w:color w:val="auto"/>
          <w:kern w:val="0"/>
          <w:szCs w:val="21"/>
          <w:highlight w:val="none"/>
          <w:u w:val="thick"/>
        </w:rPr>
        <w:t>投标报价1</w:t>
      </w:r>
      <w:r>
        <w:rPr>
          <w:rFonts w:hint="eastAsia" w:ascii="宋体" w:hAnsi="宋体" w:cs="宋体"/>
          <w:color w:val="auto"/>
          <w:kern w:val="0"/>
          <w:szCs w:val="21"/>
          <w:highlight w:val="none"/>
        </w:rPr>
        <w:t>为</w:t>
      </w:r>
      <w:r>
        <w:rPr>
          <w:rFonts w:hint="eastAsia" w:ascii="宋体" w:hAnsi="宋体" w:cs="宋体"/>
          <w:b/>
          <w:color w:val="auto"/>
          <w:kern w:val="0"/>
          <w:szCs w:val="21"/>
          <w:highlight w:val="none"/>
          <w:u w:val="thick"/>
        </w:rPr>
        <w:t>评标基准价</w:t>
      </w:r>
      <w:r>
        <w:rPr>
          <w:rFonts w:hint="eastAsia" w:ascii="宋体" w:hAnsi="宋体" w:cs="宋体"/>
          <w:color w:val="auto"/>
          <w:kern w:val="0"/>
          <w:szCs w:val="21"/>
          <w:highlight w:val="none"/>
        </w:rPr>
        <w:t>，投标人的价格分统一按照下列公式计算：</w:t>
      </w: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投标报价1得分=（</w:t>
      </w:r>
      <w:r>
        <w:rPr>
          <w:rFonts w:hint="eastAsia" w:ascii="宋体" w:hAnsi="宋体" w:cs="宋体"/>
          <w:b/>
          <w:color w:val="auto"/>
          <w:kern w:val="0"/>
          <w:szCs w:val="21"/>
          <w:highlight w:val="none"/>
          <w:u w:val="thick"/>
        </w:rPr>
        <w:t>评标基准价</w:t>
      </w:r>
      <w:r>
        <w:rPr>
          <w:rFonts w:hint="eastAsia" w:ascii="宋体" w:hAnsi="宋体" w:cs="宋体"/>
          <w:color w:val="auto"/>
          <w:kern w:val="0"/>
          <w:szCs w:val="21"/>
          <w:highlight w:val="none"/>
        </w:rPr>
        <w:t>/</w:t>
      </w:r>
      <w:r>
        <w:rPr>
          <w:rFonts w:hint="eastAsia" w:ascii="宋体" w:hAnsi="宋体" w:cs="宋体"/>
          <w:b/>
          <w:color w:val="auto"/>
          <w:kern w:val="0"/>
          <w:szCs w:val="21"/>
          <w:highlight w:val="none"/>
          <w:u w:val="thick"/>
        </w:rPr>
        <w:t>投标报价1</w:t>
      </w:r>
      <w:r>
        <w:rPr>
          <w:rFonts w:hint="eastAsia" w:ascii="宋体" w:hAnsi="宋体" w:cs="宋体"/>
          <w:color w:val="auto"/>
          <w:kern w:val="0"/>
          <w:szCs w:val="21"/>
          <w:highlight w:val="none"/>
        </w:rPr>
        <w:t>）×18%×100</w:t>
      </w:r>
    </w:p>
    <w:p>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报价2:满分12分</w:t>
      </w: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价格评分将在有效投标人范围内进行，最高得12分，最低得0分（小数点后保留二位小数，第三位四舍五入）。满足采购文件要求且投标价格最低的</w:t>
      </w:r>
      <w:r>
        <w:rPr>
          <w:rFonts w:hint="eastAsia" w:ascii="宋体" w:hAnsi="宋体" w:cs="宋体"/>
          <w:b/>
          <w:color w:val="auto"/>
          <w:kern w:val="0"/>
          <w:szCs w:val="21"/>
          <w:highlight w:val="none"/>
          <w:u w:val="thick"/>
        </w:rPr>
        <w:t>投标报价2</w:t>
      </w:r>
      <w:r>
        <w:rPr>
          <w:rFonts w:hint="eastAsia" w:ascii="宋体" w:hAnsi="宋体" w:cs="宋体"/>
          <w:color w:val="auto"/>
          <w:kern w:val="0"/>
          <w:szCs w:val="21"/>
          <w:highlight w:val="none"/>
        </w:rPr>
        <w:t>为</w:t>
      </w:r>
      <w:r>
        <w:rPr>
          <w:rFonts w:hint="eastAsia" w:ascii="宋体" w:hAnsi="宋体" w:cs="宋体"/>
          <w:b/>
          <w:color w:val="auto"/>
          <w:kern w:val="0"/>
          <w:szCs w:val="21"/>
          <w:highlight w:val="none"/>
          <w:u w:val="thick"/>
        </w:rPr>
        <w:t>评标基准价</w:t>
      </w:r>
      <w:r>
        <w:rPr>
          <w:rFonts w:hint="eastAsia" w:ascii="宋体" w:hAnsi="宋体" w:cs="宋体"/>
          <w:color w:val="auto"/>
          <w:kern w:val="0"/>
          <w:szCs w:val="21"/>
          <w:highlight w:val="none"/>
        </w:rPr>
        <w:t>，投标人的价格分统一按照下列公式计算：</w:t>
      </w: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投标报价2得分=（</w:t>
      </w:r>
      <w:r>
        <w:rPr>
          <w:rFonts w:hint="eastAsia" w:ascii="宋体" w:hAnsi="宋体" w:cs="宋体"/>
          <w:b/>
          <w:color w:val="auto"/>
          <w:kern w:val="0"/>
          <w:szCs w:val="21"/>
          <w:highlight w:val="none"/>
          <w:u w:val="thick"/>
        </w:rPr>
        <w:t>评标基准价</w:t>
      </w:r>
      <w:r>
        <w:rPr>
          <w:rFonts w:hint="eastAsia" w:ascii="宋体" w:hAnsi="宋体" w:cs="宋体"/>
          <w:color w:val="auto"/>
          <w:kern w:val="0"/>
          <w:szCs w:val="21"/>
          <w:highlight w:val="none"/>
        </w:rPr>
        <w:t>/</w:t>
      </w:r>
      <w:r>
        <w:rPr>
          <w:rFonts w:hint="eastAsia" w:ascii="宋体" w:hAnsi="宋体" w:cs="宋体"/>
          <w:b/>
          <w:color w:val="auto"/>
          <w:kern w:val="0"/>
          <w:szCs w:val="21"/>
          <w:highlight w:val="none"/>
          <w:u w:val="thick"/>
        </w:rPr>
        <w:t>投标报价2</w:t>
      </w:r>
      <w:r>
        <w:rPr>
          <w:rFonts w:hint="eastAsia" w:ascii="宋体" w:hAnsi="宋体" w:cs="宋体"/>
          <w:color w:val="auto"/>
          <w:kern w:val="0"/>
          <w:szCs w:val="21"/>
          <w:highlight w:val="none"/>
        </w:rPr>
        <w:t>）×12%×100</w:t>
      </w:r>
    </w:p>
    <w:p>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报价得分=报价1+报价2</w:t>
      </w:r>
    </w:p>
    <w:p>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此项由评标委员会集体核实后统一打分。</w:t>
      </w:r>
    </w:p>
    <w:p>
      <w:pPr>
        <w:pStyle w:val="67"/>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38" w:name="_Toc82873328"/>
      <w:bookmarkStart w:id="39" w:name="_Toc495317672"/>
      <w:bookmarkStart w:id="40" w:name="_Toc82338245"/>
      <w:bookmarkStart w:id="41" w:name="_Toc211745569"/>
    </w:p>
    <w:p>
      <w:pPr>
        <w:adjustRightIn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38"/>
      <w:bookmarkEnd w:id="39"/>
      <w:bookmarkEnd w:id="40"/>
      <w:bookmarkEnd w:id="41"/>
    </w:p>
    <w:p>
      <w:pPr>
        <w:adjustRightInd w:val="0"/>
        <w:snapToGrid w:val="0"/>
        <w:spacing w:line="360" w:lineRule="auto"/>
        <w:rPr>
          <w:rFonts w:ascii="宋体" w:hAnsi="宋体"/>
          <w:color w:val="auto"/>
          <w:szCs w:val="21"/>
          <w:highlight w:val="none"/>
        </w:rPr>
      </w:pPr>
      <w:bookmarkStart w:id="42" w:name="_Hlk76721429"/>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委托方（以下简称甲方）：</w:t>
      </w:r>
      <w:r>
        <w:rPr>
          <w:rFonts w:hint="eastAsia" w:ascii="宋体" w:hAnsi="宋体"/>
          <w:color w:val="auto"/>
          <w:szCs w:val="21"/>
          <w:highlight w:val="none"/>
          <w:u w:val="single"/>
        </w:rPr>
        <w:t xml:space="preserve">   杭州市妇产科医院                 </w:t>
      </w:r>
    </w:p>
    <w:p>
      <w:pPr>
        <w:spacing w:line="360" w:lineRule="auto"/>
        <w:rPr>
          <w:rFonts w:ascii="宋体" w:hAnsi="宋体"/>
          <w:color w:val="auto"/>
          <w:szCs w:val="21"/>
          <w:highlight w:val="none"/>
          <w:u w:val="single"/>
        </w:rPr>
      </w:pPr>
      <w:r>
        <w:rPr>
          <w:rFonts w:hint="eastAsia" w:ascii="宋体" w:hAnsi="宋体"/>
          <w:color w:val="auto"/>
          <w:szCs w:val="21"/>
          <w:highlight w:val="none"/>
        </w:rPr>
        <w:t>受托方（以下简称乙方）：</w:t>
      </w:r>
      <w:r>
        <w:rPr>
          <w:rFonts w:hint="eastAsia" w:ascii="宋体" w:hAnsi="宋体"/>
          <w:color w:val="auto"/>
          <w:szCs w:val="21"/>
          <w:highlight w:val="none"/>
          <w:u w:val="single"/>
        </w:rPr>
        <w:t xml:space="preserve">                                    </w:t>
      </w:r>
    </w:p>
    <w:p>
      <w:pPr>
        <w:pStyle w:val="2"/>
        <w:jc w:val="left"/>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合同主要内容：</w:t>
      </w:r>
    </w:p>
    <w:bookmarkEnd w:id="42"/>
    <w:p>
      <w:pPr>
        <w:spacing w:line="360" w:lineRule="auto"/>
        <w:ind w:firstLine="420" w:firstLineChars="200"/>
        <w:jc w:val="left"/>
        <w:rPr>
          <w:rFonts w:ascii="宋体" w:hAnsi="宋体" w:cs="Calibri"/>
          <w:color w:val="auto"/>
          <w:szCs w:val="20"/>
          <w:highlight w:val="none"/>
        </w:rPr>
      </w:pPr>
      <w:r>
        <w:rPr>
          <w:rFonts w:hint="eastAsia" w:ascii="宋体" w:hAnsi="宋体" w:cs="宋体"/>
          <w:color w:val="auto"/>
          <w:szCs w:val="21"/>
          <w:highlight w:val="none"/>
        </w:rPr>
        <w:t>根据《中华人民共和国民法典》及相关法律法规规定，甲乙双方本着真诚合作、互惠互利的原则，经共同协商，就双方合作事宜达成本合同。双方同意按本合同相互合作，履行各自的义务，行使各自的权利。</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第一条：检测项目</w:t>
      </w:r>
    </w:p>
    <w:p>
      <w:pPr>
        <w:spacing w:line="360" w:lineRule="auto"/>
        <w:jc w:val="left"/>
        <w:rPr>
          <w:rFonts w:ascii="宋体" w:hAnsi="宋体" w:cs="宋体"/>
          <w:color w:val="auto"/>
          <w:kern w:val="0"/>
          <w:szCs w:val="20"/>
          <w:highlight w:val="none"/>
        </w:rPr>
      </w:pPr>
      <w:r>
        <w:rPr>
          <w:rFonts w:hint="eastAsia" w:ascii="宋体" w:hAnsi="宋体" w:cs="Calibri"/>
          <w:color w:val="auto"/>
          <w:szCs w:val="20"/>
          <w:highlight w:val="none"/>
        </w:rPr>
        <w:t xml:space="preserve"> </w:t>
      </w:r>
      <w:r>
        <w:rPr>
          <w:rFonts w:ascii="Calibri" w:hAnsi="Calibri" w:cs="Calibri"/>
          <w:color w:val="auto"/>
          <w:kern w:val="0"/>
          <w:szCs w:val="20"/>
          <w:highlight w:val="none"/>
        </w:rPr>
        <w:t>临床检验检测服务</w:t>
      </w:r>
      <w:r>
        <w:rPr>
          <w:rFonts w:hint="eastAsia" w:ascii="Calibri" w:hAnsi="Calibri" w:cs="Calibri"/>
          <w:color w:val="auto"/>
          <w:kern w:val="0"/>
          <w:szCs w:val="20"/>
          <w:highlight w:val="none"/>
        </w:rPr>
        <w:t>，</w:t>
      </w:r>
      <w:r>
        <w:rPr>
          <w:rFonts w:hint="eastAsia" w:ascii="宋体" w:hAnsi="宋体" w:cs="宋体"/>
          <w:color w:val="auto"/>
          <w:kern w:val="0"/>
          <w:szCs w:val="20"/>
          <w:highlight w:val="none"/>
        </w:rPr>
        <w:t>检测项目种类：见附件清单。</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第二条：双方权利与义务</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1、甲方权利和义务</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1)甲方负责进行受检者取样前的咨询解答工作，并告知受检者关于检测项目的相关必要信息及各种检测技术的局限性。</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2)甲方负责提供合格的受检者样本，以及提供样本前处理场所和办公场所，保证所有送检患者的标本与送检患者的信息一致。</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3)甲方负责向受检者发放检测报告，乙方对检测结果的准确性负责，并需协助甲方进行受检者的检测结果解释，并给予合理的医学建议。</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4)甲乙双方明确生物技术都具有的不确定性风险，双方应共同应对并解决可能出现的问题，化解风险。</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5)由于受检者个体差异及不可控因素导致样本不符合检测要求的，需要重新采样的，甲方需根据乙方的反馈及时安排重新抽取样本，对重新采样检测的样本不重复收费。</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2、乙方权利和义务</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1)乙方与甲方实施相关检测项目的业务推广、合同商定、账款核缴等相关工作。</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2)乙方积极配合好甲方检测服务工作，可根据甲方需求提供必要的技术和专业内容培训。</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3) 乙方须派驻一名工作人员在检验科，具体要求为护理或检验专业，具有《护士</w:t>
      </w:r>
      <w:r>
        <w:rPr>
          <w:rFonts w:eastAsia="宋体"/>
          <w:color w:val="auto"/>
          <w:sz w:val="21"/>
          <w:szCs w:val="21"/>
          <w:highlight w:val="none"/>
        </w:rPr>
        <w:t>资格证</w:t>
      </w:r>
      <w:r>
        <w:rPr>
          <w:rFonts w:hint="eastAsia" w:eastAsia="宋体"/>
          <w:color w:val="auto"/>
          <w:sz w:val="21"/>
          <w:szCs w:val="21"/>
          <w:highlight w:val="none"/>
        </w:rPr>
        <w:t>书</w:t>
      </w:r>
      <w:r>
        <w:rPr>
          <w:rFonts w:eastAsia="宋体"/>
          <w:color w:val="auto"/>
          <w:sz w:val="21"/>
          <w:szCs w:val="21"/>
          <w:highlight w:val="none"/>
        </w:rPr>
        <w:t>》</w:t>
      </w:r>
      <w:r>
        <w:rPr>
          <w:rFonts w:hint="eastAsia" w:eastAsia="宋体"/>
          <w:color w:val="auto"/>
          <w:sz w:val="21"/>
          <w:szCs w:val="21"/>
          <w:highlight w:val="none"/>
        </w:rPr>
        <w:t>或《临床医学检验技术》</w:t>
      </w:r>
      <w:r>
        <w:rPr>
          <w:rFonts w:eastAsia="宋体"/>
          <w:color w:val="auto"/>
          <w:sz w:val="21"/>
          <w:szCs w:val="21"/>
          <w:highlight w:val="none"/>
        </w:rPr>
        <w:t>专业</w:t>
      </w:r>
      <w:r>
        <w:rPr>
          <w:rFonts w:hint="eastAsia" w:eastAsia="宋体"/>
          <w:color w:val="auto"/>
          <w:sz w:val="21"/>
          <w:szCs w:val="21"/>
          <w:highlight w:val="none"/>
        </w:rPr>
        <w:t>技术</w:t>
      </w:r>
      <w:r>
        <w:rPr>
          <w:rFonts w:eastAsia="宋体"/>
          <w:color w:val="auto"/>
          <w:sz w:val="21"/>
          <w:szCs w:val="21"/>
          <w:highlight w:val="none"/>
        </w:rPr>
        <w:t>资格证书</w:t>
      </w:r>
      <w:r>
        <w:rPr>
          <w:rFonts w:hint="eastAsia" w:eastAsia="宋体"/>
          <w:color w:val="auto"/>
          <w:sz w:val="21"/>
          <w:szCs w:val="21"/>
          <w:highlight w:val="none"/>
        </w:rPr>
        <w:t>（初级及</w:t>
      </w:r>
      <w:r>
        <w:rPr>
          <w:rFonts w:eastAsia="宋体"/>
          <w:color w:val="auto"/>
          <w:sz w:val="21"/>
          <w:szCs w:val="21"/>
          <w:highlight w:val="none"/>
        </w:rPr>
        <w:t>以上）</w:t>
      </w:r>
      <w:r>
        <w:rPr>
          <w:rFonts w:hint="eastAsia" w:eastAsia="宋体"/>
          <w:color w:val="auto"/>
          <w:sz w:val="21"/>
          <w:szCs w:val="21"/>
          <w:highlight w:val="none"/>
        </w:rPr>
        <w:t>，负责采血、指导申请单内容填写、外送标本整理、打包、交接及检验科安排的其他工作，工作时间与医院工作时间一致，并接受医院统一安排的各类培训。乙方的派驻人员应当接受甲方管理，遵守甲方的各项规章制度，并接受甲方安排的各项培训。如乙方派驻人员资质不符合要求或不接受甲方管理，乙方应当在7天内更换派驻人员。</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4）乙方应定期向甲方提供以上检测项目的实验室质控数据，包括:1、每月提供:标本物流及时率、物流冷链原始数据及月汇总表、报告发放及时率、甲方送检项目对应的室内质控图。2、每季度提供：甲方送检的盲样检测结果报告以及甲方认为有必要提供的其他数据。3、每年提供：以上检测项目的国家或上海临检中心、浙江省临检中心室间质评合格证书，如有项目国家和省临检中心未开展室间质评，乙方需向甲方提供实验室间比对的记录。4、合同签订完成项目正式实施前提供：对应项目检测及报告人员资质证书（如项目实施过程中有检测人员变更的需在变更的第一时间向甲方提供变更人员的资质证书）；检测仪器及试剂的三证、试剂说明书、质控品及校准品说明书以及甲方需要乙方提供的其他和检测项目质量管理相关资料。对应项目检测的方法学、参考区间及报告人员资质证书（如项目实施过程中有检测人员变更、检测方法学变更、项目参考区间变更等需在变更前向甲方告知进行沟通，并向甲方提供相应的变更依据等材料，经甲方确认后方可变更）。乙方应按月向甲方提供以上检测项目的质量控制材料，包括标本物流及时率、物流冷链原始数据及月汇总表、报告发放及时率、每月甲方送检项目对应的室内质控图、提供以上检测项目的国家或上海临检中心、浙江省临检中心室间质评合格证书、每季度甲方送检项目(乙方未能提供室间质评材料)的盲样检测结果报告以及其他甲方认为有必要提供的数据。</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5)乙方负责提供标本采集、运送所需的技术方法、递送所需的相应文本和材料，并采取必要措施保证样本在寄送过程中的安全和有效性。如因运输样本遗失，乙方及时告知甲方针对该样本进行重采血或退费，若因样本遗失造成医疗纠纷等由乙方承担责任。</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6)乙方负责在接收到合格的样本、相关知情同意书及临床申请单后，安排样本的检测，如因乙方样本检测审核过程中发生差错，由乙方承担相应责任。</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7)乙方每周七次到甲方钱江院区实验室收取标本，上门收取标本时间为周一至周</w:t>
      </w:r>
      <w:r>
        <w:rPr>
          <w:rFonts w:eastAsia="宋体"/>
          <w:color w:val="auto"/>
          <w:sz w:val="21"/>
          <w:szCs w:val="21"/>
          <w:highlight w:val="none"/>
        </w:rPr>
        <w:t>日</w:t>
      </w:r>
      <w:r>
        <w:rPr>
          <w:rFonts w:hint="eastAsia" w:eastAsia="宋体"/>
          <w:color w:val="auto"/>
          <w:sz w:val="21"/>
          <w:szCs w:val="21"/>
          <w:highlight w:val="none"/>
        </w:rPr>
        <w:t>下午14：00-16：00。乙方每周一到周日每天三次(分别为上午10：00、中午13：30、下午16：30)到甲方城西院区实验室收取标本物流到钱江院区。节假日等特殊情况乙方收样时间以甲方和乙方实时沟通后所确认的时间为准。乙方在收到标本后，按照不同的检测项目所需工作日完成相关检验，对样本实行条形码管理，使样本信息与结果报告一致并按上表承诺时间发放报告。因乙方过错导致报告结果延迟发放，由乙方承担相应责任；同时，甲方有权向乙方索赔，每例检测的索赔金额按收费价格或实际因此产生的患者要求赔偿金额核算。</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8)乙方负责检测样本的低温保存工作，保存期限7天，如遇到可能引起纠纷的检测样本，甲方通知乙方后，乙方负责将此样本再延迟保存至甲方要求的期限。</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9)乙方的检测项目、收费标准、检测报告交付时问等事项发生变更，应及时向甲方书面报告变更内容，并征得甲方同意后实施。</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10)遵守保密制度，保护受检者的秘密，不得向无关人员泄露受检者的检验情况。</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 xml:space="preserve">11)如有特别异常结果、传染病阳性相关的报告等，乙方应负责指定专门人员           及时电话报告给送检单位指定联系人   </w:t>
      </w:r>
      <w:r>
        <w:rPr>
          <w:rFonts w:eastAsia="宋体"/>
          <w:color w:val="auto"/>
          <w:sz w:val="21"/>
          <w:szCs w:val="21"/>
          <w:highlight w:val="none"/>
        </w:rPr>
        <w:t xml:space="preserve"> </w:t>
      </w:r>
      <w:r>
        <w:rPr>
          <w:rFonts w:hint="eastAsia" w:eastAsia="宋体"/>
          <w:color w:val="auto"/>
          <w:sz w:val="21"/>
          <w:szCs w:val="21"/>
          <w:highlight w:val="none"/>
        </w:rPr>
        <w:t>。</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12)乙方应负责实现甲方对检验报告发放的需求，产生的信息等相关费用由乙方承担。</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13)根据甲方及受检者需要，乙方负责联系国内相关专家咨询、会诊及转诊服务，提供异常报告相关专业信息给甲方参考。</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14)对于本次服务项目中如有乙方不能提供相应国家或省临检中心室间质评材料的，甲方每季度每项测试送检5个盲样，检测费用由乙方承担。</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第三条：</w:t>
      </w:r>
      <w:r>
        <w:rPr>
          <w:rFonts w:hint="eastAsia" w:ascii="宋体" w:hAnsi="宋体" w:cs="Calibri"/>
          <w:b/>
          <w:bCs/>
          <w:color w:val="auto"/>
          <w:szCs w:val="21"/>
          <w:highlight w:val="none"/>
        </w:rPr>
        <w:t>违约责任</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l、如遇检测项目延误，甲乙双方及时沟通，妥善安排好受检者的后续工作。</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2、乙方及时追踪甲方递送的样本，如因甲方样品、资料不合格或未能按时到位等原因导致的项目延误，双方及时沟通，样本运输的物流费用由乙方承担。</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3、对于严重溶血、漏液、体积不足等不合格的样本，甲方需配合乙方进行重新采样。</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4、如因不可抗拒的客观因素导致项目延误或合同不能继续履行时，双方均不承担责任。不可抗拒力包括地震、洪水、战争、军事行动、法律或政府政策等相关因素。</w:t>
      </w:r>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5、乙方其他违约的，每次按上月结算款的</w:t>
      </w:r>
      <w:r>
        <w:rPr>
          <w:rFonts w:hint="eastAsia" w:eastAsia="宋体"/>
          <w:color w:val="auto"/>
          <w:sz w:val="21"/>
          <w:szCs w:val="21"/>
          <w:highlight w:val="none"/>
        </w:rPr>
        <w:t>2</w:t>
      </w:r>
      <w:r>
        <w:rPr>
          <w:rFonts w:eastAsia="宋体"/>
          <w:color w:val="auto"/>
          <w:sz w:val="21"/>
          <w:szCs w:val="21"/>
          <w:highlight w:val="none"/>
        </w:rPr>
        <w:t>0%计收违约金；超过3次的，</w:t>
      </w:r>
      <w:r>
        <w:rPr>
          <w:rFonts w:hint="eastAsia" w:eastAsia="宋体"/>
          <w:color w:val="auto"/>
          <w:sz w:val="21"/>
          <w:szCs w:val="21"/>
          <w:highlight w:val="none"/>
        </w:rPr>
        <w:t>乙方需支付违约金及承担相应责任，</w:t>
      </w:r>
      <w:r>
        <w:rPr>
          <w:rFonts w:eastAsia="宋体"/>
          <w:color w:val="auto"/>
          <w:sz w:val="21"/>
          <w:szCs w:val="21"/>
          <w:highlight w:val="none"/>
        </w:rPr>
        <w:t>甲方有权解除合同。</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第四条：收费与结算</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l、本项目年预算总金额90万元。</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2、收费标准：甲方按《浙江省医疗服务价格汇总表》规定的收费标准向患者收取检测费用。</w:t>
      </w:r>
    </w:p>
    <w:p>
      <w:pPr>
        <w:pStyle w:val="67"/>
        <w:adjustRightInd w:val="0"/>
        <w:snapToGrid w:val="0"/>
        <w:spacing w:line="360" w:lineRule="auto"/>
        <w:ind w:firstLine="420"/>
        <w:rPr>
          <w:rFonts w:eastAsia="宋体"/>
          <w:color w:val="auto"/>
          <w:sz w:val="21"/>
          <w:szCs w:val="21"/>
          <w:highlight w:val="none"/>
        </w:rPr>
      </w:pPr>
      <w:r>
        <w:rPr>
          <w:rFonts w:hint="eastAsia" w:eastAsia="宋体"/>
          <w:color w:val="auto"/>
          <w:sz w:val="21"/>
          <w:szCs w:val="21"/>
          <w:highlight w:val="none"/>
        </w:rPr>
        <w:t>3、结算价格：甲方收费价格*中标折扣费率       ，具体检测目录及结算价格明细见附件。如新增检测项目另行协商折扣结算；如当地物价部门规定的收费标准发生变动时，甲方应按物价部门的规定及时调整，支付给乙方的结算价格也按折扣同步调整。如因物价医保等部门规定调整而产生甲方收费返还的，乙方应同步返还相关结算费用。</w:t>
      </w:r>
    </w:p>
    <w:p>
      <w:pPr>
        <w:spacing w:line="360" w:lineRule="auto"/>
        <w:ind w:firstLine="560"/>
        <w:rPr>
          <w:rFonts w:ascii="宋体" w:hAnsi="宋体" w:cs="Calibri"/>
          <w:color w:val="auto"/>
          <w:szCs w:val="21"/>
          <w:highlight w:val="none"/>
        </w:rPr>
      </w:pPr>
      <w:r>
        <w:rPr>
          <w:rFonts w:hint="eastAsia" w:ascii="宋体" w:hAnsi="宋体" w:cs="MS PGothic"/>
          <w:color w:val="auto"/>
          <w:szCs w:val="21"/>
          <w:highlight w:val="none"/>
        </w:rPr>
        <w:t>乙方应于每月月底前与甲方核对上一个月的样本数、报告数及检测服务费，核对后达成一致的，开具增值税普通发票。次月将账款打入乙方公司账户。</w:t>
      </w:r>
    </w:p>
    <w:p>
      <w:pPr>
        <w:pStyle w:val="120"/>
        <w:rPr>
          <w:color w:val="auto"/>
          <w:highlight w:val="none"/>
        </w:rPr>
      </w:pPr>
    </w:p>
    <w:tbl>
      <w:tblPr>
        <w:tblStyle w:val="8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9"/>
        <w:gridCol w:w="3214"/>
        <w:gridCol w:w="1321"/>
        <w:gridCol w:w="3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03" w:type="dxa"/>
            <w:gridSpan w:val="2"/>
          </w:tcPr>
          <w:p>
            <w:pPr>
              <w:spacing w:line="400" w:lineRule="exact"/>
              <w:jc w:val="center"/>
              <w:rPr>
                <w:rFonts w:ascii="宋体" w:hAnsi="宋体" w:cs="Calibri"/>
                <w:color w:val="auto"/>
                <w:szCs w:val="20"/>
                <w:highlight w:val="none"/>
              </w:rPr>
            </w:pPr>
            <w:r>
              <w:rPr>
                <w:rFonts w:hint="eastAsia" w:ascii="宋体" w:hAnsi="宋体" w:cs="Calibri"/>
                <w:color w:val="auto"/>
                <w:szCs w:val="20"/>
                <w:highlight w:val="none"/>
              </w:rPr>
              <w:t>甲方付款账户信息</w:t>
            </w:r>
          </w:p>
        </w:tc>
        <w:tc>
          <w:tcPr>
            <w:tcW w:w="4603" w:type="dxa"/>
            <w:gridSpan w:val="2"/>
          </w:tcPr>
          <w:p>
            <w:pPr>
              <w:spacing w:line="400" w:lineRule="exact"/>
              <w:jc w:val="center"/>
              <w:rPr>
                <w:rFonts w:ascii="宋体" w:hAnsi="宋体" w:cs="Calibri"/>
                <w:color w:val="auto"/>
                <w:szCs w:val="20"/>
                <w:highlight w:val="none"/>
              </w:rPr>
            </w:pPr>
            <w:r>
              <w:rPr>
                <w:rFonts w:hint="eastAsia" w:ascii="宋体" w:hAnsi="宋体" w:cs="Calibri"/>
                <w:color w:val="auto"/>
                <w:szCs w:val="20"/>
                <w:highlight w:val="none"/>
              </w:rPr>
              <w:t>乙方收款账户信息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9" w:type="dxa"/>
          </w:tcPr>
          <w:p>
            <w:pPr>
              <w:spacing w:line="400" w:lineRule="exact"/>
              <w:jc w:val="left"/>
              <w:rPr>
                <w:rFonts w:ascii="宋体" w:hAnsi="宋体" w:cs="Calibri"/>
                <w:color w:val="auto"/>
                <w:szCs w:val="20"/>
                <w:highlight w:val="none"/>
              </w:rPr>
            </w:pPr>
            <w:r>
              <w:rPr>
                <w:rFonts w:hint="eastAsia" w:ascii="宋体" w:hAnsi="宋体" w:cs="Calibri"/>
                <w:color w:val="auto"/>
                <w:szCs w:val="20"/>
                <w:highlight w:val="none"/>
              </w:rPr>
              <w:t>开户名</w:t>
            </w:r>
          </w:p>
        </w:tc>
        <w:tc>
          <w:tcPr>
            <w:tcW w:w="3214" w:type="dxa"/>
          </w:tcPr>
          <w:p>
            <w:pPr>
              <w:spacing w:line="400" w:lineRule="exact"/>
              <w:jc w:val="left"/>
              <w:rPr>
                <w:rFonts w:ascii="宋体" w:hAnsi="宋体" w:cs="Calibri"/>
                <w:color w:val="auto"/>
                <w:szCs w:val="20"/>
                <w:highlight w:val="none"/>
              </w:rPr>
            </w:pPr>
            <w:r>
              <w:rPr>
                <w:rFonts w:hint="eastAsia" w:ascii="宋体" w:hAnsi="宋体" w:cs="Calibri"/>
                <w:color w:val="auto"/>
                <w:szCs w:val="20"/>
                <w:highlight w:val="none"/>
              </w:rPr>
              <w:t>杭州市妇产科医院</w:t>
            </w:r>
          </w:p>
        </w:tc>
        <w:tc>
          <w:tcPr>
            <w:tcW w:w="1321" w:type="dxa"/>
          </w:tcPr>
          <w:p>
            <w:pPr>
              <w:spacing w:line="400" w:lineRule="exact"/>
              <w:jc w:val="left"/>
              <w:rPr>
                <w:rFonts w:ascii="宋体" w:hAnsi="宋体" w:cs="Calibri"/>
                <w:color w:val="auto"/>
                <w:szCs w:val="20"/>
                <w:highlight w:val="none"/>
              </w:rPr>
            </w:pPr>
            <w:r>
              <w:rPr>
                <w:rFonts w:hint="eastAsia" w:ascii="宋体" w:hAnsi="宋体" w:cs="Calibri"/>
                <w:color w:val="auto"/>
                <w:szCs w:val="20"/>
                <w:highlight w:val="none"/>
              </w:rPr>
              <w:t>开户名</w:t>
            </w:r>
          </w:p>
        </w:tc>
        <w:tc>
          <w:tcPr>
            <w:tcW w:w="3283" w:type="dxa"/>
          </w:tcPr>
          <w:p>
            <w:pPr>
              <w:spacing w:line="400" w:lineRule="exact"/>
              <w:jc w:val="left"/>
              <w:rPr>
                <w:rFonts w:ascii="宋体" w:hAnsi="宋体" w:cs="Calibri"/>
                <w:color w:val="auto"/>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9" w:type="dxa"/>
          </w:tcPr>
          <w:p>
            <w:pPr>
              <w:spacing w:line="400" w:lineRule="exact"/>
              <w:jc w:val="left"/>
              <w:rPr>
                <w:rFonts w:ascii="宋体" w:hAnsi="宋体" w:cs="Calibri"/>
                <w:color w:val="auto"/>
                <w:szCs w:val="20"/>
                <w:highlight w:val="none"/>
              </w:rPr>
            </w:pPr>
            <w:r>
              <w:rPr>
                <w:rFonts w:hint="eastAsia" w:ascii="宋体" w:hAnsi="宋体" w:cs="Calibri"/>
                <w:color w:val="auto"/>
                <w:szCs w:val="20"/>
                <w:highlight w:val="none"/>
              </w:rPr>
              <w:t>开户银行</w:t>
            </w:r>
          </w:p>
        </w:tc>
        <w:tc>
          <w:tcPr>
            <w:tcW w:w="3214" w:type="dxa"/>
          </w:tcPr>
          <w:p>
            <w:pPr>
              <w:spacing w:line="400" w:lineRule="exact"/>
              <w:jc w:val="left"/>
              <w:rPr>
                <w:rFonts w:ascii="宋体" w:hAnsi="宋体" w:cs="Calibri"/>
                <w:color w:val="auto"/>
                <w:szCs w:val="20"/>
                <w:highlight w:val="none"/>
              </w:rPr>
            </w:pPr>
            <w:r>
              <w:rPr>
                <w:rFonts w:hint="eastAsia" w:ascii="宋体" w:hAnsi="宋体" w:cs="Calibri"/>
                <w:color w:val="auto"/>
                <w:szCs w:val="20"/>
                <w:highlight w:val="none"/>
              </w:rPr>
              <w:t>杭州银行保俶支行</w:t>
            </w:r>
          </w:p>
        </w:tc>
        <w:tc>
          <w:tcPr>
            <w:tcW w:w="1321" w:type="dxa"/>
          </w:tcPr>
          <w:p>
            <w:pPr>
              <w:spacing w:line="400" w:lineRule="exact"/>
              <w:jc w:val="left"/>
              <w:rPr>
                <w:rFonts w:ascii="宋体" w:hAnsi="宋体" w:cs="Calibri"/>
                <w:color w:val="auto"/>
                <w:szCs w:val="20"/>
                <w:highlight w:val="none"/>
              </w:rPr>
            </w:pPr>
            <w:r>
              <w:rPr>
                <w:rFonts w:hint="eastAsia" w:ascii="宋体" w:hAnsi="宋体" w:cs="Calibri"/>
                <w:color w:val="auto"/>
                <w:szCs w:val="20"/>
                <w:highlight w:val="none"/>
              </w:rPr>
              <w:t>开户银行</w:t>
            </w:r>
          </w:p>
        </w:tc>
        <w:tc>
          <w:tcPr>
            <w:tcW w:w="3283" w:type="dxa"/>
          </w:tcPr>
          <w:p>
            <w:pPr>
              <w:widowControl/>
              <w:jc w:val="left"/>
              <w:rPr>
                <w:rFonts w:ascii="宋体" w:hAnsi="宋体" w:cs="宋体"/>
                <w:color w:val="auto"/>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9" w:type="dxa"/>
          </w:tcPr>
          <w:p>
            <w:pPr>
              <w:spacing w:line="400" w:lineRule="exact"/>
              <w:jc w:val="left"/>
              <w:rPr>
                <w:rFonts w:ascii="宋体" w:hAnsi="宋体" w:cs="Calibri"/>
                <w:color w:val="auto"/>
                <w:szCs w:val="20"/>
                <w:highlight w:val="none"/>
              </w:rPr>
            </w:pPr>
            <w:r>
              <w:rPr>
                <w:rFonts w:hint="eastAsia" w:ascii="宋体" w:hAnsi="宋体" w:cs="Calibri"/>
                <w:color w:val="auto"/>
                <w:szCs w:val="20"/>
                <w:highlight w:val="none"/>
              </w:rPr>
              <w:t>银行账号</w:t>
            </w:r>
          </w:p>
        </w:tc>
        <w:tc>
          <w:tcPr>
            <w:tcW w:w="3214" w:type="dxa"/>
          </w:tcPr>
          <w:p>
            <w:pPr>
              <w:spacing w:line="400" w:lineRule="exact"/>
              <w:jc w:val="left"/>
              <w:rPr>
                <w:rFonts w:ascii="宋体" w:hAnsi="宋体" w:cs="Calibri"/>
                <w:color w:val="auto"/>
                <w:szCs w:val="20"/>
                <w:highlight w:val="none"/>
              </w:rPr>
            </w:pPr>
            <w:r>
              <w:rPr>
                <w:rFonts w:hint="eastAsia" w:ascii="宋体" w:hAnsi="宋体" w:cs="Calibri"/>
                <w:color w:val="auto"/>
                <w:szCs w:val="20"/>
                <w:highlight w:val="none"/>
              </w:rPr>
              <w:t>1</w:t>
            </w:r>
            <w:r>
              <w:rPr>
                <w:rFonts w:ascii="宋体" w:hAnsi="宋体" w:cs="Calibri"/>
                <w:color w:val="auto"/>
                <w:szCs w:val="20"/>
                <w:highlight w:val="none"/>
              </w:rPr>
              <w:t>2330100563047232</w:t>
            </w:r>
            <w:r>
              <w:rPr>
                <w:rFonts w:hint="eastAsia" w:ascii="宋体" w:hAnsi="宋体" w:cs="Calibri"/>
                <w:color w:val="auto"/>
                <w:szCs w:val="20"/>
                <w:highlight w:val="none"/>
              </w:rPr>
              <w:t>C</w:t>
            </w:r>
          </w:p>
        </w:tc>
        <w:tc>
          <w:tcPr>
            <w:tcW w:w="1321" w:type="dxa"/>
          </w:tcPr>
          <w:p>
            <w:pPr>
              <w:spacing w:line="400" w:lineRule="exact"/>
              <w:jc w:val="left"/>
              <w:rPr>
                <w:rFonts w:ascii="宋体" w:hAnsi="宋体" w:cs="Calibri"/>
                <w:color w:val="auto"/>
                <w:szCs w:val="20"/>
                <w:highlight w:val="none"/>
              </w:rPr>
            </w:pPr>
            <w:r>
              <w:rPr>
                <w:rFonts w:hint="eastAsia" w:ascii="宋体" w:hAnsi="宋体" w:cs="Calibri"/>
                <w:color w:val="auto"/>
                <w:szCs w:val="20"/>
                <w:highlight w:val="none"/>
              </w:rPr>
              <w:t>银行账号</w:t>
            </w:r>
          </w:p>
        </w:tc>
        <w:tc>
          <w:tcPr>
            <w:tcW w:w="3283" w:type="dxa"/>
            <w:vAlign w:val="center"/>
          </w:tcPr>
          <w:p>
            <w:pPr>
              <w:widowControl/>
              <w:jc w:val="left"/>
              <w:rPr>
                <w:rFonts w:ascii="宋体" w:hAnsi="宋体" w:cs="Calibri"/>
                <w:color w:val="auto"/>
                <w:szCs w:val="20"/>
                <w:highlight w:val="none"/>
              </w:rPr>
            </w:pPr>
          </w:p>
        </w:tc>
      </w:tr>
    </w:tbl>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第五条履约保证金</w:t>
      </w:r>
    </w:p>
    <w:p>
      <w:pPr>
        <w:adjustRightInd w:val="0"/>
        <w:snapToGrid w:val="0"/>
        <w:spacing w:line="360" w:lineRule="auto"/>
        <w:ind w:firstLine="420" w:firstLineChars="200"/>
        <w:jc w:val="left"/>
        <w:rPr>
          <w:rFonts w:ascii="宋体" w:hAnsi="宋体" w:cs="Calibri"/>
          <w:color w:val="auto"/>
          <w:szCs w:val="20"/>
          <w:highlight w:val="none"/>
        </w:rPr>
      </w:pPr>
      <w:r>
        <w:rPr>
          <w:rFonts w:hint="eastAsia" w:ascii="宋体" w:hAnsi="宋体" w:cs="黑体"/>
          <w:color w:val="auto"/>
          <w:szCs w:val="21"/>
          <w:highlight w:val="none"/>
        </w:rPr>
        <w:t>合同签订后5个工作日内，乙方向甲方交纳9000元履约保证金。</w:t>
      </w:r>
      <w:r>
        <w:rPr>
          <w:rFonts w:hint="eastAsia" w:ascii="宋体" w:hAnsi="宋体" w:cs="Calibri"/>
          <w:color w:val="auto"/>
          <w:szCs w:val="20"/>
          <w:highlight w:val="none"/>
        </w:rPr>
        <w:t>为确保合同的全面履行，在整个项目执行的过程中，甲、乙双方应在遵守本合同的基础上，积极沟通，协调一致，保证该项目顺利进行。</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第六条合同变更</w:t>
      </w:r>
    </w:p>
    <w:p>
      <w:pPr>
        <w:spacing w:line="360" w:lineRule="auto"/>
        <w:ind w:firstLine="420" w:firstLineChars="200"/>
        <w:jc w:val="left"/>
        <w:rPr>
          <w:rFonts w:ascii="宋体" w:hAnsi="宋体" w:cs="Calibri"/>
          <w:color w:val="auto"/>
          <w:szCs w:val="20"/>
          <w:highlight w:val="none"/>
        </w:rPr>
      </w:pPr>
      <w:r>
        <w:rPr>
          <w:rFonts w:hint="eastAsia" w:ascii="宋体" w:hAnsi="宋体" w:cs="Calibri"/>
          <w:color w:val="auto"/>
          <w:szCs w:val="20"/>
          <w:highlight w:val="none"/>
        </w:rPr>
        <w:t>本合同的变更必须经由合作双方协商一致，并以书面形式加以确认。</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第七条合同解除</w:t>
      </w:r>
    </w:p>
    <w:p>
      <w:pPr>
        <w:spacing w:line="312" w:lineRule="auto"/>
        <w:ind w:firstLine="420" w:firstLineChars="200"/>
        <w:jc w:val="left"/>
        <w:rPr>
          <w:rFonts w:ascii="宋体" w:hAnsi="宋体" w:cs="Calibri"/>
          <w:color w:val="auto"/>
          <w:szCs w:val="20"/>
          <w:highlight w:val="none"/>
        </w:rPr>
      </w:pPr>
      <w:r>
        <w:rPr>
          <w:rFonts w:hint="eastAsia" w:ascii="宋体" w:hAnsi="宋体" w:cs="Calibri"/>
          <w:color w:val="auto"/>
          <w:szCs w:val="20"/>
          <w:highlight w:val="none"/>
        </w:rPr>
        <w:t>经双方确定，出现下列情形，致使本合同的履行成为不必要或不可能，可以解除本合同：</w:t>
      </w:r>
    </w:p>
    <w:p>
      <w:pPr>
        <w:spacing w:line="312" w:lineRule="auto"/>
        <w:ind w:firstLine="420" w:firstLineChars="200"/>
        <w:jc w:val="left"/>
        <w:rPr>
          <w:rFonts w:ascii="宋体" w:hAnsi="宋体" w:cs="Calibri"/>
          <w:color w:val="auto"/>
          <w:szCs w:val="20"/>
          <w:highlight w:val="none"/>
        </w:rPr>
      </w:pPr>
      <w:r>
        <w:rPr>
          <w:rFonts w:hint="eastAsia" w:ascii="宋体" w:hAnsi="宋体" w:cs="Calibri"/>
          <w:color w:val="auto"/>
          <w:szCs w:val="20"/>
          <w:highlight w:val="none"/>
        </w:rPr>
        <w:t>1．发生不可抗拒力。</w:t>
      </w:r>
    </w:p>
    <w:p>
      <w:pPr>
        <w:spacing w:line="312" w:lineRule="auto"/>
        <w:ind w:firstLine="420" w:firstLineChars="200"/>
        <w:jc w:val="left"/>
        <w:rPr>
          <w:rFonts w:ascii="宋体" w:hAnsi="宋体" w:cs="Calibri"/>
          <w:color w:val="auto"/>
          <w:szCs w:val="20"/>
          <w:highlight w:val="none"/>
        </w:rPr>
      </w:pPr>
      <w:r>
        <w:rPr>
          <w:rFonts w:hint="eastAsia" w:ascii="宋体" w:hAnsi="宋体" w:cs="Calibri"/>
          <w:color w:val="auto"/>
          <w:szCs w:val="20"/>
          <w:highlight w:val="none"/>
        </w:rPr>
        <w:t>2．因不可克服的技术障碍导致合同无法正常履行。</w:t>
      </w:r>
    </w:p>
    <w:p>
      <w:pPr>
        <w:spacing w:line="312" w:lineRule="auto"/>
        <w:ind w:firstLine="420" w:firstLineChars="200"/>
        <w:jc w:val="left"/>
        <w:rPr>
          <w:rFonts w:ascii="宋体" w:hAnsi="宋体" w:cs="Calibri"/>
          <w:color w:val="auto"/>
          <w:szCs w:val="20"/>
          <w:highlight w:val="none"/>
        </w:rPr>
      </w:pPr>
      <w:r>
        <w:rPr>
          <w:rFonts w:hint="eastAsia" w:ascii="宋体" w:hAnsi="宋体" w:cs="Calibri"/>
          <w:color w:val="auto"/>
          <w:szCs w:val="20"/>
          <w:highlight w:val="none"/>
        </w:rPr>
        <w:t>3．乙方检测结果不准确或送检盲样检测结果不符合要求累计超过3次的，甲方有权提前解除合同。</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第八条合同终止</w:t>
      </w:r>
    </w:p>
    <w:p>
      <w:pPr>
        <w:spacing w:line="312" w:lineRule="auto"/>
        <w:jc w:val="left"/>
        <w:rPr>
          <w:rFonts w:ascii="宋体" w:hAnsi="宋体" w:cs="Calibri"/>
          <w:color w:val="auto"/>
          <w:szCs w:val="20"/>
          <w:highlight w:val="none"/>
        </w:rPr>
      </w:pPr>
      <w:r>
        <w:rPr>
          <w:rFonts w:hint="eastAsia" w:ascii="宋体" w:hAnsi="宋体" w:cs="Calibri"/>
          <w:color w:val="auto"/>
          <w:szCs w:val="20"/>
          <w:highlight w:val="none"/>
        </w:rPr>
        <w:t xml:space="preserve">    在本合同履行中，因出现在现有条件下难以克服的困难，导致项目无法正常执行，双方可协商后终止合同。</w:t>
      </w:r>
    </w:p>
    <w:p>
      <w:pPr>
        <w:spacing w:line="312" w:lineRule="auto"/>
        <w:jc w:val="left"/>
        <w:rPr>
          <w:rFonts w:ascii="宋体" w:hAnsi="宋体" w:cs="Calibri"/>
          <w:color w:val="auto"/>
          <w:szCs w:val="20"/>
          <w:highlight w:val="none"/>
        </w:rPr>
      </w:pPr>
      <w:r>
        <w:rPr>
          <w:rFonts w:hint="eastAsia" w:ascii="宋体" w:hAnsi="宋体" w:cs="Calibri"/>
          <w:color w:val="auto"/>
          <w:szCs w:val="20"/>
          <w:highlight w:val="none"/>
        </w:rPr>
        <w:t xml:space="preserve">    一方发现潜在风险并有可能致使项目无法正常执行的情形时，应当在5个工作日内通知合作方并采取适当措施减少损失。</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第九条争议的解决</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在履行本合同过程中出现的争议，双方应友好协商解决；协商不成的，可向甲方所在地人民法院提起诉讼。</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第十条  项目联系人</w:t>
      </w:r>
    </w:p>
    <w:p>
      <w:pPr>
        <w:spacing w:line="312" w:lineRule="auto"/>
        <w:ind w:firstLine="561"/>
        <w:jc w:val="left"/>
        <w:rPr>
          <w:rFonts w:ascii="宋体" w:hAnsi="宋体" w:cs="Calibri"/>
          <w:color w:val="auto"/>
          <w:szCs w:val="20"/>
          <w:highlight w:val="none"/>
        </w:rPr>
      </w:pPr>
      <w:r>
        <w:rPr>
          <w:rFonts w:hint="eastAsia" w:ascii="宋体" w:hAnsi="宋体" w:cs="Calibri"/>
          <w:color w:val="auto"/>
          <w:szCs w:val="20"/>
          <w:highlight w:val="none"/>
        </w:rPr>
        <w:t>为有效履行本合同，合作双方确定，在本合同有效期内，甲方指定</w:t>
      </w:r>
      <w:r>
        <w:rPr>
          <w:rFonts w:hint="eastAsia" w:ascii="宋体" w:hAnsi="宋体" w:cs="Calibri"/>
          <w:color w:val="auto"/>
          <w:szCs w:val="20"/>
          <w:highlight w:val="none"/>
          <w:u w:val="single"/>
        </w:rPr>
        <w:t xml:space="preserve">      </w:t>
      </w:r>
      <w:r>
        <w:rPr>
          <w:rFonts w:hint="eastAsia" w:ascii="宋体" w:hAnsi="宋体" w:cs="Calibri"/>
          <w:color w:val="auto"/>
          <w:szCs w:val="20"/>
          <w:highlight w:val="none"/>
        </w:rPr>
        <w:t>为甲方项目联系人，乙方指定</w:t>
      </w:r>
      <w:r>
        <w:rPr>
          <w:rFonts w:hint="eastAsia" w:ascii="宋体" w:hAnsi="宋体" w:cs="Calibri"/>
          <w:color w:val="auto"/>
          <w:szCs w:val="20"/>
          <w:highlight w:val="none"/>
          <w:u w:val="single"/>
        </w:rPr>
        <w:t xml:space="preserve">       </w:t>
      </w:r>
      <w:r>
        <w:rPr>
          <w:rFonts w:hint="eastAsia" w:ascii="宋体" w:hAnsi="宋体" w:cs="Calibri"/>
          <w:color w:val="auto"/>
          <w:szCs w:val="20"/>
          <w:highlight w:val="none"/>
        </w:rPr>
        <w:t>为乙方项目联系人，项目联系人承担以下责任；</w:t>
      </w:r>
    </w:p>
    <w:p>
      <w:pPr>
        <w:spacing w:line="312" w:lineRule="auto"/>
        <w:ind w:firstLine="561"/>
        <w:jc w:val="left"/>
        <w:rPr>
          <w:rFonts w:ascii="宋体" w:hAnsi="宋体" w:cs="Calibri"/>
          <w:color w:val="auto"/>
          <w:szCs w:val="20"/>
          <w:highlight w:val="none"/>
        </w:rPr>
      </w:pPr>
      <w:r>
        <w:rPr>
          <w:rFonts w:hint="eastAsia" w:ascii="宋体" w:hAnsi="宋体" w:cs="Calibri"/>
          <w:color w:val="auto"/>
          <w:szCs w:val="20"/>
          <w:highlight w:val="none"/>
        </w:rPr>
        <w:t>1、依据本合同约定内容推动双方正常履行合同；</w:t>
      </w:r>
    </w:p>
    <w:p>
      <w:pPr>
        <w:spacing w:line="312" w:lineRule="auto"/>
        <w:ind w:firstLine="561"/>
        <w:jc w:val="left"/>
        <w:rPr>
          <w:rFonts w:ascii="宋体" w:hAnsi="宋体" w:cs="Calibri"/>
          <w:color w:val="auto"/>
          <w:szCs w:val="20"/>
          <w:highlight w:val="none"/>
        </w:rPr>
      </w:pPr>
      <w:r>
        <w:rPr>
          <w:rFonts w:hint="eastAsia" w:ascii="宋体" w:hAnsi="宋体" w:cs="Calibri"/>
          <w:color w:val="auto"/>
          <w:szCs w:val="20"/>
          <w:highlight w:val="none"/>
        </w:rPr>
        <w:t>2、对该合同各条款相关事宜即时进行沟通；</w:t>
      </w:r>
    </w:p>
    <w:p>
      <w:pPr>
        <w:spacing w:line="312" w:lineRule="auto"/>
        <w:ind w:firstLine="561"/>
        <w:jc w:val="left"/>
        <w:rPr>
          <w:rFonts w:ascii="宋体" w:hAnsi="宋体" w:cs="Calibri"/>
          <w:color w:val="auto"/>
          <w:szCs w:val="20"/>
          <w:highlight w:val="none"/>
        </w:rPr>
      </w:pPr>
      <w:r>
        <w:rPr>
          <w:rFonts w:hint="eastAsia" w:ascii="宋体" w:hAnsi="宋体" w:cs="Calibri"/>
          <w:color w:val="auto"/>
          <w:szCs w:val="20"/>
          <w:highlight w:val="none"/>
        </w:rPr>
        <w:t>3、在授权范围内代表双方签署相关文件。</w:t>
      </w:r>
    </w:p>
    <w:p>
      <w:pPr>
        <w:spacing w:line="312" w:lineRule="auto"/>
        <w:ind w:firstLine="561"/>
        <w:jc w:val="left"/>
        <w:rPr>
          <w:rFonts w:ascii="宋体" w:hAnsi="宋体" w:cs="Calibri"/>
          <w:color w:val="auto"/>
          <w:szCs w:val="20"/>
          <w:highlight w:val="none"/>
        </w:rPr>
      </w:pPr>
      <w:r>
        <w:rPr>
          <w:rFonts w:hint="eastAsia" w:ascii="宋体" w:hAnsi="宋体" w:cs="Calibri"/>
          <w:color w:val="auto"/>
          <w:szCs w:val="20"/>
          <w:highlight w:val="none"/>
        </w:rPr>
        <w:t>一方变更项目联系人的，应当及时并以书面形式通知另外一方。未及时通知并影响本合同履行或造成损失的，应承担相应的责任。</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第十一条：未尽事宜</w:t>
      </w:r>
    </w:p>
    <w:p>
      <w:pPr>
        <w:spacing w:line="360" w:lineRule="auto"/>
        <w:jc w:val="left"/>
        <w:rPr>
          <w:rFonts w:ascii="宋体" w:hAnsi="宋体" w:cs="Calibri"/>
          <w:color w:val="auto"/>
          <w:szCs w:val="20"/>
          <w:highlight w:val="none"/>
        </w:rPr>
      </w:pPr>
      <w:r>
        <w:rPr>
          <w:rFonts w:hint="eastAsia" w:ascii="宋体" w:hAnsi="宋体" w:cs="Calibri"/>
          <w:color w:val="auto"/>
          <w:szCs w:val="20"/>
          <w:highlight w:val="none"/>
        </w:rPr>
        <w:t xml:space="preserve">    本合同书尽事项，可由合作双方附页另行约定，并可作为本合同的组成部分。</w:t>
      </w:r>
    </w:p>
    <w:p>
      <w:pPr>
        <w:spacing w:line="360" w:lineRule="auto"/>
        <w:jc w:val="left"/>
        <w:rPr>
          <w:rFonts w:ascii="宋体" w:hAnsi="宋体" w:cs="Calibri"/>
          <w:b/>
          <w:color w:val="auto"/>
          <w:szCs w:val="20"/>
          <w:highlight w:val="none"/>
        </w:rPr>
      </w:pPr>
      <w:r>
        <w:rPr>
          <w:rFonts w:hint="eastAsia" w:ascii="宋体" w:hAnsi="宋体" w:cs="Calibri"/>
          <w:b/>
          <w:color w:val="auto"/>
          <w:szCs w:val="20"/>
          <w:highlight w:val="none"/>
        </w:rPr>
        <w:t>第十二条：合作期限</w:t>
      </w:r>
    </w:p>
    <w:p>
      <w:pPr>
        <w:spacing w:line="360" w:lineRule="auto"/>
        <w:ind w:firstLine="420" w:firstLineChars="200"/>
        <w:jc w:val="left"/>
        <w:rPr>
          <w:rFonts w:ascii="宋体" w:hAnsi="宋体" w:cs="Calibri"/>
          <w:color w:val="auto"/>
          <w:szCs w:val="20"/>
          <w:highlight w:val="none"/>
        </w:rPr>
      </w:pPr>
      <w:r>
        <w:rPr>
          <w:rFonts w:hint="eastAsia" w:ascii="宋体" w:hAnsi="宋体" w:cs="宋体"/>
          <w:color w:val="auto"/>
          <w:szCs w:val="21"/>
          <w:highlight w:val="none"/>
        </w:rPr>
        <w:t>合作服务期限暂定1年</w:t>
      </w:r>
      <w:r>
        <w:rPr>
          <w:rFonts w:hint="eastAsia" w:ascii="宋体" w:hAnsi="宋体" w:cs="Calibri"/>
          <w:color w:val="auto"/>
          <w:szCs w:val="20"/>
          <w:highlight w:val="none"/>
        </w:rPr>
        <w:t>（</w:t>
      </w:r>
      <w:r>
        <w:rPr>
          <w:rFonts w:hint="eastAsia" w:ascii="宋体" w:hAnsi="宋体" w:cs="Calibri"/>
          <w:color w:val="auto"/>
          <w:szCs w:val="20"/>
          <w:highlight w:val="none"/>
          <w:u w:val="single"/>
        </w:rPr>
        <w:t>2025年 月  日</w:t>
      </w:r>
      <w:r>
        <w:rPr>
          <w:rFonts w:hint="eastAsia" w:ascii="宋体" w:hAnsi="宋体" w:cs="Calibri"/>
          <w:color w:val="auto"/>
          <w:szCs w:val="20"/>
          <w:highlight w:val="none"/>
        </w:rPr>
        <w:t>起至</w:t>
      </w:r>
      <w:r>
        <w:rPr>
          <w:rFonts w:hint="eastAsia" w:ascii="宋体" w:hAnsi="宋体" w:cs="Calibri"/>
          <w:color w:val="auto"/>
          <w:szCs w:val="20"/>
          <w:highlight w:val="none"/>
          <w:u w:val="single"/>
        </w:rPr>
        <w:t>2026年  月     日）</w:t>
      </w:r>
      <w:r>
        <w:rPr>
          <w:rFonts w:hint="eastAsia" w:ascii="宋体" w:hAnsi="宋体" w:cs="Calibri"/>
          <w:color w:val="auto"/>
          <w:szCs w:val="20"/>
          <w:highlight w:val="none"/>
        </w:rPr>
        <w:t>或</w:t>
      </w:r>
      <w:r>
        <w:rPr>
          <w:rFonts w:hint="eastAsia" w:ascii="宋体" w:hAnsi="宋体" w:cs="宋体"/>
          <w:color w:val="auto"/>
          <w:szCs w:val="21"/>
          <w:highlight w:val="none"/>
        </w:rPr>
        <w:t>合同累计金额达预算金额90万元合同终止。合同期满后，经甲方相关部门综合测评获较高满意度，经甲方同意，可进行合同续签，续签期限不超过1年，续签不超过2次。</w:t>
      </w:r>
    </w:p>
    <w:p>
      <w:pPr>
        <w:spacing w:line="312" w:lineRule="auto"/>
        <w:ind w:firstLine="403"/>
        <w:jc w:val="left"/>
        <w:rPr>
          <w:rFonts w:ascii="宋体" w:hAnsi="宋体" w:cs="Calibri"/>
          <w:color w:val="auto"/>
          <w:szCs w:val="20"/>
          <w:highlight w:val="none"/>
        </w:rPr>
      </w:pPr>
      <w:r>
        <w:rPr>
          <w:rFonts w:hint="eastAsia" w:ascii="宋体" w:hAnsi="宋体" w:cs="Calibri"/>
          <w:color w:val="auto"/>
          <w:szCs w:val="20"/>
          <w:highlight w:val="none"/>
        </w:rPr>
        <w:t>本合同一式伍份，甲方执叁份，乙方执贰份，具有同等效力，本合同自双方签字盖章后生效。</w:t>
      </w:r>
    </w:p>
    <w:p>
      <w:pPr>
        <w:spacing w:line="360" w:lineRule="auto"/>
        <w:jc w:val="left"/>
        <w:rPr>
          <w:rFonts w:ascii="宋体" w:hAnsi="宋体" w:cs="Calibri"/>
          <w:color w:val="auto"/>
          <w:szCs w:val="20"/>
          <w:highlight w:val="none"/>
        </w:rPr>
      </w:pPr>
    </w:p>
    <w:p>
      <w:pPr>
        <w:pStyle w:val="120"/>
        <w:rPr>
          <w:color w:val="auto"/>
          <w:highlight w:val="none"/>
        </w:rPr>
      </w:pPr>
    </w:p>
    <w:p>
      <w:pPr>
        <w:spacing w:line="360" w:lineRule="auto"/>
        <w:jc w:val="left"/>
        <w:rPr>
          <w:rFonts w:ascii="宋体" w:hAnsi="宋体" w:cs="Calibri"/>
          <w:color w:val="auto"/>
          <w:szCs w:val="20"/>
          <w:highlight w:val="none"/>
        </w:rPr>
      </w:pPr>
      <w:r>
        <w:rPr>
          <w:rFonts w:hint="eastAsia" w:ascii="宋体" w:hAnsi="宋体" w:cs="Calibri"/>
          <w:color w:val="auto"/>
          <w:szCs w:val="20"/>
          <w:highlight w:val="none"/>
        </w:rPr>
        <w:t xml:space="preserve">甲方（公章）：杭州市妇产科医院     </w:t>
      </w:r>
      <w:r>
        <w:rPr>
          <w:rFonts w:ascii="宋体" w:hAnsi="宋体" w:cs="Calibri"/>
          <w:color w:val="auto"/>
          <w:szCs w:val="20"/>
          <w:highlight w:val="none"/>
        </w:rPr>
        <w:t xml:space="preserve">             </w:t>
      </w:r>
      <w:r>
        <w:rPr>
          <w:rFonts w:hint="eastAsia" w:ascii="宋体" w:hAnsi="宋体" w:cs="Calibri"/>
          <w:color w:val="auto"/>
          <w:szCs w:val="20"/>
          <w:highlight w:val="none"/>
        </w:rPr>
        <w:t xml:space="preserve"> 乙方（公章）：</w:t>
      </w:r>
    </w:p>
    <w:p>
      <w:pPr>
        <w:spacing w:line="360" w:lineRule="auto"/>
        <w:jc w:val="left"/>
        <w:rPr>
          <w:rFonts w:ascii="Calibri" w:hAnsi="Calibri" w:cs="Calibri"/>
          <w:color w:val="auto"/>
          <w:szCs w:val="20"/>
          <w:highlight w:val="none"/>
        </w:rPr>
      </w:pPr>
      <w:r>
        <w:rPr>
          <w:rFonts w:hint="eastAsia" w:ascii="宋体" w:hAnsi="宋体" w:cs="Calibri"/>
          <w:color w:val="auto"/>
          <w:szCs w:val="20"/>
          <w:highlight w:val="none"/>
        </w:rPr>
        <w:t>地址：杭州市上城区鲲鹏路3</w:t>
      </w:r>
      <w:r>
        <w:rPr>
          <w:rFonts w:ascii="宋体" w:hAnsi="宋体" w:cs="Calibri"/>
          <w:color w:val="auto"/>
          <w:szCs w:val="20"/>
          <w:highlight w:val="none"/>
        </w:rPr>
        <w:t>69</w:t>
      </w:r>
      <w:r>
        <w:rPr>
          <w:rFonts w:hint="eastAsia" w:ascii="宋体" w:hAnsi="宋体" w:cs="Calibri"/>
          <w:color w:val="auto"/>
          <w:szCs w:val="20"/>
          <w:highlight w:val="none"/>
        </w:rPr>
        <w:t>号                  地址：</w:t>
      </w:r>
    </w:p>
    <w:p>
      <w:pPr>
        <w:spacing w:line="360" w:lineRule="auto"/>
        <w:jc w:val="left"/>
        <w:rPr>
          <w:rStyle w:val="1343"/>
          <w:rFonts w:ascii="Calibri" w:hAnsi="Calibri"/>
          <w:color w:val="auto"/>
          <w:szCs w:val="22"/>
          <w:highlight w:val="none"/>
          <w:lang w:val="zh-TW" w:eastAsia="zh-TW"/>
        </w:rPr>
      </w:pPr>
      <w:r>
        <w:rPr>
          <w:rStyle w:val="1343"/>
          <w:rFonts w:hint="eastAsia" w:ascii="Calibri" w:hAnsi="Calibri"/>
          <w:color w:val="auto"/>
          <w:szCs w:val="22"/>
          <w:highlight w:val="none"/>
          <w:lang w:val="zh-TW" w:eastAsia="zh-TW"/>
        </w:rPr>
        <w:t xml:space="preserve">法定代表人或授权代理人：          </w:t>
      </w:r>
      <w:r>
        <w:rPr>
          <w:rStyle w:val="1343"/>
          <w:rFonts w:hint="eastAsia" w:ascii="Calibri" w:hAnsi="Calibri"/>
          <w:color w:val="auto"/>
          <w:szCs w:val="22"/>
          <w:highlight w:val="none"/>
        </w:rPr>
        <w:t xml:space="preserve">             </w:t>
      </w:r>
      <w:r>
        <w:rPr>
          <w:rStyle w:val="1343"/>
          <w:rFonts w:hint="eastAsia" w:ascii="Calibri" w:hAnsi="Calibri"/>
          <w:color w:val="auto"/>
          <w:szCs w:val="22"/>
          <w:highlight w:val="none"/>
          <w:lang w:eastAsia="zh-TW"/>
        </w:rPr>
        <w:t xml:space="preserve"> </w:t>
      </w:r>
      <w:r>
        <w:rPr>
          <w:rStyle w:val="1343"/>
          <w:rFonts w:hint="eastAsia" w:ascii="Calibri" w:hAnsi="Calibri"/>
          <w:color w:val="auto"/>
          <w:szCs w:val="22"/>
          <w:highlight w:val="none"/>
          <w:lang w:val="zh-TW" w:eastAsia="zh-TW"/>
        </w:rPr>
        <w:t>法定代表人或授权代理人：</w:t>
      </w:r>
    </w:p>
    <w:p>
      <w:pPr>
        <w:spacing w:line="360" w:lineRule="auto"/>
        <w:jc w:val="left"/>
        <w:rPr>
          <w:rFonts w:ascii="宋体" w:hAnsi="宋体" w:cs="Calibri"/>
          <w:color w:val="auto"/>
          <w:szCs w:val="20"/>
          <w:highlight w:val="none"/>
          <w:lang w:eastAsia="zh-TW"/>
        </w:rPr>
      </w:pPr>
      <w:r>
        <w:rPr>
          <w:rFonts w:hint="eastAsia" w:ascii="宋体" w:hAnsi="宋体" w:cs="Calibri"/>
          <w:color w:val="auto"/>
          <w:szCs w:val="20"/>
          <w:highlight w:val="none"/>
          <w:lang w:eastAsia="zh-TW"/>
        </w:rPr>
        <w:t>日期：   年  月  日        　　　</w:t>
      </w:r>
      <w:r>
        <w:rPr>
          <w:rFonts w:ascii="宋体" w:hAnsi="宋体" w:cs="Calibri"/>
          <w:color w:val="auto"/>
          <w:szCs w:val="20"/>
          <w:highlight w:val="none"/>
          <w:lang w:eastAsia="zh-TW"/>
        </w:rPr>
        <w:t xml:space="preserve">  </w:t>
      </w:r>
      <w:r>
        <w:rPr>
          <w:rFonts w:hint="eastAsia" w:ascii="宋体" w:hAnsi="宋体" w:cs="Calibri"/>
          <w:color w:val="auto"/>
          <w:szCs w:val="20"/>
          <w:highlight w:val="none"/>
          <w:lang w:eastAsia="zh-TW"/>
        </w:rPr>
        <w:t xml:space="preserve">             日期：  年  月  日</w:t>
      </w:r>
    </w:p>
    <w:p>
      <w:pPr>
        <w:pStyle w:val="2"/>
        <w:rPr>
          <w:color w:val="auto"/>
          <w:highlight w:val="none"/>
          <w:lang w:eastAsia="zh-TW"/>
        </w:rPr>
      </w:pPr>
    </w:p>
    <w:p>
      <w:pPr>
        <w:rPr>
          <w:color w:val="auto"/>
          <w:highlight w:val="none"/>
          <w:lang w:eastAsia="zh-TW"/>
        </w:rPr>
      </w:pPr>
    </w:p>
    <w:p>
      <w:pPr>
        <w:pStyle w:val="2"/>
        <w:rPr>
          <w:color w:val="auto"/>
          <w:highlight w:val="none"/>
          <w:lang w:eastAsia="zh-TW"/>
        </w:rPr>
      </w:pPr>
    </w:p>
    <w:p>
      <w:pPr>
        <w:rPr>
          <w:color w:val="auto"/>
          <w:highlight w:val="none"/>
          <w:lang w:eastAsia="zh-TW"/>
        </w:rPr>
      </w:pPr>
      <w:r>
        <w:rPr>
          <w:color w:val="auto"/>
          <w:highlight w:val="none"/>
          <w:lang w:eastAsia="zh-TW"/>
        </w:rPr>
        <w:br w:type="page"/>
      </w:r>
    </w:p>
    <w:p>
      <w:pPr>
        <w:pStyle w:val="2"/>
        <w:rPr>
          <w:color w:val="auto"/>
          <w:highlight w:val="none"/>
          <w:lang w:eastAsia="zh-TW"/>
        </w:rPr>
      </w:pPr>
    </w:p>
    <w:p>
      <w:pPr>
        <w:pStyle w:val="2"/>
        <w:rPr>
          <w:color w:val="auto"/>
          <w:highlight w:val="none"/>
        </w:rPr>
      </w:pPr>
      <w:r>
        <w:rPr>
          <w:rFonts w:hint="eastAsia" w:ascii="宋体" w:hAnsi="宋体" w:cs="宋体"/>
          <w:color w:val="auto"/>
          <w:sz w:val="28"/>
          <w:szCs w:val="28"/>
          <w:highlight w:val="none"/>
        </w:rPr>
        <w:t>附件：检测项目清单及价格（按中标结果）</w:t>
      </w:r>
    </w:p>
    <w:p>
      <w:pPr>
        <w:rPr>
          <w:color w:val="auto"/>
          <w:highlight w:val="none"/>
        </w:rPr>
      </w:pPr>
      <w:bookmarkStart w:id="43" w:name="_Toc211745570"/>
      <w:bookmarkStart w:id="44" w:name="_Toc82338246"/>
      <w:bookmarkStart w:id="45" w:name="_Toc495317673"/>
      <w:bookmarkStart w:id="46" w:name="_Toc82873329"/>
      <w:r>
        <w:rPr>
          <w:color w:val="auto"/>
          <w:highlight w:val="none"/>
        </w:rPr>
        <w:br w:type="page"/>
      </w:r>
    </w:p>
    <w:p>
      <w:pPr>
        <w:rPr>
          <w:color w:val="auto"/>
          <w:highlight w:val="none"/>
        </w:rPr>
      </w:pPr>
    </w:p>
    <w:tbl>
      <w:tblPr>
        <w:tblStyle w:val="80"/>
        <w:tblW w:w="8947" w:type="dxa"/>
        <w:tblInd w:w="91" w:type="dxa"/>
        <w:tblLayout w:type="autofit"/>
        <w:tblCellMar>
          <w:top w:w="0" w:type="dxa"/>
          <w:left w:w="108" w:type="dxa"/>
          <w:bottom w:w="0" w:type="dxa"/>
          <w:right w:w="108" w:type="dxa"/>
        </w:tblCellMar>
      </w:tblPr>
      <w:tblGrid>
        <w:gridCol w:w="512"/>
        <w:gridCol w:w="3120"/>
        <w:gridCol w:w="893"/>
        <w:gridCol w:w="1016"/>
        <w:gridCol w:w="1016"/>
        <w:gridCol w:w="1016"/>
        <w:gridCol w:w="1374"/>
      </w:tblGrid>
      <w:tr>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检测项目名称</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要求报告周期</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医院收费价格（元）</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结算折扣率</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结算价格</w:t>
            </w:r>
            <w:r>
              <w:rPr>
                <w:rFonts w:hint="eastAsia" w:ascii="宋体" w:hAnsi="宋体" w:cs="宋体"/>
                <w:color w:val="auto"/>
                <w:kern w:val="0"/>
                <w:szCs w:val="21"/>
                <w:highlight w:val="none"/>
                <w:lang w:bidi="ar"/>
              </w:rPr>
              <w:t>（元）</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检测方法学要求</w:t>
            </w:r>
          </w:p>
        </w:tc>
      </w:tr>
      <w:tr>
        <w:tblPrEx>
          <w:tblCellMar>
            <w:top w:w="0" w:type="dxa"/>
            <w:left w:w="108" w:type="dxa"/>
            <w:bottom w:w="0" w:type="dxa"/>
            <w:right w:w="108" w:type="dxa"/>
          </w:tblCellMar>
        </w:tblPrEx>
        <w:trPr>
          <w:trHeight w:val="80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抗精子抗体三项（IgA、IgG、IgM）</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101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ELISA</w:t>
            </w:r>
          </w:p>
        </w:tc>
      </w:tr>
      <w:tr>
        <w:tblPrEx>
          <w:tblCellMar>
            <w:top w:w="0" w:type="dxa"/>
            <w:left w:w="108" w:type="dxa"/>
            <w:bottom w:w="0" w:type="dxa"/>
            <w:right w:w="108" w:type="dxa"/>
          </w:tblCellMar>
        </w:tblPrEx>
        <w:trPr>
          <w:trHeight w:val="888"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抗磷脂相关抗体（包括：抗心磷脂抗体IgA、IgG、IgM ；抗β2糖蛋白1抗体IgG、IgM）</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649"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全血六元素（包括：钙、铜、铁、镁、铅、锌6元素）</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原子吸收光谱法</w:t>
            </w:r>
          </w:p>
        </w:tc>
      </w:tr>
      <w:tr>
        <w:tblPrEx>
          <w:tblCellMar>
            <w:top w:w="0" w:type="dxa"/>
            <w:left w:w="108" w:type="dxa"/>
            <w:bottom w:w="0" w:type="dxa"/>
            <w:right w:w="108" w:type="dxa"/>
          </w:tblCellMar>
        </w:tblPrEx>
        <w:trPr>
          <w:trHeight w:val="632"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全血铅锌二元素</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原子吸收光谱法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葡萄糖6磷酸脱氢酶活性</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葡萄糖-6-磷酸底物法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总前列腺特异性抗原</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游离前列腺特异性抗原</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抗核抗体ANA、抗核抗体核型1 颗粒型、抗核抗体核型2 核仁型</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抗nRNP抗体、抗Sm抗体、抗SS-A抗体、抗SS-B抗体、抗ScI-70抗体、抗JO-1抗体、抗PM-ScI、抗增殖细胞核抗原抗体PCNA、抗组蛋白抗体、抗着丝点抗体B蛋白、抗核糖体P蛋白抗体、抗核小体抗体、抗线粒体抗体M2型、RO52</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抗dsDNA抗体、抗心磷脂抗体ACA</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系统性硬化症：抗核抗体、抗ScI-70抗体、抗PM-ScI抗体、抗着丝点抗体B蛋白</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皮肌炎：抗核抗体、抗Jo-1抗体、抗Ro-52抗体、抗PM-ScI抗体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原发性胆汁性胆管炎PBC：抗核抗体、抗SSA抗体、抗SSB抗体、抗Ro-52抗体、抗线粒体抗体M2型</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391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自免肝七项：抗核抗体、抗着丝点抗体、肝细胞质抗体-I型、抗线粒体抗体M2型、抗肝肾微粒体抗体-1型、抗平滑肌抗体、抗可溶性肝抗原抗体。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抗核抗体一项：ANA</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间接免疫荧光法</w:t>
            </w:r>
          </w:p>
        </w:tc>
      </w:tr>
      <w:tr>
        <w:tblPrEx>
          <w:tblCellMar>
            <w:top w:w="0" w:type="dxa"/>
            <w:left w:w="108" w:type="dxa"/>
            <w:bottom w:w="0" w:type="dxa"/>
            <w:right w:w="108" w:type="dxa"/>
          </w:tblCellMar>
        </w:tblPrEx>
        <w:trPr>
          <w:trHeight w:val="160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抗核抗体二项：ANA、抗dsDNA</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158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抗核抗体三项：ANA、ENA6项、抗dsDNA</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抗核抗体筛查间接免疫荧光法/特异性抗体确认免疫印迹法或化学发光法</w:t>
            </w:r>
          </w:p>
        </w:tc>
      </w:tr>
      <w:tr>
        <w:tblPrEx>
          <w:tblCellMar>
            <w:top w:w="0" w:type="dxa"/>
            <w:left w:w="108" w:type="dxa"/>
            <w:bottom w:w="0" w:type="dxa"/>
            <w:right w:w="108" w:type="dxa"/>
          </w:tblCellMar>
        </w:tblPrEx>
        <w:trPr>
          <w:trHeight w:val="454"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抗中性粒细胞胞浆抗体四项：c-ANCA、p-ANCA、PR3-ANCA、MPO-ANCA</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间接免疫荧光法</w:t>
            </w: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尿蛋白</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免疫比浊法/尿N-乙酰-</w:t>
            </w:r>
            <w:r>
              <w:rPr>
                <w:rStyle w:val="1344"/>
                <w:rFonts w:hint="eastAsia" w:ascii="宋体" w:hAnsi="宋体" w:cs="宋体"/>
                <w:color w:val="auto"/>
                <w:sz w:val="21"/>
                <w:szCs w:val="21"/>
                <w:highlight w:val="none"/>
                <w:lang w:bidi="ar"/>
              </w:rPr>
              <w:t>β</w:t>
            </w:r>
            <w:r>
              <w:rPr>
                <w:rFonts w:hint="eastAsia" w:ascii="宋体" w:hAnsi="宋体" w:cs="宋体"/>
                <w:color w:val="auto"/>
                <w:kern w:val="0"/>
                <w:szCs w:val="21"/>
                <w:highlight w:val="none"/>
                <w:lang w:bidi="ar"/>
              </w:rPr>
              <w:t>-D-氨基糖苷酶(NAG)MPT底物法</w:t>
            </w: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尿微量白蛋白</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尿视黄醇结合蛋白（RBP）</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尿α1微球蛋白（α1-MG）</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N乙酰β-D氨基葡萄糖苷酶/尿肌酐</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尿微量白蛋白/肌酐</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尿蛋白/尿肌酐</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N乙酰β-D氨基葡萄糖苷酶</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免疫比浊法/尿肌酐(Ucr)肌氨酸氧化酶法</w:t>
            </w: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尿免疫球蛋白lgG/尿肌酐</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尿α1微球蛋白/尿肌酐</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尿视黄醇结合蛋白/尿肌酐</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尿转铁蛋白/尿肌酐</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尿转铁蛋白</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尿免疫球蛋白lgG</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新血栓三项（TM、TAT、t-PAIC）</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糖类抗原CA72-4</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神经元特异性烯醇化酶测定(NSE)</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血清转铁蛋白</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免疫比浊法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血清总铁结合力</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肝纤维化五项</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甲状旁腺素(PTH)</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甲状腺球蛋白测定</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促甲状腺受体抗体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胃蛋白酶原Ⅰ、Ⅱ</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血清胃功能检测</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ELISA</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抗环瓜氨酸抗体（CCP）</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血皮质醇（8AM）</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血皮质醇（4PM）</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ACTH（8AM）</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ACTH（4PM）</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丙型肝炎病毒RNA</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荧光PCR法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生长激素0分钟</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生长激素30分钟</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生长激素60分钟</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生长激素90分钟</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生长激素120分钟</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化学发光免疫分析法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抗子宫内膜抗体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ELISA</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抗卵细胞透明带抗体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ELISA</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肿瘤坏死因子</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白介素10</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抗平滑肌抗体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结核杆菌抗体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金标法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血清C肽</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幽门螺杆菌抗体测定</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单纯疱疹病毒II型DNA</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荧光定量PVR</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N-端骨钙素(N-MID)+（电化学发光法）</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降钙素（CT）+（酶化学发光法）</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I型胶原羧基端肽β特殊序列(β-CTx)+（电化学发光法）</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总Ⅰ型胶原氨基酸延长肽(t-P1NP)+（电化学发光法）</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肾素-血管紧张素-醛固酮-卧位</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水痘—带状疱疹病毒抗体测定</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ELISA</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血清蛋白电泳</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琼脂糖凝胶电泳法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抗肾小球基底膜抗体IgG</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髓过氧化物酶抗体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抗蛋白酶-3抗体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磁微粒化学发光法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脂蛋白相关磷脂酶A2</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连续监测法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促红细胞生成素</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0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内源性凝血因子四项</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01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凝固法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抗细小病毒B19</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ELISA</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内因子抗体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总T细胞（CD45+CD3+）</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流式细胞检测</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辅助/诱导T细胞（CD3+CD4+）</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抑制/杀伤T细胞（CD3+CD8+）</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CD4/CD8比值（Th/Ts）</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NK自然杀伤细胞（CD3-CD19+）</w:t>
            </w: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封闭抗体</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流式细胞检测</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结核感染T细胞斑点试验（T-SPOT）</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477</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酶联免疫斑点法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人类白细胞抗原B27测定(HLA-B27)</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highlight w:val="none"/>
              </w:rPr>
            </w:pPr>
            <w:r>
              <w:rPr>
                <w:rFonts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t>荧光PCR法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万古霉素药物浓度</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LC-MS/MS</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宫颈癌基因甲基化分子检测（至少两个位点）</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548</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荧光定量PCR</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子宫内膜癌基因甲基化分子检测（至少两个位点）</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548</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荧光定量PCR</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类胰岛素样生长因子-1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化学发光法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类胰岛素样生长因子-3</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化学放光法</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地高辛浓度</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101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LC-MS/MS</w:t>
            </w:r>
          </w:p>
        </w:tc>
      </w:tr>
      <w:tr>
        <w:tblPrEx>
          <w:tblCellMar>
            <w:top w:w="0" w:type="dxa"/>
            <w:left w:w="108" w:type="dxa"/>
            <w:bottom w:w="0" w:type="dxa"/>
            <w:right w:w="108" w:type="dxa"/>
          </w:tblCellMar>
        </w:tblPrEx>
        <w:trPr>
          <w:trHeight w:val="454"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丙戊酸盐浓度</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个工作日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10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LC-MS/MS</w:t>
            </w:r>
          </w:p>
        </w:tc>
      </w:tr>
    </w:tbl>
    <w:p>
      <w:pPr>
        <w:pStyle w:val="2"/>
        <w:rPr>
          <w:color w:val="auto"/>
          <w:highlight w:val="none"/>
        </w:rPr>
      </w:pPr>
    </w:p>
    <w:p>
      <w:pPr>
        <w:pStyle w:val="120"/>
        <w:rPr>
          <w:color w:val="auto"/>
          <w:highlight w:val="none"/>
        </w:rPr>
      </w:pPr>
    </w:p>
    <w:p>
      <w:pPr>
        <w:rPr>
          <w:rFonts w:ascii="宋体" w:hAnsi="宋体" w:cs="黑体"/>
          <w:b/>
          <w:color w:val="auto"/>
          <w:sz w:val="30"/>
          <w:szCs w:val="30"/>
          <w:highlight w:val="none"/>
        </w:rPr>
      </w:pPr>
      <w:r>
        <w:rPr>
          <w:rFonts w:hint="eastAsia" w:ascii="宋体" w:hAnsi="宋体" w:cs="黑体"/>
          <w:b/>
          <w:color w:val="auto"/>
          <w:sz w:val="30"/>
          <w:szCs w:val="30"/>
          <w:highlight w:val="none"/>
        </w:rPr>
        <w:br w:type="page"/>
      </w:r>
    </w:p>
    <w:p>
      <w:pPr>
        <w:spacing w:line="360" w:lineRule="auto"/>
        <w:ind w:firstLine="420"/>
        <w:jc w:val="center"/>
        <w:rPr>
          <w:rFonts w:ascii="宋体" w:hAnsi="宋体" w:cs="黑体"/>
          <w:b/>
          <w:color w:val="auto"/>
          <w:sz w:val="30"/>
          <w:szCs w:val="30"/>
          <w:highlight w:val="none"/>
        </w:rPr>
      </w:pPr>
      <w:r>
        <w:rPr>
          <w:rFonts w:hint="eastAsia" w:ascii="宋体" w:hAnsi="宋体" w:cs="黑体"/>
          <w:b/>
          <w:color w:val="auto"/>
          <w:sz w:val="30"/>
          <w:szCs w:val="30"/>
          <w:highlight w:val="none"/>
        </w:rPr>
        <w:t>采购（招标）项目廉政责任书</w:t>
      </w:r>
    </w:p>
    <w:p>
      <w:pPr>
        <w:spacing w:line="360" w:lineRule="auto"/>
        <w:jc w:val="left"/>
        <w:rPr>
          <w:rFonts w:ascii="宋体" w:hAnsi="宋体" w:cs="黑体"/>
          <w:color w:val="auto"/>
          <w:szCs w:val="21"/>
          <w:highlight w:val="none"/>
        </w:rPr>
      </w:pPr>
      <w:r>
        <w:rPr>
          <w:rFonts w:hint="eastAsia" w:ascii="宋体" w:hAnsi="宋体" w:cs="黑体"/>
          <w:color w:val="auto"/>
          <w:szCs w:val="21"/>
          <w:highlight w:val="none"/>
        </w:rPr>
        <w:t xml:space="preserve">项目名称：临床检验服务 </w:t>
      </w:r>
    </w:p>
    <w:p>
      <w:pPr>
        <w:spacing w:line="360" w:lineRule="auto"/>
        <w:jc w:val="left"/>
        <w:rPr>
          <w:rFonts w:ascii="宋体" w:hAnsi="宋体" w:cs="黑体"/>
          <w:color w:val="auto"/>
          <w:szCs w:val="21"/>
          <w:highlight w:val="none"/>
        </w:rPr>
      </w:pPr>
      <w:r>
        <w:rPr>
          <w:rFonts w:hint="eastAsia" w:ascii="宋体" w:hAnsi="宋体" w:cs="黑体"/>
          <w:color w:val="auto"/>
          <w:szCs w:val="21"/>
          <w:highlight w:val="none"/>
        </w:rPr>
        <w:t>采购方（甲方）：杭州市妇产科医院</w:t>
      </w:r>
    </w:p>
    <w:p>
      <w:pPr>
        <w:spacing w:line="360" w:lineRule="auto"/>
        <w:jc w:val="left"/>
        <w:rPr>
          <w:rFonts w:ascii="宋体" w:hAnsi="宋体" w:cs="黑体"/>
          <w:color w:val="auto"/>
          <w:szCs w:val="21"/>
          <w:highlight w:val="none"/>
        </w:rPr>
      </w:pPr>
      <w:r>
        <w:rPr>
          <w:rFonts w:hint="eastAsia" w:ascii="宋体" w:hAnsi="宋体" w:cs="黑体"/>
          <w:color w:val="auto"/>
          <w:szCs w:val="21"/>
          <w:highlight w:val="none"/>
        </w:rPr>
        <w:t>供应方（乙方）：</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为加强我院阳光采购（招标），确保采购（招标）工作公平、公正、公开，规范采购项目双方的行为，防止发生谋取不正当利益的违法、违纪行为，保护国家、集体和当事人的合法权益，确保采购质量。根据国家有关政府采购法规和廉政建设责任制规定，特制订本廉政责任书。</w:t>
      </w:r>
    </w:p>
    <w:p>
      <w:pPr>
        <w:numPr>
          <w:ilvl w:val="0"/>
          <w:numId w:val="2"/>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 xml:space="preserve"> 甲乙双方的责任</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（一）应严格遵守国家关于政府采购、招标投标等有关法律、法规和相关政策，以及廉政建设的各项规定。</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（二）严格执行采购项目合同文件，自觉按合同的约定履行权利和义务。</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（三）采购活动必须坚持公开、公平、公正、诚信、透明的原则（除法律法规另有规定者外），不得在采购活动中获取不正当利益，损害国家、集体和对方的利益。</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（四）发现对方在采购活动中有违规、违法、违纪行为的，未造成后果的，应及时指出并制止；情节严重的，应向其上级主管部门或纪检监察、司法等有关机关举报。</w:t>
      </w:r>
    </w:p>
    <w:p>
      <w:pPr>
        <w:numPr>
          <w:ilvl w:val="0"/>
          <w:numId w:val="2"/>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 xml:space="preserve"> 甲方的责任 </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甲方在采购活动的事前、事中、事后应遵守以下规定：</w:t>
      </w:r>
    </w:p>
    <w:p>
      <w:pPr>
        <w:numPr>
          <w:ilvl w:val="0"/>
          <w:numId w:val="3"/>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不准向乙方和相关单位索要或接受回扣、礼金、有价证券、贵重物品和好处费、感谢费等。</w:t>
      </w:r>
    </w:p>
    <w:p>
      <w:pPr>
        <w:numPr>
          <w:ilvl w:val="0"/>
          <w:numId w:val="3"/>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不准在乙方和相关单位报销任何应由甲方或个人支付的费用。</w:t>
      </w:r>
    </w:p>
    <w:p>
      <w:pPr>
        <w:numPr>
          <w:ilvl w:val="0"/>
          <w:numId w:val="3"/>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不准要求、暗示和接受乙方和相关单位为个人装修住房、婚嫁丧娶、配偶子女的工作安排以及出国（境）、旅游等提供方便。</w:t>
      </w:r>
    </w:p>
    <w:p>
      <w:pPr>
        <w:numPr>
          <w:ilvl w:val="0"/>
          <w:numId w:val="3"/>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不准参与乙方和相关单位的宴请和健身、娱乐等活动。</w:t>
      </w:r>
    </w:p>
    <w:p>
      <w:pPr>
        <w:numPr>
          <w:ilvl w:val="0"/>
          <w:numId w:val="3"/>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不准要求乙方为配偶、子女、亲属参与同甲方采购项目合同相关的采购事项提供任何便利条件。</w:t>
      </w:r>
    </w:p>
    <w:p>
      <w:pPr>
        <w:numPr>
          <w:ilvl w:val="0"/>
          <w:numId w:val="3"/>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不准以任何理由向乙方和相关单位推荐分包单位，或要求乙方购买采购项目合同规定以外的货物等。</w:t>
      </w:r>
    </w:p>
    <w:p>
      <w:pPr>
        <w:numPr>
          <w:ilvl w:val="0"/>
          <w:numId w:val="2"/>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 xml:space="preserve"> 乙方的责任</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应与甲方保持正常的业务交往，按照有关法律法规和程序开展业务工作，严格执行政府采购的有关方针政策，并遵守以下规定：</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（一）不准以任何理由接受甲方、相关单位及其工作人员的索要或为其赠送礼金、有价证券、贵重物品和回扣、好处费、感谢费等。</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（二）不准以任何理由为甲方、相关单位或个人报销应当由对方或个人支付的费用。</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（三）不准接受或暗示为甲方、相关单位或个人装修住房、婚丧嫁娶、配偶、子女的工作安排以及出国（境）、旅游等提供方便。</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（四）不准以任何理由为甲方、相关单位或个人安排宴请、健身、娱乐等活动。</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（五）不准接受甲方工作人员的要求，为其配偶、子女、亲属参与同采购项目合同有关的采购事项提供任何便利条件。</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（六）不准接受甲方工作人员的要求为其安排与采购合同有关的分包单位，或为其购买采购合同规定以外的货物等。</w:t>
      </w:r>
    </w:p>
    <w:p>
      <w:pPr>
        <w:numPr>
          <w:ilvl w:val="0"/>
          <w:numId w:val="2"/>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 xml:space="preserve"> 违约责任</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一）甲方工作人员有违反本责任书第一、二条责任行为的，按照管理权限，依照有关法律法规和规定给予党纪、政纪处分或组织处理；涉嫌犯罪的，移交司法机关追究刑事责任；给乙方单位造成经济损失的，应予以赔偿。</w:t>
      </w:r>
    </w:p>
    <w:p>
      <w:p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二）乙方工作人员有违反本责任书第一、三条责任行为的，除由其主管单位依据有关法律法规和规定给予处理外，视情节予以罚款，或取消采购合同，今后不列入合作单位；给甲方单位造成经济损失的应予以赔偿。</w:t>
      </w:r>
    </w:p>
    <w:p>
      <w:pPr>
        <w:numPr>
          <w:ilvl w:val="0"/>
          <w:numId w:val="2"/>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 xml:space="preserve"> 本责任书为采购合同的附件，与采购项目合同具有同等的法律效力，经双方签署后立即生效。</w:t>
      </w:r>
    </w:p>
    <w:p>
      <w:pPr>
        <w:numPr>
          <w:ilvl w:val="0"/>
          <w:numId w:val="2"/>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 xml:space="preserve"> 本责任书的有效期为双方签署之日起至该采购项目验收合格和保修期满止。</w:t>
      </w:r>
    </w:p>
    <w:p>
      <w:pPr>
        <w:numPr>
          <w:ilvl w:val="0"/>
          <w:numId w:val="2"/>
        </w:numPr>
        <w:spacing w:line="360" w:lineRule="auto"/>
        <w:ind w:firstLine="420" w:firstLineChars="200"/>
        <w:jc w:val="left"/>
        <w:rPr>
          <w:rFonts w:ascii="宋体" w:hAnsi="宋体" w:cs="黑体"/>
          <w:color w:val="auto"/>
          <w:szCs w:val="21"/>
          <w:highlight w:val="none"/>
        </w:rPr>
      </w:pPr>
      <w:r>
        <w:rPr>
          <w:rFonts w:hint="eastAsia" w:ascii="宋体" w:hAnsi="宋体" w:cs="黑体"/>
          <w:color w:val="auto"/>
          <w:szCs w:val="21"/>
          <w:highlight w:val="none"/>
        </w:rPr>
        <w:t xml:space="preserve"> 本责任书一式</w:t>
      </w:r>
      <w:r>
        <w:rPr>
          <w:rFonts w:hint="eastAsia" w:ascii="宋体" w:hAnsi="宋体" w:cs="Calibri"/>
          <w:color w:val="auto"/>
          <w:szCs w:val="20"/>
          <w:highlight w:val="none"/>
        </w:rPr>
        <w:t>伍份，甲方执叁份，乙方执贰份</w:t>
      </w:r>
      <w:r>
        <w:rPr>
          <w:rFonts w:hint="eastAsia" w:ascii="宋体" w:hAnsi="宋体" w:cs="黑体"/>
          <w:color w:val="auto"/>
          <w:szCs w:val="21"/>
          <w:highlight w:val="none"/>
        </w:rPr>
        <w:t>。</w:t>
      </w:r>
    </w:p>
    <w:p>
      <w:pPr>
        <w:spacing w:line="360" w:lineRule="auto"/>
        <w:jc w:val="left"/>
        <w:rPr>
          <w:rStyle w:val="1343"/>
          <w:rFonts w:ascii="Calibri" w:hAnsi="Calibri"/>
          <w:color w:val="auto"/>
          <w:szCs w:val="22"/>
          <w:highlight w:val="none"/>
          <w:lang w:val="zh-TW" w:eastAsia="zh-TW"/>
        </w:rPr>
      </w:pPr>
    </w:p>
    <w:p>
      <w:pPr>
        <w:pStyle w:val="120"/>
        <w:rPr>
          <w:color w:val="auto"/>
          <w:highlight w:val="none"/>
          <w:lang w:val="zh-TW" w:eastAsia="zh-TW"/>
        </w:rPr>
      </w:pPr>
    </w:p>
    <w:p>
      <w:pPr>
        <w:spacing w:line="360" w:lineRule="auto"/>
        <w:jc w:val="left"/>
        <w:rPr>
          <w:rStyle w:val="1343"/>
          <w:rFonts w:ascii="Calibri" w:hAnsi="Calibri"/>
          <w:color w:val="auto"/>
          <w:szCs w:val="22"/>
          <w:highlight w:val="none"/>
          <w:lang w:val="zh-TW" w:eastAsia="zh-TW"/>
        </w:rPr>
      </w:pPr>
      <w:r>
        <w:rPr>
          <w:rStyle w:val="1343"/>
          <w:rFonts w:hint="eastAsia" w:ascii="Calibri" w:hAnsi="Calibri"/>
          <w:color w:val="auto"/>
          <w:szCs w:val="22"/>
          <w:highlight w:val="none"/>
          <w:lang w:val="zh-TW" w:eastAsia="zh-TW"/>
        </w:rPr>
        <w:t xml:space="preserve">甲方单位：杭州市妇产科医院（盖章） </w:t>
      </w:r>
      <w:r>
        <w:rPr>
          <w:rStyle w:val="1343"/>
          <w:rFonts w:hint="eastAsia" w:ascii="Calibri" w:hAnsi="Calibri"/>
          <w:color w:val="auto"/>
          <w:szCs w:val="22"/>
          <w:highlight w:val="none"/>
        </w:rPr>
        <w:t xml:space="preserve">               </w:t>
      </w:r>
      <w:r>
        <w:rPr>
          <w:rStyle w:val="1343"/>
          <w:rFonts w:hint="eastAsia" w:ascii="Calibri" w:hAnsi="Calibri"/>
          <w:color w:val="auto"/>
          <w:szCs w:val="22"/>
          <w:highlight w:val="none"/>
          <w:lang w:val="zh-TW" w:eastAsia="zh-TW"/>
        </w:rPr>
        <w:t xml:space="preserve"> 乙方单位：（盖章）</w:t>
      </w:r>
    </w:p>
    <w:p>
      <w:pPr>
        <w:pStyle w:val="120"/>
        <w:rPr>
          <w:color w:val="auto"/>
          <w:highlight w:val="none"/>
          <w:lang w:val="zh-TW" w:eastAsia="zh-TW"/>
        </w:rPr>
      </w:pPr>
    </w:p>
    <w:p>
      <w:pPr>
        <w:spacing w:line="360" w:lineRule="auto"/>
        <w:jc w:val="left"/>
        <w:rPr>
          <w:rStyle w:val="1343"/>
          <w:rFonts w:ascii="Calibri" w:hAnsi="Calibri"/>
          <w:color w:val="auto"/>
          <w:szCs w:val="22"/>
          <w:highlight w:val="none"/>
          <w:lang w:val="zh-TW" w:eastAsia="zh-TW"/>
        </w:rPr>
      </w:pPr>
      <w:r>
        <w:rPr>
          <w:rStyle w:val="1343"/>
          <w:rFonts w:hint="eastAsia" w:ascii="Calibri" w:hAnsi="Calibri"/>
          <w:color w:val="auto"/>
          <w:szCs w:val="22"/>
          <w:highlight w:val="none"/>
          <w:lang w:val="zh-TW" w:eastAsia="zh-TW"/>
        </w:rPr>
        <w:t xml:space="preserve">法定代表人或授权代理人：          </w:t>
      </w:r>
      <w:r>
        <w:rPr>
          <w:rStyle w:val="1343"/>
          <w:rFonts w:hint="eastAsia" w:ascii="Calibri" w:hAnsi="Calibri"/>
          <w:color w:val="auto"/>
          <w:szCs w:val="22"/>
          <w:highlight w:val="none"/>
          <w:lang w:eastAsia="zh-TW"/>
        </w:rPr>
        <w:t xml:space="preserve">    </w:t>
      </w:r>
      <w:r>
        <w:rPr>
          <w:rStyle w:val="1343"/>
          <w:rFonts w:hint="eastAsia" w:ascii="Calibri" w:hAnsi="Calibri"/>
          <w:color w:val="auto"/>
          <w:szCs w:val="22"/>
          <w:highlight w:val="none"/>
          <w:lang w:val="zh-TW" w:eastAsia="zh-TW"/>
        </w:rPr>
        <w:t xml:space="preserve">  </w:t>
      </w:r>
      <w:r>
        <w:rPr>
          <w:rStyle w:val="1343"/>
          <w:rFonts w:hint="eastAsia" w:ascii="Calibri" w:hAnsi="Calibri"/>
          <w:color w:val="auto"/>
          <w:szCs w:val="22"/>
          <w:highlight w:val="none"/>
        </w:rPr>
        <w:t xml:space="preserve">           </w:t>
      </w:r>
      <w:r>
        <w:rPr>
          <w:rStyle w:val="1343"/>
          <w:rFonts w:hint="eastAsia" w:ascii="Calibri" w:hAnsi="Calibri"/>
          <w:color w:val="auto"/>
          <w:szCs w:val="22"/>
          <w:highlight w:val="none"/>
          <w:lang w:val="zh-TW" w:eastAsia="zh-TW"/>
        </w:rPr>
        <w:t>法定代表人或授权代理人：</w:t>
      </w:r>
    </w:p>
    <w:p>
      <w:pPr>
        <w:ind w:right="-38" w:rightChars="-18" w:firstLine="420"/>
        <w:jc w:val="left"/>
        <w:rPr>
          <w:rStyle w:val="1343"/>
          <w:rFonts w:ascii="Calibri" w:hAnsi="Calibri"/>
          <w:color w:val="auto"/>
          <w:szCs w:val="22"/>
          <w:highlight w:val="none"/>
          <w:lang w:val="zh-TW" w:eastAsia="zh-TW"/>
        </w:rPr>
      </w:pPr>
      <w:r>
        <w:rPr>
          <w:rStyle w:val="1343"/>
          <w:rFonts w:hint="eastAsia" w:ascii="Calibri" w:hAnsi="Calibri"/>
          <w:color w:val="auto"/>
          <w:szCs w:val="22"/>
          <w:highlight w:val="none"/>
          <w:lang w:val="zh-TW" w:eastAsia="zh-TW"/>
        </w:rPr>
        <w:t xml:space="preserve">     </w:t>
      </w:r>
    </w:p>
    <w:p>
      <w:pPr>
        <w:ind w:right="-38" w:rightChars="-18" w:firstLine="1260" w:firstLineChars="600"/>
        <w:jc w:val="left"/>
        <w:rPr>
          <w:rFonts w:ascii="Calibri" w:hAnsi="Calibri" w:cs="Calibri"/>
          <w:color w:val="auto"/>
          <w:szCs w:val="20"/>
          <w:highlight w:val="none"/>
        </w:rPr>
      </w:pPr>
      <w:r>
        <w:rPr>
          <w:rStyle w:val="1343"/>
          <w:rFonts w:hint="eastAsia" w:ascii="Calibri" w:hAnsi="Calibri"/>
          <w:color w:val="auto"/>
          <w:szCs w:val="22"/>
          <w:highlight w:val="none"/>
          <w:lang w:val="zh-TW" w:eastAsia="zh-TW"/>
        </w:rPr>
        <w:t xml:space="preserve">年     月     日                 </w:t>
      </w:r>
      <w:r>
        <w:rPr>
          <w:rStyle w:val="1343"/>
          <w:rFonts w:hint="eastAsia" w:ascii="Calibri" w:hAnsi="Calibri"/>
          <w:color w:val="auto"/>
          <w:szCs w:val="22"/>
          <w:highlight w:val="none"/>
        </w:rPr>
        <w:t xml:space="preserve">            </w:t>
      </w:r>
      <w:r>
        <w:rPr>
          <w:rStyle w:val="1343"/>
          <w:rFonts w:hint="eastAsia" w:ascii="Calibri" w:hAnsi="Calibri"/>
          <w:color w:val="auto"/>
          <w:szCs w:val="22"/>
          <w:highlight w:val="none"/>
          <w:lang w:val="zh-TW" w:eastAsia="zh-TW"/>
        </w:rPr>
        <w:t xml:space="preserve">  年     月     日</w:t>
      </w:r>
    </w:p>
    <w:p>
      <w:pPr>
        <w:rPr>
          <w:color w:val="auto"/>
          <w:highlight w:val="none"/>
        </w:rPr>
      </w:pPr>
      <w:r>
        <w:rPr>
          <w:color w:val="auto"/>
          <w:highlight w:val="none"/>
        </w:rPr>
        <w:br w:type="page"/>
      </w:r>
    </w:p>
    <w:p>
      <w:pPr>
        <w:pStyle w:val="2"/>
        <w:snapToGrid w:val="0"/>
        <w:rPr>
          <w:rFonts w:ascii="Times New Roman" w:hAnsi="Times New Roman"/>
          <w:color w:val="auto"/>
          <w:highlight w:val="none"/>
        </w:rPr>
      </w:pPr>
      <w:r>
        <w:rPr>
          <w:rFonts w:ascii="Times New Roman" w:hAnsi="Times New Roman"/>
          <w:color w:val="auto"/>
          <w:highlight w:val="none"/>
        </w:rPr>
        <w:t>第六章  投标文件格式</w:t>
      </w:r>
      <w:bookmarkEnd w:id="43"/>
      <w:bookmarkEnd w:id="44"/>
      <w:bookmarkEnd w:id="45"/>
      <w:bookmarkEnd w:id="46"/>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bookmarkStart w:id="47" w:name="_Toc437953145"/>
      <w:bookmarkStart w:id="48" w:name="_Toc345575534"/>
      <w:r>
        <w:rPr>
          <w:rFonts w:ascii="Times New Roman" w:hAnsi="Times New Roman"/>
          <w:color w:val="auto"/>
          <w:highlight w:val="none"/>
        </w:rPr>
        <w:t>报价文件封面</w:t>
      </w:r>
      <w:bookmarkEnd w:id="47"/>
      <w:bookmarkEnd w:id="48"/>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49" w:name="_Toc336683579"/>
      <w:bookmarkStart w:id="50" w:name="_Toc345575539"/>
      <w:r>
        <w:rPr>
          <w:rFonts w:ascii="Times New Roman" w:hAnsi="Times New Roman"/>
          <w:color w:val="auto"/>
          <w:highlight w:val="none"/>
        </w:rPr>
        <w:t>1、开标一览表格式</w:t>
      </w:r>
      <w:bookmarkEnd w:id="49"/>
      <w:bookmarkEnd w:id="50"/>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2"/>
        <w:adjustRightInd w:val="0"/>
        <w:snapToGrid w:val="0"/>
        <w:spacing w:line="300" w:lineRule="auto"/>
        <w:rPr>
          <w:rFonts w:ascii="Times New Roman" w:hAnsi="Times New Roman"/>
          <w:color w:val="auto"/>
          <w:highlight w:val="none"/>
          <w:u w:val="singl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2"/>
        <w:adjustRightInd w:val="0"/>
        <w:snapToGrid w:val="0"/>
        <w:spacing w:line="300" w:lineRule="auto"/>
        <w:rPr>
          <w:rFonts w:ascii="Times New Roman" w:hAnsi="Times New Roman"/>
          <w:color w:val="auto"/>
          <w:highlight w:val="non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2"/>
        <w:adjustRightInd w:val="0"/>
        <w:snapToGrid w:val="0"/>
        <w:spacing w:line="300" w:lineRule="auto"/>
        <w:rPr>
          <w:rFonts w:ascii="Times New Roman" w:hAnsi="Times New Roman"/>
          <w:color w:val="auto"/>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rFonts w:ascii="宋体" w:hAnsi="宋体" w:cs="宋体"/>
                <w:color w:val="auto"/>
                <w:highlight w:val="none"/>
              </w:rPr>
            </w:pPr>
            <w:r>
              <w:rPr>
                <w:rFonts w:hint="eastAsia" w:ascii="宋体" w:hAnsi="宋体" w:cs="宋体"/>
                <w:color w:val="auto"/>
                <w:highlight w:val="none"/>
              </w:rPr>
              <w:t>投标报价1（折扣）</w:t>
            </w:r>
          </w:p>
        </w:tc>
        <w:tc>
          <w:tcPr>
            <w:tcW w:w="5442" w:type="dxa"/>
            <w:vAlign w:val="center"/>
          </w:tcPr>
          <w:p>
            <w:pPr>
              <w:keepNext/>
              <w:spacing w:line="360" w:lineRule="auto"/>
              <w:outlineLvl w:val="0"/>
              <w:rPr>
                <w:rFonts w:ascii="Arial" w:hAnsi="Arial" w:eastAsia="华文中宋" w:cs="Calibri"/>
                <w:b/>
                <w:color w:val="auto"/>
                <w:sz w:val="32"/>
                <w:highlight w:val="none"/>
              </w:rPr>
            </w:pPr>
          </w:p>
          <w:p>
            <w:pPr>
              <w:spacing w:line="360" w:lineRule="auto"/>
              <w:rPr>
                <w:rFonts w:ascii="宋体" w:hAnsi="宋体" w:cs="宋体"/>
                <w:color w:val="auto"/>
                <w:highlight w:val="none"/>
              </w:rPr>
            </w:pPr>
            <w:r>
              <w:rPr>
                <w:rFonts w:hint="eastAsia" w:ascii="宋体" w:hAnsi="宋体" w:cs="宋体"/>
                <w:color w:val="auto"/>
                <w:highlight w:val="none"/>
              </w:rPr>
              <w:t>小写：</w:t>
            </w:r>
            <w:r>
              <w:rPr>
                <w:rFonts w:hint="eastAsia" w:ascii="宋体" w:hAnsi="宋体" w:cs="宋体"/>
                <w:color w:val="auto"/>
                <w:highlight w:val="none"/>
                <w:u w:val="single"/>
              </w:rPr>
              <w:t xml:space="preserve">             %           </w:t>
            </w:r>
          </w:p>
          <w:p>
            <w:pPr>
              <w:spacing w:line="360" w:lineRule="auto"/>
              <w:rPr>
                <w:rFonts w:ascii="宋体"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rFonts w:ascii="宋体" w:hAnsi="宋体" w:cs="宋体"/>
                <w:color w:val="auto"/>
                <w:highlight w:val="none"/>
              </w:rPr>
            </w:pPr>
            <w:r>
              <w:rPr>
                <w:rFonts w:hint="eastAsia" w:ascii="宋体" w:hAnsi="宋体" w:cs="宋体"/>
                <w:color w:val="auto"/>
                <w:highlight w:val="none"/>
              </w:rPr>
              <w:t>投标报价2（折扣）</w:t>
            </w:r>
          </w:p>
        </w:tc>
        <w:tc>
          <w:tcPr>
            <w:tcW w:w="5442" w:type="dxa"/>
            <w:vAlign w:val="center"/>
          </w:tcPr>
          <w:p>
            <w:pPr>
              <w:keepNext/>
              <w:spacing w:line="360" w:lineRule="auto"/>
              <w:outlineLvl w:val="0"/>
              <w:rPr>
                <w:rFonts w:ascii="Arial" w:hAnsi="Arial" w:eastAsia="华文中宋" w:cs="Calibri"/>
                <w:b/>
                <w:color w:val="auto"/>
                <w:sz w:val="32"/>
                <w:highlight w:val="none"/>
              </w:rPr>
            </w:pPr>
          </w:p>
          <w:p>
            <w:pPr>
              <w:spacing w:line="360" w:lineRule="auto"/>
              <w:rPr>
                <w:rFonts w:ascii="宋体" w:hAnsi="宋体" w:cs="宋体"/>
                <w:color w:val="auto"/>
                <w:highlight w:val="none"/>
              </w:rPr>
            </w:pPr>
            <w:r>
              <w:rPr>
                <w:rFonts w:hint="eastAsia" w:ascii="宋体" w:hAnsi="宋体" w:cs="宋体"/>
                <w:color w:val="auto"/>
                <w:highlight w:val="none"/>
              </w:rPr>
              <w:t>小写：</w:t>
            </w:r>
            <w:r>
              <w:rPr>
                <w:rFonts w:hint="eastAsia" w:ascii="宋体" w:hAnsi="宋体" w:cs="宋体"/>
                <w:color w:val="auto"/>
                <w:highlight w:val="none"/>
                <w:u w:val="single"/>
              </w:rPr>
              <w:t xml:space="preserve">             %           </w:t>
            </w:r>
          </w:p>
          <w:p>
            <w:pPr>
              <w:spacing w:line="360" w:lineRule="auto"/>
              <w:rPr>
                <w:rFonts w:ascii="宋体" w:hAnsi="宋体" w:cs="宋体"/>
                <w:color w:val="auto"/>
                <w:highlight w:val="none"/>
              </w:rPr>
            </w:pPr>
          </w:p>
        </w:tc>
      </w:tr>
    </w:tbl>
    <w:p>
      <w:pPr>
        <w:pStyle w:val="42"/>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42"/>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br w:type="page"/>
      </w:r>
    </w:p>
    <w:p>
      <w:pPr>
        <w:pStyle w:val="3"/>
        <w:ind w:firstLine="422"/>
        <w:rPr>
          <w:rFonts w:ascii="Times New Roman" w:hAnsi="Times New Roman"/>
          <w:color w:val="auto"/>
          <w:kern w:val="0"/>
          <w:szCs w:val="21"/>
          <w:highlight w:val="none"/>
        </w:rPr>
      </w:pPr>
      <w:r>
        <w:rPr>
          <w:rFonts w:hint="eastAsia" w:ascii="Times New Roman" w:hAnsi="Times New Roman"/>
          <w:color w:val="auto"/>
          <w:kern w:val="0"/>
          <w:szCs w:val="21"/>
          <w:highlight w:val="none"/>
        </w:rPr>
        <w:t>2</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51" w:name="_Toc437953149"/>
      <w:bookmarkStart w:id="52" w:name="_Toc336683578"/>
      <w:bookmarkStart w:id="53" w:name="_Toc34557553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51"/>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52"/>
    <w:bookmarkEnd w:id="53"/>
    <w:p>
      <w:pPr>
        <w:pStyle w:val="129"/>
        <w:snapToGrid w:val="0"/>
        <w:spacing w:line="360" w:lineRule="auto"/>
        <w:ind w:firstLine="420"/>
        <w:rPr>
          <w:color w:val="auto"/>
          <w:highlight w:val="none"/>
        </w:rPr>
      </w:pPr>
    </w:p>
    <w:p>
      <w:pPr>
        <w:pStyle w:val="129"/>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9"/>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9"/>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6"/>
        <w:tabs>
          <w:tab w:val="left" w:pos="630"/>
          <w:tab w:val="left" w:pos="840"/>
          <w:tab w:val="left" w:pos="1050"/>
        </w:tabs>
        <w:adjustRightInd w:val="0"/>
        <w:snapToGrid w:val="0"/>
        <w:spacing w:before="0" w:beforeAutospacing="0" w:after="0" w:afterAutospacing="0" w:line="360" w:lineRule="auto"/>
        <w:rPr>
          <w:rFonts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6"/>
        <w:numPr>
          <w:ilvl w:val="0"/>
          <w:numId w:val="4"/>
        </w:numPr>
        <w:tabs>
          <w:tab w:val="left" w:pos="630"/>
          <w:tab w:val="left" w:pos="840"/>
          <w:tab w:val="left" w:pos="1050"/>
        </w:tabs>
        <w:adjustRightInd w:val="0"/>
        <w:snapToGrid w:val="0"/>
        <w:spacing w:before="0" w:beforeAutospacing="0" w:after="0" w:afterAutospacing="0" w:line="360" w:lineRule="auto"/>
        <w:ind w:hanging="5"/>
        <w:rPr>
          <w:rFonts w:cs="宋体"/>
          <w:bCs/>
          <w:color w:val="auto"/>
          <w:sz w:val="21"/>
          <w:szCs w:val="21"/>
          <w:highlight w:val="none"/>
        </w:rPr>
      </w:pPr>
      <w:r>
        <w:rPr>
          <w:rFonts w:hint="eastAsia" w:cs="宋体"/>
          <w:bCs/>
          <w:color w:val="auto"/>
          <w:sz w:val="21"/>
          <w:szCs w:val="21"/>
          <w:highlight w:val="none"/>
        </w:rPr>
        <w:t>具有独立承担民事责任能力的证明材料：</w:t>
      </w:r>
    </w:p>
    <w:p>
      <w:pPr>
        <w:pStyle w:val="76"/>
        <w:tabs>
          <w:tab w:val="left" w:pos="630"/>
          <w:tab w:val="left" w:pos="840"/>
          <w:tab w:val="left" w:pos="1050"/>
        </w:tabs>
        <w:adjustRightInd w:val="0"/>
        <w:snapToGrid w:val="0"/>
        <w:spacing w:before="0" w:beforeAutospacing="0" w:after="0" w:afterAutospacing="0" w:line="360" w:lineRule="auto"/>
        <w:ind w:left="420"/>
        <w:rPr>
          <w:rFonts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6"/>
        <w:numPr>
          <w:ilvl w:val="0"/>
          <w:numId w:val="5"/>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6"/>
        <w:tabs>
          <w:tab w:val="left" w:pos="312"/>
        </w:tabs>
        <w:adjustRightInd w:val="0"/>
        <w:snapToGrid w:val="0"/>
        <w:spacing w:before="0" w:beforeAutospacing="0" w:after="0" w:afterAutospacing="0" w:line="360" w:lineRule="auto"/>
        <w:rPr>
          <w:rFonts w:cs="宋体"/>
          <w:bCs/>
          <w:color w:val="auto"/>
          <w:sz w:val="21"/>
          <w:szCs w:val="21"/>
          <w:highlight w:val="none"/>
        </w:rPr>
      </w:pPr>
    </w:p>
    <w:p>
      <w:pPr>
        <w:pStyle w:val="76"/>
        <w:tabs>
          <w:tab w:val="left" w:pos="312"/>
        </w:tabs>
        <w:adjustRightInd w:val="0"/>
        <w:snapToGrid w:val="0"/>
        <w:spacing w:before="0" w:beforeAutospacing="0" w:after="0" w:afterAutospacing="0" w:line="360" w:lineRule="auto"/>
        <w:ind w:left="420" w:leftChars="200"/>
        <w:rPr>
          <w:rFonts w:cs="宋体"/>
          <w:color w:val="auto"/>
          <w:sz w:val="21"/>
          <w:szCs w:val="21"/>
          <w:highlight w:val="none"/>
        </w:rPr>
      </w:pPr>
      <w:r>
        <w:rPr>
          <w:rFonts w:hint="eastAsia" w:cs="宋体"/>
          <w:b/>
          <w:bCs/>
          <w:color w:val="auto"/>
          <w:sz w:val="21"/>
          <w:szCs w:val="21"/>
          <w:highlight w:val="none"/>
        </w:rPr>
        <w:br w:type="page"/>
      </w:r>
    </w:p>
    <w:p>
      <w:pPr>
        <w:pStyle w:val="76"/>
        <w:numPr>
          <w:ilvl w:val="0"/>
          <w:numId w:val="4"/>
        </w:numPr>
        <w:tabs>
          <w:tab w:val="left" w:pos="630"/>
          <w:tab w:val="left" w:pos="840"/>
          <w:tab w:val="left" w:pos="1050"/>
        </w:tabs>
        <w:adjustRightInd w:val="0"/>
        <w:snapToGrid w:val="0"/>
        <w:spacing w:before="0" w:beforeAutospacing="0" w:after="0" w:afterAutospacing="0" w:line="360" w:lineRule="auto"/>
        <w:ind w:hanging="5"/>
        <w:rPr>
          <w:rFonts w:cs="宋体"/>
          <w:color w:val="auto"/>
          <w:sz w:val="21"/>
          <w:szCs w:val="21"/>
          <w:highlight w:val="none"/>
        </w:rPr>
      </w:pPr>
      <w:r>
        <w:rPr>
          <w:rFonts w:hint="eastAsia" w:cs="宋体"/>
          <w:color w:val="auto"/>
          <w:sz w:val="21"/>
          <w:szCs w:val="21"/>
          <w:highlight w:val="none"/>
        </w:rPr>
        <w:t>符合参与采购活动资格条件的承诺函：</w:t>
      </w:r>
    </w:p>
    <w:p>
      <w:pPr>
        <w:pStyle w:val="76"/>
        <w:adjustRightInd w:val="0"/>
        <w:snapToGrid w:val="0"/>
        <w:spacing w:before="0" w:beforeAutospacing="0" w:after="0" w:afterAutospacing="0" w:line="360" w:lineRule="auto"/>
        <w:ind w:left="420" w:leftChars="200"/>
        <w:rPr>
          <w:rFonts w:cs="宋体"/>
          <w:color w:val="auto"/>
          <w:sz w:val="21"/>
          <w:szCs w:val="21"/>
          <w:highlight w:val="none"/>
        </w:rPr>
      </w:pPr>
    </w:p>
    <w:p>
      <w:pPr>
        <w:pStyle w:val="76"/>
        <w:adjustRightInd w:val="0"/>
        <w:snapToGrid w:val="0"/>
        <w:spacing w:before="0" w:beforeAutospacing="0" w:after="0" w:afterAutospacing="0" w:line="360" w:lineRule="auto"/>
        <w:jc w:val="center"/>
        <w:rPr>
          <w:rFonts w:cs="宋体"/>
          <w:color w:val="auto"/>
          <w:sz w:val="32"/>
          <w:szCs w:val="32"/>
          <w:highlight w:val="none"/>
        </w:rPr>
      </w:pPr>
      <w:r>
        <w:rPr>
          <w:rFonts w:hint="eastAsia" w:cs="宋体"/>
          <w:color w:val="auto"/>
          <w:sz w:val="32"/>
          <w:szCs w:val="32"/>
          <w:highlight w:val="none"/>
        </w:rPr>
        <w:t>承诺函</w:t>
      </w:r>
    </w:p>
    <w:p>
      <w:pPr>
        <w:spacing w:line="480" w:lineRule="auto"/>
        <w:rPr>
          <w:rFonts w:ascii="宋体" w:hAnsi="宋体" w:cs="宋体"/>
          <w:color w:val="auto"/>
          <w:szCs w:val="21"/>
          <w:highlight w:val="none"/>
          <w:u w:val="single"/>
        </w:rPr>
      </w:pPr>
    </w:p>
    <w:p>
      <w:pPr>
        <w:spacing w:line="480" w:lineRule="auto"/>
        <w:rPr>
          <w:rFonts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6"/>
        <w:spacing w:before="0" w:beforeAutospacing="0" w:after="0" w:afterAutospacing="0" w:line="480" w:lineRule="auto"/>
        <w:ind w:firstLine="840" w:firstLineChars="400"/>
        <w:rPr>
          <w:rFonts w:cs="宋体"/>
          <w:color w:val="auto"/>
          <w:sz w:val="21"/>
          <w:szCs w:val="21"/>
          <w:highlight w:val="none"/>
        </w:rPr>
      </w:pPr>
    </w:p>
    <w:p>
      <w:pPr>
        <w:pStyle w:val="76"/>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pPr>
        <w:pStyle w:val="76"/>
        <w:numPr>
          <w:ilvl w:val="0"/>
          <w:numId w:val="6"/>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6"/>
        <w:numPr>
          <w:ilvl w:val="0"/>
          <w:numId w:val="6"/>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6"/>
        <w:numPr>
          <w:ilvl w:val="0"/>
          <w:numId w:val="6"/>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6"/>
        <w:numPr>
          <w:ilvl w:val="0"/>
          <w:numId w:val="6"/>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6"/>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6"/>
        <w:spacing w:before="0" w:beforeAutospacing="0" w:after="0" w:afterAutospacing="0" w:line="480" w:lineRule="auto"/>
        <w:ind w:firstLine="420" w:firstLineChars="200"/>
        <w:rPr>
          <w:rFonts w:cs="宋体"/>
          <w:color w:val="auto"/>
          <w:sz w:val="21"/>
          <w:szCs w:val="21"/>
          <w:highlight w:val="none"/>
        </w:rPr>
      </w:pPr>
    </w:p>
    <w:p>
      <w:pPr>
        <w:pStyle w:val="76"/>
        <w:spacing w:before="0" w:beforeAutospacing="0" w:after="0" w:afterAutospacing="0" w:line="480" w:lineRule="auto"/>
        <w:ind w:firstLine="422" w:firstLineChars="200"/>
        <w:rPr>
          <w:rFonts w:cs="宋体"/>
          <w:b/>
          <w:bCs/>
          <w:color w:val="auto"/>
          <w:sz w:val="21"/>
          <w:szCs w:val="21"/>
          <w:highlight w:val="none"/>
        </w:rPr>
      </w:pPr>
    </w:p>
    <w:p>
      <w:pPr>
        <w:pStyle w:val="76"/>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供应商名称（盖单位公章或电子签章）：</w:t>
      </w:r>
    </w:p>
    <w:p>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29"/>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29"/>
        <w:snapToGrid w:val="0"/>
        <w:spacing w:line="360" w:lineRule="auto"/>
        <w:ind w:firstLine="420"/>
        <w:rPr>
          <w:rFonts w:ascii="Times New Roman" w:hAnsi="Times New Roman"/>
          <w:color w:val="auto"/>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（1）投标函；</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（2）检验服务清单；</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（3）技术规格偏离表；</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（4）商务条款偏离表；</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（5）法定代表人资格证明书；</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（6）法定代表人授权委托书（法定代表人签署不需提供此书）；</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法定代表人及授权代表身份证正反面复印件；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社保机构出具的投标截止日前6个月内授权代表的投标单位社保缴纳证明，任职不足6个月的可提供劳动合同证明文件；</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（7）业绩：自202</w:t>
      </w:r>
      <w:r>
        <w:rPr>
          <w:rFonts w:hint="eastAsia" w:ascii="Times New Roman" w:hAnsi="Times New Roman"/>
          <w:color w:val="auto"/>
          <w:highlight w:val="none"/>
          <w:lang w:val="en-US" w:eastAsia="zh-CN"/>
        </w:rPr>
        <w:t>2</w:t>
      </w:r>
      <w:r>
        <w:rPr>
          <w:rFonts w:hint="eastAsia" w:ascii="Times New Roman" w:hAnsi="Times New Roman"/>
          <w:color w:val="auto"/>
          <w:highlight w:val="none"/>
        </w:rPr>
        <w:t>年1月1日起，投标人具有</w:t>
      </w:r>
      <w:r>
        <w:rPr>
          <w:rFonts w:hint="eastAsia" w:ascii="Times New Roman" w:hAnsi="Times New Roman"/>
          <w:color w:val="auto"/>
          <w:highlight w:val="none"/>
          <w:lang w:val="en-US" w:eastAsia="zh-CN"/>
        </w:rPr>
        <w:t>检验外送</w:t>
      </w:r>
      <w:r>
        <w:rPr>
          <w:rFonts w:hint="eastAsia" w:ascii="Times New Roman" w:hAnsi="Times New Roman"/>
          <w:color w:val="auto"/>
          <w:highlight w:val="none"/>
        </w:rPr>
        <w:t>服务业绩，提供合同复印件；</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（8）</w:t>
      </w:r>
      <w:r>
        <w:rPr>
          <w:rFonts w:hint="eastAsia" w:ascii="Times New Roman" w:hAnsi="Times New Roman"/>
          <w:color w:val="auto"/>
          <w:highlight w:val="none"/>
          <w:lang w:eastAsia="zh-CN"/>
        </w:rPr>
        <w:t>投标人医疗机构执业许可证复印件</w:t>
      </w:r>
      <w:r>
        <w:rPr>
          <w:rFonts w:hint="eastAsia" w:ascii="Times New Roman" w:hAnsi="Times New Roman"/>
          <w:color w:val="auto"/>
          <w:highlight w:val="none"/>
        </w:rPr>
        <w:t>；</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（9）总体实施方案；</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（10）质量控制措施方案；</w:t>
      </w:r>
    </w:p>
    <w:p>
      <w:pPr>
        <w:pStyle w:val="129"/>
        <w:snapToGrid w:val="0"/>
        <w:spacing w:line="360" w:lineRule="auto"/>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质量控制措施方案，保证检验质量</w:t>
      </w:r>
      <w:r>
        <w:rPr>
          <w:rFonts w:hint="eastAsia" w:ascii="Times New Roman" w:hAnsi="Times New Roman"/>
          <w:color w:val="auto"/>
          <w:highlight w:val="none"/>
          <w:lang w:val="en-US" w:eastAsia="zh-CN"/>
        </w:rPr>
        <w:t>情况；</w:t>
      </w:r>
    </w:p>
    <w:p>
      <w:pPr>
        <w:pStyle w:val="129"/>
        <w:snapToGrid w:val="0"/>
        <w:spacing w:line="360" w:lineRule="auto"/>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实验室通过ISO15189认可项目</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ascii="宋体" w:hAnsi="宋体" w:eastAsia="宋体" w:cs="宋体"/>
          <w:color w:val="auto"/>
          <w:sz w:val="21"/>
          <w:szCs w:val="21"/>
          <w:highlight w:val="none"/>
        </w:rPr>
        <w:t>对比清单</w:t>
      </w:r>
      <w:r>
        <w:rPr>
          <w:rFonts w:hint="eastAsia" w:ascii="宋体" w:hAnsi="宋体" w:cs="宋体"/>
          <w:color w:val="auto"/>
          <w:sz w:val="21"/>
          <w:szCs w:val="21"/>
          <w:highlight w:val="none"/>
          <w:lang w:val="en-US" w:eastAsia="zh-CN"/>
        </w:rPr>
        <w:t>及证明资料</w:t>
      </w:r>
      <w:r>
        <w:rPr>
          <w:rFonts w:hint="eastAsia" w:ascii="Times New Roman" w:hAnsi="Times New Roman"/>
          <w:color w:val="auto"/>
          <w:highlight w:val="none"/>
          <w:lang w:val="en-US" w:eastAsia="zh-CN"/>
        </w:rPr>
        <w:t>；</w:t>
      </w:r>
    </w:p>
    <w:p>
      <w:pPr>
        <w:pStyle w:val="129"/>
        <w:snapToGrid w:val="0"/>
        <w:spacing w:line="360" w:lineRule="auto"/>
        <w:ind w:firstLine="42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2024年国家卫生健康委临床检验中心室间质评项目</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ascii="宋体" w:hAnsi="宋体" w:eastAsia="宋体" w:cs="宋体"/>
          <w:color w:val="auto"/>
          <w:sz w:val="21"/>
          <w:szCs w:val="21"/>
          <w:highlight w:val="none"/>
        </w:rPr>
        <w:t>对比清单</w:t>
      </w:r>
      <w:r>
        <w:rPr>
          <w:rFonts w:hint="eastAsia" w:ascii="宋体" w:hAnsi="宋体" w:cs="宋体"/>
          <w:color w:val="auto"/>
          <w:sz w:val="21"/>
          <w:szCs w:val="21"/>
          <w:highlight w:val="none"/>
          <w:lang w:val="en-US" w:eastAsia="zh-CN"/>
        </w:rPr>
        <w:t>及证明资料</w:t>
      </w:r>
      <w:r>
        <w:rPr>
          <w:rFonts w:hint="eastAsia" w:ascii="Times New Roman" w:hAnsi="Times New Roman"/>
          <w:color w:val="auto"/>
          <w:highlight w:val="none"/>
          <w:lang w:val="en-US" w:eastAsia="zh-CN"/>
        </w:rPr>
        <w:t>；</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（11）实验室设备：提供设备的品牌，型号，具体性能参数</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（12）试剂耗材</w:t>
      </w:r>
      <w:r>
        <w:rPr>
          <w:rFonts w:hint="eastAsia" w:ascii="Times New Roman" w:hAnsi="Times New Roman"/>
          <w:color w:val="auto"/>
          <w:highlight w:val="none"/>
          <w:lang w:val="en-US" w:eastAsia="zh-CN"/>
        </w:rPr>
        <w:t>清单</w:t>
      </w:r>
      <w:r>
        <w:rPr>
          <w:rFonts w:hint="eastAsia" w:ascii="Times New Roman" w:hAnsi="Times New Roman"/>
          <w:color w:val="auto"/>
          <w:highlight w:val="none"/>
        </w:rPr>
        <w:t>；</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（13）对接方案；</w:t>
      </w:r>
    </w:p>
    <w:p>
      <w:pPr>
        <w:pStyle w:val="129"/>
        <w:snapToGrid w:val="0"/>
        <w:spacing w:line="360" w:lineRule="auto"/>
        <w:ind w:firstLine="420"/>
        <w:rPr>
          <w:rFonts w:hint="eastAsia" w:ascii="Times New Roman" w:hAnsi="Times New Roman"/>
          <w:color w:val="auto"/>
          <w:highlight w:val="none"/>
          <w:lang w:eastAsia="zh-CN"/>
        </w:rPr>
      </w:pPr>
      <w:r>
        <w:rPr>
          <w:rFonts w:hint="eastAsia" w:ascii="Times New Roman" w:hAnsi="Times New Roman"/>
          <w:color w:val="auto"/>
          <w:highlight w:val="none"/>
        </w:rPr>
        <w:t>（14）样本运输方案</w:t>
      </w:r>
      <w:r>
        <w:rPr>
          <w:rFonts w:hint="eastAsia" w:ascii="Times New Roman" w:hAnsi="Times New Roman"/>
          <w:color w:val="auto"/>
          <w:highlight w:val="none"/>
          <w:lang w:eastAsia="zh-CN"/>
        </w:rPr>
        <w:t>：</w:t>
      </w:r>
    </w:p>
    <w:p>
      <w:pPr>
        <w:pStyle w:val="129"/>
        <w:snapToGrid w:val="0"/>
        <w:spacing w:line="360" w:lineRule="auto"/>
        <w:ind w:firstLine="420"/>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1）</w:t>
      </w:r>
      <w:r>
        <w:rPr>
          <w:rFonts w:hint="eastAsia" w:ascii="宋体" w:hAnsi="宋体" w:cs="宋体"/>
          <w:color w:val="auto"/>
          <w:szCs w:val="21"/>
          <w:highlight w:val="none"/>
        </w:rPr>
        <w:t>物流方案包括样本采集、保存及物流质控、物流安全保障、物流及时性等</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cs="宋体"/>
          <w:color w:val="auto"/>
          <w:szCs w:val="21"/>
          <w:highlight w:val="none"/>
          <w:lang w:eastAsia="zh-CN"/>
        </w:rPr>
      </w:pPr>
      <w:r>
        <w:rPr>
          <w:rFonts w:hint="eastAsia" w:ascii="Times New Roman" w:hAnsi="Times New Roman"/>
          <w:color w:val="auto"/>
          <w:highlight w:val="none"/>
          <w:lang w:val="en-US" w:eastAsia="zh-CN"/>
        </w:rPr>
        <w:t>2）</w:t>
      </w:r>
      <w:r>
        <w:rPr>
          <w:rFonts w:hint="eastAsia" w:ascii="宋体" w:hAnsi="宋体" w:cs="宋体"/>
          <w:color w:val="auto"/>
          <w:szCs w:val="21"/>
          <w:highlight w:val="none"/>
        </w:rPr>
        <w:t>提供投标人实验室名称、地址、第三方导航软件截图作为证明材料</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配置车辆的数量、性能、冷链设施，车辆上配有专业设备情况</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冷链物流配送单位，经营资质文件复印件</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针对本项目的运输应急预案</w:t>
      </w:r>
      <w:r>
        <w:rPr>
          <w:rFonts w:hint="eastAsia" w:ascii="宋体" w:hAnsi="宋体" w:cs="宋体"/>
          <w:color w:val="auto"/>
          <w:szCs w:val="21"/>
          <w:highlight w:val="none"/>
          <w:lang w:eastAsia="zh-CN"/>
        </w:rPr>
        <w:t>；</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（15）项目实施小组组成情况：提供证书复印件和近三个月任意一个月投标人为其缴纳社保证明或聘用合同）</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（16）投标人认为有必要提供的其它文件（附：中标服务费支付承诺书）。</w:t>
      </w:r>
    </w:p>
    <w:p>
      <w:pPr>
        <w:pStyle w:val="129"/>
        <w:snapToGrid w:val="0"/>
        <w:spacing w:line="360" w:lineRule="auto"/>
        <w:ind w:firstLine="0" w:firstLineChars="0"/>
        <w:rPr>
          <w:rFonts w:ascii="Times New Roman" w:hAnsi="Times New Roman"/>
          <w:color w:val="auto"/>
          <w:highlight w:val="none"/>
        </w:rPr>
      </w:pPr>
    </w:p>
    <w:p>
      <w:pPr>
        <w:pStyle w:val="129"/>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2"/>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2"/>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54" w:name="_Toc335039028"/>
      <w:bookmarkStart w:id="55" w:name="_Toc426996340"/>
      <w:r>
        <w:rPr>
          <w:rFonts w:hint="eastAsia" w:ascii="Times New Roman" w:hAnsi="Times New Roman"/>
          <w:color w:val="auto"/>
          <w:highlight w:val="none"/>
        </w:rPr>
        <w:t>2</w:t>
      </w:r>
      <w:r>
        <w:rPr>
          <w:rFonts w:ascii="Times New Roman" w:hAnsi="Times New Roman"/>
          <w:color w:val="auto"/>
          <w:highlight w:val="none"/>
        </w:rPr>
        <w:t>、</w:t>
      </w:r>
      <w:bookmarkEnd w:id="54"/>
      <w:bookmarkEnd w:id="55"/>
      <w:r>
        <w:rPr>
          <w:rFonts w:hint="eastAsia" w:ascii="Times New Roman" w:hAnsi="Times New Roman"/>
          <w:color w:val="auto"/>
          <w:highlight w:val="none"/>
        </w:rPr>
        <w:t>检验服务清单</w:t>
      </w:r>
    </w:p>
    <w:p>
      <w:pPr>
        <w:rPr>
          <w:color w:val="auto"/>
          <w:highlight w:val="none"/>
        </w:rPr>
      </w:pPr>
      <w:r>
        <w:rPr>
          <w:rFonts w:hint="eastAsia"/>
          <w:color w:val="auto"/>
          <w:highlight w:val="none"/>
        </w:rPr>
        <w:br w:type="page"/>
      </w:r>
    </w:p>
    <w:p>
      <w:pPr>
        <w:pStyle w:val="3"/>
        <w:ind w:firstLine="422"/>
        <w:rPr>
          <w:color w:val="auto"/>
          <w:highlight w:val="none"/>
        </w:rPr>
      </w:pPr>
      <w:r>
        <w:rPr>
          <w:rFonts w:hint="eastAsia"/>
          <w:color w:val="auto"/>
          <w:highlight w:val="none"/>
        </w:rPr>
        <w:t>3</w:t>
      </w:r>
      <w:r>
        <w:rPr>
          <w:color w:val="auto"/>
          <w:highlight w:val="none"/>
        </w:rPr>
        <w:t>、技术规格偏离表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rPr>
          <w:color w:val="auto"/>
          <w:highlight w:val="none"/>
        </w:rPr>
      </w:pPr>
    </w:p>
    <w:p>
      <w:pPr>
        <w:widowControl/>
        <w:jc w:val="left"/>
        <w:rPr>
          <w:color w:val="auto"/>
          <w:highlight w:val="none"/>
        </w:rPr>
      </w:pPr>
    </w:p>
    <w:p>
      <w:pPr>
        <w:pStyle w:val="2"/>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rFonts w:hint="eastAsia"/>
          <w:color w:val="auto"/>
          <w:szCs w:val="21"/>
          <w:highlight w:val="none"/>
          <w:lang w:val="en-US" w:eastAsia="zh-CN"/>
        </w:rPr>
        <w:t>一、</w:t>
      </w:r>
      <w:r>
        <w:rPr>
          <w:rFonts w:hint="eastAsia" w:ascii="宋体" w:hAnsi="宋体" w:cs="宋体"/>
          <w:color w:val="auto"/>
          <w:szCs w:val="21"/>
          <w:highlight w:val="none"/>
        </w:rPr>
        <w:t>检测项目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二、服务要求</w:t>
      </w:r>
      <w:r>
        <w:rPr>
          <w:rFonts w:hint="eastAsia"/>
          <w:color w:val="auto"/>
          <w:szCs w:val="21"/>
          <w:highlight w:val="none"/>
        </w:rPr>
        <w:t>”</w:t>
      </w:r>
      <w:r>
        <w:rPr>
          <w:color w:val="auto"/>
          <w:szCs w:val="21"/>
          <w:highlight w:val="none"/>
        </w:rPr>
        <w:t>逐条对</w:t>
      </w:r>
      <w:r>
        <w:rPr>
          <w:color w:val="auto"/>
          <w:highlight w:val="none"/>
        </w:rPr>
        <w:t>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4</w:t>
      </w:r>
      <w:r>
        <w:rPr>
          <w:rFonts w:ascii="Times New Roman" w:hAnsi="Times New Roman"/>
          <w:color w:val="auto"/>
          <w:highlight w:val="none"/>
        </w:rPr>
        <w:t>、商务条款偏离表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pacing w:line="360" w:lineRule="auto"/>
        <w:ind w:firstLine="500" w:firstLineChars="200"/>
        <w:rPr>
          <w:rFonts w:hAnsi="宋体"/>
          <w:color w:val="auto"/>
          <w:sz w:val="24"/>
          <w:highlight w:val="none"/>
        </w:rPr>
      </w:pPr>
      <w:r>
        <w:rPr>
          <w:color w:val="auto"/>
          <w:spacing w:val="20"/>
          <w:highlight w:val="none"/>
        </w:rPr>
        <w:br w:type="page"/>
      </w:r>
    </w:p>
    <w:p>
      <w:pPr>
        <w:pStyle w:val="129"/>
        <w:snapToGrid w:val="0"/>
        <w:spacing w:line="288" w:lineRule="auto"/>
        <w:ind w:firstLine="0" w:firstLineChars="0"/>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法定代表人资格证明书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pPr>
        <w:adjustRightInd w:val="0"/>
        <w:snapToGrid w:val="0"/>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6</w:t>
      </w:r>
      <w:r>
        <w:rPr>
          <w:rFonts w:ascii="Times New Roman" w:hAnsi="Times New Roman"/>
          <w:color w:val="auto"/>
          <w:highlight w:val="none"/>
        </w:rPr>
        <w:t>、法定代表人授权委托书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tcPr>
          <w:p>
            <w:pPr>
              <w:widowControl/>
              <w:jc w:val="left"/>
              <w:rPr>
                <w:color w:val="auto"/>
                <w:szCs w:val="21"/>
                <w:highlight w:val="none"/>
              </w:rPr>
            </w:pPr>
          </w:p>
          <w:p>
            <w:pPr>
              <w:spacing w:line="360" w:lineRule="auto"/>
              <w:rPr>
                <w:color w:val="auto"/>
                <w:szCs w:val="21"/>
                <w:highlight w:val="none"/>
              </w:rPr>
            </w:pPr>
          </w:p>
        </w:tc>
        <w:tc>
          <w:tcPr>
            <w:tcW w:w="2700" w:type="dxa"/>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29"/>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br w:type="page"/>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（7）业绩：自202</w:t>
      </w:r>
      <w:r>
        <w:rPr>
          <w:rFonts w:hint="eastAsia" w:ascii="Times New Roman" w:hAnsi="Times New Roman"/>
          <w:color w:val="auto"/>
          <w:highlight w:val="none"/>
          <w:lang w:val="en-US" w:eastAsia="zh-CN"/>
        </w:rPr>
        <w:t>2</w:t>
      </w:r>
      <w:r>
        <w:rPr>
          <w:rFonts w:hint="eastAsia" w:ascii="Times New Roman" w:hAnsi="Times New Roman"/>
          <w:color w:val="auto"/>
          <w:highlight w:val="none"/>
        </w:rPr>
        <w:t>年1月1日起，投标人具有</w:t>
      </w:r>
      <w:r>
        <w:rPr>
          <w:rFonts w:hint="eastAsia" w:ascii="Times New Roman" w:hAnsi="Times New Roman"/>
          <w:color w:val="auto"/>
          <w:highlight w:val="none"/>
          <w:lang w:val="en-US" w:eastAsia="zh-CN"/>
        </w:rPr>
        <w:t>检验外送</w:t>
      </w:r>
      <w:r>
        <w:rPr>
          <w:rFonts w:hint="eastAsia" w:ascii="Times New Roman" w:hAnsi="Times New Roman"/>
          <w:color w:val="auto"/>
          <w:highlight w:val="none"/>
        </w:rPr>
        <w:t>服务业绩，提供合同复印件；</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（8）</w:t>
      </w:r>
      <w:r>
        <w:rPr>
          <w:rFonts w:hint="eastAsia" w:ascii="Times New Roman" w:hAnsi="Times New Roman"/>
          <w:color w:val="auto"/>
          <w:highlight w:val="none"/>
          <w:lang w:eastAsia="zh-CN"/>
        </w:rPr>
        <w:t>投标人医疗机构执业许可证复印件</w:t>
      </w:r>
      <w:r>
        <w:rPr>
          <w:rFonts w:hint="eastAsia" w:ascii="Times New Roman" w:hAnsi="Times New Roman"/>
          <w:color w:val="auto"/>
          <w:highlight w:val="none"/>
        </w:rPr>
        <w:t>；</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（9）总体实施方案；</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（10）质量控制措施方案；</w:t>
      </w:r>
    </w:p>
    <w:p>
      <w:pPr>
        <w:pStyle w:val="129"/>
        <w:snapToGrid w:val="0"/>
        <w:spacing w:line="360" w:lineRule="auto"/>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质量控制措施方案，保证检验质量</w:t>
      </w:r>
      <w:r>
        <w:rPr>
          <w:rFonts w:hint="eastAsia" w:ascii="Times New Roman" w:hAnsi="Times New Roman"/>
          <w:color w:val="auto"/>
          <w:highlight w:val="none"/>
          <w:lang w:val="en-US" w:eastAsia="zh-CN"/>
        </w:rPr>
        <w:t>情况；</w:t>
      </w:r>
    </w:p>
    <w:p>
      <w:pPr>
        <w:pStyle w:val="129"/>
        <w:snapToGrid w:val="0"/>
        <w:spacing w:line="360" w:lineRule="auto"/>
        <w:ind w:firstLine="42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实验室通过ISO15189认可项目</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ascii="宋体" w:hAnsi="宋体" w:eastAsia="宋体" w:cs="宋体"/>
          <w:color w:val="auto"/>
          <w:sz w:val="21"/>
          <w:szCs w:val="21"/>
          <w:highlight w:val="none"/>
        </w:rPr>
        <w:t>对比清单</w:t>
      </w:r>
      <w:r>
        <w:rPr>
          <w:rFonts w:hint="eastAsia" w:ascii="宋体" w:hAnsi="宋体" w:cs="宋体"/>
          <w:color w:val="auto"/>
          <w:sz w:val="21"/>
          <w:szCs w:val="21"/>
          <w:highlight w:val="none"/>
          <w:lang w:val="en-US" w:eastAsia="zh-CN"/>
        </w:rPr>
        <w:t>及证明资料</w:t>
      </w:r>
      <w:r>
        <w:rPr>
          <w:rFonts w:hint="eastAsia" w:ascii="Times New Roman" w:hAnsi="Times New Roman"/>
          <w:color w:val="auto"/>
          <w:highlight w:val="none"/>
          <w:lang w:val="en-US" w:eastAsia="zh-CN"/>
        </w:rPr>
        <w:t>；</w:t>
      </w:r>
    </w:p>
    <w:p>
      <w:pPr>
        <w:pStyle w:val="129"/>
        <w:snapToGrid w:val="0"/>
        <w:spacing w:line="360" w:lineRule="auto"/>
        <w:ind w:firstLine="42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2024年国家卫生健康委临床检验中心室间质评项目</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w:t>
      </w:r>
      <w:r>
        <w:rPr>
          <w:rFonts w:ascii="宋体" w:hAnsi="宋体" w:eastAsia="宋体" w:cs="宋体"/>
          <w:color w:val="auto"/>
          <w:sz w:val="21"/>
          <w:szCs w:val="21"/>
          <w:highlight w:val="none"/>
        </w:rPr>
        <w:t>对比清单</w:t>
      </w:r>
      <w:r>
        <w:rPr>
          <w:rFonts w:hint="eastAsia" w:ascii="宋体" w:hAnsi="宋体" w:cs="宋体"/>
          <w:color w:val="auto"/>
          <w:sz w:val="21"/>
          <w:szCs w:val="21"/>
          <w:highlight w:val="none"/>
          <w:lang w:val="en-US" w:eastAsia="zh-CN"/>
        </w:rPr>
        <w:t>及证明资料</w:t>
      </w:r>
      <w:r>
        <w:rPr>
          <w:rFonts w:hint="eastAsia" w:ascii="Times New Roman" w:hAnsi="Times New Roman"/>
          <w:color w:val="auto"/>
          <w:highlight w:val="none"/>
          <w:lang w:val="en-US" w:eastAsia="zh-CN"/>
        </w:rPr>
        <w:t>；</w:t>
      </w:r>
    </w:p>
    <w:p>
      <w:pPr>
        <w:pStyle w:val="12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（11）实验室设备：提供设备的品牌，型号，具体性能参数</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（12）试剂耗材</w:t>
      </w:r>
      <w:r>
        <w:rPr>
          <w:rFonts w:hint="eastAsia" w:ascii="Times New Roman" w:hAnsi="Times New Roman"/>
          <w:color w:val="auto"/>
          <w:highlight w:val="none"/>
          <w:lang w:val="en-US" w:eastAsia="zh-CN"/>
        </w:rPr>
        <w:t>清单</w:t>
      </w:r>
      <w:r>
        <w:rPr>
          <w:rFonts w:hint="eastAsia" w:ascii="Times New Roman" w:hAnsi="Times New Roman"/>
          <w:color w:val="auto"/>
          <w:highlight w:val="none"/>
        </w:rPr>
        <w:t>；</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（13）对接方案；</w:t>
      </w:r>
    </w:p>
    <w:p>
      <w:pPr>
        <w:pStyle w:val="129"/>
        <w:snapToGrid w:val="0"/>
        <w:spacing w:line="360" w:lineRule="auto"/>
        <w:ind w:firstLine="420"/>
        <w:rPr>
          <w:rFonts w:hint="eastAsia" w:ascii="Times New Roman" w:hAnsi="Times New Roman"/>
          <w:color w:val="auto"/>
          <w:highlight w:val="none"/>
          <w:lang w:eastAsia="zh-CN"/>
        </w:rPr>
      </w:pPr>
      <w:r>
        <w:rPr>
          <w:rFonts w:hint="eastAsia" w:ascii="Times New Roman" w:hAnsi="Times New Roman"/>
          <w:color w:val="auto"/>
          <w:highlight w:val="none"/>
        </w:rPr>
        <w:t>（14）样本运输方案</w:t>
      </w:r>
      <w:r>
        <w:rPr>
          <w:rFonts w:hint="eastAsia" w:ascii="Times New Roman" w:hAnsi="Times New Roman"/>
          <w:color w:val="auto"/>
          <w:highlight w:val="none"/>
          <w:lang w:eastAsia="zh-CN"/>
        </w:rPr>
        <w:t>：</w:t>
      </w:r>
    </w:p>
    <w:p>
      <w:pPr>
        <w:pStyle w:val="129"/>
        <w:snapToGrid w:val="0"/>
        <w:spacing w:line="360" w:lineRule="auto"/>
        <w:ind w:firstLine="420"/>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1）</w:t>
      </w:r>
      <w:r>
        <w:rPr>
          <w:rFonts w:hint="eastAsia" w:ascii="宋体" w:hAnsi="宋体" w:cs="宋体"/>
          <w:color w:val="auto"/>
          <w:szCs w:val="21"/>
          <w:highlight w:val="none"/>
        </w:rPr>
        <w:t>物流方案包括样本采集、保存及物流质控、物流安全保障、物流及时性等</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cs="宋体"/>
          <w:color w:val="auto"/>
          <w:szCs w:val="21"/>
          <w:highlight w:val="none"/>
          <w:lang w:eastAsia="zh-CN"/>
        </w:rPr>
      </w:pPr>
      <w:r>
        <w:rPr>
          <w:rFonts w:hint="eastAsia" w:ascii="Times New Roman" w:hAnsi="Times New Roman"/>
          <w:color w:val="auto"/>
          <w:highlight w:val="none"/>
          <w:lang w:val="en-US" w:eastAsia="zh-CN"/>
        </w:rPr>
        <w:t>2）</w:t>
      </w:r>
      <w:r>
        <w:rPr>
          <w:rFonts w:hint="eastAsia" w:ascii="宋体" w:hAnsi="宋体" w:cs="宋体"/>
          <w:color w:val="auto"/>
          <w:szCs w:val="21"/>
          <w:highlight w:val="none"/>
        </w:rPr>
        <w:t>提供投标人实验室名称、地址、第三方导航软件截图作为证明材料</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配置车辆的数量、性能、冷链设施，车辆上配有专业设备情况</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冷链物流配送单位，经营资质文件复印件</w:t>
      </w:r>
      <w:r>
        <w:rPr>
          <w:rFonts w:hint="eastAsia" w:ascii="宋体" w:hAnsi="宋体" w:cs="宋体"/>
          <w:color w:val="auto"/>
          <w:szCs w:val="21"/>
          <w:highlight w:val="none"/>
          <w:lang w:eastAsia="zh-CN"/>
        </w:rPr>
        <w:t>；</w:t>
      </w:r>
    </w:p>
    <w:p>
      <w:pPr>
        <w:pStyle w:val="129"/>
        <w:snapToGrid w:val="0"/>
        <w:spacing w:line="360" w:lineRule="auto"/>
        <w:ind w:firstLine="42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针对本项目的运输应急预案</w:t>
      </w:r>
      <w:r>
        <w:rPr>
          <w:rFonts w:hint="eastAsia" w:ascii="宋体" w:hAnsi="宋体" w:cs="宋体"/>
          <w:color w:val="auto"/>
          <w:szCs w:val="21"/>
          <w:highlight w:val="none"/>
          <w:lang w:eastAsia="zh-CN"/>
        </w:rPr>
        <w:t>；</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（15）项目实施小组组成情况：提供证书复印件和近三个月任意一个月投标人为其缴纳社保证明或聘用合同）</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（16）投标人认为有必要提供的其它文件（附：中标服务费支付承诺书）。</w:t>
      </w:r>
    </w:p>
    <w:p>
      <w:pPr>
        <w:rPr>
          <w:b/>
          <w:color w:val="auto"/>
          <w:highlight w:val="none"/>
        </w:rPr>
      </w:pPr>
    </w:p>
    <w:p>
      <w:pPr>
        <w:rPr>
          <w:b/>
          <w:color w:val="auto"/>
          <w:highlight w:val="none"/>
        </w:rPr>
      </w:pPr>
      <w:r>
        <w:rPr>
          <w:b/>
          <w:color w:val="auto"/>
          <w:highlight w:val="none"/>
        </w:rPr>
        <w:br w:type="page"/>
      </w:r>
    </w:p>
    <w:p>
      <w:pPr>
        <w:spacing w:line="360" w:lineRule="auto"/>
        <w:rPr>
          <w:color w:val="auto"/>
          <w:highlight w:val="none"/>
        </w:rPr>
      </w:pPr>
      <w:bookmarkStart w:id="56" w:name="_GoBack"/>
      <w:bookmarkEnd w:id="56"/>
    </w:p>
    <w:p>
      <w:pPr>
        <w:pStyle w:val="3"/>
        <w:ind w:firstLine="413" w:firstLineChars="196"/>
        <w:rPr>
          <w:color w:val="auto"/>
          <w:highlight w:val="none"/>
        </w:rPr>
      </w:pPr>
      <w:r>
        <w:rPr>
          <w:rFonts w:hint="eastAsia"/>
          <w:color w:val="auto"/>
          <w:highlight w:val="none"/>
        </w:rPr>
        <w:t>附：</w:t>
      </w:r>
      <w:r>
        <w:rPr>
          <w:color w:val="auto"/>
          <w:highlight w:val="none"/>
        </w:rPr>
        <w:t>中标服务费支付承诺书</w:t>
      </w:r>
    </w:p>
    <w:p>
      <w:pPr>
        <w:rPr>
          <w:color w:val="auto"/>
          <w:highlight w:val="none"/>
        </w:rPr>
      </w:pPr>
    </w:p>
    <w:p>
      <w:pPr>
        <w:rPr>
          <w:color w:val="auto"/>
          <w:highlight w:val="none"/>
        </w:rPr>
      </w:pPr>
    </w:p>
    <w:p>
      <w:pPr>
        <w:rPr>
          <w:color w:val="auto"/>
          <w:highlight w:val="none"/>
        </w:rPr>
      </w:pPr>
    </w:p>
    <w:p>
      <w:pPr>
        <w:jc w:val="center"/>
        <w:rPr>
          <w:b/>
          <w:color w:val="auto"/>
          <w:sz w:val="28"/>
          <w:szCs w:val="28"/>
          <w:highlight w:val="none"/>
        </w:rPr>
      </w:pPr>
      <w:r>
        <w:rPr>
          <w:b/>
          <w:color w:val="auto"/>
          <w:sz w:val="28"/>
          <w:szCs w:val="28"/>
          <w:highlight w:val="none"/>
        </w:rPr>
        <w:t>中标服务费支付承诺书</w:t>
      </w:r>
    </w:p>
    <w:p>
      <w:pPr>
        <w:spacing w:line="360" w:lineRule="auto"/>
        <w:jc w:val="center"/>
        <w:rPr>
          <w:b/>
          <w:color w:val="auto"/>
          <w:sz w:val="28"/>
          <w:szCs w:val="28"/>
          <w:highlight w:val="none"/>
        </w:rPr>
      </w:pPr>
    </w:p>
    <w:p>
      <w:pPr>
        <w:pStyle w:val="3"/>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pPr>
        <w:pStyle w:val="3"/>
        <w:spacing w:line="360" w:lineRule="auto"/>
        <w:ind w:firstLine="480"/>
        <w:rPr>
          <w:rFonts w:ascii="Times New Roman" w:hAnsi="Times New Roman"/>
          <w:b w:val="0"/>
          <w:color w:val="auto"/>
          <w:sz w:val="24"/>
          <w:szCs w:val="24"/>
          <w:highlight w:val="none"/>
        </w:rPr>
      </w:pPr>
    </w:p>
    <w:p>
      <w:pPr>
        <w:pStyle w:val="3"/>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60" w:lineRule="auto"/>
        <w:jc w:val="right"/>
        <w:rPr>
          <w:color w:val="auto"/>
          <w:spacing w:val="20"/>
          <w:highlight w:val="none"/>
          <w:u w:val="single"/>
        </w:rPr>
      </w:pPr>
    </w:p>
    <w:p>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sz w:val="24"/>
          <w:highlight w:val="none"/>
        </w:rPr>
      </w:pPr>
    </w:p>
    <w:p>
      <w:pPr>
        <w:pStyle w:val="425"/>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pPr>
        <w:pStyle w:val="425"/>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pPr>
        <w:pStyle w:val="425"/>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pPr>
        <w:ind w:left="420"/>
        <w:rPr>
          <w:color w:val="auto"/>
          <w:highlight w:val="none"/>
        </w:rPr>
      </w:pPr>
    </w:p>
    <w:p>
      <w:pPr>
        <w:pStyle w:val="1011"/>
        <w:widowControl w:val="0"/>
        <w:snapToGrid w:val="0"/>
        <w:spacing w:line="500" w:lineRule="exact"/>
        <w:jc w:val="center"/>
        <w:rPr>
          <w:rFonts w:hint="default"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pPr>
        <w:pStyle w:val="1011"/>
        <w:widowControl w:val="0"/>
        <w:adjustRightInd w:val="0"/>
        <w:snapToGrid w:val="0"/>
        <w:spacing w:line="360" w:lineRule="auto"/>
        <w:jc w:val="both"/>
        <w:rPr>
          <w:rFonts w:hint="default" w:ascii="仿宋" w:hAnsi="仿宋"/>
          <w:color w:val="auto"/>
          <w:kern w:val="0"/>
          <w:szCs w:val="21"/>
          <w:highlight w:val="none"/>
          <w:u w:val="single"/>
        </w:rPr>
      </w:pPr>
    </w:p>
    <w:p>
      <w:pPr>
        <w:pStyle w:val="1011"/>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011"/>
        <w:widowControl w:val="0"/>
        <w:adjustRightInd w:val="0"/>
        <w:snapToGrid w:val="0"/>
        <w:spacing w:line="360" w:lineRule="auto"/>
        <w:ind w:firstLine="444" w:firstLineChars="200"/>
        <w:jc w:val="both"/>
        <w:rPr>
          <w:rFonts w:hint="default"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pPr>
        <w:pStyle w:val="1012"/>
        <w:widowControl/>
        <w:numPr>
          <w:ilvl w:val="0"/>
          <w:numId w:val="7"/>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12"/>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012"/>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012"/>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11"/>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01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01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01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011"/>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011"/>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011"/>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011"/>
        <w:widowControl w:val="0"/>
        <w:adjustRightInd w:val="0"/>
        <w:snapToGrid w:val="0"/>
        <w:spacing w:line="360" w:lineRule="auto"/>
        <w:ind w:firstLine="200"/>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01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012"/>
        <w:widowControl/>
        <w:numPr>
          <w:ilvl w:val="0"/>
          <w:numId w:val="8"/>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012"/>
        <w:widowControl/>
        <w:numPr>
          <w:ilvl w:val="0"/>
          <w:numId w:val="8"/>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012"/>
        <w:widowControl/>
        <w:adjustRightInd w:val="0"/>
        <w:snapToGrid w:val="0"/>
        <w:spacing w:line="360" w:lineRule="auto"/>
        <w:rPr>
          <w:rFonts w:hint="default" w:ascii="仿宋" w:hAnsi="仿宋"/>
          <w:color w:val="auto"/>
          <w:kern w:val="0"/>
          <w:szCs w:val="21"/>
          <w:highlight w:val="none"/>
        </w:rPr>
      </w:pPr>
    </w:p>
    <w:p>
      <w:pPr>
        <w:pStyle w:val="1012"/>
        <w:widowControl/>
        <w:adjustRightInd w:val="0"/>
        <w:snapToGrid w:val="0"/>
        <w:spacing w:line="360" w:lineRule="auto"/>
        <w:rPr>
          <w:rFonts w:hint="default" w:ascii="仿宋" w:hAnsi="仿宋"/>
          <w:color w:val="auto"/>
          <w:kern w:val="0"/>
          <w:szCs w:val="21"/>
          <w:highlight w:val="none"/>
        </w:rPr>
      </w:pPr>
    </w:p>
    <w:p>
      <w:pPr>
        <w:pStyle w:val="1011"/>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ascii="宋体" w:hAnsi="宋体"/>
          <w:b/>
          <w:color w:val="auto"/>
          <w:highlight w:val="none"/>
        </w:rPr>
      </w:pPr>
      <w:r>
        <w:rPr>
          <w:rFonts w:ascii="宋体" w:hAnsi="宋体"/>
          <w:b/>
          <w:color w:val="auto"/>
          <w:highlight w:val="none"/>
        </w:rPr>
        <w:t>────────────────────────────────────────</w:t>
      </w:r>
    </w:p>
    <w:p>
      <w:pPr>
        <w:spacing w:line="240" w:lineRule="atLeast"/>
        <w:jc w:val="center"/>
        <w:rPr>
          <w:rFonts w:ascii="宋体" w:hAnsi="宋体"/>
          <w:b/>
          <w:color w:val="auto"/>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pPr>
        <w:pStyle w:val="425"/>
        <w:spacing w:line="360" w:lineRule="auto"/>
        <w:ind w:left="0" w:leftChars="0" w:firstLine="629" w:firstLineChars="0"/>
        <w:rPr>
          <w:rFonts w:ascii="Times New Roman" w:hAnsi="Times New Roman"/>
          <w:b w:val="0"/>
          <w:bCs w:val="0"/>
          <w:color w:val="auto"/>
          <w:sz w:val="24"/>
          <w:szCs w:val="24"/>
          <w:highlight w:val="none"/>
        </w:rPr>
      </w:pPr>
    </w:p>
    <w:p>
      <w:pPr>
        <w:pStyle w:val="425"/>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425"/>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425"/>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748109-B274-4926-8AE7-A207782123E5}"/>
  </w:font>
  <w:font w:name="黑体">
    <w:panose1 w:val="02010609060101010101"/>
    <w:charset w:val="86"/>
    <w:family w:val="auto"/>
    <w:pitch w:val="default"/>
    <w:sig w:usb0="800002BF" w:usb1="38CF7CFA" w:usb2="00000016" w:usb3="00000000" w:csb0="00040001" w:csb1="00000000"/>
    <w:embedRegular r:id="rId2" w:fontKey="{45517C22-7D50-499B-B7AF-8F5B15BCC385}"/>
  </w:font>
  <w:font w:name="Courier New">
    <w:panose1 w:val="02070309020205020404"/>
    <w:charset w:val="01"/>
    <w:family w:val="modern"/>
    <w:pitch w:val="default"/>
    <w:sig w:usb0="E0002EFF" w:usb1="C0007843" w:usb2="00000009" w:usb3="00000000" w:csb0="400001FF" w:csb1="FFFF0000"/>
    <w:embedRegular r:id="rId3" w:fontKey="{292F2634-04E8-440C-9BB2-5A307089726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ECEAC6BC-F6ED-4A60-8089-BF505B9CEE6E}"/>
  </w:font>
  <w:font w:name="华文中宋">
    <w:panose1 w:val="02010600040101010101"/>
    <w:charset w:val="86"/>
    <w:family w:val="auto"/>
    <w:pitch w:val="default"/>
    <w:sig w:usb0="00000287" w:usb1="080F0000" w:usb2="00000000" w:usb3="00000000" w:csb0="0004009F" w:csb1="DFD70000"/>
    <w:embedRegular r:id="rId5" w:fontKey="{AFF9A4B8-EC79-457D-B6FD-6BDFCEC2F01E}"/>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Batang">
    <w:altName w:val="Malgun Gothic"/>
    <w:panose1 w:val="02030600000101010101"/>
    <w:charset w:val="81"/>
    <w:family w:val="auto"/>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Noto Sans SC"/>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Yu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Segoe Print"/>
    <w:panose1 w:val="00000000000000000000"/>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Noto Sans SC"/>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Noto Sans SC"/>
    <w:panose1 w:val="00000000000000000000"/>
    <w:charset w:val="00"/>
    <w:family w:val="auto"/>
    <w:pitch w:val="default"/>
    <w:sig w:usb0="00000000" w:usb1="00000000" w:usb2="00000000" w:usb3="00000000" w:csb0="00040001" w:csb1="00000000"/>
  </w:font>
  <w:font w:name="sө">
    <w:altName w:val="Noto Sans SC"/>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Noto Sans SC"/>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8000012" w:usb3="00000000" w:csb0="4002009F" w:csb1="DFD70000"/>
    <w:embedRegular r:id="rId6" w:fontKey="{4AF0A829-754D-4072-93E5-1DF6D388211C}"/>
  </w:font>
  <w:font w:name="仿宋">
    <w:panose1 w:val="02010609060101010101"/>
    <w:charset w:val="86"/>
    <w:family w:val="modern"/>
    <w:pitch w:val="default"/>
    <w:sig w:usb0="800002BF" w:usb1="38CF7CFA" w:usb2="00000016" w:usb3="00000000" w:csb0="00040001" w:csb1="00000000"/>
    <w:embedRegular r:id="rId7" w:fontKey="{EC1BE639-457B-4212-BCA8-41864F740FED}"/>
  </w:font>
  <w:font w:name="方正小标宋简体">
    <w:panose1 w:val="02010600010101010101"/>
    <w:charset w:val="86"/>
    <w:family w:val="script"/>
    <w:pitch w:val="default"/>
    <w:sig w:usb0="00000001" w:usb1="080E0000" w:usb2="00000000" w:usb3="00000000" w:csb0="00040000" w:csb1="00000000"/>
    <w:embedRegular r:id="rId8" w:fontKey="{C3F39F6C-1CFD-44B5-8302-3EEE3EE8385E}"/>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Noto Sans SC">
    <w:panose1 w:val="020B0200000000000000"/>
    <w:charset w:val="86"/>
    <w:family w:val="auto"/>
    <w:pitch w:val="default"/>
    <w:sig w:usb0="20000083" w:usb1="2ADF3C10" w:usb2="00000016" w:usb3="00000000" w:csb0="60060107"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rFonts w:hint="eastAsia"/>
      </w:rPr>
      <w:t>第</w:t>
    </w:r>
    <w:r>
      <w:fldChar w:fldCharType="begin"/>
    </w:r>
    <w:r>
      <w:instrText xml:space="preserve"> PAGE   \* MERGEFORMAT </w:instrText>
    </w:r>
    <w:r>
      <w:fldChar w:fldCharType="separate"/>
    </w:r>
    <w:r>
      <w:rPr>
        <w:lang w:val="zh-CN"/>
      </w:rPr>
      <w:t>42</w:t>
    </w:r>
    <w:r>
      <w:rPr>
        <w:lang w:val="zh-CN"/>
      </w:rPr>
      <w:fldChar w:fldCharType="end"/>
    </w:r>
    <w:r>
      <w:rPr>
        <w:rFonts w:hint="eastAsia"/>
      </w:rPr>
      <w:t>页，共</w:t>
    </w:r>
    <w:r>
      <w:fldChar w:fldCharType="begin"/>
    </w:r>
    <w:r>
      <w:instrText xml:space="preserve"> NUMPAGES   \* MERGEFORMAT </w:instrText>
    </w:r>
    <w:r>
      <w:fldChar w:fldCharType="separate"/>
    </w:r>
    <w:r>
      <w:t>69</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85"/>
      </w:rPr>
    </w:pPr>
    <w:r>
      <w:fldChar w:fldCharType="begin"/>
    </w:r>
    <w:r>
      <w:rPr>
        <w:rStyle w:val="85"/>
      </w:rPr>
      <w:instrText xml:space="preserve">PAGE  </w:instrText>
    </w:r>
    <w:r>
      <w:fldChar w:fldCharType="end"/>
    </w:r>
  </w:p>
  <w:p>
    <w:pPr>
      <w:pStyle w:val="5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pStyle w:val="1337"/>
      <w:lvlText w:val="%3."/>
      <w:lvlJc w:val="left"/>
      <w:pPr>
        <w:ind w:left="440" w:hanging="440"/>
      </w:p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76CEC23"/>
    <w:multiLevelType w:val="singleLevel"/>
    <w:tmpl w:val="576CEC23"/>
    <w:lvl w:ilvl="0" w:tentative="0">
      <w:start w:val="1"/>
      <w:numFmt w:val="chineseCounting"/>
      <w:suff w:val="space"/>
      <w:lvlText w:val="第%1条"/>
      <w:lvlJc w:val="left"/>
    </w:lvl>
  </w:abstractNum>
  <w:abstractNum w:abstractNumId="7">
    <w:nsid w:val="576CEFE9"/>
    <w:multiLevelType w:val="singleLevel"/>
    <w:tmpl w:val="576CEFE9"/>
    <w:lvl w:ilvl="0" w:tentative="0">
      <w:start w:val="1"/>
      <w:numFmt w:val="chineseCounting"/>
      <w:suff w:val="nothing"/>
      <w:lvlText w:val="（%1）"/>
      <w:lvlJc w:val="left"/>
    </w:lvl>
  </w:abstractNum>
  <w:num w:numId="1">
    <w:abstractNumId w:val="3"/>
  </w:num>
  <w:num w:numId="2">
    <w:abstractNumId w:val="6"/>
  </w:num>
  <w:num w:numId="3">
    <w:abstractNumId w:val="7"/>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531B"/>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1980"/>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3617"/>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04DE"/>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0B1C"/>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18A5"/>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87A30"/>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E5C35"/>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3E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4FF5"/>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579D3"/>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6F506D"/>
    <w:rsid w:val="007034D2"/>
    <w:rsid w:val="00704293"/>
    <w:rsid w:val="00705036"/>
    <w:rsid w:val="007173F7"/>
    <w:rsid w:val="00717B8F"/>
    <w:rsid w:val="007252A1"/>
    <w:rsid w:val="00726F6C"/>
    <w:rsid w:val="0073041A"/>
    <w:rsid w:val="00736ACE"/>
    <w:rsid w:val="00743012"/>
    <w:rsid w:val="00745207"/>
    <w:rsid w:val="00745EDC"/>
    <w:rsid w:val="00745FA4"/>
    <w:rsid w:val="00746894"/>
    <w:rsid w:val="00750938"/>
    <w:rsid w:val="0075205C"/>
    <w:rsid w:val="0075333A"/>
    <w:rsid w:val="0075463B"/>
    <w:rsid w:val="00756050"/>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04D"/>
    <w:rsid w:val="00822334"/>
    <w:rsid w:val="00823D2A"/>
    <w:rsid w:val="00825DF3"/>
    <w:rsid w:val="008276E6"/>
    <w:rsid w:val="008319A0"/>
    <w:rsid w:val="00833006"/>
    <w:rsid w:val="00835349"/>
    <w:rsid w:val="00840350"/>
    <w:rsid w:val="0084058A"/>
    <w:rsid w:val="00842BA6"/>
    <w:rsid w:val="00845B44"/>
    <w:rsid w:val="00851042"/>
    <w:rsid w:val="0085151B"/>
    <w:rsid w:val="008526E1"/>
    <w:rsid w:val="008531F6"/>
    <w:rsid w:val="00855D6E"/>
    <w:rsid w:val="00861971"/>
    <w:rsid w:val="00861DD2"/>
    <w:rsid w:val="00862FEC"/>
    <w:rsid w:val="00864CF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6CF5"/>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0ED3"/>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4878"/>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1DAF"/>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0EF8"/>
    <w:rsid w:val="00B316F0"/>
    <w:rsid w:val="00B32CBC"/>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E4C9D"/>
    <w:rsid w:val="00BF00D3"/>
    <w:rsid w:val="00BF21B9"/>
    <w:rsid w:val="00BF51B8"/>
    <w:rsid w:val="00C020E1"/>
    <w:rsid w:val="00C02518"/>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67DD9"/>
    <w:rsid w:val="00C70BD0"/>
    <w:rsid w:val="00C73E71"/>
    <w:rsid w:val="00C7513A"/>
    <w:rsid w:val="00C77CA4"/>
    <w:rsid w:val="00C83759"/>
    <w:rsid w:val="00C84CDC"/>
    <w:rsid w:val="00C854D7"/>
    <w:rsid w:val="00C86AD0"/>
    <w:rsid w:val="00C875B4"/>
    <w:rsid w:val="00C87800"/>
    <w:rsid w:val="00C903F1"/>
    <w:rsid w:val="00C951F1"/>
    <w:rsid w:val="00C97D64"/>
    <w:rsid w:val="00CA249D"/>
    <w:rsid w:val="00CA334E"/>
    <w:rsid w:val="00CA7C91"/>
    <w:rsid w:val="00CB4073"/>
    <w:rsid w:val="00CC0F80"/>
    <w:rsid w:val="00CC3EBE"/>
    <w:rsid w:val="00CC4589"/>
    <w:rsid w:val="00CC6CFB"/>
    <w:rsid w:val="00CD0E8C"/>
    <w:rsid w:val="00CD2764"/>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1DAB"/>
    <w:rsid w:val="00D33062"/>
    <w:rsid w:val="00D370CB"/>
    <w:rsid w:val="00D40B6E"/>
    <w:rsid w:val="00D52C2F"/>
    <w:rsid w:val="00D52CA9"/>
    <w:rsid w:val="00D5325C"/>
    <w:rsid w:val="00D566BF"/>
    <w:rsid w:val="00D61117"/>
    <w:rsid w:val="00D63AB7"/>
    <w:rsid w:val="00D6452D"/>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51A3"/>
    <w:rsid w:val="00E363B2"/>
    <w:rsid w:val="00E463FC"/>
    <w:rsid w:val="00E47124"/>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3C91"/>
    <w:rsid w:val="00EB7937"/>
    <w:rsid w:val="00EC033F"/>
    <w:rsid w:val="00EC05F1"/>
    <w:rsid w:val="00EC2A01"/>
    <w:rsid w:val="00EC30DB"/>
    <w:rsid w:val="00EC7636"/>
    <w:rsid w:val="00ED07D6"/>
    <w:rsid w:val="00ED2DF7"/>
    <w:rsid w:val="00ED39C0"/>
    <w:rsid w:val="00ED4649"/>
    <w:rsid w:val="00ED5151"/>
    <w:rsid w:val="00EE2634"/>
    <w:rsid w:val="00EE47A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18ED"/>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E7DEE"/>
    <w:rsid w:val="01E57458"/>
    <w:rsid w:val="025021B0"/>
    <w:rsid w:val="02701D4F"/>
    <w:rsid w:val="027D4BD3"/>
    <w:rsid w:val="027F54D2"/>
    <w:rsid w:val="02BC1AB4"/>
    <w:rsid w:val="02E551B1"/>
    <w:rsid w:val="035A09D6"/>
    <w:rsid w:val="03675A66"/>
    <w:rsid w:val="036B1671"/>
    <w:rsid w:val="03B065CF"/>
    <w:rsid w:val="03DD07C4"/>
    <w:rsid w:val="04286F11"/>
    <w:rsid w:val="042C703E"/>
    <w:rsid w:val="04953042"/>
    <w:rsid w:val="04966335"/>
    <w:rsid w:val="04B47FD5"/>
    <w:rsid w:val="04BF76D0"/>
    <w:rsid w:val="04D44D2B"/>
    <w:rsid w:val="04E47902"/>
    <w:rsid w:val="04E9263C"/>
    <w:rsid w:val="05102AB7"/>
    <w:rsid w:val="05171224"/>
    <w:rsid w:val="05504736"/>
    <w:rsid w:val="059A6A00"/>
    <w:rsid w:val="059C797B"/>
    <w:rsid w:val="05D10289"/>
    <w:rsid w:val="05D51295"/>
    <w:rsid w:val="05F45A09"/>
    <w:rsid w:val="05FC4B31"/>
    <w:rsid w:val="06516AB3"/>
    <w:rsid w:val="066E1BC1"/>
    <w:rsid w:val="066F12AC"/>
    <w:rsid w:val="06B04863"/>
    <w:rsid w:val="06B66A52"/>
    <w:rsid w:val="06C66263"/>
    <w:rsid w:val="06E81CB3"/>
    <w:rsid w:val="0709430D"/>
    <w:rsid w:val="07174E15"/>
    <w:rsid w:val="07194A8A"/>
    <w:rsid w:val="07235967"/>
    <w:rsid w:val="07480532"/>
    <w:rsid w:val="077245B7"/>
    <w:rsid w:val="078C68AE"/>
    <w:rsid w:val="08156C5F"/>
    <w:rsid w:val="081B0A49"/>
    <w:rsid w:val="08532874"/>
    <w:rsid w:val="089E3906"/>
    <w:rsid w:val="08BB5F3A"/>
    <w:rsid w:val="08DB6AEA"/>
    <w:rsid w:val="08E66C79"/>
    <w:rsid w:val="08F12EFD"/>
    <w:rsid w:val="0936334E"/>
    <w:rsid w:val="093D307F"/>
    <w:rsid w:val="09483F2F"/>
    <w:rsid w:val="09523E33"/>
    <w:rsid w:val="097A7B9C"/>
    <w:rsid w:val="098212A7"/>
    <w:rsid w:val="098F0DC8"/>
    <w:rsid w:val="09DB0564"/>
    <w:rsid w:val="0A117934"/>
    <w:rsid w:val="0A1A4C1C"/>
    <w:rsid w:val="0A3F5346"/>
    <w:rsid w:val="0A404C49"/>
    <w:rsid w:val="0A582796"/>
    <w:rsid w:val="0A8F3EBD"/>
    <w:rsid w:val="0AA57275"/>
    <w:rsid w:val="0AB71BC3"/>
    <w:rsid w:val="0ABF34B5"/>
    <w:rsid w:val="0ABF4D02"/>
    <w:rsid w:val="0B005796"/>
    <w:rsid w:val="0B141A6B"/>
    <w:rsid w:val="0B1E411A"/>
    <w:rsid w:val="0B261DB4"/>
    <w:rsid w:val="0B571229"/>
    <w:rsid w:val="0B622414"/>
    <w:rsid w:val="0B7427DE"/>
    <w:rsid w:val="0BFC81D6"/>
    <w:rsid w:val="0C241F11"/>
    <w:rsid w:val="0C332387"/>
    <w:rsid w:val="0C3E5745"/>
    <w:rsid w:val="0C5E5473"/>
    <w:rsid w:val="0C751537"/>
    <w:rsid w:val="0C8A134F"/>
    <w:rsid w:val="0C99082D"/>
    <w:rsid w:val="0CA1164E"/>
    <w:rsid w:val="0CB16030"/>
    <w:rsid w:val="0D503887"/>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33F05"/>
    <w:rsid w:val="0FF859FC"/>
    <w:rsid w:val="10005238"/>
    <w:rsid w:val="10205710"/>
    <w:rsid w:val="1053428F"/>
    <w:rsid w:val="10721882"/>
    <w:rsid w:val="10876A88"/>
    <w:rsid w:val="108825E2"/>
    <w:rsid w:val="108F4FB1"/>
    <w:rsid w:val="10A219FE"/>
    <w:rsid w:val="10E213DC"/>
    <w:rsid w:val="10ED2640"/>
    <w:rsid w:val="116414B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50045AA"/>
    <w:rsid w:val="152D239E"/>
    <w:rsid w:val="15B7436C"/>
    <w:rsid w:val="15DA25E1"/>
    <w:rsid w:val="164C3BAB"/>
    <w:rsid w:val="166C5148"/>
    <w:rsid w:val="167E6870"/>
    <w:rsid w:val="16AB3EC2"/>
    <w:rsid w:val="16E37952"/>
    <w:rsid w:val="16EC0E5F"/>
    <w:rsid w:val="16F531DD"/>
    <w:rsid w:val="17034493"/>
    <w:rsid w:val="171777E9"/>
    <w:rsid w:val="171D66D9"/>
    <w:rsid w:val="175E11BC"/>
    <w:rsid w:val="17671434"/>
    <w:rsid w:val="17745B06"/>
    <w:rsid w:val="177F55E5"/>
    <w:rsid w:val="178D2752"/>
    <w:rsid w:val="178F4BF9"/>
    <w:rsid w:val="17B13632"/>
    <w:rsid w:val="17D3661F"/>
    <w:rsid w:val="17D36975"/>
    <w:rsid w:val="17F23AAF"/>
    <w:rsid w:val="18027B12"/>
    <w:rsid w:val="1803292B"/>
    <w:rsid w:val="181A4065"/>
    <w:rsid w:val="188B0A95"/>
    <w:rsid w:val="189431DD"/>
    <w:rsid w:val="189A44B4"/>
    <w:rsid w:val="18C20594"/>
    <w:rsid w:val="19286E57"/>
    <w:rsid w:val="192F0878"/>
    <w:rsid w:val="196A224C"/>
    <w:rsid w:val="199D5859"/>
    <w:rsid w:val="199F72D4"/>
    <w:rsid w:val="19C203BC"/>
    <w:rsid w:val="19E25516"/>
    <w:rsid w:val="19EC4697"/>
    <w:rsid w:val="1A3062CC"/>
    <w:rsid w:val="1A512F81"/>
    <w:rsid w:val="1A597CB2"/>
    <w:rsid w:val="1A5A6F3A"/>
    <w:rsid w:val="1A6151E2"/>
    <w:rsid w:val="1A6604FC"/>
    <w:rsid w:val="1A915E95"/>
    <w:rsid w:val="1A942330"/>
    <w:rsid w:val="1A9D4B91"/>
    <w:rsid w:val="1AC41C38"/>
    <w:rsid w:val="1ACC119E"/>
    <w:rsid w:val="1AE2543D"/>
    <w:rsid w:val="1AFE4788"/>
    <w:rsid w:val="1B064E2C"/>
    <w:rsid w:val="1B332719"/>
    <w:rsid w:val="1B4A3CA9"/>
    <w:rsid w:val="1BB2268A"/>
    <w:rsid w:val="1BD614EF"/>
    <w:rsid w:val="1BE44C56"/>
    <w:rsid w:val="1C494E2D"/>
    <w:rsid w:val="1C530140"/>
    <w:rsid w:val="1C6F45A1"/>
    <w:rsid w:val="1C9B7607"/>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20A2A9C"/>
    <w:rsid w:val="22471176"/>
    <w:rsid w:val="22597EF7"/>
    <w:rsid w:val="22791B01"/>
    <w:rsid w:val="22B932C2"/>
    <w:rsid w:val="22D37274"/>
    <w:rsid w:val="22E569AE"/>
    <w:rsid w:val="22E6302E"/>
    <w:rsid w:val="22F20284"/>
    <w:rsid w:val="230E7C34"/>
    <w:rsid w:val="233D697C"/>
    <w:rsid w:val="23445D0F"/>
    <w:rsid w:val="234D5DCC"/>
    <w:rsid w:val="23723E79"/>
    <w:rsid w:val="239A38BA"/>
    <w:rsid w:val="239E037C"/>
    <w:rsid w:val="239F6981"/>
    <w:rsid w:val="23E427C1"/>
    <w:rsid w:val="242D4E41"/>
    <w:rsid w:val="243E62FB"/>
    <w:rsid w:val="246F22A9"/>
    <w:rsid w:val="247F3DCD"/>
    <w:rsid w:val="249D355D"/>
    <w:rsid w:val="24A73E00"/>
    <w:rsid w:val="24D91672"/>
    <w:rsid w:val="24DD0AC2"/>
    <w:rsid w:val="25551BC9"/>
    <w:rsid w:val="256E2C8A"/>
    <w:rsid w:val="257029C6"/>
    <w:rsid w:val="259C7FB2"/>
    <w:rsid w:val="25DE3AF5"/>
    <w:rsid w:val="260E207E"/>
    <w:rsid w:val="261256B8"/>
    <w:rsid w:val="262E7CAB"/>
    <w:rsid w:val="26821442"/>
    <w:rsid w:val="26D8257F"/>
    <w:rsid w:val="26DD1E74"/>
    <w:rsid w:val="275D2FB6"/>
    <w:rsid w:val="276D259D"/>
    <w:rsid w:val="27A02EA3"/>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B261EE"/>
    <w:rsid w:val="2A1A7E2E"/>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F1231F"/>
    <w:rsid w:val="2DF3280D"/>
    <w:rsid w:val="2E041B65"/>
    <w:rsid w:val="2E0A72C8"/>
    <w:rsid w:val="2E11316D"/>
    <w:rsid w:val="2E3503AF"/>
    <w:rsid w:val="2E4044AC"/>
    <w:rsid w:val="2E494A56"/>
    <w:rsid w:val="2E5073D1"/>
    <w:rsid w:val="2E580034"/>
    <w:rsid w:val="2E586286"/>
    <w:rsid w:val="2E6D7772"/>
    <w:rsid w:val="2EA8720D"/>
    <w:rsid w:val="2EBF18BB"/>
    <w:rsid w:val="2ED05F2C"/>
    <w:rsid w:val="2EFE3960"/>
    <w:rsid w:val="2F2C584A"/>
    <w:rsid w:val="2F5D538B"/>
    <w:rsid w:val="2F5F051D"/>
    <w:rsid w:val="2FAE3959"/>
    <w:rsid w:val="2FE921F8"/>
    <w:rsid w:val="30137C59"/>
    <w:rsid w:val="3050602F"/>
    <w:rsid w:val="305C2F7D"/>
    <w:rsid w:val="30640398"/>
    <w:rsid w:val="308B5E1C"/>
    <w:rsid w:val="30D31646"/>
    <w:rsid w:val="30F027A5"/>
    <w:rsid w:val="31056B6D"/>
    <w:rsid w:val="314D37F5"/>
    <w:rsid w:val="31A035F2"/>
    <w:rsid w:val="31FC0ED4"/>
    <w:rsid w:val="32067705"/>
    <w:rsid w:val="323F58AE"/>
    <w:rsid w:val="325025F3"/>
    <w:rsid w:val="32615633"/>
    <w:rsid w:val="32742131"/>
    <w:rsid w:val="32A92715"/>
    <w:rsid w:val="33673093"/>
    <w:rsid w:val="33A15FD9"/>
    <w:rsid w:val="33A91C3C"/>
    <w:rsid w:val="33B658A8"/>
    <w:rsid w:val="340547BA"/>
    <w:rsid w:val="349B24EF"/>
    <w:rsid w:val="34AC53F9"/>
    <w:rsid w:val="34C207E6"/>
    <w:rsid w:val="34DA1676"/>
    <w:rsid w:val="3566198E"/>
    <w:rsid w:val="3667350A"/>
    <w:rsid w:val="367459FA"/>
    <w:rsid w:val="368D569B"/>
    <w:rsid w:val="36B43069"/>
    <w:rsid w:val="36C64AEF"/>
    <w:rsid w:val="36F0462C"/>
    <w:rsid w:val="3722036D"/>
    <w:rsid w:val="376004E6"/>
    <w:rsid w:val="3787690D"/>
    <w:rsid w:val="37A87D59"/>
    <w:rsid w:val="37B657CF"/>
    <w:rsid w:val="37FE2C92"/>
    <w:rsid w:val="386F1ED9"/>
    <w:rsid w:val="38D440A8"/>
    <w:rsid w:val="38D70119"/>
    <w:rsid w:val="38D7371C"/>
    <w:rsid w:val="38D92525"/>
    <w:rsid w:val="391600CF"/>
    <w:rsid w:val="39797C10"/>
    <w:rsid w:val="39B134BA"/>
    <w:rsid w:val="39B23B55"/>
    <w:rsid w:val="3A305C0C"/>
    <w:rsid w:val="3A397757"/>
    <w:rsid w:val="3A3D3237"/>
    <w:rsid w:val="3A6A405B"/>
    <w:rsid w:val="3A76539D"/>
    <w:rsid w:val="3AA87897"/>
    <w:rsid w:val="3AEC6902"/>
    <w:rsid w:val="3B1479D8"/>
    <w:rsid w:val="3B21771E"/>
    <w:rsid w:val="3B310402"/>
    <w:rsid w:val="3B32226E"/>
    <w:rsid w:val="3B416603"/>
    <w:rsid w:val="3B5C1708"/>
    <w:rsid w:val="3B6C0D61"/>
    <w:rsid w:val="3B716BD9"/>
    <w:rsid w:val="3BDC376F"/>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71F82"/>
    <w:rsid w:val="3FC06C64"/>
    <w:rsid w:val="3FF5BC50"/>
    <w:rsid w:val="40081B56"/>
    <w:rsid w:val="400A4834"/>
    <w:rsid w:val="40201F22"/>
    <w:rsid w:val="40642868"/>
    <w:rsid w:val="40671125"/>
    <w:rsid w:val="40A1518E"/>
    <w:rsid w:val="40F04293"/>
    <w:rsid w:val="40F41AF4"/>
    <w:rsid w:val="41087975"/>
    <w:rsid w:val="41372A17"/>
    <w:rsid w:val="416F7716"/>
    <w:rsid w:val="418040B9"/>
    <w:rsid w:val="41B6305A"/>
    <w:rsid w:val="42145BD1"/>
    <w:rsid w:val="4234724D"/>
    <w:rsid w:val="42421985"/>
    <w:rsid w:val="42925CEB"/>
    <w:rsid w:val="429D4825"/>
    <w:rsid w:val="42C00723"/>
    <w:rsid w:val="42D355FF"/>
    <w:rsid w:val="42EB034A"/>
    <w:rsid w:val="43120CA1"/>
    <w:rsid w:val="43384391"/>
    <w:rsid w:val="4359650D"/>
    <w:rsid w:val="43B02F88"/>
    <w:rsid w:val="43CE3D3A"/>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5F3743"/>
    <w:rsid w:val="46A55988"/>
    <w:rsid w:val="46AE08B3"/>
    <w:rsid w:val="46B81B60"/>
    <w:rsid w:val="46BB00AD"/>
    <w:rsid w:val="46E91893"/>
    <w:rsid w:val="470E2BF1"/>
    <w:rsid w:val="472D7CF0"/>
    <w:rsid w:val="474927B8"/>
    <w:rsid w:val="47BF0B21"/>
    <w:rsid w:val="47E2786B"/>
    <w:rsid w:val="47EE05D5"/>
    <w:rsid w:val="47F156B8"/>
    <w:rsid w:val="4800556C"/>
    <w:rsid w:val="483978C3"/>
    <w:rsid w:val="48A779AB"/>
    <w:rsid w:val="48B93B9B"/>
    <w:rsid w:val="48BF71D5"/>
    <w:rsid w:val="48EF6AE9"/>
    <w:rsid w:val="49003C7E"/>
    <w:rsid w:val="490C0EAD"/>
    <w:rsid w:val="4919240C"/>
    <w:rsid w:val="493807D9"/>
    <w:rsid w:val="495378C4"/>
    <w:rsid w:val="49C63C2B"/>
    <w:rsid w:val="49F8118A"/>
    <w:rsid w:val="4A2607DD"/>
    <w:rsid w:val="4A37573B"/>
    <w:rsid w:val="4A7E7653"/>
    <w:rsid w:val="4ACD594D"/>
    <w:rsid w:val="4B8802BD"/>
    <w:rsid w:val="4BB502F8"/>
    <w:rsid w:val="4BC17AB6"/>
    <w:rsid w:val="4C021709"/>
    <w:rsid w:val="4C081969"/>
    <w:rsid w:val="4C421C43"/>
    <w:rsid w:val="4C475202"/>
    <w:rsid w:val="4C5603C6"/>
    <w:rsid w:val="4CBD39C5"/>
    <w:rsid w:val="4CF4336D"/>
    <w:rsid w:val="4CFD5677"/>
    <w:rsid w:val="4D16313C"/>
    <w:rsid w:val="4D1C4537"/>
    <w:rsid w:val="4D853C2C"/>
    <w:rsid w:val="4DDA28BA"/>
    <w:rsid w:val="4DE832FD"/>
    <w:rsid w:val="4DEB6C03"/>
    <w:rsid w:val="4E377211"/>
    <w:rsid w:val="4E3844BD"/>
    <w:rsid w:val="4E811958"/>
    <w:rsid w:val="4E8934AF"/>
    <w:rsid w:val="4F195165"/>
    <w:rsid w:val="4F514ABF"/>
    <w:rsid w:val="4F8F3A41"/>
    <w:rsid w:val="4FBA7C05"/>
    <w:rsid w:val="4FC32DBB"/>
    <w:rsid w:val="4FEF9DBE"/>
    <w:rsid w:val="50310CCE"/>
    <w:rsid w:val="5033343F"/>
    <w:rsid w:val="50736CC9"/>
    <w:rsid w:val="50812FC2"/>
    <w:rsid w:val="50A218B6"/>
    <w:rsid w:val="50AE4ED2"/>
    <w:rsid w:val="50C067C0"/>
    <w:rsid w:val="50D9276D"/>
    <w:rsid w:val="514379B7"/>
    <w:rsid w:val="51494E7A"/>
    <w:rsid w:val="51CA03FD"/>
    <w:rsid w:val="51FF5298"/>
    <w:rsid w:val="520768B1"/>
    <w:rsid w:val="527348CC"/>
    <w:rsid w:val="5299079A"/>
    <w:rsid w:val="52A02067"/>
    <w:rsid w:val="52DB5CCA"/>
    <w:rsid w:val="52DF2079"/>
    <w:rsid w:val="52E8017F"/>
    <w:rsid w:val="53183FEB"/>
    <w:rsid w:val="537A5F9E"/>
    <w:rsid w:val="53895230"/>
    <w:rsid w:val="53972DC5"/>
    <w:rsid w:val="53D446F2"/>
    <w:rsid w:val="53D651EE"/>
    <w:rsid w:val="53DF706D"/>
    <w:rsid w:val="54A30F3B"/>
    <w:rsid w:val="54B11BE0"/>
    <w:rsid w:val="54D173E9"/>
    <w:rsid w:val="54E83D10"/>
    <w:rsid w:val="55603BFD"/>
    <w:rsid w:val="55AF5D23"/>
    <w:rsid w:val="55C65606"/>
    <w:rsid w:val="55F15CA9"/>
    <w:rsid w:val="56151579"/>
    <w:rsid w:val="561612F7"/>
    <w:rsid w:val="56420ABE"/>
    <w:rsid w:val="56804FD9"/>
    <w:rsid w:val="569B776C"/>
    <w:rsid w:val="56A60ECA"/>
    <w:rsid w:val="56C65BD3"/>
    <w:rsid w:val="56F244F8"/>
    <w:rsid w:val="56FA6BBD"/>
    <w:rsid w:val="570C114E"/>
    <w:rsid w:val="5747117A"/>
    <w:rsid w:val="57636E58"/>
    <w:rsid w:val="57646851"/>
    <w:rsid w:val="577371ED"/>
    <w:rsid w:val="57F45321"/>
    <w:rsid w:val="580123D8"/>
    <w:rsid w:val="581030F7"/>
    <w:rsid w:val="5814471C"/>
    <w:rsid w:val="58D31AE6"/>
    <w:rsid w:val="58D9595A"/>
    <w:rsid w:val="58E93781"/>
    <w:rsid w:val="598B63C8"/>
    <w:rsid w:val="59993FB7"/>
    <w:rsid w:val="59A3389A"/>
    <w:rsid w:val="59C821CB"/>
    <w:rsid w:val="5A034DE3"/>
    <w:rsid w:val="5A551748"/>
    <w:rsid w:val="5A6C6043"/>
    <w:rsid w:val="5A83065D"/>
    <w:rsid w:val="5A851489"/>
    <w:rsid w:val="5A944F82"/>
    <w:rsid w:val="5AAF1CD4"/>
    <w:rsid w:val="5AE46ECC"/>
    <w:rsid w:val="5B0E0334"/>
    <w:rsid w:val="5B0F67EC"/>
    <w:rsid w:val="5B162C0A"/>
    <w:rsid w:val="5B254C44"/>
    <w:rsid w:val="5B27321E"/>
    <w:rsid w:val="5B345677"/>
    <w:rsid w:val="5B9C2F9E"/>
    <w:rsid w:val="5B9E3BDB"/>
    <w:rsid w:val="5BA05FCF"/>
    <w:rsid w:val="5BCC5EF2"/>
    <w:rsid w:val="5BEE0CC1"/>
    <w:rsid w:val="5C0C5C12"/>
    <w:rsid w:val="5C247641"/>
    <w:rsid w:val="5C471E16"/>
    <w:rsid w:val="5CE05656"/>
    <w:rsid w:val="5D026AB5"/>
    <w:rsid w:val="5D0336DD"/>
    <w:rsid w:val="5D207771"/>
    <w:rsid w:val="5D4015CD"/>
    <w:rsid w:val="5D440FA8"/>
    <w:rsid w:val="5D5B51F7"/>
    <w:rsid w:val="5D7001A8"/>
    <w:rsid w:val="5D7762F3"/>
    <w:rsid w:val="5DA84DC4"/>
    <w:rsid w:val="5DB113F6"/>
    <w:rsid w:val="5DD46E27"/>
    <w:rsid w:val="5DDA6C00"/>
    <w:rsid w:val="5E2B7C9F"/>
    <w:rsid w:val="5EB47EC0"/>
    <w:rsid w:val="5EB546FA"/>
    <w:rsid w:val="5FB47823"/>
    <w:rsid w:val="5FF385FB"/>
    <w:rsid w:val="60114363"/>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E1341"/>
    <w:rsid w:val="616F187C"/>
    <w:rsid w:val="61D94730"/>
    <w:rsid w:val="620677CB"/>
    <w:rsid w:val="620C1FE5"/>
    <w:rsid w:val="62B74308"/>
    <w:rsid w:val="62DE2DEB"/>
    <w:rsid w:val="62E418BB"/>
    <w:rsid w:val="62ED4D68"/>
    <w:rsid w:val="63024F4B"/>
    <w:rsid w:val="6342167E"/>
    <w:rsid w:val="634A0090"/>
    <w:rsid w:val="63897A72"/>
    <w:rsid w:val="63FF2C9A"/>
    <w:rsid w:val="640226E3"/>
    <w:rsid w:val="641A59B7"/>
    <w:rsid w:val="641D7091"/>
    <w:rsid w:val="6466389A"/>
    <w:rsid w:val="64684698"/>
    <w:rsid w:val="646C75AA"/>
    <w:rsid w:val="64905406"/>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B11670"/>
    <w:rsid w:val="69F509F8"/>
    <w:rsid w:val="6A0C2394"/>
    <w:rsid w:val="6A1B5FC9"/>
    <w:rsid w:val="6A282F05"/>
    <w:rsid w:val="6A5FC163"/>
    <w:rsid w:val="6A6133C5"/>
    <w:rsid w:val="6A7E3830"/>
    <w:rsid w:val="6B347DAA"/>
    <w:rsid w:val="6B4D0511"/>
    <w:rsid w:val="6B733D98"/>
    <w:rsid w:val="6B744878"/>
    <w:rsid w:val="6B786613"/>
    <w:rsid w:val="6B796189"/>
    <w:rsid w:val="6B9FCCDE"/>
    <w:rsid w:val="6BB63811"/>
    <w:rsid w:val="6BE22CEF"/>
    <w:rsid w:val="6BE50759"/>
    <w:rsid w:val="6BF516F4"/>
    <w:rsid w:val="6C197F0F"/>
    <w:rsid w:val="6C1D2F02"/>
    <w:rsid w:val="6C2E4645"/>
    <w:rsid w:val="6C3F1329"/>
    <w:rsid w:val="6C407070"/>
    <w:rsid w:val="6CBC5656"/>
    <w:rsid w:val="6D067661"/>
    <w:rsid w:val="6D1709F7"/>
    <w:rsid w:val="6D746D80"/>
    <w:rsid w:val="6D77E5CD"/>
    <w:rsid w:val="6D9B27F2"/>
    <w:rsid w:val="6DB43319"/>
    <w:rsid w:val="6DBE774E"/>
    <w:rsid w:val="6DC9002B"/>
    <w:rsid w:val="6DD853F1"/>
    <w:rsid w:val="6DDF5F56"/>
    <w:rsid w:val="6E862360"/>
    <w:rsid w:val="6E955D30"/>
    <w:rsid w:val="6EAD16FA"/>
    <w:rsid w:val="6EBF4F8A"/>
    <w:rsid w:val="6EC96B93"/>
    <w:rsid w:val="6ECA20EF"/>
    <w:rsid w:val="6EDB736C"/>
    <w:rsid w:val="6EE5601A"/>
    <w:rsid w:val="6EE60B30"/>
    <w:rsid w:val="6F033087"/>
    <w:rsid w:val="6F0F2F46"/>
    <w:rsid w:val="6F120EF8"/>
    <w:rsid w:val="6F430DD8"/>
    <w:rsid w:val="6FA10952"/>
    <w:rsid w:val="6FAF0C75"/>
    <w:rsid w:val="6FF167F1"/>
    <w:rsid w:val="6FF432FD"/>
    <w:rsid w:val="6FF98DC7"/>
    <w:rsid w:val="7017527A"/>
    <w:rsid w:val="70290C42"/>
    <w:rsid w:val="7033685E"/>
    <w:rsid w:val="70804061"/>
    <w:rsid w:val="708F0AF3"/>
    <w:rsid w:val="70AB00B0"/>
    <w:rsid w:val="70B71B45"/>
    <w:rsid w:val="70E9754F"/>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4322E"/>
    <w:rsid w:val="738A5E3D"/>
    <w:rsid w:val="73927111"/>
    <w:rsid w:val="73A1050E"/>
    <w:rsid w:val="73B976BC"/>
    <w:rsid w:val="73D4453E"/>
    <w:rsid w:val="73DD5247"/>
    <w:rsid w:val="73F43D49"/>
    <w:rsid w:val="74493C73"/>
    <w:rsid w:val="74522394"/>
    <w:rsid w:val="74EE6D18"/>
    <w:rsid w:val="75297606"/>
    <w:rsid w:val="75382BF6"/>
    <w:rsid w:val="753D6768"/>
    <w:rsid w:val="758F6E36"/>
    <w:rsid w:val="75FF4979"/>
    <w:rsid w:val="76095450"/>
    <w:rsid w:val="764F29B0"/>
    <w:rsid w:val="76915D93"/>
    <w:rsid w:val="77162492"/>
    <w:rsid w:val="77902F97"/>
    <w:rsid w:val="77C3206A"/>
    <w:rsid w:val="77FF2E04"/>
    <w:rsid w:val="780B1240"/>
    <w:rsid w:val="781F26F6"/>
    <w:rsid w:val="783111B7"/>
    <w:rsid w:val="785E32E8"/>
    <w:rsid w:val="78622EF5"/>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111A"/>
    <w:rsid w:val="7A355E35"/>
    <w:rsid w:val="7A3D371A"/>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655F7C"/>
    <w:rsid w:val="7CB41EA6"/>
    <w:rsid w:val="7CC0228C"/>
    <w:rsid w:val="7CC91C09"/>
    <w:rsid w:val="7CD336D5"/>
    <w:rsid w:val="7D29590B"/>
    <w:rsid w:val="7D6572F5"/>
    <w:rsid w:val="7D7963E5"/>
    <w:rsid w:val="7D7E776D"/>
    <w:rsid w:val="7DC3133B"/>
    <w:rsid w:val="7DF70B05"/>
    <w:rsid w:val="7DFD1B5F"/>
    <w:rsid w:val="7E1A15E1"/>
    <w:rsid w:val="7E372421"/>
    <w:rsid w:val="7E3F70D4"/>
    <w:rsid w:val="7E493E93"/>
    <w:rsid w:val="7E6BDB6B"/>
    <w:rsid w:val="7EB22415"/>
    <w:rsid w:val="7EB4618D"/>
    <w:rsid w:val="7EB55A72"/>
    <w:rsid w:val="7EF63593"/>
    <w:rsid w:val="7EF86C67"/>
    <w:rsid w:val="7EFF92EA"/>
    <w:rsid w:val="7F231B4A"/>
    <w:rsid w:val="7F2E40D8"/>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8"/>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99"/>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0"/>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2"/>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3"/>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8"/>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9">
    <w:name w:val="Note Heading"/>
    <w:basedOn w:val="1"/>
    <w:next w:val="1"/>
    <w:link w:val="1021"/>
    <w:qFormat/>
    <w:uiPriority w:val="0"/>
    <w:pPr>
      <w:tabs>
        <w:tab w:val="left" w:pos="840"/>
      </w:tabs>
      <w:spacing w:line="360" w:lineRule="auto"/>
      <w:jc w:val="center"/>
    </w:pPr>
    <w:rPr>
      <w:rFonts w:ascii="宋体" w:hAnsi="宋体"/>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b/>
      <w:bCs/>
      <w:sz w:val="24"/>
    </w:rPr>
  </w:style>
  <w:style w:type="paragraph" w:styleId="22">
    <w:name w:val="Normal Indent"/>
    <w:basedOn w:val="1"/>
    <w:link w:val="1022"/>
    <w:qFormat/>
    <w:uiPriority w:val="0"/>
    <w:pPr>
      <w:ind w:firstLine="420" w:firstLineChars="200"/>
    </w:pPr>
  </w:style>
  <w:style w:type="paragraph" w:styleId="23">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024"/>
    <w:qFormat/>
    <w:uiPriority w:val="99"/>
    <w:pPr>
      <w:shd w:val="clear" w:color="auto" w:fill="000080"/>
    </w:pPr>
  </w:style>
  <w:style w:type="paragraph" w:styleId="28">
    <w:name w:val="annotation text"/>
    <w:basedOn w:val="1"/>
    <w:link w:val="1025"/>
    <w:qFormat/>
    <w:uiPriority w:val="0"/>
    <w:pPr>
      <w:jc w:val="left"/>
    </w:pPr>
    <w:rPr>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026"/>
    <w:qFormat/>
    <w:uiPriority w:val="0"/>
    <w:pPr>
      <w:spacing w:line="360" w:lineRule="auto"/>
      <w:ind w:firstLine="420"/>
    </w:pPr>
    <w:rPr>
      <w:kern w:val="0"/>
      <w:sz w:val="24"/>
    </w:rPr>
  </w:style>
  <w:style w:type="paragraph" w:styleId="31">
    <w:name w:val="Body Text 3"/>
    <w:basedOn w:val="1"/>
    <w:link w:val="1027"/>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next w:val="34"/>
    <w:link w:val="1016"/>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Body Text First Indent 2"/>
    <w:basedOn w:val="33"/>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028"/>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029"/>
    <w:qFormat/>
    <w:uiPriority w:val="0"/>
    <w:pPr>
      <w:ind w:left="100" w:leftChars="2500"/>
    </w:pPr>
    <w:rPr>
      <w:color w:val="000000"/>
      <w:sz w:val="24"/>
    </w:rPr>
  </w:style>
  <w:style w:type="paragraph" w:styleId="50">
    <w:name w:val="Body Text Indent 2"/>
    <w:basedOn w:val="1"/>
    <w:link w:val="1030"/>
    <w:qFormat/>
    <w:uiPriority w:val="99"/>
    <w:pPr>
      <w:widowControl/>
      <w:spacing w:line="480" w:lineRule="atLeast"/>
      <w:ind w:firstLine="480"/>
    </w:pPr>
    <w:rPr>
      <w:rFonts w:ascii="宋体"/>
      <w:kern w:val="0"/>
      <w:sz w:val="24"/>
      <w:szCs w:val="20"/>
    </w:rPr>
  </w:style>
  <w:style w:type="paragraph" w:styleId="51">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032"/>
    <w:qFormat/>
    <w:uiPriority w:val="99"/>
    <w:rPr>
      <w:sz w:val="18"/>
      <w:szCs w:val="18"/>
    </w:rPr>
  </w:style>
  <w:style w:type="paragraph" w:styleId="53">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qFormat/>
    <w:uiPriority w:val="39"/>
    <w:pPr>
      <w:tabs>
        <w:tab w:val="right" w:leader="dot" w:pos="9403"/>
      </w:tabs>
      <w:snapToGrid w:val="0"/>
      <w:spacing w:line="360" w:lineRule="auto"/>
    </w:pPr>
    <w:rPr>
      <w:rFonts w:ascii="Arial" w:hAnsi="Arial"/>
      <w:b/>
      <w:bCs/>
      <w:caps/>
    </w:rPr>
  </w:style>
  <w:style w:type="paragraph" w:styleId="58">
    <w:name w:val="toc 4"/>
    <w:basedOn w:val="1"/>
    <w:next w:val="1"/>
    <w:qFormat/>
    <w:uiPriority w:val="0"/>
    <w:pPr>
      <w:ind w:left="630"/>
      <w:jc w:val="left"/>
    </w:pPr>
    <w:rPr>
      <w:sz w:val="18"/>
      <w:szCs w:val="18"/>
    </w:rPr>
  </w:style>
  <w:style w:type="paragraph" w:styleId="59">
    <w:name w:val="index heading"/>
    <w:basedOn w:val="16"/>
    <w:next w:val="60"/>
    <w:qFormat/>
    <w:uiPriority w:val="0"/>
    <w:rPr>
      <w:b/>
      <w:bCs/>
      <w:sz w:val="32"/>
      <w:szCs w:val="32"/>
    </w:rPr>
  </w:style>
  <w:style w:type="paragraph" w:styleId="60">
    <w:name w:val="index 1"/>
    <w:basedOn w:val="1"/>
    <w:next w:val="1"/>
    <w:qFormat/>
    <w:uiPriority w:val="0"/>
    <w:pPr>
      <w:widowControl/>
      <w:spacing w:line="360" w:lineRule="auto"/>
      <w:jc w:val="center"/>
    </w:pPr>
    <w:rPr>
      <w:rFonts w:ascii="Arial" w:hAnsi="Arial" w:cs="Arial"/>
      <w:kern w:val="0"/>
      <w:sz w:val="24"/>
    </w:rPr>
  </w:style>
  <w:style w:type="paragraph" w:styleId="61">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qFormat/>
    <w:uiPriority w:val="0"/>
    <w:pPr>
      <w:tabs>
        <w:tab w:val="left" w:pos="2040"/>
      </w:tabs>
      <w:spacing w:line="360" w:lineRule="auto"/>
    </w:pPr>
    <w:rPr>
      <w:rFonts w:ascii="宋体" w:hAnsi="宋体"/>
      <w:sz w:val="24"/>
    </w:rPr>
  </w:style>
  <w:style w:type="paragraph" w:styleId="63">
    <w:name w:val="List"/>
    <w:basedOn w:val="1"/>
    <w:qFormat/>
    <w:uiPriority w:val="0"/>
    <w:pPr>
      <w:ind w:left="200" w:hanging="200" w:hangingChars="200"/>
    </w:pPr>
  </w:style>
  <w:style w:type="paragraph" w:styleId="64">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5">
    <w:name w:val="toc 6"/>
    <w:basedOn w:val="1"/>
    <w:next w:val="1"/>
    <w:qFormat/>
    <w:uiPriority w:val="0"/>
    <w:pPr>
      <w:ind w:left="1050"/>
      <w:jc w:val="left"/>
    </w:pPr>
    <w:rPr>
      <w:sz w:val="18"/>
      <w:szCs w:val="18"/>
    </w:rPr>
  </w:style>
  <w:style w:type="paragraph" w:styleId="66">
    <w:name w:val="List 5"/>
    <w:basedOn w:val="1"/>
    <w:qFormat/>
    <w:uiPriority w:val="0"/>
    <w:pPr>
      <w:ind w:left="100" w:leftChars="800" w:hanging="200" w:hangingChars="200"/>
    </w:pPr>
    <w:rPr>
      <w:szCs w:val="20"/>
    </w:rPr>
  </w:style>
  <w:style w:type="paragraph" w:styleId="67">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8">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9">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0">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1">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2">
    <w:name w:val="toc 9"/>
    <w:basedOn w:val="1"/>
    <w:next w:val="1"/>
    <w:qFormat/>
    <w:uiPriority w:val="0"/>
    <w:pPr>
      <w:ind w:left="1680"/>
      <w:jc w:val="left"/>
    </w:pPr>
    <w:rPr>
      <w:sz w:val="18"/>
      <w:szCs w:val="18"/>
    </w:rPr>
  </w:style>
  <w:style w:type="paragraph" w:styleId="73">
    <w:name w:val="Body Text 2"/>
    <w:basedOn w:val="1"/>
    <w:link w:val="1039"/>
    <w:qFormat/>
    <w:uiPriority w:val="0"/>
    <w:rPr>
      <w:b/>
      <w:bCs/>
      <w:color w:val="000000"/>
      <w:sz w:val="28"/>
    </w:rPr>
  </w:style>
  <w:style w:type="paragraph" w:styleId="74">
    <w:name w:val="List 4"/>
    <w:basedOn w:val="1"/>
    <w:qFormat/>
    <w:uiPriority w:val="0"/>
    <w:pPr>
      <w:ind w:left="100" w:leftChars="600" w:hanging="200" w:hangingChars="200"/>
    </w:pPr>
    <w:rPr>
      <w:szCs w:val="20"/>
    </w:rPr>
  </w:style>
  <w:style w:type="paragraph" w:styleId="75">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6">
    <w:name w:val="Normal (Web)"/>
    <w:basedOn w:val="1"/>
    <w:next w:val="1"/>
    <w:link w:val="1041"/>
    <w:qFormat/>
    <w:uiPriority w:val="0"/>
    <w:pPr>
      <w:widowControl/>
      <w:spacing w:before="100" w:beforeAutospacing="1" w:after="100" w:afterAutospacing="1"/>
      <w:jc w:val="left"/>
    </w:pPr>
    <w:rPr>
      <w:rFonts w:ascii="宋体" w:hAnsi="宋体"/>
      <w:kern w:val="0"/>
      <w:sz w:val="24"/>
    </w:rPr>
  </w:style>
  <w:style w:type="paragraph" w:styleId="77">
    <w:name w:val="index 2"/>
    <w:basedOn w:val="48"/>
    <w:next w:val="1"/>
    <w:qFormat/>
    <w:uiPriority w:val="0"/>
    <w:pPr>
      <w:ind w:left="283"/>
    </w:pPr>
  </w:style>
  <w:style w:type="paragraph" w:styleId="78">
    <w:name w:val="Title"/>
    <w:basedOn w:val="1"/>
    <w:next w:val="1"/>
    <w:link w:val="1042"/>
    <w:qFormat/>
    <w:uiPriority w:val="0"/>
    <w:pPr>
      <w:jc w:val="center"/>
    </w:pPr>
    <w:rPr>
      <w:sz w:val="30"/>
    </w:rPr>
  </w:style>
  <w:style w:type="paragraph" w:styleId="79">
    <w:name w:val="annotation subject"/>
    <w:basedOn w:val="28"/>
    <w:next w:val="28"/>
    <w:link w:val="1043"/>
    <w:qFormat/>
    <w:uiPriority w:val="0"/>
    <w:rPr>
      <w:b/>
      <w:bCs/>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1 Char"/>
    <w:link w:val="2"/>
    <w:qFormat/>
    <w:uiPriority w:val="0"/>
    <w:rPr>
      <w:rFonts w:ascii="Arial" w:hAnsi="Arial" w:eastAsia="华文中宋"/>
      <w:b/>
      <w:color w:val="000000"/>
      <w:kern w:val="2"/>
      <w:sz w:val="32"/>
      <w:szCs w:val="24"/>
    </w:rPr>
  </w:style>
  <w:style w:type="character" w:customStyle="1" w:styleId="98">
    <w:name w:val="标题 2 Char"/>
    <w:link w:val="3"/>
    <w:qFormat/>
    <w:uiPriority w:val="0"/>
    <w:rPr>
      <w:rFonts w:ascii="Arial" w:hAnsi="Arial"/>
      <w:b/>
      <w:bCs/>
      <w:kern w:val="2"/>
      <w:sz w:val="21"/>
      <w:szCs w:val="32"/>
    </w:rPr>
  </w:style>
  <w:style w:type="character" w:customStyle="1" w:styleId="99">
    <w:name w:val="标题 3 Char"/>
    <w:link w:val="4"/>
    <w:qFormat/>
    <w:uiPriority w:val="9"/>
    <w:rPr>
      <w:rFonts w:ascii="Arial" w:hAnsi="Arial"/>
      <w:b/>
      <w:kern w:val="2"/>
      <w:sz w:val="21"/>
    </w:rPr>
  </w:style>
  <w:style w:type="character" w:customStyle="1" w:styleId="100">
    <w:name w:val="标题 4 Char"/>
    <w:link w:val="5"/>
    <w:qFormat/>
    <w:uiPriority w:val="9"/>
    <w:rPr>
      <w:rFonts w:ascii="Arial" w:hAnsi="Arial"/>
      <w:sz w:val="21"/>
      <w:szCs w:val="24"/>
    </w:rPr>
  </w:style>
  <w:style w:type="character" w:customStyle="1" w:styleId="101">
    <w:name w:val="标题 5 Char"/>
    <w:link w:val="6"/>
    <w:qFormat/>
    <w:uiPriority w:val="0"/>
    <w:rPr>
      <w:rFonts w:ascii="宋体" w:hAnsi="宋体"/>
      <w:b/>
      <w:bCs/>
      <w:kern w:val="2"/>
      <w:sz w:val="28"/>
      <w:szCs w:val="24"/>
    </w:rPr>
  </w:style>
  <w:style w:type="character" w:customStyle="1" w:styleId="102">
    <w:name w:val="标题 6 Char1"/>
    <w:link w:val="7"/>
    <w:qFormat/>
    <w:uiPriority w:val="0"/>
    <w:rPr>
      <w:rFonts w:ascii="Arial" w:hAnsi="Arial"/>
      <w:b/>
      <w:bCs/>
      <w:kern w:val="2"/>
      <w:sz w:val="24"/>
      <w:szCs w:val="24"/>
    </w:rPr>
  </w:style>
  <w:style w:type="character" w:customStyle="1" w:styleId="103">
    <w:name w:val="标题 7 Char1"/>
    <w:link w:val="8"/>
    <w:qFormat/>
    <w:uiPriority w:val="0"/>
    <w:rPr>
      <w:rFonts w:ascii="宋体" w:hAnsi="宋体"/>
      <w:b/>
      <w:bCs/>
      <w:kern w:val="2"/>
      <w:sz w:val="21"/>
      <w:szCs w:val="24"/>
    </w:rPr>
  </w:style>
  <w:style w:type="paragraph" w:customStyle="1" w:styleId="104">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5">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6">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7">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8">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9">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10">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11">
    <w:name w:val="blithe2"/>
    <w:basedOn w:val="17"/>
    <w:next w:val="34"/>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12">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3">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4">
    <w:name w:val="*Bullet #1 Single"/>
    <w:basedOn w:val="115"/>
    <w:link w:val="1090"/>
    <w:qFormat/>
    <w:uiPriority w:val="0"/>
    <w:pPr>
      <w:tabs>
        <w:tab w:val="left" w:pos="1080"/>
      </w:tabs>
      <w:ind w:left="950" w:hanging="230"/>
    </w:pPr>
    <w:rPr>
      <w:rFonts w:ascii="Arial" w:hAnsi="Arial"/>
      <w:color w:val="000000"/>
      <w:sz w:val="20"/>
    </w:rPr>
  </w:style>
  <w:style w:type="paragraph" w:customStyle="1" w:styleId="115">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6">
    <w:name w:val="*Heading 3"/>
    <w:next w:val="115"/>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7">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8">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9">
    <w:name w:val="样式5"/>
    <w:basedOn w:val="1"/>
    <w:link w:val="1105"/>
    <w:qFormat/>
    <w:uiPriority w:val="0"/>
    <w:pPr>
      <w:spacing w:line="360" w:lineRule="auto"/>
      <w:ind w:firstLine="480" w:firstLineChars="200"/>
    </w:pPr>
    <w:rPr>
      <w:rFonts w:ascii="宋体" w:hAnsi="宋体"/>
      <w:sz w:val="24"/>
    </w:rPr>
  </w:style>
  <w:style w:type="paragraph" w:customStyle="1" w:styleId="120">
    <w:name w:val="Default"/>
    <w:next w:val="76"/>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21">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22">
    <w:name w:val="列出段落1"/>
    <w:basedOn w:val="1"/>
    <w:link w:val="1112"/>
    <w:qFormat/>
    <w:uiPriority w:val="34"/>
    <w:pPr>
      <w:ind w:firstLine="420" w:firstLineChars="200"/>
    </w:pPr>
  </w:style>
  <w:style w:type="paragraph" w:customStyle="1" w:styleId="123">
    <w:name w:val="样式2"/>
    <w:basedOn w:val="1"/>
    <w:next w:val="6"/>
    <w:link w:val="1115"/>
    <w:qFormat/>
    <w:uiPriority w:val="0"/>
    <w:pPr>
      <w:spacing w:line="360" w:lineRule="auto"/>
      <w:ind w:firstLine="420"/>
    </w:pPr>
    <w:rPr>
      <w:rFonts w:ascii="宋体" w:hAnsi="宋体"/>
    </w:rPr>
  </w:style>
  <w:style w:type="paragraph" w:customStyle="1" w:styleId="124">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5">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6">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7">
    <w:name w:val="ZJGIS图表"/>
    <w:basedOn w:val="1"/>
    <w:link w:val="1130"/>
    <w:qFormat/>
    <w:uiPriority w:val="99"/>
    <w:pPr>
      <w:jc w:val="center"/>
    </w:pPr>
    <w:rPr>
      <w:rFonts w:eastAsia="黑体"/>
      <w:color w:val="000000"/>
      <w:kern w:val="0"/>
      <w:sz w:val="24"/>
      <w:szCs w:val="20"/>
    </w:rPr>
  </w:style>
  <w:style w:type="paragraph" w:customStyle="1" w:styleId="128">
    <w:name w:val="SANGFOR_6_正文"/>
    <w:basedOn w:val="1"/>
    <w:link w:val="1141"/>
    <w:qFormat/>
    <w:uiPriority w:val="0"/>
    <w:pPr>
      <w:spacing w:line="360" w:lineRule="auto"/>
      <w:ind w:firstLine="420"/>
    </w:pPr>
    <w:rPr>
      <w:kern w:val="0"/>
      <w:sz w:val="20"/>
    </w:rPr>
  </w:style>
  <w:style w:type="paragraph" w:customStyle="1" w:styleId="129">
    <w:name w:val="样式1"/>
    <w:basedOn w:val="1"/>
    <w:link w:val="1142"/>
    <w:qFormat/>
    <w:uiPriority w:val="0"/>
    <w:pPr>
      <w:spacing w:line="360" w:lineRule="exact"/>
      <w:ind w:firstLine="200" w:firstLineChars="200"/>
    </w:pPr>
    <w:rPr>
      <w:rFonts w:ascii="Arial" w:hAnsi="Arial"/>
    </w:rPr>
  </w:style>
  <w:style w:type="paragraph" w:customStyle="1" w:styleId="130">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31">
    <w:name w:val="blithe3 Char1"/>
    <w:basedOn w:val="111"/>
    <w:next w:val="1"/>
    <w:link w:val="1152"/>
    <w:qFormat/>
    <w:uiPriority w:val="0"/>
    <w:pPr>
      <w:tabs>
        <w:tab w:val="left" w:pos="360"/>
        <w:tab w:val="left" w:pos="2520"/>
      </w:tabs>
      <w:ind w:left="0" w:firstLine="0"/>
      <w:outlineLvl w:val="2"/>
    </w:pPr>
    <w:rPr>
      <w:sz w:val="28"/>
    </w:rPr>
  </w:style>
  <w:style w:type="paragraph" w:customStyle="1" w:styleId="132">
    <w:name w:val="表格"/>
    <w:basedOn w:val="133"/>
    <w:next w:val="1"/>
    <w:link w:val="1157"/>
    <w:qFormat/>
    <w:uiPriority w:val="0"/>
    <w:pPr>
      <w:snapToGrid w:val="0"/>
      <w:spacing w:line="360" w:lineRule="auto"/>
      <w:ind w:firstLine="42" w:firstLineChars="21"/>
    </w:pPr>
    <w:rPr>
      <w:bCs w:val="0"/>
      <w:szCs w:val="20"/>
      <w:lang w:bidi="ar-SA"/>
    </w:rPr>
  </w:style>
  <w:style w:type="paragraph" w:customStyle="1" w:styleId="133">
    <w:name w:val="表头"/>
    <w:basedOn w:val="134"/>
    <w:qFormat/>
    <w:uiPriority w:val="0"/>
    <w:pPr>
      <w:spacing w:line="320" w:lineRule="exact"/>
      <w:ind w:firstLine="420"/>
    </w:pPr>
    <w:rPr>
      <w:rFonts w:ascii="宋体" w:hAnsi="宋体"/>
      <w:bCs/>
      <w:szCs w:val="18"/>
    </w:rPr>
  </w:style>
  <w:style w:type="paragraph" w:customStyle="1" w:styleId="134">
    <w:name w:val="No Spacing1"/>
    <w:basedOn w:val="1"/>
    <w:qFormat/>
    <w:uiPriority w:val="0"/>
    <w:pPr>
      <w:widowControl/>
      <w:jc w:val="left"/>
    </w:pPr>
    <w:rPr>
      <w:rFonts w:ascii="Calibri" w:hAnsi="Calibri"/>
      <w:kern w:val="0"/>
      <w:sz w:val="20"/>
      <w:lang w:eastAsia="en-US" w:bidi="en-US"/>
    </w:rPr>
  </w:style>
  <w:style w:type="paragraph" w:customStyle="1" w:styleId="135">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6">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7">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8">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9">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40">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41">
    <w:name w:val="*Heading 5"/>
    <w:next w:val="115"/>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42">
    <w:name w:val="标准段落"/>
    <w:basedOn w:val="1"/>
    <w:link w:val="1191"/>
    <w:qFormat/>
    <w:uiPriority w:val="0"/>
    <w:pPr>
      <w:autoSpaceDN w:val="0"/>
      <w:spacing w:line="360" w:lineRule="auto"/>
      <w:ind w:firstLine="480" w:firstLineChars="200"/>
    </w:pPr>
    <w:rPr>
      <w:kern w:val="0"/>
      <w:sz w:val="24"/>
    </w:rPr>
  </w:style>
  <w:style w:type="paragraph" w:customStyle="1" w:styleId="143">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4">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5">
    <w:name w:val="样式 正文首行缩进 + 加粗"/>
    <w:basedOn w:val="1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6">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7">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8">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9">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50">
    <w:name w:val="样式 题注 + (西文) Times New Roman (中文) 宋体 五号"/>
    <w:basedOn w:val="23"/>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51">
    <w:name w:val="表格编号"/>
    <w:basedOn w:val="137"/>
    <w:next w:val="1"/>
    <w:link w:val="1215"/>
    <w:qFormat/>
    <w:uiPriority w:val="0"/>
    <w:pPr>
      <w:tabs>
        <w:tab w:val="left" w:pos="0"/>
      </w:tabs>
      <w:ind w:left="0" w:firstLine="0"/>
    </w:pPr>
    <w:rPr>
      <w:kern w:val="0"/>
      <w:sz w:val="20"/>
    </w:rPr>
  </w:style>
  <w:style w:type="paragraph" w:customStyle="1" w:styleId="152">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3">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4">
    <w:name w:val="Char3"/>
    <w:basedOn w:val="55"/>
    <w:next w:val="55"/>
    <w:link w:val="1224"/>
    <w:qFormat/>
    <w:uiPriority w:val="0"/>
    <w:pPr>
      <w:snapToGrid/>
      <w:jc w:val="right"/>
    </w:pPr>
    <w:rPr>
      <w:rFonts w:ascii="宋体" w:hAnsi="宋体"/>
      <w:b/>
      <w:sz w:val="21"/>
      <w:szCs w:val="21"/>
    </w:rPr>
  </w:style>
  <w:style w:type="paragraph" w:customStyle="1" w:styleId="155">
    <w:name w:val="附录"/>
    <w:basedOn w:val="1"/>
    <w:next w:val="1"/>
    <w:link w:val="1226"/>
    <w:qFormat/>
    <w:uiPriority w:val="0"/>
    <w:pPr>
      <w:jc w:val="left"/>
      <w:outlineLvl w:val="1"/>
    </w:pPr>
    <w:rPr>
      <w:rFonts w:ascii="楷体_GB2312" w:hAnsi="华文细黑" w:eastAsia="方正姚体"/>
      <w:sz w:val="30"/>
    </w:rPr>
  </w:style>
  <w:style w:type="paragraph" w:customStyle="1" w:styleId="156">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7">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8">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9">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60">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61">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62">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3">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4">
    <w:name w:val="列表框1"/>
    <w:basedOn w:val="118"/>
    <w:next w:val="118"/>
    <w:link w:val="1264"/>
    <w:qFormat/>
    <w:uiPriority w:val="0"/>
    <w:pPr>
      <w:tabs>
        <w:tab w:val="left" w:pos="1701"/>
        <w:tab w:val="left" w:pos="8585"/>
      </w:tabs>
      <w:ind w:left="1133" w:leftChars="472" w:firstLine="138" w:firstLineChars="53"/>
    </w:pPr>
    <w:rPr>
      <w:color w:val="auto"/>
    </w:rPr>
  </w:style>
  <w:style w:type="paragraph" w:customStyle="1" w:styleId="165">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6">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7">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8">
    <w:name w:val="Figure"/>
    <w:basedOn w:val="1"/>
    <w:next w:val="124"/>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9">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70">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71">
    <w:name w:val="图"/>
    <w:basedOn w:val="1"/>
    <w:next w:val="1"/>
    <w:link w:val="1293"/>
    <w:qFormat/>
    <w:uiPriority w:val="0"/>
    <w:pPr>
      <w:spacing w:line="360" w:lineRule="auto"/>
      <w:ind w:firstLine="420"/>
      <w:jc w:val="center"/>
    </w:pPr>
    <w:rPr>
      <w:kern w:val="0"/>
      <w:sz w:val="20"/>
      <w:szCs w:val="21"/>
    </w:rPr>
  </w:style>
  <w:style w:type="paragraph" w:customStyle="1" w:styleId="172">
    <w:name w:val="标准正文"/>
    <w:basedOn w:val="1"/>
    <w:link w:val="1294"/>
    <w:qFormat/>
    <w:uiPriority w:val="0"/>
    <w:pPr>
      <w:spacing w:line="360" w:lineRule="auto"/>
      <w:ind w:firstLine="200" w:firstLineChars="200"/>
    </w:pPr>
    <w:rPr>
      <w:kern w:val="0"/>
      <w:sz w:val="24"/>
    </w:rPr>
  </w:style>
  <w:style w:type="paragraph" w:customStyle="1" w:styleId="173">
    <w:name w:val="大汉方案正文"/>
    <w:basedOn w:val="1"/>
    <w:link w:val="1303"/>
    <w:qFormat/>
    <w:uiPriority w:val="0"/>
    <w:pPr>
      <w:spacing w:line="360" w:lineRule="auto"/>
      <w:ind w:firstLine="200" w:firstLineChars="200"/>
    </w:pPr>
    <w:rPr>
      <w:rFonts w:ascii="Arial" w:hAnsi="Arial"/>
      <w:sz w:val="24"/>
    </w:rPr>
  </w:style>
  <w:style w:type="paragraph" w:customStyle="1" w:styleId="174">
    <w:name w:val="正文（首行缩进2字符）"/>
    <w:basedOn w:val="1"/>
    <w:link w:val="1304"/>
    <w:qFormat/>
    <w:uiPriority w:val="0"/>
    <w:pPr>
      <w:spacing w:line="360" w:lineRule="auto"/>
      <w:ind w:firstLine="200" w:firstLineChars="200"/>
    </w:pPr>
    <w:rPr>
      <w:kern w:val="0"/>
      <w:sz w:val="24"/>
    </w:rPr>
  </w:style>
  <w:style w:type="paragraph" w:customStyle="1" w:styleId="175">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6">
    <w:name w:val="列表框2"/>
    <w:basedOn w:val="164"/>
    <w:link w:val="1316"/>
    <w:qFormat/>
    <w:uiPriority w:val="0"/>
    <w:pPr>
      <w:tabs>
        <w:tab w:val="left" w:pos="1890"/>
      </w:tabs>
      <w:ind w:left="900" w:hanging="420"/>
    </w:pPr>
  </w:style>
  <w:style w:type="paragraph" w:customStyle="1" w:styleId="177">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8">
    <w:name w:val="大汉方案正文 Char"/>
    <w:basedOn w:val="1"/>
    <w:link w:val="1326"/>
    <w:qFormat/>
    <w:uiPriority w:val="0"/>
    <w:pPr>
      <w:spacing w:line="360" w:lineRule="auto"/>
      <w:ind w:firstLine="200" w:firstLineChars="200"/>
    </w:pPr>
    <w:rPr>
      <w:rFonts w:ascii="Arial" w:hAnsi="Arial"/>
      <w:sz w:val="24"/>
    </w:rPr>
  </w:style>
  <w:style w:type="paragraph" w:customStyle="1" w:styleId="179">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80">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81">
    <w:name w:val="表文字"/>
    <w:qFormat/>
    <w:uiPriority w:val="0"/>
    <w:rPr>
      <w:rFonts w:ascii="宋体" w:hAnsi="Times New Roman" w:eastAsia="宋体" w:cs="Times New Roman"/>
      <w:kern w:val="2"/>
      <w:lang w:val="en-US" w:eastAsia="zh-CN" w:bidi="ar-SA"/>
    </w:rPr>
  </w:style>
  <w:style w:type="paragraph" w:customStyle="1" w:styleId="182">
    <w:name w:val="*Table Text Bold"/>
    <w:basedOn w:val="183"/>
    <w:qFormat/>
    <w:uiPriority w:val="0"/>
    <w:rPr>
      <w:b/>
    </w:rPr>
  </w:style>
  <w:style w:type="paragraph" w:customStyle="1" w:styleId="183">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4">
    <w:name w:val="‧ N table-10 body indent"/>
    <w:basedOn w:val="185"/>
    <w:qFormat/>
    <w:uiPriority w:val="0"/>
  </w:style>
  <w:style w:type="paragraph" w:customStyle="1" w:styleId="185">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6">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自定二级标题"/>
    <w:basedOn w:val="78"/>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8">
    <w:name w:val="_HP Body text 10 pt"/>
    <w:basedOn w:val="120"/>
    <w:next w:val="120"/>
    <w:qFormat/>
    <w:uiPriority w:val="0"/>
    <w:pPr>
      <w:spacing w:after="120"/>
    </w:pPr>
    <w:rPr>
      <w:rFonts w:ascii="Futura-Book" w:hAnsi="Futura-Book" w:eastAsia="宋体" w:cs="Times New Roman"/>
      <w:color w:val="auto"/>
    </w:rPr>
  </w:style>
  <w:style w:type="paragraph" w:customStyle="1" w:styleId="189">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90">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3">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4">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5">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6">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7">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8">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9">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00">
    <w:name w:val="Object index heading"/>
    <w:basedOn w:val="16"/>
    <w:qFormat/>
    <w:uiPriority w:val="0"/>
  </w:style>
  <w:style w:type="paragraph" w:customStyle="1" w:styleId="201">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2">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3">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4">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5">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6">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7">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8">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9">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10">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11">
    <w:name w:val="*Info Text"/>
    <w:qFormat/>
    <w:uiPriority w:val="0"/>
    <w:rPr>
      <w:rFonts w:ascii="Arial" w:hAnsi="Arial" w:eastAsia="宋体" w:cs="Times New Roman"/>
      <w:sz w:val="18"/>
      <w:lang w:val="en-US" w:eastAsia="en-US" w:bidi="ar-SA"/>
    </w:rPr>
  </w:style>
  <w:style w:type="paragraph" w:customStyle="1" w:styleId="212">
    <w:name w:val="正文－恩普"/>
    <w:basedOn w:val="22"/>
    <w:qFormat/>
    <w:uiPriority w:val="0"/>
    <w:pPr>
      <w:widowControl/>
      <w:spacing w:afterLines="50" w:line="360" w:lineRule="auto"/>
      <w:ind w:firstLine="480"/>
      <w:jc w:val="left"/>
    </w:pPr>
    <w:rPr>
      <w:kern w:val="0"/>
      <w:sz w:val="24"/>
      <w:szCs w:val="20"/>
    </w:rPr>
  </w:style>
  <w:style w:type="paragraph" w:customStyle="1" w:styleId="213">
    <w:name w:val="*Table/Graphics Caption"/>
    <w:basedOn w:val="115"/>
    <w:next w:val="115"/>
    <w:qFormat/>
    <w:uiPriority w:val="0"/>
    <w:pPr>
      <w:spacing w:after="120"/>
    </w:pPr>
    <w:rPr>
      <w:sz w:val="18"/>
      <w:szCs w:val="18"/>
    </w:rPr>
  </w:style>
  <w:style w:type="paragraph" w:customStyle="1" w:styleId="214">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5">
    <w:name w:val="SANGFOR_3_标题3"/>
    <w:basedOn w:val="4"/>
    <w:next w:val="128"/>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6">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7">
    <w:name w:val="附图标题"/>
    <w:basedOn w:val="23"/>
    <w:next w:val="22"/>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8">
    <w:name w:val="样式 题注 + 首行缩进:  2 字符"/>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9">
    <w:name w:val="_Style 4"/>
    <w:basedOn w:val="1"/>
    <w:qFormat/>
    <w:uiPriority w:val="34"/>
    <w:pPr>
      <w:ind w:firstLine="420" w:firstLineChars="200"/>
    </w:pPr>
    <w:rPr>
      <w:szCs w:val="22"/>
    </w:rPr>
  </w:style>
  <w:style w:type="paragraph" w:customStyle="1" w:styleId="220">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21">
    <w:name w:val="标准正文11"/>
    <w:basedOn w:val="1"/>
    <w:qFormat/>
    <w:uiPriority w:val="0"/>
    <w:pPr>
      <w:spacing w:line="360" w:lineRule="auto"/>
      <w:ind w:firstLine="480" w:firstLineChars="200"/>
    </w:pPr>
    <w:rPr>
      <w:rFonts w:ascii="宋体" w:hAnsi="宋体"/>
      <w:sz w:val="24"/>
    </w:rPr>
  </w:style>
  <w:style w:type="paragraph" w:customStyle="1" w:styleId="222">
    <w:name w:val="文本框"/>
    <w:basedOn w:val="1"/>
    <w:qFormat/>
    <w:uiPriority w:val="0"/>
    <w:pPr>
      <w:spacing w:afterLines="50" w:line="360" w:lineRule="auto"/>
      <w:ind w:firstLine="420"/>
    </w:pPr>
    <w:rPr>
      <w:rFonts w:ascii="宋体" w:hAnsi="宋体"/>
      <w:sz w:val="18"/>
    </w:rPr>
  </w:style>
  <w:style w:type="paragraph" w:customStyle="1" w:styleId="223">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4">
    <w:name w:val="Char Char Char Char"/>
    <w:basedOn w:val="1"/>
    <w:qFormat/>
    <w:uiPriority w:val="0"/>
  </w:style>
  <w:style w:type="paragraph" w:customStyle="1" w:styleId="225">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6">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7">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8">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9">
    <w:name w:val="默认段落字体 Para Char Char Char Char Char Char Char Char Char1 Char Char Char Char Char Char Char Char Char1 Char"/>
    <w:basedOn w:val="27"/>
    <w:qFormat/>
    <w:uiPriority w:val="0"/>
    <w:pPr>
      <w:spacing w:line="360" w:lineRule="auto"/>
      <w:ind w:firstLine="420"/>
    </w:pPr>
    <w:rPr>
      <w:rFonts w:ascii="Tahoma" w:hAnsi="Tahoma"/>
      <w:kern w:val="0"/>
      <w:sz w:val="24"/>
    </w:rPr>
  </w:style>
  <w:style w:type="paragraph" w:customStyle="1" w:styleId="230">
    <w:name w:val="~Number Double"/>
    <w:basedOn w:val="231"/>
    <w:qFormat/>
    <w:uiPriority w:val="0"/>
    <w:pPr>
      <w:tabs>
        <w:tab w:val="left" w:pos="360"/>
      </w:tabs>
      <w:spacing w:after="220"/>
    </w:pPr>
  </w:style>
  <w:style w:type="paragraph" w:customStyle="1" w:styleId="231">
    <w:name w:val="~Number"/>
    <w:basedOn w:val="232"/>
    <w:qFormat/>
    <w:uiPriority w:val="0"/>
    <w:pPr>
      <w:tabs>
        <w:tab w:val="left" w:pos="360"/>
      </w:tabs>
      <w:spacing w:after="0"/>
      <w:ind w:left="360" w:hanging="360"/>
    </w:pPr>
  </w:style>
  <w:style w:type="paragraph" w:customStyle="1" w:styleId="232">
    <w:name w:val="~Body Text"/>
    <w:basedOn w:val="115"/>
    <w:qFormat/>
    <w:uiPriority w:val="0"/>
    <w:pPr>
      <w:spacing w:after="220" w:line="220" w:lineRule="atLeast"/>
    </w:pPr>
    <w:rPr>
      <w:color w:val="00637A"/>
    </w:rPr>
  </w:style>
  <w:style w:type="paragraph" w:customStyle="1" w:styleId="233">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4">
    <w:name w:val="*SOW 2"/>
    <w:basedOn w:val="235"/>
    <w:next w:val="115"/>
    <w:qFormat/>
    <w:uiPriority w:val="0"/>
    <w:pPr>
      <w:tabs>
        <w:tab w:val="left" w:pos="1440"/>
      </w:tabs>
      <w:outlineLvl w:val="2"/>
    </w:pPr>
  </w:style>
  <w:style w:type="paragraph" w:customStyle="1" w:styleId="235">
    <w:name w:val="*SOW 1"/>
    <w:next w:val="115"/>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6">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7">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8">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9">
    <w:name w:val="*Quotation Attribute"/>
    <w:basedOn w:val="115"/>
    <w:next w:val="115"/>
    <w:qFormat/>
    <w:uiPriority w:val="0"/>
    <w:pPr>
      <w:tabs>
        <w:tab w:val="left" w:pos="360"/>
      </w:tabs>
      <w:ind w:left="840" w:right="720" w:hanging="420"/>
    </w:pPr>
    <w:rPr>
      <w:sz w:val="20"/>
    </w:rPr>
  </w:style>
  <w:style w:type="paragraph" w:customStyle="1" w:styleId="240">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41">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2">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3">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4">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5">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6">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7">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8">
    <w:name w:val="文件编号"/>
    <w:basedOn w:val="223"/>
    <w:qFormat/>
    <w:uiPriority w:val="0"/>
    <w:rPr>
      <w:rFonts w:hAnsi="Batang"/>
      <w:u w:val="none"/>
    </w:rPr>
  </w:style>
  <w:style w:type="paragraph" w:customStyle="1" w:styleId="249">
    <w:name w:val="paragraph1"/>
    <w:basedOn w:val="1"/>
    <w:qFormat/>
    <w:uiPriority w:val="0"/>
    <w:pPr>
      <w:spacing w:afterLines="30" w:line="360" w:lineRule="auto"/>
      <w:ind w:firstLine="480" w:firstLineChars="200"/>
    </w:pPr>
    <w:rPr>
      <w:rFonts w:ascii="宋体" w:hAnsi="宋体"/>
      <w:sz w:val="24"/>
    </w:rPr>
  </w:style>
  <w:style w:type="paragraph" w:customStyle="1" w:styleId="250">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51">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52">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3">
    <w:name w:val="‧ N cover prepared name"/>
    <w:basedOn w:val="185"/>
    <w:qFormat/>
    <w:uiPriority w:val="0"/>
  </w:style>
  <w:style w:type="paragraph" w:customStyle="1" w:styleId="254">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5">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6">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7">
    <w:name w:val="a2"/>
    <w:basedOn w:val="1"/>
    <w:qFormat/>
    <w:uiPriority w:val="0"/>
    <w:pPr>
      <w:widowControl/>
      <w:spacing w:after="150"/>
      <w:jc w:val="left"/>
    </w:pPr>
    <w:rPr>
      <w:rFonts w:ascii="宋体" w:hAnsi="宋体" w:cs="宋体"/>
      <w:kern w:val="0"/>
      <w:sz w:val="24"/>
    </w:rPr>
  </w:style>
  <w:style w:type="paragraph" w:customStyle="1" w:styleId="258">
    <w:name w:val="User Index 1"/>
    <w:basedOn w:val="48"/>
    <w:qFormat/>
    <w:uiPriority w:val="0"/>
    <w:pPr>
      <w:tabs>
        <w:tab w:val="right" w:leader="dot" w:pos="10466"/>
      </w:tabs>
      <w:ind w:left="720" w:right="1009"/>
    </w:pPr>
    <w:rPr>
      <w:rFonts w:ascii="Times New Roman" w:hAnsi="Times New Roman"/>
      <w:b/>
    </w:rPr>
  </w:style>
  <w:style w:type="paragraph" w:customStyle="1" w:styleId="259">
    <w:name w:val="•Body Text"/>
    <w:basedOn w:val="1"/>
    <w:qFormat/>
    <w:uiPriority w:val="0"/>
    <w:pPr>
      <w:suppressAutoHyphens/>
      <w:spacing w:after="120" w:line="320" w:lineRule="exact"/>
    </w:pPr>
    <w:rPr>
      <w:rFonts w:ascii="Arial" w:hAnsi="Arial"/>
      <w:kern w:val="1"/>
      <w:sz w:val="18"/>
      <w:lang w:eastAsia="ar-SA"/>
    </w:rPr>
  </w:style>
  <w:style w:type="paragraph" w:customStyle="1" w:styleId="260">
    <w:name w:val="列出段落11"/>
    <w:basedOn w:val="1"/>
    <w:qFormat/>
    <w:uiPriority w:val="34"/>
    <w:pPr>
      <w:ind w:firstLine="420" w:firstLineChars="200"/>
    </w:pPr>
    <w:rPr>
      <w:szCs w:val="22"/>
    </w:rPr>
  </w:style>
  <w:style w:type="paragraph" w:customStyle="1" w:styleId="261">
    <w:name w:val="Pa2"/>
    <w:basedOn w:val="120"/>
    <w:next w:val="120"/>
    <w:qFormat/>
    <w:uiPriority w:val="0"/>
    <w:pPr>
      <w:spacing w:line="241" w:lineRule="atLeast"/>
    </w:pPr>
    <w:rPr>
      <w:rFonts w:cs="Times New Roman"/>
      <w:color w:val="auto"/>
    </w:rPr>
  </w:style>
  <w:style w:type="paragraph" w:customStyle="1" w:styleId="262">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3">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4">
    <w:name w:val="列出段落2"/>
    <w:basedOn w:val="1"/>
    <w:qFormat/>
    <w:uiPriority w:val="34"/>
    <w:pPr>
      <w:spacing w:line="360" w:lineRule="auto"/>
      <w:ind w:left="720" w:firstLine="420"/>
      <w:contextualSpacing/>
    </w:pPr>
    <w:rPr>
      <w:kern w:val="0"/>
      <w:sz w:val="20"/>
    </w:rPr>
  </w:style>
  <w:style w:type="paragraph" w:customStyle="1" w:styleId="265">
    <w:name w:val="Drawing"/>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6">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7">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8">
    <w:name w:val="‧ N caption-table"/>
    <w:basedOn w:val="185"/>
    <w:next w:val="269"/>
    <w:qFormat/>
    <w:uiPriority w:val="0"/>
  </w:style>
  <w:style w:type="paragraph" w:customStyle="1" w:styleId="269">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70">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7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2">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3">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5">
    <w:name w:val="SANGFOR_4_标题4"/>
    <w:basedOn w:val="5"/>
    <w:next w:val="128"/>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6">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7">
    <w:name w:val="Table"/>
    <w:basedOn w:val="23"/>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8">
    <w:name w:val="Pa0"/>
    <w:basedOn w:val="120"/>
    <w:next w:val="120"/>
    <w:qFormat/>
    <w:uiPriority w:val="0"/>
    <w:pPr>
      <w:spacing w:line="241" w:lineRule="atLeast"/>
    </w:pPr>
    <w:rPr>
      <w:rFonts w:cs="Times New Roman"/>
      <w:color w:val="auto"/>
    </w:rPr>
  </w:style>
  <w:style w:type="paragraph" w:customStyle="1" w:styleId="279">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80">
    <w:name w:val="‧ N table-10 head left"/>
    <w:basedOn w:val="185"/>
    <w:next w:val="281"/>
    <w:qFormat/>
    <w:uiPriority w:val="0"/>
  </w:style>
  <w:style w:type="paragraph" w:customStyle="1" w:styleId="281">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82">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3">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4">
    <w:name w:val="p17"/>
    <w:basedOn w:val="1"/>
    <w:qFormat/>
    <w:uiPriority w:val="0"/>
    <w:pPr>
      <w:widowControl/>
      <w:spacing w:line="360" w:lineRule="auto"/>
      <w:ind w:firstLine="420"/>
      <w:jc w:val="left"/>
    </w:pPr>
    <w:rPr>
      <w:kern w:val="0"/>
      <w:sz w:val="24"/>
    </w:rPr>
  </w:style>
  <w:style w:type="paragraph" w:customStyle="1" w:styleId="285">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6">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7">
    <w:name w:val="列出段落4"/>
    <w:basedOn w:val="1"/>
    <w:qFormat/>
    <w:uiPriority w:val="99"/>
    <w:pPr>
      <w:ind w:firstLine="420" w:firstLineChars="200"/>
    </w:pPr>
    <w:rPr>
      <w:szCs w:val="22"/>
    </w:rPr>
  </w:style>
  <w:style w:type="paragraph" w:customStyle="1" w:styleId="288">
    <w:name w:val="*Heading 1"/>
    <w:basedOn w:val="115"/>
    <w:next w:val="115"/>
    <w:qFormat/>
    <w:uiPriority w:val="0"/>
    <w:pPr>
      <w:keepNext/>
      <w:keepLines/>
      <w:spacing w:before="240" w:after="120"/>
      <w:outlineLvl w:val="1"/>
    </w:pPr>
    <w:rPr>
      <w:rFonts w:ascii="Verdana" w:hAnsi="Verdana"/>
      <w:b/>
      <w:sz w:val="36"/>
      <w:szCs w:val="32"/>
    </w:rPr>
  </w:style>
  <w:style w:type="paragraph" w:customStyle="1" w:styleId="289">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90">
    <w:name w:val="样式 标题 + 两端对齐"/>
    <w:basedOn w:val="78"/>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91">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2">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3">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4">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GP正文(首行缩进)"/>
    <w:basedOn w:val="1"/>
    <w:qFormat/>
    <w:uiPriority w:val="0"/>
    <w:pPr>
      <w:spacing w:line="400" w:lineRule="exact"/>
      <w:ind w:firstLine="480" w:firstLineChars="200"/>
      <w:jc w:val="left"/>
    </w:pPr>
    <w:rPr>
      <w:sz w:val="24"/>
    </w:rPr>
  </w:style>
  <w:style w:type="paragraph" w:customStyle="1" w:styleId="297">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8">
    <w:name w:val="*Notice Heading"/>
    <w:basedOn w:val="288"/>
    <w:next w:val="299"/>
    <w:qFormat/>
    <w:uiPriority w:val="0"/>
    <w:pPr>
      <w:spacing w:after="240" w:line="240" w:lineRule="auto"/>
      <w:outlineLvl w:val="0"/>
    </w:pPr>
    <w:rPr>
      <w:b w:val="0"/>
      <w:color w:val="00637A"/>
      <w:szCs w:val="36"/>
    </w:rPr>
  </w:style>
  <w:style w:type="paragraph" w:customStyle="1" w:styleId="299">
    <w:name w:val="*Confidentiality Notice"/>
    <w:basedOn w:val="115"/>
    <w:qFormat/>
    <w:uiPriority w:val="0"/>
    <w:pPr>
      <w:spacing w:after="200" w:line="220" w:lineRule="atLeast"/>
    </w:pPr>
    <w:rPr>
      <w:sz w:val="18"/>
    </w:rPr>
  </w:style>
  <w:style w:type="paragraph" w:customStyle="1" w:styleId="300">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301">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302">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3">
    <w:name w:val="~Heading 1"/>
    <w:next w:val="232"/>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4">
    <w:name w:val="*Section Title"/>
    <w:next w:val="115"/>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5">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6">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7">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8">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9">
    <w:name w:val="NW正文"/>
    <w:basedOn w:val="310"/>
    <w:next w:val="158"/>
    <w:qFormat/>
    <w:uiPriority w:val="0"/>
    <w:pPr>
      <w:spacing w:before="120"/>
      <w:ind w:left="420" w:firstLine="425"/>
    </w:pPr>
    <w:rPr>
      <w:rFonts w:ascii="Arial" w:hAnsi="Arial"/>
      <w:kern w:val="0"/>
    </w:rPr>
  </w:style>
  <w:style w:type="paragraph" w:customStyle="1" w:styleId="310">
    <w:name w:val="Char Char Char Char Char Char"/>
    <w:basedOn w:val="1"/>
    <w:qFormat/>
    <w:uiPriority w:val="0"/>
    <w:pPr>
      <w:spacing w:line="360" w:lineRule="auto"/>
      <w:ind w:firstLine="420"/>
    </w:pPr>
    <w:rPr>
      <w:rFonts w:ascii="Tahoma" w:hAnsi="Tahoma"/>
      <w:sz w:val="24"/>
      <w:szCs w:val="20"/>
    </w:rPr>
  </w:style>
  <w:style w:type="paragraph" w:customStyle="1" w:styleId="311">
    <w:name w:val="User Index 4"/>
    <w:basedOn w:val="48"/>
    <w:qFormat/>
    <w:uiPriority w:val="0"/>
    <w:pPr>
      <w:tabs>
        <w:tab w:val="right" w:leader="dot" w:pos="9746"/>
      </w:tabs>
      <w:ind w:left="849"/>
    </w:pPr>
  </w:style>
  <w:style w:type="paragraph" w:customStyle="1" w:styleId="312">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3">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4">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5">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6">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7">
    <w:name w:val="‧ N head 1"/>
    <w:basedOn w:val="185"/>
    <w:next w:val="269"/>
    <w:qFormat/>
    <w:uiPriority w:val="0"/>
  </w:style>
  <w:style w:type="paragraph" w:customStyle="1" w:styleId="318">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9">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20">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21">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3">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4">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5">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6">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7">
    <w:name w:val="样式12"/>
    <w:basedOn w:val="123"/>
    <w:qFormat/>
    <w:uiPriority w:val="0"/>
    <w:pPr>
      <w:keepNext/>
      <w:keepLines/>
      <w:tabs>
        <w:tab w:val="left" w:pos="567"/>
      </w:tabs>
      <w:spacing w:before="260" w:after="260"/>
      <w:ind w:left="567" w:hanging="567"/>
      <w:outlineLvl w:val="1"/>
    </w:pPr>
    <w:rPr>
      <w:b/>
      <w:bCs/>
      <w:kern w:val="0"/>
      <w:sz w:val="32"/>
      <w:szCs w:val="32"/>
    </w:rPr>
  </w:style>
  <w:style w:type="paragraph" w:customStyle="1" w:styleId="328">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9">
    <w:name w:val="样式 标题二 + 居中"/>
    <w:basedOn w:val="308"/>
    <w:qFormat/>
    <w:uiPriority w:val="0"/>
    <w:pPr>
      <w:jc w:val="center"/>
    </w:pPr>
    <w:rPr>
      <w:rFonts w:cs="宋体"/>
      <w:b w:val="0"/>
      <w:szCs w:val="20"/>
    </w:rPr>
  </w:style>
  <w:style w:type="paragraph" w:customStyle="1" w:styleId="330">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31">
    <w:name w:val="‧ N table-8 body indent"/>
    <w:basedOn w:val="332"/>
    <w:qFormat/>
    <w:uiPriority w:val="0"/>
    <w:pPr>
      <w:spacing w:before="85" w:after="45"/>
      <w:ind w:left="720"/>
    </w:pPr>
    <w:rPr>
      <w:sz w:val="16"/>
    </w:rPr>
  </w:style>
  <w:style w:type="paragraph" w:customStyle="1" w:styleId="332">
    <w:name w:val="‧ N table-8 body"/>
    <w:basedOn w:val="185"/>
    <w:qFormat/>
    <w:uiPriority w:val="0"/>
  </w:style>
  <w:style w:type="paragraph" w:customStyle="1" w:styleId="333">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4">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5">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6">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7">
    <w:name w:val="‧ N head 3"/>
    <w:basedOn w:val="185"/>
    <w:next w:val="269"/>
    <w:qFormat/>
    <w:uiPriority w:val="0"/>
  </w:style>
  <w:style w:type="paragraph" w:customStyle="1" w:styleId="338">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9">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0">
    <w:name w:val="‧ N bullet"/>
    <w:basedOn w:val="185"/>
    <w:qFormat/>
    <w:uiPriority w:val="0"/>
  </w:style>
  <w:style w:type="paragraph" w:customStyle="1" w:styleId="341">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42">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3">
    <w:name w:val="~Table/Graphics Caption"/>
    <w:basedOn w:val="213"/>
    <w:next w:val="232"/>
    <w:qFormat/>
    <w:uiPriority w:val="0"/>
    <w:rPr>
      <w:color w:val="00637A"/>
    </w:rPr>
  </w:style>
  <w:style w:type="paragraph" w:customStyle="1" w:styleId="344">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5">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6">
    <w:name w:val="中铁-标题四"/>
    <w:basedOn w:val="347"/>
    <w:qFormat/>
    <w:uiPriority w:val="0"/>
    <w:pPr>
      <w:outlineLvl w:val="3"/>
    </w:pPr>
    <w:rPr>
      <w:sz w:val="30"/>
    </w:rPr>
  </w:style>
  <w:style w:type="paragraph" w:customStyle="1" w:styleId="347">
    <w:name w:val="中铁-标题三"/>
    <w:basedOn w:val="348"/>
    <w:qFormat/>
    <w:uiPriority w:val="0"/>
    <w:pPr>
      <w:outlineLvl w:val="2"/>
    </w:pPr>
    <w:rPr>
      <w:sz w:val="32"/>
    </w:rPr>
  </w:style>
  <w:style w:type="paragraph" w:customStyle="1" w:styleId="348">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9">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50">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51">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52">
    <w:name w:val="Char Char1 Char"/>
    <w:basedOn w:val="1"/>
    <w:qFormat/>
    <w:uiPriority w:val="0"/>
    <w:pPr>
      <w:widowControl/>
      <w:spacing w:after="160" w:line="240" w:lineRule="exact"/>
      <w:jc w:val="left"/>
    </w:pPr>
  </w:style>
  <w:style w:type="paragraph" w:customStyle="1" w:styleId="353">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4">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5">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6">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7">
    <w:name w:val="Contents 10"/>
    <w:basedOn w:val="48"/>
    <w:qFormat/>
    <w:uiPriority w:val="0"/>
    <w:pPr>
      <w:tabs>
        <w:tab w:val="right" w:leader="dot" w:pos="9746"/>
      </w:tabs>
      <w:ind w:left="2547"/>
    </w:pPr>
  </w:style>
  <w:style w:type="paragraph" w:customStyle="1" w:styleId="358">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9">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61">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62">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3">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4">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5">
    <w:name w:val="*Table of Contents"/>
    <w:basedOn w:val="299"/>
    <w:next w:val="115"/>
    <w:qFormat/>
    <w:uiPriority w:val="0"/>
    <w:pPr>
      <w:spacing w:before="240" w:after="240" w:line="240" w:lineRule="auto"/>
    </w:pPr>
    <w:rPr>
      <w:color w:val="00637A"/>
      <w:sz w:val="36"/>
      <w:szCs w:val="36"/>
    </w:rPr>
  </w:style>
  <w:style w:type="paragraph" w:customStyle="1" w:styleId="366">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7">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8">
    <w:name w:val="‧ N cover title"/>
    <w:basedOn w:val="185"/>
    <w:qFormat/>
    <w:uiPriority w:val="0"/>
  </w:style>
  <w:style w:type="paragraph" w:customStyle="1" w:styleId="369">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70">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71">
    <w:name w:val="GP公文标题1"/>
    <w:basedOn w:val="296"/>
    <w:next w:val="296"/>
    <w:qFormat/>
    <w:uiPriority w:val="0"/>
    <w:pPr>
      <w:jc w:val="both"/>
    </w:pPr>
    <w:rPr>
      <w:rFonts w:ascii="宋体"/>
    </w:rPr>
  </w:style>
  <w:style w:type="paragraph" w:customStyle="1" w:styleId="372">
    <w:name w:val="Char2"/>
    <w:basedOn w:val="1"/>
    <w:qFormat/>
    <w:uiPriority w:val="0"/>
    <w:rPr>
      <w:rFonts w:ascii="仿宋_GB2312" w:eastAsia="仿宋_GB2312"/>
      <w:b/>
      <w:sz w:val="32"/>
      <w:szCs w:val="32"/>
    </w:rPr>
  </w:style>
  <w:style w:type="paragraph" w:customStyle="1" w:styleId="373">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4">
    <w:name w:val="_HP Table Head 8 pt"/>
    <w:basedOn w:val="120"/>
    <w:next w:val="120"/>
    <w:qFormat/>
    <w:uiPriority w:val="0"/>
    <w:pPr>
      <w:spacing w:before="60" w:after="60"/>
    </w:pPr>
    <w:rPr>
      <w:rFonts w:ascii="Futura-Heavy" w:hAnsi="Futura-Heavy" w:eastAsia="宋体" w:cs="Times New Roman"/>
      <w:color w:val="auto"/>
    </w:rPr>
  </w:style>
  <w:style w:type="paragraph" w:customStyle="1" w:styleId="375">
    <w:name w:val="_HP Table Body 8 pt"/>
    <w:basedOn w:val="120"/>
    <w:next w:val="120"/>
    <w:qFormat/>
    <w:uiPriority w:val="0"/>
    <w:pPr>
      <w:spacing w:before="80" w:after="80"/>
    </w:pPr>
    <w:rPr>
      <w:rFonts w:ascii="Futura-Heavy" w:hAnsi="Futura-Heavy" w:eastAsia="宋体" w:cs="Times New Roman"/>
      <w:color w:val="auto"/>
    </w:rPr>
  </w:style>
  <w:style w:type="paragraph" w:customStyle="1" w:styleId="376">
    <w:name w:val="技术标题2"/>
    <w:basedOn w:val="358"/>
    <w:qFormat/>
    <w:uiPriority w:val="0"/>
    <w:pPr>
      <w:tabs>
        <w:tab w:val="left" w:pos="567"/>
        <w:tab w:val="left" w:pos="1440"/>
      </w:tabs>
      <w:spacing w:beforeLines="150" w:line="240" w:lineRule="auto"/>
      <w:ind w:left="567" w:hanging="567"/>
    </w:pPr>
    <w:rPr>
      <w:sz w:val="28"/>
    </w:rPr>
  </w:style>
  <w:style w:type="paragraph" w:customStyle="1" w:styleId="377">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8">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9">
    <w:name w:val="User Index 9"/>
    <w:basedOn w:val="48"/>
    <w:qFormat/>
    <w:uiPriority w:val="0"/>
    <w:pPr>
      <w:tabs>
        <w:tab w:val="right" w:leader="dot" w:pos="9746"/>
      </w:tabs>
      <w:ind w:left="2264"/>
    </w:pPr>
  </w:style>
  <w:style w:type="paragraph" w:customStyle="1" w:styleId="38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81">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82">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3">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4">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5">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6">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7">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9">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90">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91">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92">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3">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4">
    <w:name w:val="标3"/>
    <w:basedOn w:val="1"/>
    <w:qFormat/>
    <w:uiPriority w:val="0"/>
    <w:pPr>
      <w:spacing w:line="360" w:lineRule="auto"/>
      <w:ind w:firstLine="420"/>
    </w:pPr>
    <w:rPr>
      <w:rFonts w:ascii="宋体" w:hAnsi="宋体"/>
    </w:rPr>
  </w:style>
  <w:style w:type="paragraph" w:customStyle="1" w:styleId="395">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6">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7">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8">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9">
    <w:name w:val="blithe5"/>
    <w:basedOn w:val="400"/>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400">
    <w:name w:val="blithe4"/>
    <w:basedOn w:val="131"/>
    <w:next w:val="1"/>
    <w:qFormat/>
    <w:uiPriority w:val="0"/>
    <w:pPr>
      <w:tabs>
        <w:tab w:val="left" w:pos="2160"/>
      </w:tabs>
      <w:ind w:left="2100" w:hanging="420"/>
      <w:outlineLvl w:val="3"/>
    </w:pPr>
    <w:rPr>
      <w:b w:val="0"/>
      <w:kern w:val="20"/>
    </w:rPr>
  </w:style>
  <w:style w:type="paragraph" w:customStyle="1" w:styleId="401">
    <w:name w:val="应答标题a"/>
    <w:basedOn w:val="118"/>
    <w:qFormat/>
    <w:uiPriority w:val="0"/>
    <w:pPr>
      <w:tabs>
        <w:tab w:val="left" w:pos="540"/>
      </w:tabs>
      <w:ind w:firstLine="522"/>
    </w:pPr>
    <w:rPr>
      <w:rFonts w:ascii="黑体" w:hAnsi="黑体" w:eastAsia="黑体"/>
      <w:b/>
      <w:bCs/>
      <w:color w:val="auto"/>
      <w:kern w:val="2"/>
      <w:u w:val="single"/>
    </w:rPr>
  </w:style>
  <w:style w:type="paragraph" w:customStyle="1" w:styleId="402">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3">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4">
    <w:name w:val="样式8"/>
    <w:basedOn w:val="123"/>
    <w:qFormat/>
    <w:uiPriority w:val="0"/>
    <w:pPr>
      <w:keepNext/>
      <w:keepLines/>
      <w:tabs>
        <w:tab w:val="left" w:pos="567"/>
      </w:tabs>
      <w:spacing w:before="260" w:after="260"/>
      <w:ind w:left="567" w:hanging="567"/>
      <w:outlineLvl w:val="1"/>
    </w:pPr>
    <w:rPr>
      <w:b/>
      <w:bCs/>
      <w:sz w:val="32"/>
      <w:szCs w:val="32"/>
    </w:rPr>
  </w:style>
  <w:style w:type="paragraph" w:customStyle="1" w:styleId="405">
    <w:name w:val="SANGFOR_2_标题2"/>
    <w:basedOn w:val="3"/>
    <w:next w:val="128"/>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6">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7">
    <w:name w:val="List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408">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9">
    <w:name w:val="*Logo Cover"/>
    <w:basedOn w:val="183"/>
    <w:qFormat/>
    <w:uiPriority w:val="0"/>
    <w:pPr>
      <w:ind w:right="360"/>
      <w:jc w:val="right"/>
    </w:pPr>
  </w:style>
  <w:style w:type="paragraph" w:customStyle="1" w:styleId="410">
    <w:name w:val="‧ N bullet 2"/>
    <w:basedOn w:val="185"/>
    <w:qFormat/>
    <w:uiPriority w:val="0"/>
  </w:style>
  <w:style w:type="paragraph" w:customStyle="1" w:styleId="411">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12">
    <w:name w:val="~Manual # Heading 5"/>
    <w:next w:val="232"/>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3">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4">
    <w:name w:val="~Heading 5"/>
    <w:next w:val="232"/>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5">
    <w:name w:val="SANGFOR_8_表格文字"/>
    <w:basedOn w:val="1"/>
    <w:qFormat/>
    <w:uiPriority w:val="0"/>
    <w:pPr>
      <w:tabs>
        <w:tab w:val="left" w:pos="390"/>
      </w:tabs>
      <w:snapToGrid w:val="0"/>
      <w:ind w:firstLine="425" w:firstLineChars="177"/>
      <w:jc w:val="left"/>
    </w:pPr>
    <w:rPr>
      <w:szCs w:val="21"/>
    </w:rPr>
  </w:style>
  <w:style w:type="paragraph" w:customStyle="1" w:styleId="416">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7">
    <w:name w:val="User Index 7"/>
    <w:basedOn w:val="48"/>
    <w:qFormat/>
    <w:uiPriority w:val="0"/>
    <w:pPr>
      <w:tabs>
        <w:tab w:val="right" w:leader="dot" w:pos="9746"/>
      </w:tabs>
      <w:ind w:left="1698"/>
    </w:pPr>
  </w:style>
  <w:style w:type="paragraph" w:customStyle="1" w:styleId="418">
    <w:name w:val="‧ N table-10 body center"/>
    <w:basedOn w:val="185"/>
    <w:qFormat/>
    <w:uiPriority w:val="0"/>
  </w:style>
  <w:style w:type="paragraph" w:customStyle="1" w:styleId="419">
    <w:name w:val="*Table Text 2 Bullet #1"/>
    <w:basedOn w:val="420"/>
    <w:qFormat/>
    <w:uiPriority w:val="0"/>
    <w:pPr>
      <w:tabs>
        <w:tab w:val="left" w:pos="144"/>
        <w:tab w:val="left" w:pos="3240"/>
      </w:tabs>
      <w:ind w:left="144" w:hanging="144"/>
    </w:pPr>
  </w:style>
  <w:style w:type="paragraph" w:customStyle="1" w:styleId="420">
    <w:name w:val="*Table Text 2"/>
    <w:basedOn w:val="183"/>
    <w:qFormat/>
    <w:uiPriority w:val="0"/>
    <w:pPr>
      <w:spacing w:line="220" w:lineRule="atLeast"/>
    </w:pPr>
    <w:rPr>
      <w:color w:val="000000"/>
      <w:sz w:val="20"/>
      <w:szCs w:val="20"/>
    </w:rPr>
  </w:style>
  <w:style w:type="paragraph" w:customStyle="1" w:styleId="421">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22">
    <w:name w:val="*Bullet #2 Subtext Single"/>
    <w:basedOn w:val="423"/>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3">
    <w:name w:val="*Bullet #2 Double"/>
    <w:basedOn w:val="424"/>
    <w:qFormat/>
    <w:uiPriority w:val="0"/>
    <w:pPr>
      <w:tabs>
        <w:tab w:val="left" w:pos="360"/>
        <w:tab w:val="left" w:pos="425"/>
        <w:tab w:val="left" w:pos="840"/>
        <w:tab w:val="left" w:pos="900"/>
        <w:tab w:val="left" w:pos="1080"/>
        <w:tab w:val="left" w:pos="1440"/>
      </w:tabs>
      <w:spacing w:after="220"/>
      <w:ind w:left="1440"/>
    </w:pPr>
  </w:style>
  <w:style w:type="paragraph" w:customStyle="1" w:styleId="424">
    <w:name w:val="*Bullet #2 Single"/>
    <w:basedOn w:val="114"/>
    <w:qFormat/>
    <w:uiPriority w:val="0"/>
    <w:pPr>
      <w:tabs>
        <w:tab w:val="left" w:pos="360"/>
        <w:tab w:val="left" w:pos="840"/>
        <w:tab w:val="left" w:pos="900"/>
      </w:tabs>
      <w:ind w:left="840" w:hanging="420"/>
    </w:pPr>
  </w:style>
  <w:style w:type="paragraph" w:customStyle="1" w:styleId="42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6">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8">
    <w:name w:val="User Index 8"/>
    <w:basedOn w:val="48"/>
    <w:qFormat/>
    <w:uiPriority w:val="0"/>
    <w:pPr>
      <w:tabs>
        <w:tab w:val="right" w:leader="dot" w:pos="9746"/>
      </w:tabs>
      <w:ind w:left="1981"/>
    </w:pPr>
  </w:style>
  <w:style w:type="paragraph" w:customStyle="1" w:styleId="429">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30">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31">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2">
    <w:name w:val="‧ N computer syntax"/>
    <w:basedOn w:val="185"/>
    <w:next w:val="269"/>
    <w:qFormat/>
    <w:uiPriority w:val="0"/>
  </w:style>
  <w:style w:type="paragraph" w:customStyle="1" w:styleId="433">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4">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5">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6">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7">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8">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9">
    <w:name w:val="标准正文1"/>
    <w:basedOn w:val="1"/>
    <w:qFormat/>
    <w:uiPriority w:val="0"/>
    <w:pPr>
      <w:spacing w:line="360" w:lineRule="auto"/>
      <w:ind w:firstLine="480" w:firstLineChars="200"/>
    </w:pPr>
    <w:rPr>
      <w:rFonts w:ascii="宋体" w:hAnsi="宋体"/>
      <w:sz w:val="24"/>
    </w:rPr>
  </w:style>
  <w:style w:type="paragraph" w:customStyle="1" w:styleId="440">
    <w:name w:val="blithe1"/>
    <w:basedOn w:val="17"/>
    <w:next w:val="34"/>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41">
    <w:name w:val="*Table Text 3"/>
    <w:basedOn w:val="183"/>
    <w:qFormat/>
    <w:uiPriority w:val="0"/>
    <w:rPr>
      <w:sz w:val="14"/>
      <w:szCs w:val="14"/>
    </w:rPr>
  </w:style>
  <w:style w:type="paragraph" w:customStyle="1" w:styleId="442">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3">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4">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5">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6">
    <w:name w:val="‧ N head 5"/>
    <w:basedOn w:val="185"/>
    <w:next w:val="447"/>
    <w:qFormat/>
    <w:uiPriority w:val="0"/>
  </w:style>
  <w:style w:type="paragraph" w:customStyle="1" w:styleId="447">
    <w:name w:val="‧ N body indented"/>
    <w:basedOn w:val="185"/>
    <w:qFormat/>
    <w:uiPriority w:val="0"/>
  </w:style>
  <w:style w:type="paragraph" w:customStyle="1" w:styleId="448">
    <w:name w:val="样式 正文缩进 + 首行缩进:  2 字符"/>
    <w:basedOn w:val="22"/>
    <w:qFormat/>
    <w:uiPriority w:val="0"/>
    <w:pPr>
      <w:spacing w:line="360" w:lineRule="auto"/>
      <w:ind w:firstLine="200"/>
    </w:pPr>
    <w:rPr>
      <w:rFonts w:cs="宋体"/>
      <w:kern w:val="0"/>
      <w:sz w:val="24"/>
      <w:szCs w:val="20"/>
    </w:rPr>
  </w:style>
  <w:style w:type="paragraph" w:customStyle="1" w:styleId="449">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50">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51">
    <w:name w:val="DAS列表一"/>
    <w:basedOn w:val="425"/>
    <w:qFormat/>
    <w:uiPriority w:val="0"/>
    <w:pPr>
      <w:tabs>
        <w:tab w:val="left" w:pos="840"/>
      </w:tabs>
      <w:spacing w:line="360" w:lineRule="auto"/>
      <w:ind w:left="-58" w:leftChars="-58" w:firstLine="0" w:firstLineChars="0"/>
    </w:pPr>
    <w:rPr>
      <w:b w:val="0"/>
      <w:bCs w:val="0"/>
    </w:rPr>
  </w:style>
  <w:style w:type="paragraph" w:customStyle="1" w:styleId="452">
    <w:name w:val="Char Char Char Char Char Char Char Char"/>
    <w:basedOn w:val="1"/>
    <w:qFormat/>
    <w:uiPriority w:val="0"/>
    <w:pPr>
      <w:spacing w:line="360" w:lineRule="auto"/>
    </w:pPr>
    <w:rPr>
      <w:rFonts w:ascii="宋体" w:hAnsi="宋体"/>
    </w:rPr>
  </w:style>
  <w:style w:type="paragraph" w:customStyle="1" w:styleId="453">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4">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5">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6">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7">
    <w:name w:val="~Bullet #1 Subtext"/>
    <w:basedOn w:val="458"/>
    <w:qFormat/>
    <w:uiPriority w:val="0"/>
    <w:pPr>
      <w:tabs>
        <w:tab w:val="left" w:pos="900"/>
      </w:tabs>
      <w:ind w:left="360" w:firstLine="0"/>
    </w:pPr>
  </w:style>
  <w:style w:type="paragraph" w:customStyle="1" w:styleId="458">
    <w:name w:val="~Bullet #1 Single"/>
    <w:basedOn w:val="232"/>
    <w:qFormat/>
    <w:uiPriority w:val="0"/>
    <w:pPr>
      <w:tabs>
        <w:tab w:val="left" w:pos="900"/>
      </w:tabs>
      <w:spacing w:after="0"/>
      <w:ind w:left="900" w:hanging="420"/>
    </w:pPr>
  </w:style>
  <w:style w:type="paragraph" w:customStyle="1" w:styleId="459">
    <w:name w:val="Object index 1"/>
    <w:basedOn w:val="48"/>
    <w:qFormat/>
    <w:uiPriority w:val="0"/>
    <w:pPr>
      <w:tabs>
        <w:tab w:val="right" w:leader="dot" w:pos="9746"/>
      </w:tabs>
    </w:pPr>
  </w:style>
  <w:style w:type="paragraph" w:customStyle="1" w:styleId="460">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61">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62">
    <w:name w:val="*Bullet #2 Subtext Double"/>
    <w:basedOn w:val="422"/>
    <w:qFormat/>
    <w:uiPriority w:val="0"/>
    <w:pPr>
      <w:spacing w:after="220"/>
    </w:pPr>
  </w:style>
  <w:style w:type="paragraph" w:customStyle="1" w:styleId="463">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4">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5">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6">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7">
    <w:name w:val="*Bullet #1 Subtext Single"/>
    <w:basedOn w:val="107"/>
    <w:qFormat/>
    <w:uiPriority w:val="0"/>
    <w:pPr>
      <w:spacing w:after="0"/>
      <w:ind w:firstLine="0"/>
    </w:pPr>
  </w:style>
  <w:style w:type="paragraph" w:customStyle="1" w:styleId="468">
    <w:name w:val="User Index 2"/>
    <w:basedOn w:val="48"/>
    <w:qFormat/>
    <w:uiPriority w:val="0"/>
    <w:pPr>
      <w:tabs>
        <w:tab w:val="right" w:leader="dot" w:pos="9746"/>
      </w:tabs>
      <w:ind w:left="283"/>
    </w:pPr>
  </w:style>
  <w:style w:type="paragraph" w:customStyle="1" w:styleId="469">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70">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71">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72">
    <w:name w:val="SANGFOR_5_标题5"/>
    <w:basedOn w:val="6"/>
    <w:next w:val="128"/>
    <w:qFormat/>
    <w:uiPriority w:val="0"/>
    <w:pPr>
      <w:tabs>
        <w:tab w:val="left" w:pos="567"/>
      </w:tabs>
      <w:spacing w:beforeLines="50" w:afterLines="50" w:line="360" w:lineRule="auto"/>
      <w:ind w:left="425" w:hanging="425"/>
    </w:pPr>
    <w:rPr>
      <w:sz w:val="21"/>
      <w:szCs w:val="21"/>
    </w:rPr>
  </w:style>
  <w:style w:type="paragraph" w:customStyle="1" w:styleId="473">
    <w:name w:val="样式 正文（首行缩进2字符） + 首行缩进:  2 字符1"/>
    <w:basedOn w:val="174"/>
    <w:qFormat/>
    <w:uiPriority w:val="0"/>
    <w:pPr>
      <w:spacing w:beforeLines="50" w:afterLines="50" w:line="420" w:lineRule="exact"/>
    </w:pPr>
    <w:rPr>
      <w:rFonts w:cs="宋体"/>
      <w:szCs w:val="20"/>
    </w:rPr>
  </w:style>
  <w:style w:type="paragraph" w:customStyle="1" w:styleId="474">
    <w:name w:val="~Alt Number"/>
    <w:basedOn w:val="231"/>
    <w:qFormat/>
    <w:uiPriority w:val="0"/>
    <w:pPr>
      <w:tabs>
        <w:tab w:val="left" w:pos="1440"/>
        <w:tab w:val="clear" w:pos="360"/>
      </w:tabs>
      <w:ind w:left="1440" w:hanging="1440"/>
    </w:pPr>
  </w:style>
  <w:style w:type="paragraph" w:customStyle="1" w:styleId="475">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6">
    <w:name w:val="编号正文"/>
    <w:basedOn w:val="1"/>
    <w:qFormat/>
    <w:uiPriority w:val="0"/>
    <w:pPr>
      <w:tabs>
        <w:tab w:val="left" w:pos="590"/>
      </w:tabs>
      <w:spacing w:line="360" w:lineRule="auto"/>
      <w:ind w:left="454"/>
    </w:pPr>
    <w:rPr>
      <w:rFonts w:ascii="宋体" w:hAnsi="宋体"/>
    </w:rPr>
  </w:style>
  <w:style w:type="paragraph" w:customStyle="1" w:styleId="477">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8">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80">
    <w:name w:val="‧ N cover prepared for"/>
    <w:basedOn w:val="185"/>
    <w:qFormat/>
    <w:uiPriority w:val="0"/>
  </w:style>
  <w:style w:type="paragraph" w:customStyle="1" w:styleId="481">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82">
    <w:name w:val="*Manual # Heading 5"/>
    <w:next w:val="115"/>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3">
    <w:name w:val="User Index 6"/>
    <w:basedOn w:val="48"/>
    <w:qFormat/>
    <w:uiPriority w:val="0"/>
    <w:pPr>
      <w:tabs>
        <w:tab w:val="right" w:leader="dot" w:pos="9746"/>
      </w:tabs>
      <w:ind w:left="1415"/>
    </w:pPr>
  </w:style>
  <w:style w:type="paragraph" w:customStyle="1" w:styleId="484">
    <w:name w:val="中铁-标题五"/>
    <w:basedOn w:val="346"/>
    <w:qFormat/>
    <w:uiPriority w:val="0"/>
    <w:pPr>
      <w:outlineLvl w:val="4"/>
    </w:pPr>
    <w:rPr>
      <w:sz w:val="28"/>
    </w:rPr>
  </w:style>
  <w:style w:type="paragraph" w:customStyle="1" w:styleId="485">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6">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7">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8">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9">
    <w:name w:val="_HP Sidebar text"/>
    <w:basedOn w:val="120"/>
    <w:next w:val="120"/>
    <w:qFormat/>
    <w:uiPriority w:val="0"/>
    <w:pPr>
      <w:spacing w:after="360"/>
    </w:pPr>
    <w:rPr>
      <w:rFonts w:ascii="Futura-Heavy" w:hAnsi="Futura-Heavy" w:eastAsia="宋体" w:cs="Times New Roman"/>
      <w:color w:val="auto"/>
    </w:rPr>
  </w:style>
  <w:style w:type="paragraph" w:customStyle="1" w:styleId="490">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1">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92">
    <w:name w:val="List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493">
    <w:name w:val="~Manual # Heading 1"/>
    <w:next w:val="232"/>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4">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6">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7">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8">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9">
    <w:name w:val="User Index Heading"/>
    <w:basedOn w:val="16"/>
    <w:qFormat/>
    <w:uiPriority w:val="0"/>
  </w:style>
  <w:style w:type="paragraph" w:customStyle="1" w:styleId="500">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1">
    <w:name w:val="‧ N Page Header"/>
    <w:basedOn w:val="55"/>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502">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3">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_HP Body text_last 10 pt"/>
    <w:basedOn w:val="120"/>
    <w:next w:val="120"/>
    <w:qFormat/>
    <w:uiPriority w:val="0"/>
    <w:pPr>
      <w:spacing w:after="240"/>
    </w:pPr>
    <w:rPr>
      <w:rFonts w:ascii="Futura-Book" w:hAnsi="Futura-Book" w:eastAsia="宋体" w:cs="Times New Roman"/>
      <w:color w:val="auto"/>
    </w:rPr>
  </w:style>
  <w:style w:type="paragraph" w:customStyle="1" w:styleId="505">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6">
    <w:name w:val="正文内"/>
    <w:basedOn w:val="1"/>
    <w:qFormat/>
    <w:uiPriority w:val="0"/>
    <w:pPr>
      <w:spacing w:line="400" w:lineRule="exact"/>
      <w:ind w:firstLine="200" w:firstLineChars="200"/>
    </w:pPr>
    <w:rPr>
      <w:rFonts w:ascii="??" w:hAnsi="??" w:eastAsia="??" w:cs="宋体"/>
      <w:szCs w:val="28"/>
    </w:rPr>
  </w:style>
  <w:style w:type="paragraph" w:customStyle="1" w:styleId="507">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8">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9">
    <w:name w:val="*Cover Text 1"/>
    <w:basedOn w:val="420"/>
    <w:qFormat/>
    <w:uiPriority w:val="0"/>
    <w:pPr>
      <w:spacing w:line="280" w:lineRule="atLeast"/>
    </w:pPr>
    <w:rPr>
      <w:color w:val="00637A"/>
      <w:sz w:val="44"/>
      <w:szCs w:val="44"/>
    </w:rPr>
  </w:style>
  <w:style w:type="paragraph" w:customStyle="1" w:styleId="510">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11">
    <w:name w:val="~Manual # Heading 4"/>
    <w:next w:val="232"/>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12">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3">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4">
    <w:name w:val="‧ N body indented 2"/>
    <w:basedOn w:val="185"/>
    <w:qFormat/>
    <w:uiPriority w:val="0"/>
  </w:style>
  <w:style w:type="paragraph" w:customStyle="1" w:styleId="515">
    <w:name w:val="‧ N head 2"/>
    <w:basedOn w:val="185"/>
    <w:next w:val="269"/>
    <w:qFormat/>
    <w:uiPriority w:val="0"/>
  </w:style>
  <w:style w:type="paragraph" w:customStyle="1" w:styleId="516">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7">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8">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9">
    <w:name w:val="*Bullet #3 Single"/>
    <w:basedOn w:val="424"/>
    <w:qFormat/>
    <w:uiPriority w:val="0"/>
    <w:pPr>
      <w:tabs>
        <w:tab w:val="left" w:pos="284"/>
        <w:tab w:val="left" w:pos="780"/>
        <w:tab w:val="left" w:pos="1200"/>
        <w:tab w:val="clear" w:pos="1080"/>
      </w:tabs>
      <w:ind w:left="1080" w:hanging="360"/>
    </w:pPr>
  </w:style>
  <w:style w:type="paragraph" w:customStyle="1" w:styleId="520">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21">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22">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3">
    <w:name w:val="*Table Heading 1"/>
    <w:basedOn w:val="183"/>
    <w:qFormat/>
    <w:uiPriority w:val="0"/>
    <w:pPr>
      <w:shd w:val="clear" w:color="auto" w:fill="007D9A"/>
      <w:jc w:val="center"/>
    </w:pPr>
    <w:rPr>
      <w:b/>
      <w:color w:val="FFFFFF"/>
      <w:sz w:val="20"/>
      <w:szCs w:val="20"/>
    </w:rPr>
  </w:style>
  <w:style w:type="paragraph" w:customStyle="1" w:styleId="524">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5">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6">
    <w:name w:val="~Bullet #1 Double"/>
    <w:basedOn w:val="458"/>
    <w:qFormat/>
    <w:uiPriority w:val="0"/>
    <w:pPr>
      <w:tabs>
        <w:tab w:val="left" w:pos="1080"/>
        <w:tab w:val="left" w:pos="1140"/>
        <w:tab w:val="clear" w:pos="900"/>
      </w:tabs>
      <w:spacing w:after="220"/>
      <w:ind w:left="360" w:hanging="360"/>
    </w:pPr>
  </w:style>
  <w:style w:type="paragraph" w:customStyle="1" w:styleId="527">
    <w:name w:val="_Style 61"/>
    <w:basedOn w:val="1"/>
    <w:qFormat/>
    <w:uiPriority w:val="0"/>
    <w:rPr>
      <w:rFonts w:ascii="仿宋_GB2312" w:eastAsia="仿宋_GB2312"/>
      <w:b/>
      <w:sz w:val="32"/>
      <w:szCs w:val="32"/>
    </w:rPr>
  </w:style>
  <w:style w:type="paragraph" w:customStyle="1" w:styleId="528">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9">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30">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31">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32">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3">
    <w:name w:val="yxy标题3"/>
    <w:basedOn w:val="1"/>
    <w:next w:val="1"/>
    <w:qFormat/>
    <w:uiPriority w:val="0"/>
    <w:pPr>
      <w:keepNext/>
      <w:spacing w:line="360" w:lineRule="auto"/>
      <w:ind w:firstLine="200" w:firstLineChars="200"/>
      <w:outlineLvl w:val="2"/>
    </w:pPr>
    <w:rPr>
      <w:b/>
      <w:sz w:val="28"/>
      <w:szCs w:val="20"/>
    </w:rPr>
  </w:style>
  <w:style w:type="paragraph" w:customStyle="1" w:styleId="534">
    <w:name w:val="_Style 40"/>
    <w:basedOn w:val="1"/>
    <w:qFormat/>
    <w:uiPriority w:val="0"/>
    <w:rPr>
      <w:rFonts w:eastAsia="??"/>
      <w:szCs w:val="28"/>
    </w:rPr>
  </w:style>
  <w:style w:type="paragraph" w:customStyle="1" w:styleId="535">
    <w:name w:val="p15"/>
    <w:basedOn w:val="1"/>
    <w:qFormat/>
    <w:uiPriority w:val="0"/>
    <w:pPr>
      <w:widowControl/>
      <w:spacing w:line="360" w:lineRule="auto"/>
      <w:ind w:firstLine="420"/>
      <w:jc w:val="left"/>
    </w:pPr>
    <w:rPr>
      <w:kern w:val="0"/>
      <w:sz w:val="24"/>
    </w:rPr>
  </w:style>
  <w:style w:type="paragraph" w:customStyle="1" w:styleId="536">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7">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8">
    <w:name w:val="*Bullet #3 Double"/>
    <w:basedOn w:val="519"/>
    <w:qFormat/>
    <w:uiPriority w:val="0"/>
    <w:pPr>
      <w:tabs>
        <w:tab w:val="left" w:pos="481"/>
        <w:tab w:val="left" w:pos="600"/>
        <w:tab w:val="left" w:pos="1620"/>
      </w:tabs>
      <w:spacing w:after="220"/>
    </w:pPr>
  </w:style>
  <w:style w:type="paragraph" w:customStyle="1" w:styleId="539">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4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1">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42">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4">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5">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6">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7">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8">
    <w:name w:val="‧ N table-8 body center"/>
    <w:basedOn w:val="332"/>
    <w:qFormat/>
    <w:uiPriority w:val="0"/>
    <w:pPr>
      <w:spacing w:before="85" w:after="45"/>
      <w:jc w:val="center"/>
    </w:pPr>
    <w:rPr>
      <w:sz w:val="16"/>
    </w:rPr>
  </w:style>
  <w:style w:type="paragraph" w:customStyle="1" w:styleId="549">
    <w:name w:val="封面第一行"/>
    <w:basedOn w:val="1"/>
    <w:qFormat/>
    <w:uiPriority w:val="0"/>
    <w:pPr>
      <w:spacing w:line="360" w:lineRule="auto"/>
      <w:jc w:val="center"/>
    </w:pPr>
    <w:rPr>
      <w:rFonts w:ascii="黑体" w:hAnsi="宋体" w:eastAsia="黑体" w:cs="宋体"/>
      <w:sz w:val="56"/>
      <w:szCs w:val="20"/>
    </w:rPr>
  </w:style>
  <w:style w:type="paragraph" w:customStyle="1" w:styleId="550">
    <w:name w:val="~Bullet Subnumber"/>
    <w:basedOn w:val="457"/>
    <w:qFormat/>
    <w:uiPriority w:val="0"/>
    <w:pPr>
      <w:tabs>
        <w:tab w:val="left" w:pos="720"/>
      </w:tabs>
      <w:ind w:left="720" w:hanging="360"/>
    </w:pPr>
  </w:style>
  <w:style w:type="paragraph" w:customStyle="1" w:styleId="551">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3">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4">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5">
    <w:name w:val="章节项目"/>
    <w:basedOn w:val="167"/>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6">
    <w:name w:val="Numbering 5 Start"/>
    <w:basedOn w:val="63"/>
    <w:qFormat/>
    <w:uiPriority w:val="0"/>
    <w:pPr>
      <w:widowControl/>
      <w:spacing w:before="240"/>
      <w:ind w:left="1417" w:firstLine="0" w:firstLineChars="0"/>
      <w:jc w:val="left"/>
    </w:pPr>
    <w:rPr>
      <w:rFonts w:eastAsia="PMingLiU"/>
      <w:kern w:val="0"/>
      <w:sz w:val="20"/>
      <w:szCs w:val="20"/>
      <w:lang w:eastAsia="zh-TW"/>
    </w:rPr>
  </w:style>
  <w:style w:type="paragraph" w:customStyle="1" w:styleId="557">
    <w:name w:val="*Bullet #1 Subtext Double"/>
    <w:basedOn w:val="467"/>
    <w:qFormat/>
    <w:uiPriority w:val="0"/>
    <w:pPr>
      <w:tabs>
        <w:tab w:val="left" w:pos="425"/>
      </w:tabs>
      <w:spacing w:after="220"/>
    </w:pPr>
  </w:style>
  <w:style w:type="paragraph" w:customStyle="1" w:styleId="558">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9">
    <w:name w:val="Table index 1"/>
    <w:basedOn w:val="48"/>
    <w:qFormat/>
    <w:uiPriority w:val="0"/>
    <w:pPr>
      <w:tabs>
        <w:tab w:val="right" w:leader="dot" w:pos="9746"/>
      </w:tabs>
    </w:pPr>
  </w:style>
  <w:style w:type="paragraph" w:customStyle="1" w:styleId="560">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61">
    <w:name w:val="*Bullet Subnumber"/>
    <w:basedOn w:val="550"/>
    <w:qFormat/>
    <w:uiPriority w:val="0"/>
    <w:rPr>
      <w:color w:val="auto"/>
    </w:rPr>
  </w:style>
  <w:style w:type="paragraph" w:customStyle="1" w:styleId="56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4">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5">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6">
    <w:name w:val="样式 表头样式 + 段后: 23.4 磅"/>
    <w:basedOn w:val="177"/>
    <w:qFormat/>
    <w:uiPriority w:val="0"/>
  </w:style>
  <w:style w:type="paragraph" w:customStyle="1" w:styleId="567">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8">
    <w:name w:val="#"/>
    <w:basedOn w:val="1"/>
    <w:qFormat/>
    <w:uiPriority w:val="0"/>
    <w:pPr>
      <w:tabs>
        <w:tab w:val="left" w:pos="1022"/>
      </w:tabs>
      <w:spacing w:line="360" w:lineRule="auto"/>
      <w:ind w:firstLine="420"/>
    </w:pPr>
    <w:rPr>
      <w:rFonts w:ascii="宋体" w:hAnsi="宋体"/>
      <w:sz w:val="24"/>
    </w:rPr>
  </w:style>
  <w:style w:type="paragraph" w:customStyle="1" w:styleId="569">
    <w:name w:val="‧ N table-8 body indent 2"/>
    <w:basedOn w:val="332"/>
    <w:qFormat/>
    <w:uiPriority w:val="0"/>
    <w:pPr>
      <w:spacing w:before="85" w:after="45"/>
      <w:ind w:left="1083"/>
    </w:pPr>
    <w:rPr>
      <w:sz w:val="16"/>
    </w:rPr>
  </w:style>
  <w:style w:type="paragraph" w:customStyle="1" w:styleId="570">
    <w:name w:val="‧ N caption-figure"/>
    <w:basedOn w:val="185"/>
    <w:next w:val="269"/>
    <w:qFormat/>
    <w:uiPriority w:val="0"/>
  </w:style>
  <w:style w:type="paragraph" w:customStyle="1" w:styleId="571">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72">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3">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4">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5">
    <w:name w:val="样式 样式 正文（首行缩进2字符） + 首行缩进:  2 字符1 + (西文) Tahoma (中文) 新宋体 首行缩进: ..."/>
    <w:basedOn w:val="473"/>
    <w:qFormat/>
    <w:uiPriority w:val="0"/>
    <w:pPr>
      <w:spacing w:before="156" w:after="156"/>
      <w:ind w:firstLine="496"/>
    </w:pPr>
    <w:rPr>
      <w:rFonts w:eastAsia="新宋体"/>
      <w:spacing w:val="4"/>
      <w:szCs w:val="24"/>
    </w:rPr>
  </w:style>
  <w:style w:type="paragraph" w:customStyle="1" w:styleId="576">
    <w:name w:val="~List Number"/>
    <w:basedOn w:val="577"/>
    <w:qFormat/>
    <w:uiPriority w:val="0"/>
    <w:pPr>
      <w:tabs>
        <w:tab w:val="left" w:pos="360"/>
        <w:tab w:val="left" w:pos="936"/>
        <w:tab w:val="left" w:pos="1620"/>
      </w:tabs>
      <w:ind w:left="360" w:hanging="360"/>
    </w:pPr>
    <w:rPr>
      <w:color w:val="00637A"/>
    </w:rPr>
  </w:style>
  <w:style w:type="paragraph" w:customStyle="1" w:styleId="577">
    <w:name w:val="*List Numbers (Auto)"/>
    <w:basedOn w:val="115"/>
    <w:qFormat/>
    <w:uiPriority w:val="0"/>
    <w:pPr>
      <w:tabs>
        <w:tab w:val="left" w:pos="1620"/>
      </w:tabs>
      <w:ind w:left="1620" w:hanging="420"/>
    </w:pPr>
    <w:rPr>
      <w:sz w:val="20"/>
    </w:rPr>
  </w:style>
  <w:style w:type="paragraph" w:customStyle="1" w:styleId="578">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9">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80">
    <w:name w:val="样式 目录 2 + 左侧:  1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8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82">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3">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4">
    <w:name w:val="List Paragraph"/>
    <w:basedOn w:val="1"/>
    <w:qFormat/>
    <w:uiPriority w:val="34"/>
    <w:pPr>
      <w:ind w:firstLine="420" w:firstLineChars="200"/>
    </w:pPr>
  </w:style>
  <w:style w:type="paragraph" w:customStyle="1" w:styleId="585">
    <w:name w:val="~Heading 4"/>
    <w:next w:val="232"/>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6">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7">
    <w:name w:val="~Manual # Heading 2"/>
    <w:next w:val="232"/>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8">
    <w:name w:val="样式7"/>
    <w:basedOn w:val="129"/>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9">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90">
    <w:name w:val="~Bullet #2 Single"/>
    <w:basedOn w:val="424"/>
    <w:qFormat/>
    <w:uiPriority w:val="0"/>
    <w:pPr>
      <w:tabs>
        <w:tab w:val="left" w:pos="1800"/>
      </w:tabs>
      <w:ind w:left="0" w:firstLine="0"/>
    </w:pPr>
    <w:rPr>
      <w:color w:val="00637A"/>
    </w:rPr>
  </w:style>
  <w:style w:type="paragraph" w:customStyle="1" w:styleId="591">
    <w:name w:val="1"/>
    <w:basedOn w:val="1"/>
    <w:next w:val="67"/>
    <w:qFormat/>
    <w:uiPriority w:val="0"/>
    <w:pPr>
      <w:widowControl/>
      <w:snapToGrid w:val="0"/>
      <w:spacing w:line="440" w:lineRule="atLeast"/>
      <w:ind w:firstLine="480"/>
    </w:pPr>
    <w:rPr>
      <w:kern w:val="0"/>
      <w:sz w:val="24"/>
      <w:szCs w:val="20"/>
    </w:rPr>
  </w:style>
  <w:style w:type="paragraph" w:customStyle="1" w:styleId="592">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3">
    <w:name w:val="样式 章标题HZ + 段前: 0.5 行 段后: 0.5 行"/>
    <w:basedOn w:val="220"/>
    <w:qFormat/>
    <w:uiPriority w:val="0"/>
    <w:pPr>
      <w:pageBreakBefore/>
      <w:tabs>
        <w:tab w:val="left" w:pos="0"/>
      </w:tabs>
      <w:spacing w:beforeLines="0" w:afterLines="0" w:line="480" w:lineRule="auto"/>
      <w:ind w:firstLine="1256"/>
      <w:outlineLvl w:val="0"/>
    </w:pPr>
    <w:rPr>
      <w:bCs/>
    </w:rPr>
  </w:style>
  <w:style w:type="paragraph" w:customStyle="1" w:styleId="594">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5">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6">
    <w:name w:val="*Numbers"/>
    <w:basedOn w:val="577"/>
    <w:qFormat/>
    <w:uiPriority w:val="0"/>
    <w:pPr>
      <w:tabs>
        <w:tab w:val="left" w:pos="360"/>
      </w:tabs>
      <w:ind w:left="360" w:hanging="360"/>
    </w:pPr>
  </w:style>
  <w:style w:type="paragraph" w:customStyle="1" w:styleId="597">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8">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9">
    <w:name w:val="*Body Text Bold"/>
    <w:basedOn w:val="115"/>
    <w:next w:val="115"/>
    <w:qFormat/>
    <w:uiPriority w:val="0"/>
    <w:pPr>
      <w:tabs>
        <w:tab w:val="left" w:pos="360"/>
      </w:tabs>
    </w:pPr>
    <w:rPr>
      <w:b/>
      <w:sz w:val="20"/>
    </w:rPr>
  </w:style>
  <w:style w:type="paragraph" w:customStyle="1" w:styleId="600">
    <w:name w:val="纯文本1"/>
    <w:basedOn w:val="1"/>
    <w:qFormat/>
    <w:uiPriority w:val="0"/>
    <w:pPr>
      <w:widowControl/>
      <w:jc w:val="left"/>
    </w:pPr>
    <w:rPr>
      <w:rFonts w:hint="eastAsia" w:ascii="宋体" w:hAnsi="Courier New"/>
      <w:szCs w:val="20"/>
    </w:rPr>
  </w:style>
  <w:style w:type="paragraph" w:customStyle="1" w:styleId="601">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602">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3">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4">
    <w:name w:val="*Quotation"/>
    <w:basedOn w:val="115"/>
    <w:next w:val="239"/>
    <w:qFormat/>
    <w:uiPriority w:val="0"/>
    <w:pPr>
      <w:tabs>
        <w:tab w:val="left" w:pos="284"/>
      </w:tabs>
      <w:spacing w:after="200" w:line="220" w:lineRule="atLeast"/>
      <w:ind w:left="720" w:right="720"/>
    </w:pPr>
    <w:rPr>
      <w:i/>
      <w:sz w:val="20"/>
    </w:rPr>
  </w:style>
  <w:style w:type="paragraph" w:customStyle="1" w:styleId="60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6">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7">
    <w:name w:val="‧ N table-10 body right"/>
    <w:basedOn w:val="185"/>
    <w:qFormat/>
    <w:uiPriority w:val="0"/>
  </w:style>
  <w:style w:type="paragraph" w:customStyle="1" w:styleId="608">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0">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1">
    <w:name w:val="顺序编号1"/>
    <w:basedOn w:val="1"/>
    <w:qFormat/>
    <w:uiPriority w:val="0"/>
    <w:pPr>
      <w:spacing w:afterLines="50" w:line="360" w:lineRule="auto"/>
      <w:ind w:firstLine="420"/>
    </w:pPr>
    <w:rPr>
      <w:rFonts w:ascii="宋体" w:hAnsi="宋体"/>
    </w:rPr>
  </w:style>
  <w:style w:type="paragraph" w:customStyle="1" w:styleId="612">
    <w:name w:val="Char Char7 Char Char Char Char"/>
    <w:basedOn w:val="1"/>
    <w:qFormat/>
    <w:uiPriority w:val="0"/>
    <w:rPr>
      <w:rFonts w:ascii="仿宋_GB2312" w:hAnsi="Calibri" w:eastAsia="仿宋_GB2312" w:cs="Calibri"/>
      <w:b/>
      <w:sz w:val="32"/>
      <w:szCs w:val="32"/>
    </w:rPr>
  </w:style>
  <w:style w:type="paragraph" w:customStyle="1" w:styleId="613">
    <w:name w:val="样式 目录 2 + 左侧:  1 字符 右侧:  0.47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4">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5">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6">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7">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8">
    <w:name w:val="列出段落3"/>
    <w:basedOn w:val="1"/>
    <w:qFormat/>
    <w:uiPriority w:val="34"/>
    <w:pPr>
      <w:ind w:firstLine="200" w:firstLineChars="200"/>
    </w:pPr>
    <w:rPr>
      <w:rFonts w:ascii="Calibri" w:hAnsi="Calibri"/>
      <w:szCs w:val="22"/>
    </w:rPr>
  </w:style>
  <w:style w:type="paragraph" w:customStyle="1" w:styleId="619">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1">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22">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3">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4">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5">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6">
    <w:name w:val="Char Char7 Char Char Char Char Char Char"/>
    <w:basedOn w:val="1"/>
    <w:qFormat/>
    <w:uiPriority w:val="0"/>
    <w:rPr>
      <w:rFonts w:ascii="仿宋_GB2312" w:hAnsi="Calibri" w:eastAsia="仿宋_GB2312" w:cs="Calibri"/>
      <w:b/>
      <w:sz w:val="32"/>
      <w:szCs w:val="32"/>
    </w:rPr>
  </w:style>
  <w:style w:type="paragraph" w:customStyle="1" w:styleId="627">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8">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9">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0">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31">
    <w:name w:val="~Manual # Heading 3"/>
    <w:next w:val="232"/>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32">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3">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4">
    <w:name w:val="_HP Sidebar Head"/>
    <w:basedOn w:val="120"/>
    <w:next w:val="120"/>
    <w:qFormat/>
    <w:uiPriority w:val="0"/>
    <w:pPr>
      <w:spacing w:before="240"/>
    </w:pPr>
    <w:rPr>
      <w:rFonts w:ascii="Futura-Heavy" w:hAnsi="Futura-Heavy" w:eastAsia="宋体" w:cs="Times New Roman"/>
      <w:color w:val="auto"/>
    </w:rPr>
  </w:style>
  <w:style w:type="paragraph" w:customStyle="1" w:styleId="635">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6">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7">
    <w:name w:val="*Table Heading 2"/>
    <w:basedOn w:val="523"/>
    <w:qFormat/>
    <w:uiPriority w:val="0"/>
    <w:pPr>
      <w:shd w:val="clear" w:color="auto" w:fill="A8A8A8"/>
    </w:pPr>
    <w:rPr>
      <w:sz w:val="18"/>
      <w:szCs w:val="18"/>
    </w:rPr>
  </w:style>
  <w:style w:type="paragraph" w:customStyle="1" w:styleId="638">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9">
    <w:name w:val="*Manual # Heading 4"/>
    <w:next w:val="115"/>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40">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41">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2">
    <w:name w:val="样式11"/>
    <w:basedOn w:val="119"/>
    <w:next w:val="129"/>
    <w:qFormat/>
    <w:uiPriority w:val="0"/>
    <w:rPr>
      <w:rFonts w:ascii="Times New Roman"/>
    </w:rPr>
  </w:style>
  <w:style w:type="paragraph" w:customStyle="1" w:styleId="643">
    <w:name w:val="样式 正文文本缩进 + 左  0 字符"/>
    <w:basedOn w:val="3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4">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5">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6">
    <w:name w:val="~Bullet #2 Subtext"/>
    <w:basedOn w:val="590"/>
    <w:qFormat/>
    <w:uiPriority w:val="0"/>
    <w:pPr>
      <w:tabs>
        <w:tab w:val="left" w:pos="425"/>
        <w:tab w:val="clear" w:pos="360"/>
      </w:tabs>
      <w:ind w:left="720"/>
    </w:pPr>
  </w:style>
  <w:style w:type="paragraph" w:customStyle="1" w:styleId="647">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8">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9">
    <w:name w:val="‧ N cover small text box"/>
    <w:basedOn w:val="185"/>
    <w:qFormat/>
    <w:uiPriority w:val="0"/>
  </w:style>
  <w:style w:type="paragraph" w:customStyle="1" w:styleId="650">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51">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2">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3">
    <w:name w:val="*Numbers Bold"/>
    <w:basedOn w:val="596"/>
    <w:qFormat/>
    <w:uiPriority w:val="0"/>
    <w:rPr>
      <w:b/>
    </w:rPr>
  </w:style>
  <w:style w:type="paragraph" w:customStyle="1" w:styleId="65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5">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6">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7">
    <w:name w:val="样式9"/>
    <w:basedOn w:val="658"/>
    <w:qFormat/>
    <w:uiPriority w:val="0"/>
    <w:pPr>
      <w:keepNext/>
      <w:keepLines/>
      <w:tabs>
        <w:tab w:val="left" w:pos="851"/>
      </w:tabs>
      <w:spacing w:before="260" w:after="260"/>
      <w:ind w:left="851" w:hanging="709"/>
      <w:outlineLvl w:val="2"/>
    </w:pPr>
    <w:rPr>
      <w:b/>
      <w:bCs/>
      <w:sz w:val="30"/>
      <w:szCs w:val="30"/>
    </w:rPr>
  </w:style>
  <w:style w:type="paragraph" w:customStyle="1" w:styleId="658">
    <w:name w:val="样式3"/>
    <w:basedOn w:val="1"/>
    <w:next w:val="7"/>
    <w:qFormat/>
    <w:uiPriority w:val="0"/>
    <w:pPr>
      <w:spacing w:line="360" w:lineRule="auto"/>
      <w:ind w:firstLine="420"/>
    </w:pPr>
    <w:rPr>
      <w:rFonts w:ascii="宋体" w:hAnsi="宋体"/>
    </w:rPr>
  </w:style>
  <w:style w:type="paragraph" w:customStyle="1" w:styleId="659">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60">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1">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62">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3">
    <w:name w:val="User Index 5"/>
    <w:basedOn w:val="48"/>
    <w:qFormat/>
    <w:uiPriority w:val="0"/>
    <w:pPr>
      <w:tabs>
        <w:tab w:val="right" w:leader="dot" w:pos="9746"/>
      </w:tabs>
      <w:ind w:left="1132"/>
    </w:pPr>
  </w:style>
  <w:style w:type="paragraph" w:customStyle="1" w:styleId="664">
    <w:name w:val="*Numbers Double"/>
    <w:basedOn w:val="596"/>
    <w:qFormat/>
    <w:uiPriority w:val="0"/>
    <w:pPr>
      <w:spacing w:after="220"/>
    </w:pPr>
  </w:style>
  <w:style w:type="paragraph" w:customStyle="1" w:styleId="665">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6">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7">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8">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9">
    <w:name w:val="正文段"/>
    <w:basedOn w:val="1"/>
    <w:qFormat/>
    <w:uiPriority w:val="0"/>
    <w:pPr>
      <w:spacing w:after="240" w:line="240" w:lineRule="atLeast"/>
      <w:ind w:firstLine="454"/>
    </w:pPr>
    <w:rPr>
      <w:rFonts w:ascii="楷体" w:hAnsi="宋体"/>
      <w:sz w:val="24"/>
      <w:szCs w:val="20"/>
    </w:rPr>
  </w:style>
  <w:style w:type="paragraph" w:customStyle="1" w:styleId="670">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2">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3">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4">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5">
    <w:name w:val="List 2 Cont."/>
    <w:basedOn w:val="63"/>
    <w:qFormat/>
    <w:uiPriority w:val="0"/>
    <w:pPr>
      <w:widowControl/>
      <w:ind w:left="567" w:firstLine="0" w:firstLineChars="0"/>
      <w:jc w:val="left"/>
    </w:pPr>
    <w:rPr>
      <w:rFonts w:eastAsia="PMingLiU"/>
      <w:kern w:val="0"/>
      <w:sz w:val="20"/>
      <w:szCs w:val="20"/>
      <w:lang w:eastAsia="zh-TW"/>
    </w:rPr>
  </w:style>
  <w:style w:type="paragraph" w:customStyle="1" w:styleId="676">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8">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9">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80">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81">
    <w:name w:val="Char Char1"/>
    <w:basedOn w:val="1"/>
    <w:qFormat/>
    <w:uiPriority w:val="0"/>
    <w:pPr>
      <w:spacing w:line="360" w:lineRule="auto"/>
      <w:ind w:firstLine="420"/>
    </w:pPr>
    <w:rPr>
      <w:rFonts w:ascii="Arial" w:hAnsi="Arial" w:cs="Arial"/>
    </w:rPr>
  </w:style>
  <w:style w:type="paragraph" w:customStyle="1" w:styleId="682">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3">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4">
    <w:name w:val="*SOW 4"/>
    <w:basedOn w:val="235"/>
    <w:next w:val="115"/>
    <w:qFormat/>
    <w:uiPriority w:val="0"/>
    <w:pPr>
      <w:outlineLvl w:val="4"/>
    </w:pPr>
  </w:style>
  <w:style w:type="paragraph" w:customStyle="1" w:styleId="685">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6">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7">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8">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9">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90">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91">
    <w:name w:val="~Table Text"/>
    <w:basedOn w:val="183"/>
    <w:qFormat/>
    <w:uiPriority w:val="0"/>
    <w:rPr>
      <w:color w:val="00637A"/>
      <w:szCs w:val="18"/>
    </w:rPr>
  </w:style>
  <w:style w:type="paragraph" w:customStyle="1" w:styleId="692">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3">
    <w:name w:val="*Response"/>
    <w:basedOn w:val="115"/>
    <w:next w:val="115"/>
    <w:qFormat/>
    <w:uiPriority w:val="0"/>
    <w:pPr>
      <w:ind w:left="1440" w:hanging="1440"/>
    </w:pPr>
    <w:rPr>
      <w:sz w:val="20"/>
    </w:rPr>
  </w:style>
  <w:style w:type="paragraph" w:customStyle="1" w:styleId="694">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5">
    <w:name w:val="•Subtitle"/>
    <w:basedOn w:val="1"/>
    <w:qFormat/>
    <w:uiPriority w:val="0"/>
    <w:pPr>
      <w:suppressAutoHyphens/>
    </w:pPr>
    <w:rPr>
      <w:rFonts w:ascii="Arial" w:hAnsi="Arial"/>
      <w:kern w:val="1"/>
      <w:lang w:eastAsia="ar-SA"/>
    </w:rPr>
  </w:style>
  <w:style w:type="paragraph" w:customStyle="1" w:styleId="696">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7">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8">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9">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700">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1">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02">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3">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4">
    <w:name w:val="*Manual # Heading 1"/>
    <w:next w:val="115"/>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5">
    <w:name w:val="HP Recipient Data CustomerName"/>
    <w:basedOn w:val="544"/>
    <w:qFormat/>
    <w:uiPriority w:val="0"/>
  </w:style>
  <w:style w:type="paragraph" w:customStyle="1" w:styleId="706">
    <w:name w:val="Heading 10"/>
    <w:basedOn w:val="16"/>
    <w:next w:val="17"/>
    <w:qFormat/>
    <w:uiPriority w:val="0"/>
  </w:style>
  <w:style w:type="paragraph" w:customStyle="1" w:styleId="707">
    <w:name w:val="Char"/>
    <w:basedOn w:val="1"/>
    <w:qFormat/>
    <w:uiPriority w:val="0"/>
    <w:rPr>
      <w:rFonts w:ascii="仿宋_GB2312" w:eastAsia="仿宋_GB2312"/>
      <w:b/>
      <w:sz w:val="32"/>
      <w:szCs w:val="32"/>
    </w:rPr>
  </w:style>
  <w:style w:type="paragraph" w:customStyle="1" w:styleId="708">
    <w:name w:val="Bibliography 1"/>
    <w:basedOn w:val="48"/>
    <w:qFormat/>
    <w:uiPriority w:val="0"/>
    <w:pPr>
      <w:tabs>
        <w:tab w:val="right" w:leader="dot" w:pos="9746"/>
      </w:tabs>
      <w:spacing w:after="245"/>
    </w:pPr>
  </w:style>
  <w:style w:type="paragraph" w:customStyle="1" w:styleId="70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10">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1">
    <w:name w:val="样式 目录标题 + 首行缩进:  1.2 厘米"/>
    <w:basedOn w:val="466"/>
    <w:qFormat/>
    <w:uiPriority w:val="0"/>
    <w:pPr>
      <w:tabs>
        <w:tab w:val="clear" w:pos="540"/>
      </w:tabs>
      <w:spacing w:afterLines="0"/>
    </w:pPr>
    <w:rPr>
      <w:rFonts w:cs="宋体"/>
      <w:bCs/>
      <w:szCs w:val="20"/>
    </w:rPr>
  </w:style>
  <w:style w:type="paragraph" w:customStyle="1" w:styleId="712">
    <w:name w:val="样式10"/>
    <w:basedOn w:val="209"/>
    <w:qFormat/>
    <w:uiPriority w:val="0"/>
    <w:rPr>
      <w:rFonts w:ascii="Times New Roman" w:hAnsi="宋体"/>
    </w:rPr>
  </w:style>
  <w:style w:type="paragraph" w:customStyle="1" w:styleId="713">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4">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5">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6">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7">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8">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9">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0">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21">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22">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3">
    <w:name w:val="标题5"/>
    <w:basedOn w:val="6"/>
    <w:qFormat/>
    <w:uiPriority w:val="0"/>
    <w:pPr>
      <w:tabs>
        <w:tab w:val="left" w:pos="1361"/>
      </w:tabs>
      <w:ind w:left="992" w:hanging="992"/>
    </w:pPr>
  </w:style>
  <w:style w:type="paragraph" w:customStyle="1" w:styleId="724">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5">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6">
    <w:name w:val="~Body Single"/>
    <w:basedOn w:val="232"/>
    <w:qFormat/>
    <w:uiPriority w:val="0"/>
    <w:pPr>
      <w:spacing w:after="0"/>
    </w:pPr>
  </w:style>
  <w:style w:type="paragraph" w:customStyle="1" w:styleId="727">
    <w:name w:val="‧ N head TOC"/>
    <w:basedOn w:val="185"/>
    <w:next w:val="269"/>
    <w:qFormat/>
    <w:uiPriority w:val="0"/>
  </w:style>
  <w:style w:type="paragraph" w:customStyle="1" w:styleId="728">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9">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30">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31">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32">
    <w:name w:val="*Alt Numbers Double"/>
    <w:basedOn w:val="664"/>
    <w:qFormat/>
    <w:uiPriority w:val="0"/>
    <w:pPr>
      <w:tabs>
        <w:tab w:val="left" w:pos="1440"/>
        <w:tab w:val="clear" w:pos="360"/>
      </w:tabs>
      <w:ind w:left="1440" w:hanging="1440"/>
    </w:pPr>
  </w:style>
  <w:style w:type="paragraph" w:customStyle="1" w:styleId="733">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5">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6">
    <w:name w:val="*Alt Numbers"/>
    <w:basedOn w:val="596"/>
    <w:qFormat/>
    <w:uiPriority w:val="0"/>
    <w:pPr>
      <w:tabs>
        <w:tab w:val="left" w:pos="1440"/>
        <w:tab w:val="clear" w:pos="360"/>
      </w:tabs>
      <w:ind w:left="1440" w:hanging="1440"/>
    </w:pPr>
  </w:style>
  <w:style w:type="paragraph" w:customStyle="1" w:styleId="737">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8">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9">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40">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41">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2">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3">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4">
    <w:name w:val="Char Char1 Char Char Char Char1 Char Char Char Char Char"/>
    <w:basedOn w:val="1"/>
    <w:qFormat/>
    <w:uiPriority w:val="0"/>
    <w:pPr>
      <w:spacing w:line="360" w:lineRule="auto"/>
    </w:pPr>
    <w:rPr>
      <w:rFonts w:ascii="宋体" w:hAnsi="宋体"/>
      <w:szCs w:val="20"/>
    </w:rPr>
  </w:style>
  <w:style w:type="paragraph" w:customStyle="1" w:styleId="745">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6">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7">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8">
    <w:name w:val="‧ N table-10 body indent 2"/>
    <w:basedOn w:val="185"/>
    <w:qFormat/>
    <w:uiPriority w:val="0"/>
  </w:style>
  <w:style w:type="paragraph" w:customStyle="1" w:styleId="749">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50">
    <w:name w:val="此正文"/>
    <w:basedOn w:val="1"/>
    <w:qFormat/>
    <w:uiPriority w:val="0"/>
    <w:pPr>
      <w:spacing w:line="360" w:lineRule="auto"/>
      <w:ind w:firstLine="480" w:firstLineChars="200"/>
    </w:pPr>
    <w:rPr>
      <w:rFonts w:ascii="宋体" w:hAnsi="宋体"/>
      <w:sz w:val="24"/>
    </w:rPr>
  </w:style>
  <w:style w:type="paragraph" w:customStyle="1" w:styleId="751">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52">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4">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8">
    <w:name w:val="Char1 Char Char Char Char Char Char"/>
    <w:basedOn w:val="1"/>
    <w:qFormat/>
    <w:uiPriority w:val="0"/>
    <w:rPr>
      <w:rFonts w:ascii="仿宋_GB2312" w:eastAsia="仿宋_GB2312"/>
      <w:b/>
      <w:sz w:val="32"/>
      <w:szCs w:val="32"/>
    </w:rPr>
  </w:style>
  <w:style w:type="paragraph" w:customStyle="1" w:styleId="759">
    <w:name w:val="*Alt Numbers Bold"/>
    <w:basedOn w:val="653"/>
    <w:qFormat/>
    <w:uiPriority w:val="0"/>
    <w:pPr>
      <w:tabs>
        <w:tab w:val="left" w:pos="1440"/>
        <w:tab w:val="clear" w:pos="360"/>
      </w:tabs>
      <w:ind w:left="1440" w:hanging="1440"/>
    </w:pPr>
  </w:style>
  <w:style w:type="paragraph" w:customStyle="1" w:styleId="760">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61">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62">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3">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4">
    <w:name w:val="列出段落5"/>
    <w:basedOn w:val="1"/>
    <w:unhideWhenUsed/>
    <w:qFormat/>
    <w:uiPriority w:val="99"/>
    <w:pPr>
      <w:ind w:firstLine="420" w:firstLineChars="200"/>
    </w:pPr>
  </w:style>
  <w:style w:type="paragraph" w:customStyle="1" w:styleId="765">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6">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7">
    <w:name w:val="Numbering 5 End"/>
    <w:basedOn w:val="63"/>
    <w:qFormat/>
    <w:uiPriority w:val="0"/>
    <w:pPr>
      <w:widowControl/>
      <w:spacing w:after="240"/>
      <w:ind w:left="1417" w:firstLine="0" w:firstLineChars="0"/>
      <w:jc w:val="left"/>
    </w:pPr>
    <w:rPr>
      <w:rFonts w:eastAsia="PMingLiU"/>
      <w:kern w:val="0"/>
      <w:sz w:val="20"/>
      <w:szCs w:val="20"/>
      <w:lang w:eastAsia="zh-TW"/>
    </w:rPr>
  </w:style>
  <w:style w:type="paragraph" w:customStyle="1" w:styleId="768">
    <w:name w:val="msolistparagraph"/>
    <w:basedOn w:val="1"/>
    <w:qFormat/>
    <w:uiPriority w:val="0"/>
    <w:pPr>
      <w:spacing w:line="360" w:lineRule="auto"/>
      <w:ind w:firstLine="200" w:firstLineChars="200"/>
    </w:pPr>
    <w:rPr>
      <w:rFonts w:ascii="Calibri" w:hAnsi="Calibri"/>
      <w:szCs w:val="22"/>
    </w:rPr>
  </w:style>
  <w:style w:type="paragraph" w:customStyle="1" w:styleId="769">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70">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71">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2">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3">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4">
    <w:name w:val="首页页眉"/>
    <w:basedOn w:val="55"/>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5">
    <w:name w:val="Char21"/>
    <w:basedOn w:val="1"/>
    <w:qFormat/>
    <w:uiPriority w:val="0"/>
    <w:rPr>
      <w:rFonts w:ascii="仿宋_GB2312" w:eastAsia="仿宋_GB2312"/>
      <w:b/>
      <w:sz w:val="32"/>
      <w:szCs w:val="32"/>
    </w:rPr>
  </w:style>
  <w:style w:type="paragraph" w:customStyle="1" w:styleId="77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7">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9">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80">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1">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82">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3">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4">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5">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6">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7">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8">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9">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0">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91">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92">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3">
    <w:name w:val="正文加一级编号"/>
    <w:basedOn w:val="1"/>
    <w:next w:val="3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4">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5">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6">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7">
    <w:name w:val="Index Separator"/>
    <w:basedOn w:val="48"/>
    <w:qFormat/>
    <w:uiPriority w:val="0"/>
  </w:style>
  <w:style w:type="paragraph" w:customStyle="1" w:styleId="798">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9">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00">
    <w:name w:val="HP Full Page"/>
    <w:qFormat/>
    <w:uiPriority w:val="0"/>
    <w:rPr>
      <w:rFonts w:ascii="Arial" w:hAnsi="Arial" w:eastAsia="宋体" w:cs="Times New Roman"/>
      <w:sz w:val="16"/>
      <w:szCs w:val="18"/>
      <w:lang w:val="en-US" w:eastAsia="en-US" w:bidi="ar-SA"/>
    </w:rPr>
  </w:style>
  <w:style w:type="paragraph" w:customStyle="1" w:styleId="801">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802">
    <w:name w:val="‧ N table-8 head left"/>
    <w:basedOn w:val="332"/>
    <w:qFormat/>
    <w:uiPriority w:val="0"/>
    <w:pPr>
      <w:spacing w:before="85" w:after="113"/>
    </w:pPr>
    <w:rPr>
      <w:b/>
      <w:sz w:val="18"/>
    </w:rPr>
  </w:style>
  <w:style w:type="paragraph" w:customStyle="1" w:styleId="803">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5">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6">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8">
    <w:name w:val="Char Char7 Char Char"/>
    <w:basedOn w:val="1"/>
    <w:qFormat/>
    <w:uiPriority w:val="0"/>
    <w:rPr>
      <w:rFonts w:ascii="仿宋_GB2312" w:hAnsi="Calibri" w:eastAsia="仿宋_GB2312" w:cs="Calibri"/>
      <w:b/>
      <w:sz w:val="32"/>
      <w:szCs w:val="32"/>
    </w:rPr>
  </w:style>
  <w:style w:type="paragraph" w:customStyle="1" w:styleId="809">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10">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11">
    <w:name w:val="‧ N table-8 body right"/>
    <w:basedOn w:val="332"/>
    <w:qFormat/>
    <w:uiPriority w:val="0"/>
    <w:pPr>
      <w:spacing w:before="85" w:after="45"/>
      <w:jc w:val="right"/>
    </w:pPr>
    <w:rPr>
      <w:sz w:val="16"/>
    </w:rPr>
  </w:style>
  <w:style w:type="paragraph" w:customStyle="1" w:styleId="812">
    <w:name w:val="*Manual # Heading 3"/>
    <w:next w:val="115"/>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3">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4">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5">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6">
    <w:name w:val="*SOW 5"/>
    <w:basedOn w:val="235"/>
    <w:next w:val="115"/>
    <w:qFormat/>
    <w:uiPriority w:val="0"/>
    <w:pPr>
      <w:outlineLvl w:val="5"/>
    </w:pPr>
  </w:style>
  <w:style w:type="paragraph" w:customStyle="1" w:styleId="817">
    <w:name w:val="*Table Text Bullet #1"/>
    <w:basedOn w:val="183"/>
    <w:qFormat/>
    <w:uiPriority w:val="0"/>
    <w:pPr>
      <w:tabs>
        <w:tab w:val="left" w:pos="144"/>
      </w:tabs>
      <w:ind w:left="144" w:hanging="144"/>
    </w:pPr>
  </w:style>
  <w:style w:type="paragraph" w:customStyle="1" w:styleId="818">
    <w:name w:val="HP Sender Data"/>
    <w:basedOn w:val="544"/>
    <w:qFormat/>
    <w:uiPriority w:val="0"/>
    <w:pPr>
      <w:spacing w:after="0"/>
    </w:pPr>
    <w:rPr>
      <w:b/>
      <w:sz w:val="14"/>
      <w:szCs w:val="14"/>
    </w:rPr>
  </w:style>
  <w:style w:type="paragraph" w:customStyle="1" w:styleId="819">
    <w:name w:val="表内容"/>
    <w:basedOn w:val="1"/>
    <w:qFormat/>
    <w:uiPriority w:val="0"/>
    <w:pPr>
      <w:widowControl/>
      <w:spacing w:line="360" w:lineRule="auto"/>
      <w:ind w:firstLine="420"/>
      <w:jc w:val="center"/>
    </w:pPr>
    <w:rPr>
      <w:rFonts w:ascii="宋体" w:hAnsi="宋体"/>
      <w:kern w:val="0"/>
      <w:sz w:val="20"/>
    </w:rPr>
  </w:style>
  <w:style w:type="paragraph" w:customStyle="1" w:styleId="820">
    <w:name w:val="DAS列表二"/>
    <w:basedOn w:val="425"/>
    <w:next w:val="425"/>
    <w:qFormat/>
    <w:uiPriority w:val="0"/>
    <w:pPr>
      <w:tabs>
        <w:tab w:val="left" w:pos="840"/>
      </w:tabs>
      <w:ind w:left="960" w:firstLine="0" w:firstLineChars="0"/>
    </w:pPr>
  </w:style>
  <w:style w:type="paragraph" w:customStyle="1" w:styleId="821">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22">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3">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4">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5">
    <w:name w:val="Numbering 1 Cont."/>
    <w:basedOn w:val="63"/>
    <w:qFormat/>
    <w:uiPriority w:val="0"/>
    <w:pPr>
      <w:widowControl/>
      <w:ind w:left="0" w:firstLine="0" w:firstLineChars="0"/>
      <w:jc w:val="left"/>
    </w:pPr>
    <w:rPr>
      <w:rFonts w:eastAsia="PMingLiU"/>
      <w:kern w:val="0"/>
      <w:sz w:val="20"/>
      <w:szCs w:val="20"/>
      <w:lang w:eastAsia="zh-TW"/>
    </w:rPr>
  </w:style>
  <w:style w:type="paragraph" w:customStyle="1" w:styleId="826">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7">
    <w:name w:val="User Index 10"/>
    <w:basedOn w:val="48"/>
    <w:qFormat/>
    <w:uiPriority w:val="0"/>
    <w:pPr>
      <w:tabs>
        <w:tab w:val="right" w:leader="dot" w:pos="9746"/>
      </w:tabs>
      <w:ind w:left="2547"/>
    </w:pPr>
  </w:style>
  <w:style w:type="paragraph" w:customStyle="1" w:styleId="828">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9">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30">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31">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32">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3">
    <w:name w:val="*Cover Text 2"/>
    <w:basedOn w:val="420"/>
    <w:qFormat/>
    <w:uiPriority w:val="0"/>
    <w:pPr>
      <w:spacing w:before="720"/>
    </w:pPr>
    <w:rPr>
      <w:b/>
      <w:color w:val="00637A"/>
      <w:sz w:val="24"/>
      <w:szCs w:val="24"/>
    </w:rPr>
  </w:style>
  <w:style w:type="paragraph" w:customStyle="1" w:styleId="834">
    <w:name w:val="‧ N table-10 head center"/>
    <w:basedOn w:val="185"/>
    <w:next w:val="281"/>
    <w:qFormat/>
    <w:uiPriority w:val="0"/>
  </w:style>
  <w:style w:type="paragraph" w:customStyle="1" w:styleId="835">
    <w:name w:val="Text"/>
    <w:basedOn w:val="23"/>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6">
    <w:name w:val="‧ N head 4"/>
    <w:basedOn w:val="185"/>
    <w:next w:val="447"/>
    <w:qFormat/>
    <w:uiPriority w:val="0"/>
  </w:style>
  <w:style w:type="paragraph" w:customStyle="1" w:styleId="837">
    <w:name w:val="Numbering 5 Cont."/>
    <w:basedOn w:val="63"/>
    <w:qFormat/>
    <w:uiPriority w:val="0"/>
    <w:pPr>
      <w:widowControl/>
      <w:ind w:left="1417" w:firstLine="0" w:firstLineChars="0"/>
      <w:jc w:val="left"/>
    </w:pPr>
    <w:rPr>
      <w:rFonts w:eastAsia="PMingLiU"/>
      <w:kern w:val="0"/>
      <w:sz w:val="20"/>
      <w:szCs w:val="20"/>
      <w:lang w:eastAsia="zh-TW"/>
    </w:rPr>
  </w:style>
  <w:style w:type="paragraph" w:customStyle="1" w:styleId="838">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9">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0">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41">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42">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3">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4">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5">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6">
    <w:name w:val="~Alt Number Double"/>
    <w:basedOn w:val="230"/>
    <w:qFormat/>
    <w:uiPriority w:val="0"/>
    <w:pPr>
      <w:tabs>
        <w:tab w:val="left" w:pos="1440"/>
        <w:tab w:val="clear" w:pos="360"/>
      </w:tabs>
      <w:ind w:left="1440" w:hanging="1440"/>
    </w:pPr>
  </w:style>
  <w:style w:type="paragraph" w:customStyle="1" w:styleId="847">
    <w:name w:val="‧ N bullet last"/>
    <w:basedOn w:val="185"/>
    <w:next w:val="269"/>
    <w:qFormat/>
    <w:uiPriority w:val="0"/>
  </w:style>
  <w:style w:type="paragraph" w:customStyle="1" w:styleId="848">
    <w:name w:val="正文缩进1"/>
    <w:basedOn w:val="1"/>
    <w:qFormat/>
    <w:uiPriority w:val="0"/>
    <w:pPr>
      <w:spacing w:line="360" w:lineRule="auto"/>
      <w:ind w:firstLine="454"/>
      <w:jc w:val="left"/>
    </w:pPr>
    <w:rPr>
      <w:sz w:val="24"/>
    </w:rPr>
  </w:style>
  <w:style w:type="paragraph" w:customStyle="1" w:styleId="849">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0">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51">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52">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3">
    <w:name w:val="GP正文(无首行缩进)"/>
    <w:basedOn w:val="296"/>
    <w:qFormat/>
    <w:uiPriority w:val="0"/>
  </w:style>
  <w:style w:type="paragraph" w:customStyle="1" w:styleId="854">
    <w:name w:val="Char1 Char Char Char"/>
    <w:basedOn w:val="1"/>
    <w:qFormat/>
    <w:uiPriority w:val="0"/>
    <w:rPr>
      <w:szCs w:val="20"/>
    </w:rPr>
  </w:style>
  <w:style w:type="paragraph" w:customStyle="1" w:styleId="855">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7">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8">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9">
    <w:name w:val="正文3"/>
    <w:basedOn w:val="1"/>
    <w:qFormat/>
    <w:uiPriority w:val="0"/>
    <w:rPr>
      <w:rFonts w:ascii="Tahoma" w:hAnsi="Tahoma"/>
    </w:rPr>
  </w:style>
  <w:style w:type="paragraph" w:customStyle="1" w:styleId="86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61">
    <w:name w:val="SOW正文"/>
    <w:basedOn w:val="1"/>
    <w:qFormat/>
    <w:uiPriority w:val="0"/>
    <w:pPr>
      <w:snapToGrid w:val="0"/>
      <w:spacing w:before="120" w:line="400" w:lineRule="exact"/>
      <w:ind w:firstLine="425"/>
    </w:pPr>
    <w:rPr>
      <w:rFonts w:ascii="Arial" w:hAnsi="Arial"/>
      <w:sz w:val="24"/>
      <w:szCs w:val="20"/>
    </w:rPr>
  </w:style>
  <w:style w:type="paragraph" w:customStyle="1" w:styleId="862">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3">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4">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5">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7">
    <w:name w:val="HP_Bullet"/>
    <w:basedOn w:val="518"/>
    <w:qFormat/>
    <w:uiPriority w:val="0"/>
    <w:pPr>
      <w:tabs>
        <w:tab w:val="left" w:pos="1200"/>
        <w:tab w:val="clear" w:pos="1440"/>
      </w:tabs>
      <w:ind w:left="3237" w:leftChars="400" w:hanging="357" w:hangingChars="200"/>
    </w:pPr>
  </w:style>
  <w:style w:type="paragraph" w:customStyle="1" w:styleId="868">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9">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70">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71">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2">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3">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4">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5">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6">
    <w:name w:val="List 1 Cont."/>
    <w:basedOn w:val="63"/>
    <w:qFormat/>
    <w:uiPriority w:val="0"/>
    <w:pPr>
      <w:widowControl/>
      <w:ind w:left="0" w:firstLine="0" w:firstLineChars="0"/>
      <w:jc w:val="left"/>
    </w:pPr>
    <w:rPr>
      <w:rFonts w:eastAsia="PMingLiU"/>
      <w:kern w:val="0"/>
      <w:sz w:val="20"/>
      <w:szCs w:val="20"/>
      <w:lang w:eastAsia="zh-TW"/>
    </w:rPr>
  </w:style>
  <w:style w:type="paragraph" w:customStyle="1" w:styleId="877">
    <w:name w:val="Char Char Char1 Char Char Char1 Char"/>
    <w:basedOn w:val="27"/>
    <w:qFormat/>
    <w:uiPriority w:val="0"/>
    <w:pPr>
      <w:jc w:val="center"/>
    </w:pPr>
    <w:rPr>
      <w:rFonts w:ascii="Verdana" w:hAnsi="Verdana"/>
      <w:kern w:val="0"/>
      <w:sz w:val="20"/>
      <w:szCs w:val="20"/>
      <w:lang w:eastAsia="en-US"/>
    </w:rPr>
  </w:style>
  <w:style w:type="paragraph" w:customStyle="1" w:styleId="878">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9">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80">
    <w:name w:val="p0"/>
    <w:basedOn w:val="1"/>
    <w:qFormat/>
    <w:uiPriority w:val="0"/>
    <w:pPr>
      <w:widowControl/>
      <w:spacing w:line="360" w:lineRule="auto"/>
      <w:ind w:firstLine="420"/>
    </w:pPr>
    <w:rPr>
      <w:rFonts w:ascii="宋体" w:hAnsi="宋体"/>
      <w:kern w:val="0"/>
      <w:szCs w:val="20"/>
    </w:rPr>
  </w:style>
  <w:style w:type="paragraph" w:customStyle="1" w:styleId="881">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82">
    <w:name w:val="Numbering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883">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4">
    <w:name w:val="*List Numbers Bold (Auto)"/>
    <w:basedOn w:val="577"/>
    <w:qFormat/>
    <w:uiPriority w:val="0"/>
    <w:pPr>
      <w:tabs>
        <w:tab w:val="left" w:pos="840"/>
      </w:tabs>
      <w:ind w:left="840"/>
    </w:pPr>
    <w:rPr>
      <w:b/>
    </w:rPr>
  </w:style>
  <w:style w:type="paragraph" w:customStyle="1" w:styleId="885">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6">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8">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9">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90">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91">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92">
    <w:name w:val="Contents Heading"/>
    <w:basedOn w:val="16"/>
    <w:qFormat/>
    <w:uiPriority w:val="0"/>
  </w:style>
  <w:style w:type="paragraph" w:customStyle="1" w:styleId="893">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4">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5">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6">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7">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8">
    <w:name w:val="*SOW 3"/>
    <w:basedOn w:val="235"/>
    <w:next w:val="115"/>
    <w:qFormat/>
    <w:uiPriority w:val="0"/>
    <w:pPr>
      <w:outlineLvl w:val="3"/>
    </w:pPr>
  </w:style>
  <w:style w:type="paragraph" w:customStyle="1" w:styleId="899">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900">
    <w:name w:val="Illustration Index 1"/>
    <w:basedOn w:val="48"/>
    <w:qFormat/>
    <w:uiPriority w:val="0"/>
    <w:pPr>
      <w:tabs>
        <w:tab w:val="right" w:leader="dot" w:pos="9746"/>
      </w:tabs>
    </w:pPr>
  </w:style>
  <w:style w:type="paragraph" w:customStyle="1" w:styleId="901">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902">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3">
    <w:name w:val="*Header"/>
    <w:basedOn w:val="115"/>
    <w:qFormat/>
    <w:uiPriority w:val="0"/>
    <w:pPr>
      <w:tabs>
        <w:tab w:val="right" w:pos="8784"/>
      </w:tabs>
    </w:pPr>
    <w:rPr>
      <w:color w:val="00637A"/>
      <w:sz w:val="18"/>
      <w:szCs w:val="18"/>
    </w:rPr>
  </w:style>
  <w:style w:type="paragraph" w:customStyle="1" w:styleId="904">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5">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6">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7">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8">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9">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0">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12">
    <w:name w:val="_HP Figure"/>
    <w:basedOn w:val="120"/>
    <w:next w:val="120"/>
    <w:qFormat/>
    <w:uiPriority w:val="0"/>
    <w:pPr>
      <w:spacing w:after="280"/>
    </w:pPr>
    <w:rPr>
      <w:rFonts w:ascii="Futura-Heavy" w:hAnsi="Futura-Heavy" w:eastAsia="宋体" w:cs="Times New Roman"/>
      <w:color w:val="auto"/>
    </w:rPr>
  </w:style>
  <w:style w:type="paragraph" w:customStyle="1" w:styleId="913">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4">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5">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6">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7">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8">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9">
    <w:name w:val="Numbering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920">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21">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22">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3">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4">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5">
    <w:name w:val="安安列表项"/>
    <w:basedOn w:val="1"/>
    <w:qFormat/>
    <w:uiPriority w:val="0"/>
    <w:pPr>
      <w:tabs>
        <w:tab w:val="left" w:pos="820"/>
      </w:tabs>
      <w:spacing w:line="360" w:lineRule="auto"/>
      <w:ind w:left="425" w:hanging="425"/>
    </w:pPr>
    <w:rPr>
      <w:rFonts w:ascii="宋体" w:hAnsi="宋体"/>
      <w:sz w:val="24"/>
    </w:rPr>
  </w:style>
  <w:style w:type="paragraph" w:customStyle="1" w:styleId="926">
    <w:name w:val="*Table Text Bullet #2"/>
    <w:basedOn w:val="817"/>
    <w:qFormat/>
    <w:uiPriority w:val="0"/>
    <w:pPr>
      <w:tabs>
        <w:tab w:val="left" w:pos="720"/>
      </w:tabs>
      <w:ind w:left="720" w:hanging="360"/>
    </w:pPr>
  </w:style>
  <w:style w:type="paragraph" w:customStyle="1" w:styleId="927">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8">
    <w:name w:val="~Heading 2"/>
    <w:next w:val="232"/>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9">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30">
    <w:name w:val="‧ N table-8 head center"/>
    <w:basedOn w:val="332"/>
    <w:qFormat/>
    <w:uiPriority w:val="0"/>
    <w:pPr>
      <w:spacing w:before="85" w:after="113"/>
      <w:jc w:val="center"/>
    </w:pPr>
    <w:rPr>
      <w:b/>
      <w:sz w:val="18"/>
    </w:rPr>
  </w:style>
  <w:style w:type="paragraph" w:customStyle="1" w:styleId="931">
    <w:name w:val="Char Char21"/>
    <w:basedOn w:val="1"/>
    <w:qFormat/>
    <w:uiPriority w:val="0"/>
    <w:rPr>
      <w:rFonts w:ascii="Tahoma" w:hAnsi="Tahoma"/>
      <w:sz w:val="24"/>
      <w:szCs w:val="20"/>
    </w:rPr>
  </w:style>
  <w:style w:type="paragraph" w:customStyle="1" w:styleId="932">
    <w:name w:val="p16"/>
    <w:basedOn w:val="1"/>
    <w:qFormat/>
    <w:uiPriority w:val="0"/>
    <w:pPr>
      <w:widowControl/>
      <w:spacing w:line="360" w:lineRule="auto"/>
      <w:ind w:firstLine="420"/>
      <w:jc w:val="left"/>
    </w:pPr>
    <w:rPr>
      <w:kern w:val="0"/>
      <w:sz w:val="24"/>
    </w:rPr>
  </w:style>
  <w:style w:type="paragraph" w:customStyle="1" w:styleId="933">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4">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5">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6">
    <w:name w:val="List Heading"/>
    <w:basedOn w:val="1"/>
    <w:next w:val="921"/>
    <w:qFormat/>
    <w:uiPriority w:val="0"/>
    <w:pPr>
      <w:autoSpaceDN w:val="0"/>
      <w:adjustRightInd w:val="0"/>
      <w:jc w:val="left"/>
    </w:pPr>
    <w:rPr>
      <w:rFonts w:ascii="Arial" w:hAnsi="Arial" w:eastAsia="PMingLiU"/>
      <w:kern w:val="0"/>
      <w:sz w:val="20"/>
      <w:szCs w:val="20"/>
      <w:lang w:val="en-GB" w:eastAsia="zh-TW"/>
    </w:rPr>
  </w:style>
  <w:style w:type="paragraph" w:customStyle="1" w:styleId="937">
    <w:name w:val="*Manual # Heading 2"/>
    <w:next w:val="115"/>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8">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9">
    <w:name w:val="yxy正文"/>
    <w:basedOn w:val="1"/>
    <w:qFormat/>
    <w:uiPriority w:val="0"/>
    <w:pPr>
      <w:spacing w:line="360" w:lineRule="auto"/>
      <w:ind w:firstLine="200" w:firstLineChars="200"/>
    </w:pPr>
    <w:rPr>
      <w:sz w:val="24"/>
      <w:szCs w:val="20"/>
    </w:rPr>
  </w:style>
  <w:style w:type="paragraph" w:customStyle="1" w:styleId="940">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41">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42">
    <w:name w:val="‧ N bullet 2 last"/>
    <w:basedOn w:val="185"/>
    <w:next w:val="269"/>
    <w:qFormat/>
    <w:uiPriority w:val="0"/>
  </w:style>
  <w:style w:type="paragraph" w:customStyle="1" w:styleId="943">
    <w:name w:val="Table index heading"/>
    <w:basedOn w:val="16"/>
    <w:qFormat/>
    <w:uiPriority w:val="0"/>
  </w:style>
  <w:style w:type="paragraph" w:customStyle="1" w:styleId="944">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5">
    <w:name w:val="样式 宋体 居中"/>
    <w:basedOn w:val="1"/>
    <w:qFormat/>
    <w:uiPriority w:val="0"/>
    <w:pPr>
      <w:spacing w:line="360" w:lineRule="auto"/>
      <w:ind w:firstLine="420"/>
      <w:jc w:val="center"/>
    </w:pPr>
    <w:rPr>
      <w:rFonts w:ascii="宋体" w:hAnsi="宋体" w:cs="宋体"/>
      <w:szCs w:val="20"/>
    </w:rPr>
  </w:style>
  <w:style w:type="paragraph" w:customStyle="1" w:styleId="946">
    <w:name w:val="Char4"/>
    <w:basedOn w:val="22"/>
    <w:qFormat/>
    <w:uiPriority w:val="0"/>
    <w:pPr>
      <w:widowControl/>
      <w:spacing w:afterLines="50" w:line="360" w:lineRule="auto"/>
      <w:ind w:firstLine="480"/>
      <w:jc w:val="left"/>
    </w:pPr>
  </w:style>
  <w:style w:type="paragraph" w:customStyle="1" w:styleId="947">
    <w:name w:val="Char Char2"/>
    <w:basedOn w:val="27"/>
    <w:qFormat/>
    <w:uiPriority w:val="0"/>
    <w:pPr>
      <w:spacing w:line="360" w:lineRule="auto"/>
      <w:ind w:firstLine="420"/>
    </w:pPr>
    <w:rPr>
      <w:rFonts w:ascii="Tahoma" w:hAnsi="Tahoma"/>
      <w:kern w:val="0"/>
      <w:sz w:val="24"/>
    </w:rPr>
  </w:style>
  <w:style w:type="paragraph" w:customStyle="1" w:styleId="948">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9">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50">
    <w:name w:val="书名"/>
    <w:basedOn w:val="466"/>
    <w:qFormat/>
    <w:uiPriority w:val="0"/>
    <w:rPr>
      <w:sz w:val="44"/>
    </w:rPr>
  </w:style>
  <w:style w:type="paragraph" w:customStyle="1" w:styleId="951">
    <w:name w:val="Illustration"/>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52">
    <w:name w:val="*List Text"/>
    <w:basedOn w:val="115"/>
    <w:qFormat/>
    <w:uiPriority w:val="0"/>
    <w:pPr>
      <w:tabs>
        <w:tab w:val="left" w:pos="360"/>
        <w:tab w:val="left" w:pos="576"/>
        <w:tab w:val="right" w:leader="dot" w:pos="8640"/>
      </w:tabs>
      <w:suppressAutoHyphens/>
      <w:ind w:left="360" w:hanging="360"/>
    </w:pPr>
    <w:rPr>
      <w:sz w:val="18"/>
      <w:szCs w:val="18"/>
    </w:rPr>
  </w:style>
  <w:style w:type="paragraph" w:customStyle="1" w:styleId="953">
    <w:name w:val="默认段落字体 Para Char Char Char Char Char Char Char Char Char Char Char Char Char"/>
    <w:basedOn w:val="27"/>
    <w:qFormat/>
    <w:uiPriority w:val="0"/>
    <w:pPr>
      <w:spacing w:line="360" w:lineRule="auto"/>
      <w:ind w:firstLine="420"/>
    </w:pPr>
    <w:rPr>
      <w:rFonts w:ascii="Tahoma" w:hAnsi="Tahoma"/>
      <w:kern w:val="0"/>
      <w:sz w:val="24"/>
    </w:rPr>
  </w:style>
  <w:style w:type="paragraph" w:customStyle="1" w:styleId="954">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5">
    <w:name w:val="SANGFOR_1_标题1"/>
    <w:basedOn w:val="2"/>
    <w:next w:val="128"/>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6">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8">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9">
    <w:name w:val="Heading 21"/>
    <w:basedOn w:val="120"/>
    <w:next w:val="120"/>
    <w:qFormat/>
    <w:uiPriority w:val="0"/>
    <w:pPr>
      <w:spacing w:after="120"/>
    </w:pPr>
    <w:rPr>
      <w:rFonts w:ascii="Futura-Book" w:hAnsi="Futura-Book" w:eastAsia="宋体" w:cs="Times New Roman"/>
      <w:color w:val="auto"/>
    </w:rPr>
  </w:style>
  <w:style w:type="paragraph" w:customStyle="1" w:styleId="960">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61">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62">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3">
    <w:name w:val="表标题(小)"/>
    <w:basedOn w:val="1"/>
    <w:next w:val="3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4">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5">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6">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7">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8">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9">
    <w:name w:val="2"/>
    <w:basedOn w:val="1"/>
    <w:qFormat/>
    <w:uiPriority w:val="0"/>
    <w:rPr>
      <w:rFonts w:ascii="Tahoma" w:hAnsi="Tahoma" w:eastAsia="??" w:cs="Tahoma"/>
      <w:sz w:val="24"/>
      <w:szCs w:val="28"/>
    </w:rPr>
  </w:style>
  <w:style w:type="paragraph" w:customStyle="1" w:styleId="970">
    <w:name w:val="普通(网站)1"/>
    <w:basedOn w:val="1"/>
    <w:qFormat/>
    <w:uiPriority w:val="0"/>
    <w:pPr>
      <w:widowControl/>
      <w:jc w:val="left"/>
    </w:pPr>
    <w:rPr>
      <w:rFonts w:ascii="ˎ̥" w:hAnsi="ˎ̥" w:cs="宋体"/>
      <w:color w:val="000000"/>
      <w:kern w:val="0"/>
      <w:sz w:val="13"/>
      <w:szCs w:val="13"/>
    </w:rPr>
  </w:style>
  <w:style w:type="paragraph" w:customStyle="1" w:styleId="971">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2">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3">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4">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5">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6">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7">
    <w:name w:val="~Heading 3"/>
    <w:next w:val="232"/>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8">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9">
    <w:name w:val="yxy标题2"/>
    <w:basedOn w:val="1"/>
    <w:next w:val="1"/>
    <w:qFormat/>
    <w:uiPriority w:val="0"/>
    <w:pPr>
      <w:keepNext/>
      <w:spacing w:before="260" w:after="120" w:line="360" w:lineRule="auto"/>
      <w:outlineLvl w:val="1"/>
    </w:pPr>
    <w:rPr>
      <w:b/>
      <w:sz w:val="30"/>
      <w:szCs w:val="20"/>
    </w:rPr>
  </w:style>
  <w:style w:type="paragraph" w:customStyle="1" w:styleId="980">
    <w:name w:val="*Bullet #3 Subtext Single"/>
    <w:basedOn w:val="538"/>
    <w:qFormat/>
    <w:uiPriority w:val="0"/>
    <w:pPr>
      <w:spacing w:after="0"/>
      <w:ind w:firstLine="0"/>
    </w:pPr>
  </w:style>
  <w:style w:type="paragraph" w:customStyle="1" w:styleId="9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82">
    <w:name w:val="默认段落字体 Para Char"/>
    <w:basedOn w:val="1"/>
    <w:qFormat/>
    <w:uiPriority w:val="0"/>
    <w:pPr>
      <w:tabs>
        <w:tab w:val="left" w:pos="454"/>
      </w:tabs>
      <w:ind w:firstLine="420"/>
    </w:pPr>
  </w:style>
  <w:style w:type="paragraph" w:customStyle="1" w:styleId="983">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4">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p21"/>
    <w:basedOn w:val="1"/>
    <w:qFormat/>
    <w:uiPriority w:val="0"/>
    <w:pPr>
      <w:widowControl/>
      <w:spacing w:line="360" w:lineRule="auto"/>
      <w:ind w:firstLine="420"/>
    </w:pPr>
    <w:rPr>
      <w:rFonts w:ascii="Tahoma" w:hAnsi="Tahoma"/>
      <w:kern w:val="0"/>
      <w:sz w:val="24"/>
      <w:szCs w:val="20"/>
    </w:rPr>
  </w:style>
  <w:style w:type="paragraph" w:customStyle="1" w:styleId="986">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7">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8">
    <w:name w:val="User Index 3"/>
    <w:basedOn w:val="48"/>
    <w:qFormat/>
    <w:uiPriority w:val="0"/>
    <w:pPr>
      <w:tabs>
        <w:tab w:val="right" w:leader="dot" w:pos="9746"/>
      </w:tabs>
      <w:ind w:left="566"/>
    </w:pPr>
  </w:style>
  <w:style w:type="paragraph" w:customStyle="1" w:styleId="989">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90">
    <w:name w:val="Char Char24 Char Char"/>
    <w:basedOn w:val="1"/>
    <w:qFormat/>
    <w:uiPriority w:val="0"/>
    <w:pPr>
      <w:tabs>
        <w:tab w:val="right" w:pos="-2120"/>
      </w:tabs>
      <w:snapToGrid w:val="0"/>
    </w:pPr>
    <w:rPr>
      <w:sz w:val="24"/>
    </w:rPr>
  </w:style>
  <w:style w:type="paragraph" w:customStyle="1" w:styleId="991">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92">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3">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4">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5">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6">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7">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8">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9">
    <w:name w:val="*Blind Paragraph"/>
    <w:basedOn w:val="55"/>
    <w:qFormat/>
    <w:uiPriority w:val="0"/>
    <w:pPr>
      <w:spacing w:line="360" w:lineRule="auto"/>
      <w:ind w:firstLine="420"/>
    </w:pPr>
    <w:rPr>
      <w:kern w:val="0"/>
    </w:rPr>
  </w:style>
  <w:style w:type="paragraph" w:customStyle="1" w:styleId="1000">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001">
    <w:name w:val="项目圆"/>
    <w:basedOn w:val="1"/>
    <w:qFormat/>
    <w:uiPriority w:val="0"/>
    <w:pPr>
      <w:tabs>
        <w:tab w:val="left" w:pos="454"/>
        <w:tab w:val="left" w:pos="840"/>
      </w:tabs>
      <w:spacing w:beforeLines="50" w:afterLines="50" w:line="360" w:lineRule="auto"/>
      <w:ind w:left="425" w:hanging="425"/>
    </w:pPr>
  </w:style>
  <w:style w:type="paragraph" w:customStyle="1" w:styleId="1002">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3">
    <w:name w:val="Heading 11"/>
    <w:basedOn w:val="120"/>
    <w:next w:val="120"/>
    <w:qFormat/>
    <w:uiPriority w:val="0"/>
    <w:pPr>
      <w:spacing w:after="240"/>
    </w:pPr>
    <w:rPr>
      <w:rFonts w:ascii="Futura-Book" w:hAnsi="Futura-Book" w:eastAsia="宋体" w:cs="Times New Roman"/>
      <w:color w:val="auto"/>
    </w:rPr>
  </w:style>
  <w:style w:type="paragraph" w:customStyle="1" w:styleId="1004">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5">
    <w:name w:val="Plain Text1"/>
    <w:basedOn w:val="1006"/>
    <w:qFormat/>
    <w:uiPriority w:val="0"/>
    <w:pPr>
      <w:widowControl/>
      <w:jc w:val="left"/>
    </w:pPr>
    <w:rPr>
      <w:rFonts w:ascii="宋体" w:hAnsi="Courier New"/>
    </w:rPr>
  </w:style>
  <w:style w:type="paragraph" w:customStyle="1" w:styleId="1006">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7">
    <w:name w:val="AbsatzTableFormat"/>
    <w:basedOn w:val="1"/>
    <w:qFormat/>
    <w:uiPriority w:val="0"/>
    <w:pPr>
      <w:widowControl/>
    </w:pPr>
    <w:rPr>
      <w:bCs/>
      <w:color w:val="000000"/>
      <w:kern w:val="0"/>
      <w:szCs w:val="21"/>
    </w:rPr>
  </w:style>
  <w:style w:type="paragraph" w:customStyle="1" w:styleId="1008">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9">
    <w:name w:val="列出段落6"/>
    <w:basedOn w:val="1"/>
    <w:qFormat/>
    <w:uiPriority w:val="34"/>
    <w:pPr>
      <w:ind w:firstLine="420" w:firstLineChars="200"/>
    </w:pPr>
  </w:style>
  <w:style w:type="paragraph" w:customStyle="1" w:styleId="1010">
    <w:name w:val="List Paragraph1"/>
    <w:basedOn w:val="1"/>
    <w:qFormat/>
    <w:uiPriority w:val="99"/>
    <w:pPr>
      <w:ind w:firstLine="420" w:firstLineChars="200"/>
    </w:pPr>
    <w:rPr>
      <w:rFonts w:ascii="Calibri" w:hAnsi="Calibri"/>
    </w:rPr>
  </w:style>
  <w:style w:type="paragraph" w:customStyle="1" w:styleId="1011">
    <w:name w:val="纯文本2"/>
    <w:basedOn w:val="1012"/>
    <w:qFormat/>
    <w:uiPriority w:val="0"/>
    <w:pPr>
      <w:widowControl/>
      <w:jc w:val="left"/>
    </w:pPr>
    <w:rPr>
      <w:rFonts w:ascii="宋体" w:hAnsi="Courier New"/>
    </w:rPr>
  </w:style>
  <w:style w:type="paragraph" w:customStyle="1" w:styleId="1012">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3">
    <w:name w:val="_Style 2"/>
    <w:qFormat/>
    <w:uiPriority w:val="1"/>
    <w:rPr>
      <w:rFonts w:ascii="Times New Roman" w:hAnsi="Times New Roman" w:eastAsia="宋体" w:cs="Times New Roman"/>
      <w:sz w:val="22"/>
      <w:szCs w:val="22"/>
      <w:lang w:val="en-US" w:eastAsia="zh-CN" w:bidi="ar-SA"/>
    </w:rPr>
  </w:style>
  <w:style w:type="paragraph" w:customStyle="1" w:styleId="1014">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5">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6">
    <w:name w:val="正文文本缩进 Char2"/>
    <w:link w:val="33"/>
    <w:qFormat/>
    <w:uiPriority w:val="0"/>
    <w:rPr>
      <w:rFonts w:ascii="宋体"/>
      <w:sz w:val="24"/>
    </w:rPr>
  </w:style>
  <w:style w:type="character" w:customStyle="1" w:styleId="1017">
    <w:name w:val="标题 8 Char"/>
    <w:link w:val="9"/>
    <w:qFormat/>
    <w:uiPriority w:val="0"/>
    <w:rPr>
      <w:rFonts w:ascii="Arial" w:hAnsi="Arial" w:eastAsia="黑体"/>
      <w:kern w:val="2"/>
      <w:sz w:val="24"/>
      <w:szCs w:val="24"/>
    </w:rPr>
  </w:style>
  <w:style w:type="character" w:customStyle="1" w:styleId="1018">
    <w:name w:val="标题 9 Char"/>
    <w:link w:val="10"/>
    <w:qFormat/>
    <w:uiPriority w:val="0"/>
    <w:rPr>
      <w:rFonts w:ascii="Arial" w:hAnsi="Arial" w:eastAsia="黑体"/>
      <w:kern w:val="2"/>
      <w:sz w:val="21"/>
      <w:szCs w:val="21"/>
    </w:rPr>
  </w:style>
  <w:style w:type="character" w:customStyle="1" w:styleId="1019">
    <w:name w:val="正文文本 Char"/>
    <w:link w:val="17"/>
    <w:qFormat/>
    <w:uiPriority w:val="0"/>
    <w:rPr>
      <w:rFonts w:ascii="仿宋_GB2312" w:eastAsia="仿宋_GB2312"/>
      <w:sz w:val="28"/>
    </w:rPr>
  </w:style>
  <w:style w:type="character" w:customStyle="1" w:styleId="1020">
    <w:name w:val="正文首行缩进 Char"/>
    <w:link w:val="18"/>
    <w:qFormat/>
    <w:uiPriority w:val="0"/>
    <w:rPr>
      <w:kern w:val="2"/>
      <w:sz w:val="21"/>
    </w:rPr>
  </w:style>
  <w:style w:type="character" w:customStyle="1" w:styleId="1021">
    <w:name w:val="注释标题 Char"/>
    <w:link w:val="19"/>
    <w:qFormat/>
    <w:uiPriority w:val="0"/>
    <w:rPr>
      <w:rFonts w:ascii="宋体" w:hAnsi="宋体"/>
      <w:kern w:val="2"/>
      <w:sz w:val="21"/>
      <w:szCs w:val="24"/>
    </w:rPr>
  </w:style>
  <w:style w:type="character" w:customStyle="1" w:styleId="1022">
    <w:name w:val="正文缩进 Char"/>
    <w:link w:val="22"/>
    <w:qFormat/>
    <w:uiPriority w:val="0"/>
    <w:rPr>
      <w:rFonts w:eastAsia="宋体"/>
      <w:kern w:val="2"/>
      <w:sz w:val="21"/>
      <w:szCs w:val="24"/>
      <w:lang w:val="en-US" w:eastAsia="zh-CN" w:bidi="ar-SA"/>
    </w:rPr>
  </w:style>
  <w:style w:type="character" w:customStyle="1" w:styleId="1023">
    <w:name w:val="题注 Char"/>
    <w:link w:val="23"/>
    <w:qFormat/>
    <w:uiPriority w:val="0"/>
    <w:rPr>
      <w:rFonts w:ascii="Arial" w:hAnsi="Arial" w:eastAsia="黑体" w:cs="Arial"/>
    </w:rPr>
  </w:style>
  <w:style w:type="character" w:customStyle="1" w:styleId="1024">
    <w:name w:val="文档结构图 Char"/>
    <w:link w:val="27"/>
    <w:qFormat/>
    <w:uiPriority w:val="99"/>
    <w:rPr>
      <w:kern w:val="2"/>
      <w:sz w:val="21"/>
      <w:szCs w:val="24"/>
      <w:shd w:val="clear" w:color="auto" w:fill="000080"/>
    </w:rPr>
  </w:style>
  <w:style w:type="character" w:customStyle="1" w:styleId="1025">
    <w:name w:val="批注文字 Char"/>
    <w:link w:val="28"/>
    <w:qFormat/>
    <w:uiPriority w:val="0"/>
    <w:rPr>
      <w:kern w:val="2"/>
      <w:sz w:val="21"/>
    </w:rPr>
  </w:style>
  <w:style w:type="character" w:customStyle="1" w:styleId="1026">
    <w:name w:val="称呼 Char"/>
    <w:link w:val="30"/>
    <w:qFormat/>
    <w:uiPriority w:val="0"/>
    <w:rPr>
      <w:sz w:val="24"/>
      <w:szCs w:val="24"/>
    </w:rPr>
  </w:style>
  <w:style w:type="character" w:customStyle="1" w:styleId="1027">
    <w:name w:val="正文文本 3 Char"/>
    <w:link w:val="31"/>
    <w:qFormat/>
    <w:uiPriority w:val="0"/>
    <w:rPr>
      <w:rFonts w:ascii="楷体_GB2312" w:eastAsia="楷体_GB2312"/>
      <w:b/>
      <w:color w:val="000000"/>
      <w:kern w:val="2"/>
      <w:sz w:val="30"/>
      <w:szCs w:val="24"/>
    </w:rPr>
  </w:style>
  <w:style w:type="character" w:customStyle="1" w:styleId="1028">
    <w:name w:val="纯文本 Char"/>
    <w:link w:val="42"/>
    <w:qFormat/>
    <w:uiPriority w:val="0"/>
    <w:rPr>
      <w:rFonts w:ascii="宋体" w:hAnsi="Courier New" w:eastAsia="宋体"/>
      <w:kern w:val="2"/>
      <w:sz w:val="21"/>
      <w:lang w:val="en-US" w:eastAsia="zh-CN" w:bidi="ar-SA"/>
    </w:rPr>
  </w:style>
  <w:style w:type="character" w:customStyle="1" w:styleId="1029">
    <w:name w:val="日期 Char"/>
    <w:link w:val="49"/>
    <w:qFormat/>
    <w:uiPriority w:val="0"/>
    <w:rPr>
      <w:color w:val="000000"/>
      <w:kern w:val="2"/>
      <w:sz w:val="24"/>
      <w:szCs w:val="24"/>
    </w:rPr>
  </w:style>
  <w:style w:type="character" w:customStyle="1" w:styleId="1030">
    <w:name w:val="正文文本缩进 2 Char"/>
    <w:link w:val="50"/>
    <w:qFormat/>
    <w:uiPriority w:val="99"/>
    <w:rPr>
      <w:rFonts w:ascii="宋体"/>
      <w:sz w:val="24"/>
    </w:rPr>
  </w:style>
  <w:style w:type="character" w:customStyle="1" w:styleId="1031">
    <w:name w:val="尾注文本 Char"/>
    <w:link w:val="51"/>
    <w:qFormat/>
    <w:uiPriority w:val="0"/>
    <w:rPr>
      <w:rFonts w:ascii="Arial" w:hAnsi="Arial" w:eastAsia="PMingLiU"/>
      <w:lang w:val="en-GB" w:eastAsia="zh-TW"/>
    </w:rPr>
  </w:style>
  <w:style w:type="character" w:customStyle="1" w:styleId="1032">
    <w:name w:val="批注框文本 Char"/>
    <w:link w:val="52"/>
    <w:qFormat/>
    <w:uiPriority w:val="99"/>
    <w:rPr>
      <w:kern w:val="2"/>
      <w:sz w:val="18"/>
      <w:szCs w:val="18"/>
    </w:rPr>
  </w:style>
  <w:style w:type="character" w:customStyle="1" w:styleId="1033">
    <w:name w:val="页脚 Char"/>
    <w:link w:val="53"/>
    <w:qFormat/>
    <w:uiPriority w:val="99"/>
    <w:rPr>
      <w:rFonts w:eastAsia="宋体"/>
      <w:kern w:val="2"/>
      <w:sz w:val="18"/>
      <w:szCs w:val="18"/>
      <w:lang w:val="en-US" w:eastAsia="zh-CN" w:bidi="ar-SA"/>
    </w:rPr>
  </w:style>
  <w:style w:type="character" w:customStyle="1" w:styleId="1034">
    <w:name w:val="页眉 Char"/>
    <w:link w:val="55"/>
    <w:qFormat/>
    <w:uiPriority w:val="99"/>
    <w:rPr>
      <w:rFonts w:eastAsia="宋体"/>
      <w:kern w:val="2"/>
      <w:sz w:val="18"/>
      <w:szCs w:val="18"/>
      <w:lang w:val="en-US" w:eastAsia="zh-CN" w:bidi="ar-SA"/>
    </w:rPr>
  </w:style>
  <w:style w:type="character" w:customStyle="1" w:styleId="1035">
    <w:name w:val="签名 Char"/>
    <w:link w:val="56"/>
    <w:qFormat/>
    <w:uiPriority w:val="0"/>
    <w:rPr>
      <w:rFonts w:ascii="Arial" w:hAnsi="Arial" w:eastAsia="PMingLiU"/>
      <w:lang w:val="en-GB" w:eastAsia="zh-TW"/>
    </w:rPr>
  </w:style>
  <w:style w:type="character" w:customStyle="1" w:styleId="1036">
    <w:name w:val="副标题 Char"/>
    <w:link w:val="61"/>
    <w:qFormat/>
    <w:uiPriority w:val="0"/>
    <w:rPr>
      <w:rFonts w:ascii="Cambria" w:hAnsi="Cambria" w:eastAsia="宋体"/>
      <w:b/>
      <w:bCs/>
      <w:kern w:val="28"/>
      <w:sz w:val="32"/>
      <w:szCs w:val="32"/>
      <w:lang w:val="en-US" w:eastAsia="zh-CN" w:bidi="ar-SA"/>
    </w:rPr>
  </w:style>
  <w:style w:type="character" w:customStyle="1" w:styleId="1037">
    <w:name w:val="脚注文本 Char"/>
    <w:link w:val="64"/>
    <w:qFormat/>
    <w:uiPriority w:val="0"/>
    <w:rPr>
      <w:rFonts w:ascii="Arial" w:hAnsi="Arial"/>
      <w:lang w:eastAsia="en-US"/>
    </w:rPr>
  </w:style>
  <w:style w:type="character" w:customStyle="1" w:styleId="1038">
    <w:name w:val="正文文本缩进 3 Char"/>
    <w:link w:val="67"/>
    <w:qFormat/>
    <w:locked/>
    <w:uiPriority w:val="99"/>
    <w:rPr>
      <w:rFonts w:eastAsia="黑体"/>
      <w:color w:val="000000"/>
      <w:kern w:val="2"/>
      <w:sz w:val="24"/>
      <w:szCs w:val="24"/>
    </w:rPr>
  </w:style>
  <w:style w:type="character" w:customStyle="1" w:styleId="1039">
    <w:name w:val="正文文本 2 Char"/>
    <w:link w:val="73"/>
    <w:qFormat/>
    <w:uiPriority w:val="0"/>
    <w:rPr>
      <w:b/>
      <w:bCs/>
      <w:color w:val="000000"/>
      <w:kern w:val="2"/>
      <w:sz w:val="28"/>
      <w:szCs w:val="24"/>
    </w:rPr>
  </w:style>
  <w:style w:type="character" w:customStyle="1" w:styleId="1040">
    <w:name w:val="HTML 预设格式 Char"/>
    <w:link w:val="75"/>
    <w:qFormat/>
    <w:uiPriority w:val="0"/>
    <w:rPr>
      <w:rFonts w:ascii="宋体" w:hAnsi="宋体" w:cs="宋体"/>
      <w:sz w:val="24"/>
      <w:szCs w:val="24"/>
    </w:rPr>
  </w:style>
  <w:style w:type="character" w:customStyle="1" w:styleId="1041">
    <w:name w:val="普通(网站) Char"/>
    <w:link w:val="76"/>
    <w:qFormat/>
    <w:uiPriority w:val="0"/>
    <w:rPr>
      <w:rFonts w:ascii="宋体" w:hAnsi="宋体"/>
      <w:sz w:val="24"/>
      <w:szCs w:val="24"/>
    </w:rPr>
  </w:style>
  <w:style w:type="character" w:customStyle="1" w:styleId="1042">
    <w:name w:val="标题 Char2"/>
    <w:link w:val="78"/>
    <w:qFormat/>
    <w:uiPriority w:val="0"/>
    <w:rPr>
      <w:kern w:val="2"/>
      <w:sz w:val="30"/>
      <w:szCs w:val="24"/>
    </w:rPr>
  </w:style>
  <w:style w:type="character" w:customStyle="1" w:styleId="1043">
    <w:name w:val="批注主题 Char"/>
    <w:link w:val="79"/>
    <w:qFormat/>
    <w:uiPriority w:val="0"/>
    <w:rPr>
      <w:b/>
      <w:bCs/>
      <w:kern w:val="2"/>
      <w:sz w:val="21"/>
    </w:rPr>
  </w:style>
  <w:style w:type="character" w:customStyle="1" w:styleId="1044">
    <w:name w:val="正文首行缩进 2 Char"/>
    <w:link w:val="34"/>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4"/>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5"/>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6"/>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7"/>
    <w:qFormat/>
    <w:uiPriority w:val="0"/>
    <w:rPr>
      <w:rFonts w:ascii="Arial" w:hAnsi="Arial"/>
      <w:color w:val="000000"/>
      <w:sz w:val="21"/>
      <w:lang w:eastAsia="en-US"/>
    </w:rPr>
  </w:style>
  <w:style w:type="character" w:customStyle="1" w:styleId="1073">
    <w:name w:val="图形题注 Char"/>
    <w:link w:val="108"/>
    <w:qFormat/>
    <w:uiPriority w:val="0"/>
    <w:rPr>
      <w:rFonts w:hAnsi="宋体"/>
      <w:spacing w:val="10"/>
      <w:sz w:val="24"/>
      <w:szCs w:val="24"/>
    </w:rPr>
  </w:style>
  <w:style w:type="character" w:customStyle="1" w:styleId="1074">
    <w:name w:val="*Body Text Char Char Char Char"/>
    <w:link w:val="109"/>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10"/>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11"/>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12"/>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3"/>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4"/>
    <w:qFormat/>
    <w:uiPriority w:val="0"/>
    <w:rPr>
      <w:rFonts w:ascii="Arial" w:hAnsi="Arial"/>
      <w:color w:val="000000"/>
      <w:lang w:eastAsia="en-US"/>
    </w:rPr>
  </w:style>
  <w:style w:type="character" w:customStyle="1" w:styleId="1091">
    <w:name w:val="*Body Text Char1"/>
    <w:link w:val="115"/>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6"/>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7"/>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8"/>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9"/>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20"/>
    <w:qFormat/>
    <w:uiPriority w:val="0"/>
    <w:rPr>
      <w:rFonts w:ascii="宋体..璂.." w:eastAsia="宋体..璂.." w:cs="宋体..璂.."/>
      <w:color w:val="000000"/>
      <w:sz w:val="24"/>
      <w:szCs w:val="24"/>
      <w:lang w:val="en-US" w:eastAsia="zh-CN" w:bidi="ar-SA"/>
    </w:rPr>
  </w:style>
  <w:style w:type="character" w:customStyle="1" w:styleId="1109">
    <w:name w:val="正文2 Char Char"/>
    <w:link w:val="121"/>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22"/>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3"/>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4"/>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5"/>
    <w:qFormat/>
    <w:uiPriority w:val="0"/>
    <w:rPr>
      <w:rFonts w:ascii="Arial" w:hAnsi="Arial"/>
      <w:b/>
      <w:sz w:val="21"/>
      <w:szCs w:val="24"/>
    </w:rPr>
  </w:style>
  <w:style w:type="character" w:customStyle="1" w:styleId="1127">
    <w:name w:val="MOT-Text-1 Char"/>
    <w:link w:val="126"/>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7"/>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8"/>
    <w:qFormat/>
    <w:uiPriority w:val="0"/>
    <w:rPr>
      <w:szCs w:val="24"/>
    </w:rPr>
  </w:style>
  <w:style w:type="character" w:customStyle="1" w:styleId="1142">
    <w:name w:val="样式1 Char Char"/>
    <w:link w:val="129"/>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30"/>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31"/>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32"/>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5"/>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6"/>
    <w:qFormat/>
    <w:uiPriority w:val="0"/>
    <w:rPr>
      <w:rFonts w:ascii="Arial" w:hAnsi="Arial"/>
      <w:sz w:val="24"/>
    </w:rPr>
  </w:style>
  <w:style w:type="character" w:customStyle="1" w:styleId="1165">
    <w:name w:val="图案编号 Char"/>
    <w:link w:val="137"/>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8"/>
    <w:qFormat/>
    <w:uiPriority w:val="0"/>
    <w:rPr>
      <w:rFonts w:ascii="宋体" w:hAnsi="宋体" w:cs="Arial"/>
      <w:color w:val="000000"/>
      <w:kern w:val="2"/>
      <w:sz w:val="24"/>
      <w:szCs w:val="24"/>
      <w:lang w:val="en-US" w:eastAsia="zh-CN" w:bidi="ar-SA"/>
    </w:rPr>
  </w:style>
  <w:style w:type="character" w:customStyle="1" w:styleId="1169">
    <w:name w:val="哈哈正文 Char"/>
    <w:link w:val="139"/>
    <w:qFormat/>
    <w:uiPriority w:val="0"/>
    <w:rPr>
      <w:rFonts w:ascii="宋体" w:hAnsi="宋体" w:cs="宋体"/>
      <w:sz w:val="24"/>
    </w:rPr>
  </w:style>
  <w:style w:type="character" w:customStyle="1" w:styleId="1170">
    <w:name w:val="项目标题 Char"/>
    <w:link w:val="140"/>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41"/>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42"/>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3"/>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4"/>
    <w:qFormat/>
    <w:uiPriority w:val="0"/>
    <w:rPr>
      <w:rFonts w:ascii="宋体" w:hAnsi="宋体"/>
      <w:bCs/>
      <w:color w:val="000000"/>
      <w:sz w:val="24"/>
      <w:szCs w:val="24"/>
    </w:rPr>
  </w:style>
  <w:style w:type="character" w:customStyle="1" w:styleId="1199">
    <w:name w:val="样式 正文首行缩进 + 加粗 Char"/>
    <w:link w:val="145"/>
    <w:qFormat/>
    <w:uiPriority w:val="0"/>
    <w:rPr>
      <w:b/>
      <w:bCs/>
      <w:szCs w:val="24"/>
    </w:rPr>
  </w:style>
  <w:style w:type="character" w:customStyle="1" w:styleId="1200">
    <w:name w:val="表格题注 Char"/>
    <w:link w:val="146"/>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7"/>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8"/>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9"/>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50"/>
    <w:qFormat/>
    <w:uiPriority w:val="0"/>
    <w:rPr>
      <w:rFonts w:cs="Arial"/>
      <w:b/>
      <w:sz w:val="18"/>
    </w:rPr>
  </w:style>
  <w:style w:type="character" w:customStyle="1" w:styleId="1214">
    <w:name w:val="style3"/>
    <w:qFormat/>
    <w:uiPriority w:val="0"/>
  </w:style>
  <w:style w:type="character" w:customStyle="1" w:styleId="1215">
    <w:name w:val="表格编号 Char"/>
    <w:link w:val="151"/>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52"/>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3"/>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4"/>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5"/>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6"/>
    <w:qFormat/>
    <w:uiPriority w:val="0"/>
    <w:rPr>
      <w:kern w:val="2"/>
      <w:sz w:val="24"/>
    </w:rPr>
  </w:style>
  <w:style w:type="character" w:customStyle="1" w:styleId="1231">
    <w:name w:val="公文正文 Char"/>
    <w:link w:val="157"/>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8"/>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9"/>
    <w:qFormat/>
    <w:uiPriority w:val="0"/>
    <w:rPr>
      <w:rFonts w:ascii="宋体"/>
      <w:b/>
      <w:bCs/>
      <w:sz w:val="28"/>
    </w:rPr>
  </w:style>
  <w:style w:type="character" w:customStyle="1" w:styleId="1242">
    <w:name w:val="*Heading 4 Char"/>
    <w:link w:val="160"/>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61"/>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62"/>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3"/>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4"/>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5"/>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6"/>
    <w:qFormat/>
    <w:uiPriority w:val="0"/>
    <w:rPr>
      <w:rFonts w:ascii="Arial" w:hAnsi="Arial"/>
      <w:sz w:val="18"/>
      <w:szCs w:val="18"/>
      <w:lang w:val="en-US" w:eastAsia="zh-CN" w:bidi="ar-SA"/>
    </w:rPr>
  </w:style>
  <w:style w:type="character" w:customStyle="1" w:styleId="1274">
    <w:name w:val="正文1 Char"/>
    <w:link w:val="167"/>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8"/>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9"/>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70"/>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71"/>
    <w:qFormat/>
    <w:uiPriority w:val="0"/>
    <w:rPr>
      <w:szCs w:val="21"/>
    </w:rPr>
  </w:style>
  <w:style w:type="character" w:customStyle="1" w:styleId="1294">
    <w:name w:val="标准正文 Char"/>
    <w:link w:val="172"/>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3"/>
    <w:qFormat/>
    <w:uiPriority w:val="0"/>
    <w:rPr>
      <w:rFonts w:ascii="Arial" w:hAnsi="Arial"/>
      <w:kern w:val="2"/>
      <w:sz w:val="24"/>
      <w:szCs w:val="24"/>
    </w:rPr>
  </w:style>
  <w:style w:type="character" w:customStyle="1" w:styleId="1304">
    <w:name w:val="正文（首行缩进2字符） Char"/>
    <w:link w:val="174"/>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5"/>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6"/>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7"/>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8"/>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__正文不空"/>
    <w:qFormat/>
    <w:uiPriority w:val="0"/>
    <w:pPr>
      <w:spacing w:line="360" w:lineRule="auto"/>
    </w:pPr>
    <w:rPr>
      <w:rFonts w:asciiTheme="minorHAnsi" w:hAnsiTheme="minorHAnsi" w:eastAsiaTheme="minorEastAsia" w:cstheme="minorBidi"/>
      <w:kern w:val="2"/>
      <w:sz w:val="24"/>
      <w:szCs w:val="21"/>
      <w:lang w:val="en-US" w:eastAsia="zh-CN" w:bidi="ar-SA"/>
    </w:rPr>
  </w:style>
  <w:style w:type="paragraph" w:customStyle="1" w:styleId="1337">
    <w:name w:val="_标题3"/>
    <w:basedOn w:val="1336"/>
    <w:next w:val="1336"/>
    <w:qFormat/>
    <w:uiPriority w:val="0"/>
    <w:pPr>
      <w:keepNext/>
      <w:widowControl w:val="0"/>
      <w:numPr>
        <w:ilvl w:val="2"/>
        <w:numId w:val="1"/>
      </w:numPr>
      <w:spacing w:before="156" w:beforeLines="50" w:after="156" w:afterLines="50" w:line="240" w:lineRule="auto"/>
      <w:outlineLvl w:val="2"/>
    </w:pPr>
  </w:style>
  <w:style w:type="paragraph" w:customStyle="1" w:styleId="1338">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1339">
    <w:name w:val="网格型3"/>
    <w:basedOn w:val="8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4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341">
    <w:name w:val="font112"/>
    <w:basedOn w:val="83"/>
    <w:qFormat/>
    <w:uiPriority w:val="0"/>
    <w:rPr>
      <w:rFonts w:ascii="Calibri" w:hAnsi="Calibri" w:cs="Calibri"/>
      <w:color w:val="000000"/>
      <w:sz w:val="18"/>
      <w:szCs w:val="18"/>
      <w:u w:val="none"/>
    </w:rPr>
  </w:style>
  <w:style w:type="paragraph" w:customStyle="1" w:styleId="1342">
    <w:name w:val="列表段落1"/>
    <w:qFormat/>
    <w:uiPriority w:val="0"/>
    <w:pPr>
      <w:widowControl w:val="0"/>
      <w:ind w:firstLine="420" w:firstLineChars="200"/>
    </w:pPr>
    <w:rPr>
      <w:rFonts w:ascii="Calibri" w:hAnsi="Calibri" w:eastAsia="宋体" w:cs="Times New Roman"/>
      <w:kern w:val="2"/>
      <w:sz w:val="21"/>
      <w:lang w:val="en-US" w:eastAsia="zh-CN" w:bidi="ar-SA"/>
    </w:rPr>
  </w:style>
  <w:style w:type="character" w:customStyle="1" w:styleId="1343">
    <w:name w:val="无"/>
    <w:qFormat/>
    <w:uiPriority w:val="0"/>
  </w:style>
  <w:style w:type="character" w:customStyle="1" w:styleId="1344">
    <w:name w:val="font71"/>
    <w:basedOn w:val="83"/>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78</Pages>
  <Words>37580</Words>
  <Characters>40809</Characters>
  <Lines>310</Lines>
  <Paragraphs>87</Paragraphs>
  <TotalTime>23</TotalTime>
  <ScaleCrop>false</ScaleCrop>
  <LinksUpToDate>false</LinksUpToDate>
  <CharactersWithSpaces>44892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2020-07-09T00:40:00Z</dcterms:created>
  <dc:creator>Administrator</dc:creator>
  <cp:lastModifiedBy>苑洪春</cp:lastModifiedBy>
  <cp:lastPrinted>2017-04-17T00:03:00Z</cp:lastPrinted>
  <dcterms:modified xsi:type="dcterms:W3CDTF">2025-07-04T01:23:13Z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C12DCC76C47A4A2799A6FA14D7BD937A_13</vt:lpwstr>
  </property>
  <property fmtid="{D5CDD505-2E9C-101B-9397-08002B2CF9AE}" pid="4" name="KSOTemplateDocerSaveRecord">
    <vt:lpwstr>eyJoZGlkIjoiMDE2NTI0ODNhZmI0MWNkZDJkYTQ4ZmQxMzE4NDcyYzEiLCJ1c2VySWQiOiIzMzk3MTA1MTcifQ==</vt:lpwstr>
  </property>
</Properties>
</file>