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81318">
      <w:pPr>
        <w:pStyle w:val="86"/>
        <w:ind w:firstLine="480"/>
        <w:rPr>
          <w:rFonts w:ascii="仿宋" w:hAnsi="仿宋" w:eastAsia="仿宋" w:cs="仿宋"/>
          <w:color w:val="auto"/>
          <w:highlight w:val="none"/>
          <w:shd w:val="clear" w:color="auto" w:fill="auto"/>
        </w:rPr>
      </w:pPr>
    </w:p>
    <w:p w14:paraId="0020AE6E">
      <w:pPr>
        <w:pStyle w:val="86"/>
        <w:ind w:firstLine="480"/>
        <w:rPr>
          <w:rFonts w:ascii="仿宋" w:hAnsi="仿宋" w:eastAsia="仿宋" w:cs="仿宋"/>
          <w:color w:val="auto"/>
          <w:highlight w:val="none"/>
          <w:shd w:val="clear" w:color="auto" w:fill="auto"/>
        </w:rPr>
      </w:pPr>
    </w:p>
    <w:p w14:paraId="343689AC">
      <w:pPr>
        <w:adjustRightInd/>
        <w:spacing w:line="360" w:lineRule="auto"/>
        <w:jc w:val="center"/>
        <w:rPr>
          <w:rFonts w:hint="eastAsia" w:ascii="仿宋" w:hAnsi="仿宋" w:eastAsia="仿宋" w:cs="仿宋"/>
          <w:color w:val="auto"/>
          <w:sz w:val="44"/>
          <w:szCs w:val="32"/>
          <w:highlight w:val="none"/>
          <w:shd w:val="clear" w:color="auto" w:fill="auto"/>
          <w:lang w:eastAsia="zh-CN"/>
        </w:rPr>
      </w:pPr>
      <w:r>
        <w:rPr>
          <w:rFonts w:hint="eastAsia" w:ascii="仿宋" w:hAnsi="仿宋" w:eastAsia="仿宋" w:cs="仿宋"/>
          <w:color w:val="auto"/>
          <w:sz w:val="44"/>
          <w:szCs w:val="32"/>
          <w:highlight w:val="none"/>
          <w:shd w:val="clear" w:color="auto" w:fill="auto"/>
          <w:lang w:eastAsia="zh-CN"/>
        </w:rPr>
        <w:t>杭州钱江世纪城城市综合服务有限公司2025-2026年度联合体投标及项目合作</w:t>
      </w:r>
    </w:p>
    <w:p w14:paraId="06B28AA9">
      <w:pPr>
        <w:adjustRightInd/>
        <w:spacing w:line="360" w:lineRule="auto"/>
        <w:jc w:val="center"/>
        <w:rPr>
          <w:rFonts w:hint="eastAsia" w:ascii="仿宋" w:hAnsi="仿宋" w:eastAsia="仿宋" w:cs="仿宋"/>
          <w:color w:val="auto"/>
          <w:sz w:val="44"/>
          <w:szCs w:val="32"/>
          <w:highlight w:val="none"/>
          <w:shd w:val="clear" w:color="auto" w:fill="auto"/>
          <w:lang w:eastAsia="zh-CN"/>
        </w:rPr>
      </w:pPr>
      <w:r>
        <w:rPr>
          <w:rFonts w:hint="eastAsia" w:ascii="仿宋" w:hAnsi="仿宋" w:eastAsia="仿宋" w:cs="仿宋"/>
          <w:color w:val="auto"/>
          <w:sz w:val="44"/>
          <w:szCs w:val="32"/>
          <w:highlight w:val="none"/>
          <w:shd w:val="clear" w:color="auto" w:fill="auto"/>
          <w:lang w:eastAsia="zh-CN"/>
        </w:rPr>
        <w:t>单位库采购项目(房建物业类)</w:t>
      </w:r>
    </w:p>
    <w:p w14:paraId="42299C08">
      <w:pPr>
        <w:adjustRightInd/>
        <w:spacing w:line="360" w:lineRule="auto"/>
        <w:jc w:val="center"/>
        <w:rPr>
          <w:rFonts w:ascii="仿宋" w:hAnsi="仿宋" w:eastAsia="仿宋" w:cs="仿宋"/>
          <w:b/>
          <w:bCs/>
          <w:color w:val="auto"/>
          <w:sz w:val="72"/>
          <w:szCs w:val="72"/>
          <w:highlight w:val="none"/>
          <w:shd w:val="clear" w:color="auto" w:fill="auto"/>
        </w:rPr>
      </w:pPr>
    </w:p>
    <w:p w14:paraId="37231623">
      <w:pPr>
        <w:adjustRightInd/>
        <w:spacing w:line="360" w:lineRule="auto"/>
        <w:jc w:val="center"/>
        <w:rPr>
          <w:rFonts w:ascii="仿宋" w:hAnsi="仿宋" w:eastAsia="仿宋" w:cs="仿宋"/>
          <w:b/>
          <w:bCs/>
          <w:color w:val="auto"/>
          <w:sz w:val="72"/>
          <w:szCs w:val="72"/>
          <w:highlight w:val="none"/>
          <w:shd w:val="clear" w:color="auto" w:fill="auto"/>
        </w:rPr>
      </w:pPr>
      <w:r>
        <w:rPr>
          <w:rFonts w:hint="eastAsia" w:ascii="仿宋" w:hAnsi="仿宋" w:eastAsia="仿宋" w:cs="仿宋"/>
          <w:b/>
          <w:bCs/>
          <w:color w:val="auto"/>
          <w:sz w:val="72"/>
          <w:szCs w:val="72"/>
          <w:highlight w:val="none"/>
          <w:shd w:val="clear" w:color="auto" w:fill="auto"/>
        </w:rPr>
        <w:t>交易文件</w:t>
      </w:r>
    </w:p>
    <w:p w14:paraId="7D418D49">
      <w:pPr>
        <w:adjustRightInd/>
        <w:spacing w:line="360" w:lineRule="auto"/>
        <w:jc w:val="center"/>
        <w:rPr>
          <w:rFonts w:ascii="仿宋" w:hAnsi="仿宋" w:eastAsia="仿宋" w:cs="仿宋"/>
          <w:b/>
          <w:color w:val="auto"/>
          <w:sz w:val="44"/>
          <w:szCs w:val="44"/>
          <w:highlight w:val="none"/>
          <w:shd w:val="clear" w:color="auto" w:fill="auto"/>
        </w:rPr>
      </w:pPr>
      <w:r>
        <w:rPr>
          <w:rFonts w:hint="eastAsia" w:ascii="仿宋" w:hAnsi="仿宋" w:eastAsia="仿宋" w:cs="仿宋"/>
          <w:b/>
          <w:color w:val="auto"/>
          <w:sz w:val="44"/>
          <w:szCs w:val="44"/>
          <w:highlight w:val="none"/>
          <w:shd w:val="clear" w:color="auto" w:fill="auto"/>
        </w:rPr>
        <w:t>（</w:t>
      </w:r>
      <w:r>
        <w:rPr>
          <w:rFonts w:hint="eastAsia" w:ascii="仿宋" w:hAnsi="仿宋" w:eastAsia="仿宋" w:cs="仿宋"/>
          <w:b/>
          <w:color w:val="auto"/>
          <w:sz w:val="44"/>
          <w:szCs w:val="44"/>
          <w:highlight w:val="none"/>
          <w:shd w:val="clear" w:color="auto" w:fill="auto"/>
          <w:lang w:val="en-US" w:eastAsia="zh-CN"/>
        </w:rPr>
        <w:t>非政府采购</w:t>
      </w:r>
      <w:r>
        <w:rPr>
          <w:rFonts w:hint="eastAsia" w:ascii="仿宋" w:hAnsi="仿宋" w:eastAsia="仿宋" w:cs="仿宋"/>
          <w:b/>
          <w:color w:val="auto"/>
          <w:sz w:val="44"/>
          <w:szCs w:val="44"/>
          <w:highlight w:val="none"/>
          <w:shd w:val="clear" w:color="auto" w:fill="auto"/>
        </w:rPr>
        <w:t>电子</w:t>
      </w:r>
      <w:r>
        <w:rPr>
          <w:rFonts w:hint="eastAsia" w:ascii="仿宋" w:hAnsi="仿宋" w:eastAsia="仿宋" w:cs="仿宋"/>
          <w:b/>
          <w:color w:val="auto"/>
          <w:sz w:val="44"/>
          <w:szCs w:val="44"/>
          <w:highlight w:val="none"/>
          <w:shd w:val="clear" w:color="auto" w:fill="auto"/>
          <w:lang w:val="en-US" w:eastAsia="zh-CN"/>
        </w:rPr>
        <w:t>交易</w:t>
      </w:r>
      <w:r>
        <w:rPr>
          <w:rFonts w:hint="eastAsia" w:ascii="仿宋" w:hAnsi="仿宋" w:eastAsia="仿宋" w:cs="仿宋"/>
          <w:b/>
          <w:color w:val="auto"/>
          <w:sz w:val="44"/>
          <w:szCs w:val="44"/>
          <w:highlight w:val="none"/>
          <w:shd w:val="clear" w:color="auto" w:fill="auto"/>
        </w:rPr>
        <w:t>）</w:t>
      </w:r>
    </w:p>
    <w:p w14:paraId="05C2A4AD">
      <w:pPr>
        <w:adjustRightInd/>
        <w:spacing w:line="360" w:lineRule="auto"/>
        <w:jc w:val="center"/>
        <w:rPr>
          <w:rFonts w:hint="default" w:ascii="仿宋" w:hAnsi="仿宋" w:eastAsia="仿宋" w:cs="仿宋"/>
          <w:b/>
          <w:color w:val="auto"/>
          <w:sz w:val="32"/>
          <w:szCs w:val="16"/>
          <w:highlight w:val="none"/>
          <w:shd w:val="clear" w:color="auto" w:fill="auto"/>
          <w:lang w:val="en-US" w:eastAsia="zh-CN"/>
        </w:rPr>
      </w:pPr>
      <w:r>
        <w:rPr>
          <w:rFonts w:hint="eastAsia" w:ascii="仿宋" w:hAnsi="仿宋" w:eastAsia="仿宋" w:cs="仿宋"/>
          <w:b/>
          <w:color w:val="auto"/>
          <w:sz w:val="32"/>
          <w:szCs w:val="16"/>
          <w:highlight w:val="none"/>
          <w:shd w:val="clear" w:color="auto" w:fill="auto"/>
        </w:rPr>
        <w:t>编号：</w:t>
      </w:r>
      <w:r>
        <w:rPr>
          <w:rFonts w:hint="eastAsia" w:ascii="仿宋" w:hAnsi="仿宋" w:eastAsia="仿宋" w:cs="仿宋"/>
          <w:b/>
          <w:color w:val="auto"/>
          <w:sz w:val="32"/>
          <w:szCs w:val="16"/>
          <w:highlight w:val="none"/>
          <w:shd w:val="clear" w:color="auto" w:fill="auto"/>
          <w:lang w:val="en-US" w:eastAsia="zh-CN"/>
        </w:rPr>
        <w:t>2025-BQQ6</w:t>
      </w:r>
    </w:p>
    <w:p w14:paraId="7D8B005F">
      <w:pPr>
        <w:adjustRightInd/>
        <w:spacing w:line="360" w:lineRule="auto"/>
        <w:jc w:val="center"/>
        <w:rPr>
          <w:rFonts w:hint="eastAsia" w:ascii="仿宋" w:hAnsi="仿宋" w:eastAsia="仿宋" w:cs="仿宋"/>
          <w:b/>
          <w:color w:val="auto"/>
          <w:sz w:val="44"/>
          <w:szCs w:val="44"/>
          <w:highlight w:val="none"/>
          <w:shd w:val="clear" w:color="auto" w:fill="auto"/>
        </w:rPr>
      </w:pPr>
      <w:r>
        <w:rPr>
          <w:rFonts w:hint="eastAsia" w:ascii="仿宋" w:hAnsi="仿宋" w:eastAsia="仿宋" w:cs="仿宋"/>
          <w:color w:val="auto"/>
          <w:highlight w:val="none"/>
        </w:rPr>
        <w:drawing>
          <wp:inline distT="0" distB="0" distL="114300" distR="114300">
            <wp:extent cx="1539240" cy="1920875"/>
            <wp:effectExtent l="0" t="0" r="381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lum bright="6000"/>
                    </a:blip>
                    <a:stretch>
                      <a:fillRect/>
                    </a:stretch>
                  </pic:blipFill>
                  <pic:spPr>
                    <a:xfrm>
                      <a:off x="0" y="0"/>
                      <a:ext cx="1539240" cy="1920875"/>
                    </a:xfrm>
                    <a:prstGeom prst="rect">
                      <a:avLst/>
                    </a:prstGeom>
                    <a:noFill/>
                    <a:ln>
                      <a:noFill/>
                    </a:ln>
                  </pic:spPr>
                </pic:pic>
              </a:graphicData>
            </a:graphic>
          </wp:inline>
        </w:drawing>
      </w:r>
    </w:p>
    <w:p w14:paraId="579B08F5">
      <w:pPr>
        <w:rPr>
          <w:rFonts w:ascii="仿宋" w:hAnsi="仿宋" w:eastAsia="仿宋" w:cs="仿宋"/>
          <w:color w:val="auto"/>
          <w:highlight w:val="none"/>
          <w:shd w:val="clear" w:color="auto" w:fill="auto"/>
        </w:rPr>
      </w:pPr>
    </w:p>
    <w:p w14:paraId="06278B6A">
      <w:pPr>
        <w:pStyle w:val="24"/>
        <w:rPr>
          <w:rFonts w:ascii="仿宋" w:hAnsi="仿宋" w:eastAsia="仿宋" w:cs="仿宋"/>
          <w:color w:val="auto"/>
          <w:highlight w:val="none"/>
          <w:shd w:val="clear" w:color="auto" w:fill="auto"/>
        </w:rPr>
      </w:pPr>
    </w:p>
    <w:p w14:paraId="3DBA2338">
      <w:pPr>
        <w:snapToGrid w:val="0"/>
        <w:spacing w:line="360" w:lineRule="auto"/>
        <w:jc w:val="center"/>
        <w:rPr>
          <w:rFonts w:hint="eastAsia" w:ascii="仿宋" w:hAnsi="仿宋" w:eastAsia="仿宋" w:cs="仿宋"/>
          <w:bCs/>
          <w:color w:val="auto"/>
          <w:sz w:val="32"/>
          <w:szCs w:val="32"/>
          <w:highlight w:val="none"/>
          <w:shd w:val="clear" w:color="auto" w:fill="auto"/>
        </w:rPr>
      </w:pPr>
      <w:r>
        <w:rPr>
          <w:rFonts w:hint="eastAsia" w:ascii="仿宋" w:hAnsi="仿宋" w:eastAsia="仿宋" w:cs="仿宋"/>
          <w:bCs/>
          <w:color w:val="auto"/>
          <w:sz w:val="32"/>
          <w:szCs w:val="32"/>
          <w:highlight w:val="none"/>
          <w:shd w:val="clear" w:color="auto" w:fill="auto"/>
        </w:rPr>
        <w:t>杭州钱江世纪城城市综合服务有限公司</w:t>
      </w:r>
    </w:p>
    <w:p w14:paraId="4DC007A3">
      <w:pPr>
        <w:snapToGrid w:val="0"/>
        <w:spacing w:line="360" w:lineRule="auto"/>
        <w:jc w:val="center"/>
        <w:rPr>
          <w:rFonts w:hint="eastAsia" w:ascii="仿宋" w:hAnsi="仿宋" w:eastAsia="仿宋" w:cs="仿宋"/>
          <w:bCs/>
          <w:color w:val="auto"/>
          <w:sz w:val="32"/>
          <w:szCs w:val="32"/>
          <w:highlight w:val="none"/>
          <w:shd w:val="clear" w:color="auto" w:fill="auto"/>
          <w:lang w:eastAsia="zh-CN"/>
        </w:rPr>
      </w:pPr>
      <w:r>
        <w:rPr>
          <w:rFonts w:hint="eastAsia" w:ascii="仿宋" w:hAnsi="仿宋" w:eastAsia="仿宋" w:cs="仿宋"/>
          <w:bCs/>
          <w:color w:val="auto"/>
          <w:sz w:val="32"/>
          <w:szCs w:val="32"/>
          <w:highlight w:val="none"/>
          <w:shd w:val="clear" w:color="auto" w:fill="auto"/>
          <w:lang w:eastAsia="zh-CN"/>
        </w:rPr>
        <w:t>浙江华耀建设咨询有限公司</w:t>
      </w:r>
    </w:p>
    <w:p w14:paraId="2C4B5416">
      <w:pPr>
        <w:snapToGrid w:val="0"/>
        <w:spacing w:line="360" w:lineRule="auto"/>
        <w:jc w:val="center"/>
        <w:rPr>
          <w:rFonts w:hint="default" w:ascii="仿宋" w:hAnsi="仿宋" w:eastAsia="仿宋" w:cs="仿宋"/>
          <w:color w:val="auto"/>
          <w:sz w:val="24"/>
          <w:highlight w:val="none"/>
          <w:shd w:val="clear" w:color="auto" w:fill="auto"/>
          <w:lang w:val="en-US"/>
        </w:rPr>
      </w:pPr>
      <w:r>
        <w:rPr>
          <w:rFonts w:hint="eastAsia" w:ascii="仿宋" w:hAnsi="仿宋" w:eastAsia="仿宋" w:cs="仿宋"/>
          <w:bCs/>
          <w:color w:val="auto"/>
          <w:sz w:val="32"/>
          <w:szCs w:val="32"/>
          <w:highlight w:val="none"/>
          <w:shd w:val="clear" w:color="auto" w:fill="auto"/>
        </w:rPr>
        <w:t>202</w:t>
      </w:r>
      <w:r>
        <w:rPr>
          <w:rFonts w:hint="eastAsia" w:ascii="仿宋" w:hAnsi="仿宋" w:eastAsia="仿宋" w:cs="仿宋"/>
          <w:bCs/>
          <w:color w:val="auto"/>
          <w:sz w:val="32"/>
          <w:szCs w:val="32"/>
          <w:highlight w:val="none"/>
          <w:shd w:val="clear" w:color="auto" w:fill="auto"/>
          <w:lang w:val="en-US" w:eastAsia="zh-CN"/>
        </w:rPr>
        <w:t>5</w:t>
      </w:r>
      <w:r>
        <w:rPr>
          <w:rFonts w:hint="eastAsia" w:ascii="仿宋" w:hAnsi="仿宋" w:eastAsia="仿宋" w:cs="仿宋"/>
          <w:bCs/>
          <w:color w:val="auto"/>
          <w:sz w:val="32"/>
          <w:szCs w:val="32"/>
          <w:highlight w:val="none"/>
          <w:shd w:val="clear" w:color="auto" w:fill="auto"/>
        </w:rPr>
        <w:t>年</w:t>
      </w:r>
      <w:r>
        <w:rPr>
          <w:rFonts w:hint="eastAsia" w:ascii="仿宋" w:hAnsi="仿宋" w:eastAsia="仿宋" w:cs="仿宋"/>
          <w:bCs/>
          <w:color w:val="auto"/>
          <w:sz w:val="32"/>
          <w:szCs w:val="32"/>
          <w:highlight w:val="none"/>
          <w:shd w:val="clear" w:color="auto" w:fill="auto"/>
          <w:lang w:val="en-US" w:eastAsia="zh-CN"/>
        </w:rPr>
        <w:t>07月01日</w:t>
      </w:r>
    </w:p>
    <w:p w14:paraId="05EE5787">
      <w:pPr>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br w:type="page"/>
      </w:r>
      <w:bookmarkStart w:id="0" w:name="_Hlt67893495"/>
      <w:bookmarkEnd w:id="0"/>
    </w:p>
    <w:p w14:paraId="65AB8947">
      <w:pPr>
        <w:spacing w:line="360" w:lineRule="auto"/>
        <w:jc w:val="center"/>
        <w:rPr>
          <w:rFonts w:ascii="仿宋" w:hAnsi="仿宋" w:eastAsia="仿宋" w:cs="仿宋"/>
          <w:color w:val="auto"/>
          <w:sz w:val="24"/>
          <w:highlight w:val="none"/>
          <w:shd w:val="clear" w:color="auto" w:fill="auto"/>
        </w:rPr>
      </w:pPr>
    </w:p>
    <w:p w14:paraId="6280D24C">
      <w:pPr>
        <w:spacing w:line="360" w:lineRule="auto"/>
        <w:jc w:val="center"/>
        <w:rPr>
          <w:rFonts w:ascii="仿宋" w:hAnsi="仿宋" w:eastAsia="仿宋" w:cs="仿宋"/>
          <w:b/>
          <w:color w:val="auto"/>
          <w:sz w:val="48"/>
          <w:szCs w:val="48"/>
          <w:highlight w:val="none"/>
          <w:shd w:val="clear" w:color="auto" w:fill="auto"/>
        </w:rPr>
      </w:pPr>
      <w:r>
        <w:rPr>
          <w:rFonts w:hint="eastAsia" w:ascii="仿宋" w:hAnsi="仿宋" w:eastAsia="仿宋" w:cs="仿宋"/>
          <w:b/>
          <w:color w:val="auto"/>
          <w:sz w:val="48"/>
          <w:szCs w:val="48"/>
          <w:highlight w:val="none"/>
          <w:shd w:val="clear" w:color="auto" w:fill="auto"/>
        </w:rPr>
        <w:t>目  录</w:t>
      </w:r>
    </w:p>
    <w:p w14:paraId="6337E5E8">
      <w:pPr>
        <w:spacing w:line="360" w:lineRule="auto"/>
        <w:rPr>
          <w:rFonts w:ascii="仿宋" w:hAnsi="仿宋" w:eastAsia="仿宋" w:cs="仿宋"/>
          <w:color w:val="auto"/>
          <w:sz w:val="32"/>
          <w:szCs w:val="32"/>
          <w:highlight w:val="none"/>
          <w:shd w:val="clear" w:color="auto" w:fill="auto"/>
        </w:rPr>
      </w:pPr>
    </w:p>
    <w:p w14:paraId="1C5005F3">
      <w:pPr>
        <w:spacing w:line="360" w:lineRule="auto"/>
        <w:rPr>
          <w:rFonts w:ascii="仿宋" w:hAnsi="仿宋" w:eastAsia="仿宋" w:cs="仿宋"/>
          <w:color w:val="auto"/>
          <w:sz w:val="32"/>
          <w:szCs w:val="32"/>
          <w:highlight w:val="none"/>
          <w:shd w:val="clear" w:color="auto" w:fill="auto"/>
        </w:rPr>
      </w:pPr>
    </w:p>
    <w:p w14:paraId="45FCC942">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1F254C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须知</w:t>
      </w:r>
    </w:p>
    <w:p w14:paraId="5AFFB9B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第三部分      </w:t>
      </w:r>
      <w:r>
        <w:rPr>
          <w:rFonts w:hint="eastAsia" w:ascii="仿宋" w:hAnsi="仿宋" w:eastAsia="仿宋" w:cs="仿宋"/>
          <w:color w:val="auto"/>
          <w:sz w:val="32"/>
          <w:szCs w:val="32"/>
          <w:highlight w:val="none"/>
          <w:lang w:val="en-US" w:eastAsia="zh-CN"/>
        </w:rPr>
        <w:t>交易</w:t>
      </w:r>
      <w:r>
        <w:rPr>
          <w:rFonts w:hint="eastAsia" w:ascii="仿宋" w:hAnsi="仿宋" w:eastAsia="仿宋" w:cs="仿宋"/>
          <w:color w:val="auto"/>
          <w:sz w:val="32"/>
          <w:szCs w:val="32"/>
          <w:highlight w:val="none"/>
        </w:rPr>
        <w:t>需求</w:t>
      </w:r>
    </w:p>
    <w:p w14:paraId="4F08E88F">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val="en-US" w:eastAsia="zh-CN"/>
        </w:rPr>
        <w:t>评审</w:t>
      </w:r>
      <w:r>
        <w:rPr>
          <w:rFonts w:hint="eastAsia" w:ascii="仿宋" w:hAnsi="仿宋" w:eastAsia="仿宋" w:cs="仿宋"/>
          <w:color w:val="auto"/>
          <w:sz w:val="32"/>
          <w:szCs w:val="32"/>
          <w:highlight w:val="none"/>
          <w:lang w:eastAsia="zh-CN"/>
        </w:rPr>
        <w:t>办法</w:t>
      </w:r>
    </w:p>
    <w:p w14:paraId="184010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56733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085C7BF">
      <w:pPr>
        <w:spacing w:line="360" w:lineRule="auto"/>
        <w:rPr>
          <w:rFonts w:ascii="仿宋" w:hAnsi="仿宋" w:eastAsia="仿宋" w:cs="仿宋"/>
          <w:color w:val="auto"/>
          <w:sz w:val="24"/>
          <w:highlight w:val="none"/>
          <w:shd w:val="clear" w:color="auto" w:fill="auto"/>
        </w:rPr>
      </w:pPr>
      <w:bookmarkStart w:id="1" w:name="_Hlt91233176"/>
      <w:bookmarkEnd w:id="1"/>
      <w:bookmarkStart w:id="2" w:name="_Toc91899869"/>
    </w:p>
    <w:p w14:paraId="5F863C61">
      <w:pPr>
        <w:adjustRightInd/>
        <w:spacing w:line="360" w:lineRule="auto"/>
        <w:jc w:val="center"/>
        <w:outlineLvl w:val="0"/>
        <w:rPr>
          <w:rFonts w:ascii="仿宋" w:hAnsi="仿宋" w:eastAsia="仿宋" w:cs="仿宋"/>
          <w:b/>
          <w:color w:val="auto"/>
          <w:sz w:val="36"/>
          <w:szCs w:val="20"/>
          <w:highlight w:val="none"/>
          <w:shd w:val="clear" w:color="auto" w:fill="auto"/>
        </w:rPr>
      </w:pPr>
      <w:bookmarkStart w:id="3" w:name="第一部分"/>
      <w:r>
        <w:rPr>
          <w:rFonts w:hint="eastAsia" w:ascii="仿宋" w:hAnsi="仿宋" w:eastAsia="仿宋" w:cs="仿宋"/>
          <w:b/>
          <w:color w:val="auto"/>
          <w:sz w:val="36"/>
          <w:szCs w:val="36"/>
          <w:highlight w:val="none"/>
          <w:shd w:val="clear" w:color="auto" w:fill="auto"/>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shd w:val="clear" w:color="auto" w:fill="auto"/>
        </w:rPr>
        <w:t>第一部分 交易公告</w:t>
      </w:r>
    </w:p>
    <w:p w14:paraId="6422F33F">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项目概况</w:t>
      </w:r>
    </w:p>
    <w:p w14:paraId="5289A58C">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u w:val="single"/>
          <w:shd w:val="clear" w:color="auto" w:fill="auto"/>
          <w:lang w:eastAsia="zh-CN"/>
        </w:rPr>
        <w:t>杭州钱江世纪城城市综合服务有限公司2025-2026年度联合体投标及项目合作单位库采购项目(房建物业类)</w:t>
      </w:r>
      <w:r>
        <w:rPr>
          <w:rFonts w:hint="eastAsia" w:ascii="仿宋" w:hAnsi="仿宋" w:eastAsia="仿宋" w:cs="仿宋"/>
          <w:color w:val="auto"/>
          <w:sz w:val="24"/>
          <w:highlight w:val="none"/>
          <w:shd w:val="clear" w:color="auto" w:fill="auto"/>
        </w:rPr>
        <w:t>的潜在响应人应在乐采云平台</w:t>
      </w:r>
      <w:r>
        <w:rPr>
          <w:rFonts w:hint="eastAsia" w:ascii="仿宋" w:hAnsi="仿宋" w:eastAsia="仿宋" w:cs="仿宋"/>
          <w:color w:val="auto"/>
          <w:spacing w:val="-6"/>
          <w:highlight w:val="none"/>
          <w:shd w:val="clear" w:color="auto" w:fill="auto"/>
        </w:rPr>
        <w:fldChar w:fldCharType="begin"/>
      </w:r>
      <w:r>
        <w:rPr>
          <w:rFonts w:hint="eastAsia" w:ascii="仿宋" w:hAnsi="仿宋" w:eastAsia="仿宋" w:cs="仿宋"/>
          <w:color w:val="auto"/>
          <w:spacing w:val="-6"/>
          <w:highlight w:val="none"/>
          <w:shd w:val="clear" w:color="auto" w:fill="auto"/>
        </w:rPr>
        <w:instrText xml:space="preserve"> HYPERLINK "https://www.zcygov.cn/）获取（下载）招标文件，并于2021年" </w:instrText>
      </w:r>
      <w:r>
        <w:rPr>
          <w:rFonts w:hint="eastAsia" w:ascii="仿宋" w:hAnsi="仿宋" w:eastAsia="仿宋" w:cs="仿宋"/>
          <w:color w:val="auto"/>
          <w:spacing w:val="-6"/>
          <w:highlight w:val="none"/>
          <w:shd w:val="clear" w:color="auto" w:fill="auto"/>
        </w:rPr>
        <w:fldChar w:fldCharType="separate"/>
      </w:r>
      <w:r>
        <w:rPr>
          <w:rFonts w:hint="eastAsia" w:ascii="仿宋" w:hAnsi="仿宋" w:eastAsia="仿宋" w:cs="仿宋"/>
          <w:color w:val="auto"/>
          <w:spacing w:val="-6"/>
          <w:highlight w:val="none"/>
          <w:shd w:val="clear" w:color="auto" w:fill="auto"/>
        </w:rPr>
        <w:t>（https://www.lecaiyun.com/）</w:t>
      </w:r>
      <w:r>
        <w:rPr>
          <w:rStyle w:val="76"/>
          <w:rFonts w:hint="eastAsia" w:ascii="仿宋" w:hAnsi="仿宋" w:eastAsia="仿宋" w:cs="仿宋"/>
          <w:snapToGrid/>
          <w:color w:val="auto"/>
          <w:spacing w:val="-6"/>
          <w:kern w:val="2"/>
          <w:sz w:val="24"/>
          <w:szCs w:val="24"/>
          <w:highlight w:val="none"/>
          <w:shd w:val="clear" w:color="auto" w:fill="auto"/>
        </w:rPr>
        <w:t>获取（下载）交易文件，并于</w:t>
      </w:r>
      <w:r>
        <w:rPr>
          <w:rFonts w:hint="eastAsia" w:ascii="仿宋" w:hAnsi="仿宋" w:eastAsia="仿宋" w:cs="仿宋"/>
          <w:color w:val="auto"/>
          <w:spacing w:val="-6"/>
          <w:sz w:val="24"/>
          <w:highlight w:val="none"/>
          <w:u w:val="single"/>
          <w:shd w:val="clear" w:color="auto" w:fill="auto"/>
          <w:lang w:eastAsia="zh-CN"/>
        </w:rPr>
        <w:t>2025年07月23日</w:t>
      </w:r>
      <w:r>
        <w:rPr>
          <w:rFonts w:hint="eastAsia" w:ascii="仿宋" w:hAnsi="仿宋" w:eastAsia="仿宋" w:cs="仿宋"/>
          <w:color w:val="auto"/>
          <w:spacing w:val="-6"/>
          <w:sz w:val="24"/>
          <w:highlight w:val="none"/>
          <w:u w:val="single"/>
          <w:shd w:val="clear" w:color="auto" w:fill="auto"/>
          <w:lang w:val="en-US" w:eastAsia="zh-CN"/>
        </w:rPr>
        <w:t>09</w:t>
      </w:r>
      <w:r>
        <w:rPr>
          <w:rFonts w:hint="eastAsia" w:ascii="仿宋" w:hAnsi="仿宋" w:eastAsia="仿宋" w:cs="仿宋"/>
          <w:color w:val="auto"/>
          <w:spacing w:val="-6"/>
          <w:sz w:val="24"/>
          <w:highlight w:val="none"/>
          <w:u w:val="single"/>
          <w:shd w:val="clear" w:color="auto" w:fill="auto"/>
        </w:rPr>
        <w:t>点</w:t>
      </w:r>
      <w:r>
        <w:rPr>
          <w:rFonts w:hint="eastAsia" w:ascii="仿宋" w:hAnsi="仿宋" w:eastAsia="仿宋" w:cs="仿宋"/>
          <w:color w:val="auto"/>
          <w:spacing w:val="-6"/>
          <w:sz w:val="24"/>
          <w:highlight w:val="none"/>
          <w:u w:val="single"/>
          <w:shd w:val="clear" w:color="auto" w:fill="auto"/>
          <w:lang w:val="en-US" w:eastAsia="zh-CN"/>
        </w:rPr>
        <w:t>3</w:t>
      </w:r>
      <w:r>
        <w:rPr>
          <w:rFonts w:hint="eastAsia" w:ascii="仿宋" w:hAnsi="仿宋" w:eastAsia="仿宋" w:cs="仿宋"/>
          <w:color w:val="auto"/>
          <w:spacing w:val="-6"/>
          <w:sz w:val="24"/>
          <w:highlight w:val="none"/>
          <w:u w:val="single"/>
          <w:shd w:val="clear" w:color="auto" w:fill="auto"/>
        </w:rPr>
        <w:t>0分</w:t>
      </w:r>
      <w:r>
        <w:rPr>
          <w:rFonts w:hint="eastAsia" w:ascii="仿宋" w:hAnsi="仿宋" w:eastAsia="仿宋" w:cs="仿宋"/>
          <w:bCs/>
          <w:color w:val="auto"/>
          <w:spacing w:val="-6"/>
          <w:sz w:val="24"/>
          <w:highlight w:val="none"/>
          <w:u w:val="single"/>
          <w:shd w:val="clear" w:color="auto" w:fill="auto"/>
        </w:rPr>
        <w:t>00秒</w:t>
      </w:r>
      <w:r>
        <w:rPr>
          <w:rFonts w:hint="eastAsia" w:ascii="仿宋" w:hAnsi="仿宋" w:eastAsia="仿宋" w:cs="仿宋"/>
          <w:bCs/>
          <w:color w:val="auto"/>
          <w:spacing w:val="-6"/>
          <w:sz w:val="24"/>
          <w:highlight w:val="none"/>
          <w:u w:val="single"/>
          <w:shd w:val="clear" w:color="auto" w:fill="auto"/>
        </w:rPr>
        <w:fldChar w:fldCharType="end"/>
      </w:r>
      <w:r>
        <w:rPr>
          <w:rFonts w:hint="eastAsia" w:ascii="仿宋" w:hAnsi="仿宋" w:eastAsia="仿宋" w:cs="仿宋"/>
          <w:bCs/>
          <w:color w:val="auto"/>
          <w:sz w:val="24"/>
          <w:highlight w:val="none"/>
          <w:shd w:val="clear" w:color="auto" w:fill="auto"/>
        </w:rPr>
        <w:t>（北京时间）前</w:t>
      </w:r>
      <w:r>
        <w:rPr>
          <w:rFonts w:hint="eastAsia" w:ascii="仿宋" w:hAnsi="仿宋" w:eastAsia="仿宋" w:cs="仿宋"/>
          <w:color w:val="auto"/>
          <w:sz w:val="24"/>
          <w:highlight w:val="none"/>
          <w:shd w:val="clear" w:color="auto" w:fill="auto"/>
        </w:rPr>
        <w:t>递交（上传）响应文件。</w:t>
      </w:r>
    </w:p>
    <w:p w14:paraId="456E43AA">
      <w:pPr>
        <w:spacing w:line="360" w:lineRule="auto"/>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一、项目基本情况</w:t>
      </w:r>
    </w:p>
    <w:p w14:paraId="7857674C">
      <w:pPr>
        <w:spacing w:line="360" w:lineRule="auto"/>
        <w:ind w:firstLine="482" w:firstLineChars="200"/>
        <w:rPr>
          <w:rFonts w:hint="eastAsia" w:ascii="仿宋" w:hAnsi="仿宋" w:eastAsia="仿宋" w:cs="仿宋"/>
          <w:b w:val="0"/>
          <w:bCs/>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项目编号：</w:t>
      </w:r>
      <w:r>
        <w:rPr>
          <w:rFonts w:hint="eastAsia" w:ascii="仿宋" w:hAnsi="仿宋" w:eastAsia="仿宋" w:cs="仿宋"/>
          <w:b w:val="0"/>
          <w:bCs/>
          <w:color w:val="auto"/>
          <w:sz w:val="24"/>
          <w:szCs w:val="24"/>
          <w:highlight w:val="none"/>
          <w:shd w:val="clear" w:color="auto" w:fill="auto"/>
          <w:lang w:val="en-US" w:eastAsia="zh-CN"/>
        </w:rPr>
        <w:t>2025-BQQ6</w:t>
      </w:r>
    </w:p>
    <w:p w14:paraId="4140DBC8">
      <w:pPr>
        <w:spacing w:line="360" w:lineRule="auto"/>
        <w:ind w:firstLine="482" w:firstLineChars="200"/>
        <w:rPr>
          <w:rFonts w:hint="eastAsia" w:ascii="仿宋" w:hAnsi="仿宋" w:eastAsia="仿宋" w:cs="仿宋"/>
          <w:b w:val="0"/>
          <w:bCs/>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项目名称：</w:t>
      </w:r>
      <w:r>
        <w:rPr>
          <w:rFonts w:hint="eastAsia" w:ascii="仿宋" w:hAnsi="仿宋" w:eastAsia="仿宋" w:cs="仿宋"/>
          <w:b w:val="0"/>
          <w:bCs/>
          <w:color w:val="auto"/>
          <w:sz w:val="24"/>
          <w:highlight w:val="none"/>
          <w:shd w:val="clear" w:color="auto" w:fill="auto"/>
          <w:lang w:eastAsia="zh-CN"/>
        </w:rPr>
        <w:t>杭州钱江世纪城城市综合服务有限公司2025-2026年度联合体投标及项目合作单位库采购项目(房建物业类)</w:t>
      </w:r>
    </w:p>
    <w:p w14:paraId="755F9CDB">
      <w:pPr>
        <w:spacing w:line="360" w:lineRule="auto"/>
        <w:ind w:firstLine="482" w:firstLineChars="200"/>
        <w:rPr>
          <w:rFonts w:hint="default" w:ascii="仿宋" w:hAnsi="仿宋" w:eastAsia="仿宋" w:cs="仿宋"/>
          <w:b/>
          <w:color w:val="auto"/>
          <w:sz w:val="24"/>
          <w:highlight w:val="none"/>
          <w:shd w:val="clear" w:color="auto" w:fill="auto"/>
          <w:lang w:val="en-US"/>
        </w:rPr>
      </w:pPr>
      <w:r>
        <w:rPr>
          <w:rFonts w:hint="eastAsia" w:ascii="仿宋" w:hAnsi="仿宋" w:eastAsia="仿宋" w:cs="仿宋"/>
          <w:b/>
          <w:color w:val="auto"/>
          <w:sz w:val="24"/>
          <w:highlight w:val="none"/>
          <w:shd w:val="clear" w:color="auto" w:fill="auto"/>
        </w:rPr>
        <w:t>预算金额（元）：</w:t>
      </w:r>
      <w:r>
        <w:rPr>
          <w:rFonts w:hint="eastAsia" w:ascii="仿宋" w:hAnsi="仿宋" w:eastAsia="仿宋" w:cs="仿宋"/>
          <w:b w:val="0"/>
          <w:bCs/>
          <w:color w:val="auto"/>
          <w:sz w:val="24"/>
          <w:highlight w:val="none"/>
          <w:shd w:val="clear" w:color="auto" w:fill="auto"/>
          <w:lang w:val="en-US" w:eastAsia="zh-CN"/>
        </w:rPr>
        <w:t>以服务期内实际委托项目为准</w:t>
      </w:r>
      <w:r>
        <w:rPr>
          <w:rFonts w:hint="eastAsia" w:ascii="仿宋" w:hAnsi="仿宋" w:eastAsia="仿宋" w:cs="仿宋"/>
          <w:b w:val="0"/>
          <w:color w:val="auto"/>
          <w:sz w:val="24"/>
          <w:highlight w:val="none"/>
          <w:shd w:val="clear" w:color="auto" w:fill="auto"/>
          <w:lang w:val="en-US" w:eastAsia="zh-CN"/>
        </w:rPr>
        <w:t>。</w:t>
      </w:r>
    </w:p>
    <w:p w14:paraId="2F273207">
      <w:pPr>
        <w:spacing w:line="360" w:lineRule="auto"/>
        <w:ind w:firstLine="482" w:firstLineChars="200"/>
        <w:rPr>
          <w:rFonts w:hint="default" w:ascii="仿宋" w:hAnsi="仿宋" w:eastAsia="仿宋" w:cs="仿宋"/>
          <w:b w:val="0"/>
          <w:bCs/>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rPr>
        <w:t>最高限价（元）：</w:t>
      </w:r>
      <w:r>
        <w:rPr>
          <w:rFonts w:hint="eastAsia" w:ascii="仿宋" w:hAnsi="仿宋" w:eastAsia="仿宋" w:cs="仿宋"/>
          <w:b w:val="0"/>
          <w:bCs/>
          <w:color w:val="auto"/>
          <w:sz w:val="24"/>
          <w:highlight w:val="none"/>
          <w:shd w:val="clear" w:color="auto" w:fill="auto"/>
          <w:lang w:val="en-US" w:eastAsia="zh-CN"/>
        </w:rPr>
        <w:t>以服务期内实际委托项目为准</w:t>
      </w:r>
      <w:r>
        <w:rPr>
          <w:rFonts w:hint="eastAsia" w:ascii="仿宋" w:hAnsi="仿宋" w:eastAsia="仿宋" w:cs="仿宋"/>
          <w:b w:val="0"/>
          <w:color w:val="auto"/>
          <w:sz w:val="24"/>
          <w:highlight w:val="none"/>
          <w:shd w:val="clear" w:color="auto" w:fill="auto"/>
          <w:lang w:val="en-US" w:eastAsia="zh-CN"/>
        </w:rPr>
        <w:t>。</w:t>
      </w:r>
    </w:p>
    <w:p w14:paraId="4CFAD138">
      <w:pPr>
        <w:spacing w:line="360" w:lineRule="auto"/>
        <w:ind w:firstLine="482" w:firstLineChars="200"/>
        <w:rPr>
          <w:rFonts w:ascii="仿宋" w:hAnsi="仿宋" w:eastAsia="仿宋" w:cs="仿宋"/>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采购需求：</w:t>
      </w:r>
      <w:r>
        <w:rPr>
          <w:rFonts w:hint="eastAsia" w:ascii="仿宋" w:hAnsi="仿宋" w:eastAsia="仿宋" w:cs="仿宋"/>
          <w:b w:val="0"/>
          <w:bCs/>
          <w:color w:val="auto"/>
          <w:sz w:val="24"/>
          <w:highlight w:val="none"/>
          <w:shd w:val="clear" w:color="auto" w:fill="auto"/>
          <w:lang w:eastAsia="zh-CN"/>
        </w:rPr>
        <w:t>杭州钱江世纪城城市综合服务有限公司2025-2026年度联合体投标及项目合作单位库采购项目(房建物业类)</w:t>
      </w:r>
      <w:r>
        <w:rPr>
          <w:rFonts w:hint="eastAsia" w:ascii="仿宋" w:hAnsi="仿宋" w:eastAsia="仿宋" w:cs="仿宋"/>
          <w:color w:val="auto"/>
          <w:sz w:val="24"/>
          <w:highlight w:val="none"/>
          <w:shd w:val="clear" w:color="auto" w:fill="auto"/>
        </w:rPr>
        <w:t>，详见第三部分</w:t>
      </w:r>
      <w:r>
        <w:rPr>
          <w:rFonts w:hint="eastAsia" w:ascii="仿宋" w:hAnsi="仿宋" w:eastAsia="仿宋" w:cs="仿宋"/>
          <w:color w:val="auto"/>
          <w:sz w:val="24"/>
          <w:highlight w:val="none"/>
          <w:shd w:val="clear" w:color="auto" w:fill="auto"/>
          <w:lang w:val="en-US" w:eastAsia="zh-CN"/>
        </w:rPr>
        <w:t>交易</w:t>
      </w:r>
      <w:r>
        <w:rPr>
          <w:rFonts w:hint="eastAsia" w:ascii="仿宋" w:hAnsi="仿宋" w:eastAsia="仿宋" w:cs="仿宋"/>
          <w:color w:val="auto"/>
          <w:sz w:val="24"/>
          <w:highlight w:val="none"/>
          <w:shd w:val="clear" w:color="auto" w:fill="auto"/>
        </w:rPr>
        <w:t>需求。</w:t>
      </w:r>
    </w:p>
    <w:p w14:paraId="13312CA1">
      <w:pPr>
        <w:spacing w:line="360" w:lineRule="auto"/>
        <w:ind w:firstLine="482" w:firstLineChars="200"/>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主要内容：</w:t>
      </w:r>
      <w:r>
        <w:rPr>
          <w:rFonts w:hint="eastAsia" w:ascii="仿宋" w:hAnsi="仿宋" w:eastAsia="仿宋" w:cs="仿宋"/>
          <w:b w:val="0"/>
          <w:bCs/>
          <w:color w:val="auto"/>
          <w:sz w:val="24"/>
          <w:highlight w:val="none"/>
          <w:shd w:val="clear" w:color="auto" w:fill="auto"/>
          <w:lang w:eastAsia="zh-CN"/>
        </w:rPr>
        <w:t>杭州钱江世纪城城市综合服务有限公司2025-2026年度联合体投标及项目合作单位库采购项目(房建物业类)</w:t>
      </w:r>
      <w:r>
        <w:rPr>
          <w:rFonts w:hint="eastAsia" w:ascii="仿宋" w:hAnsi="仿宋" w:eastAsia="仿宋" w:cs="仿宋"/>
          <w:color w:val="auto"/>
          <w:sz w:val="24"/>
          <w:highlight w:val="none"/>
          <w:shd w:val="clear" w:color="auto" w:fill="auto"/>
        </w:rPr>
        <w:t>，</w:t>
      </w:r>
      <w:r>
        <w:rPr>
          <w:rFonts w:hint="eastAsia" w:ascii="仿宋" w:hAnsi="仿宋" w:eastAsia="仿宋" w:cs="仿宋"/>
          <w:bCs/>
          <w:color w:val="auto"/>
          <w:sz w:val="24"/>
          <w:highlight w:val="none"/>
          <w:shd w:val="clear" w:color="auto" w:fill="auto"/>
        </w:rPr>
        <w:t>详见第三部分</w:t>
      </w:r>
      <w:r>
        <w:rPr>
          <w:rFonts w:hint="eastAsia" w:ascii="仿宋" w:hAnsi="仿宋" w:eastAsia="仿宋" w:cs="仿宋"/>
          <w:bCs/>
          <w:color w:val="auto"/>
          <w:sz w:val="24"/>
          <w:highlight w:val="none"/>
          <w:shd w:val="clear" w:color="auto" w:fill="auto"/>
          <w:lang w:val="en-US" w:eastAsia="zh-CN"/>
        </w:rPr>
        <w:t>交易</w:t>
      </w:r>
      <w:r>
        <w:rPr>
          <w:rFonts w:hint="eastAsia" w:ascii="仿宋" w:hAnsi="仿宋" w:eastAsia="仿宋" w:cs="仿宋"/>
          <w:bCs/>
          <w:color w:val="auto"/>
          <w:sz w:val="24"/>
          <w:highlight w:val="none"/>
          <w:shd w:val="clear" w:color="auto" w:fill="auto"/>
        </w:rPr>
        <w:t>需求。</w:t>
      </w:r>
    </w:p>
    <w:p w14:paraId="4F1035C0">
      <w:pPr>
        <w:spacing w:line="360" w:lineRule="auto"/>
        <w:ind w:firstLine="480"/>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
          <w:color w:val="auto"/>
          <w:sz w:val="24"/>
          <w:highlight w:val="none"/>
          <w:shd w:val="clear" w:color="auto" w:fill="auto"/>
        </w:rPr>
        <w:t>合同履约期限：</w:t>
      </w:r>
      <w:r>
        <w:rPr>
          <w:rFonts w:hint="eastAsia" w:ascii="仿宋" w:hAnsi="仿宋" w:eastAsia="仿宋" w:cs="仿宋"/>
          <w:color w:val="auto"/>
          <w:sz w:val="24"/>
          <w:highlight w:val="none"/>
          <w:shd w:val="clear" w:color="auto" w:fill="auto"/>
        </w:rPr>
        <w:t>详见第三部分</w:t>
      </w:r>
      <w:r>
        <w:rPr>
          <w:rFonts w:hint="eastAsia" w:ascii="仿宋" w:hAnsi="仿宋" w:eastAsia="仿宋" w:cs="仿宋"/>
          <w:color w:val="auto"/>
          <w:sz w:val="24"/>
          <w:highlight w:val="none"/>
          <w:shd w:val="clear" w:color="auto" w:fill="auto"/>
          <w:lang w:val="en-US" w:eastAsia="zh-CN"/>
        </w:rPr>
        <w:t>交易</w:t>
      </w:r>
      <w:r>
        <w:rPr>
          <w:rFonts w:hint="eastAsia" w:ascii="仿宋" w:hAnsi="仿宋" w:eastAsia="仿宋" w:cs="仿宋"/>
          <w:color w:val="auto"/>
          <w:sz w:val="24"/>
          <w:highlight w:val="none"/>
          <w:shd w:val="clear" w:color="auto" w:fill="auto"/>
        </w:rPr>
        <w:t>需求</w:t>
      </w:r>
      <w:r>
        <w:rPr>
          <w:rFonts w:hint="eastAsia" w:ascii="仿宋" w:hAnsi="仿宋" w:eastAsia="仿宋" w:cs="仿宋"/>
          <w:color w:val="auto"/>
          <w:sz w:val="24"/>
          <w:highlight w:val="none"/>
          <w:shd w:val="clear" w:color="auto" w:fill="auto"/>
          <w:lang w:eastAsia="zh-CN"/>
        </w:rPr>
        <w:t>。</w:t>
      </w:r>
    </w:p>
    <w:p w14:paraId="3BF38972">
      <w:pPr>
        <w:spacing w:line="360" w:lineRule="auto"/>
        <w:ind w:firstLine="480"/>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本项目接受联合体：（√）否。</w:t>
      </w:r>
    </w:p>
    <w:p w14:paraId="5F190F5E">
      <w:pPr>
        <w:spacing w:line="360" w:lineRule="auto"/>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二、申请人的资格要求：</w:t>
      </w:r>
    </w:p>
    <w:p w14:paraId="69F30013">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rPr>
        <w:t>1.</w:t>
      </w:r>
      <w:r>
        <w:rPr>
          <w:rFonts w:hint="eastAsia" w:ascii="仿宋" w:hAnsi="仿宋" w:eastAsia="仿宋" w:cs="仿宋"/>
          <w:color w:val="auto"/>
          <w:sz w:val="24"/>
          <w:szCs w:val="24"/>
          <w:highlight w:val="none"/>
          <w:shd w:val="clear" w:color="auto" w:fill="auto"/>
        </w:rPr>
        <w:t>具有独立承担民事责任的能力；</w:t>
      </w:r>
    </w:p>
    <w:p w14:paraId="3E220CEE">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具有良好的商业信誉和健全的财务会计制度；</w:t>
      </w:r>
    </w:p>
    <w:p w14:paraId="5CF67C04">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具有履行合同所必需的设备和专业技术能力；</w:t>
      </w:r>
    </w:p>
    <w:p w14:paraId="65B91D4B">
      <w:pPr>
        <w:snapToGrid w:val="0"/>
        <w:spacing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有依法缴纳税收和社会保障资金的良好记录；</w:t>
      </w:r>
    </w:p>
    <w:p w14:paraId="58C482A2">
      <w:pPr>
        <w:snapToGrid w:val="0"/>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szCs w:val="24"/>
          <w:highlight w:val="none"/>
          <w:shd w:val="clear" w:color="auto" w:fill="auto"/>
          <w:lang w:val="zh-TW"/>
        </w:rPr>
        <w:t>5</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lang w:val="zh-TW"/>
        </w:rPr>
        <w:t>参加交易活动前三年内，在经营活动中没有重大违法记录；</w:t>
      </w:r>
      <w:r>
        <w:rPr>
          <w:rFonts w:hint="eastAsia" w:ascii="仿宋" w:hAnsi="仿宋" w:eastAsia="仿宋" w:cs="仿宋"/>
          <w:color w:val="auto"/>
          <w:sz w:val="24"/>
          <w:szCs w:val="24"/>
          <w:highlight w:val="none"/>
          <w:shd w:val="clear" w:color="auto" w:fill="auto"/>
          <w:lang w:val="zh-TW" w:eastAsia="zh-TW"/>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shd w:val="clear" w:color="auto" w:fill="auto"/>
          <w:lang w:val="zh-TW"/>
        </w:rPr>
        <w:t>；</w:t>
      </w:r>
    </w:p>
    <w:p w14:paraId="68533E03">
      <w:pPr>
        <w:snapToGrid w:val="0"/>
        <w:spacing w:line="360" w:lineRule="auto"/>
        <w:ind w:firstLine="480" w:firstLineChars="200"/>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6</w:t>
      </w:r>
      <w:r>
        <w:rPr>
          <w:rFonts w:hint="eastAsia" w:ascii="仿宋" w:hAnsi="仿宋" w:eastAsia="仿宋" w:cs="仿宋"/>
          <w:color w:val="auto"/>
          <w:sz w:val="24"/>
          <w:highlight w:val="none"/>
          <w:shd w:val="clear" w:color="auto" w:fill="auto"/>
        </w:rPr>
        <w:t>.落实</w:t>
      </w:r>
      <w:r>
        <w:rPr>
          <w:rFonts w:hint="eastAsia" w:ascii="仿宋" w:hAnsi="仿宋" w:eastAsia="仿宋" w:cs="仿宋"/>
          <w:color w:val="auto"/>
          <w:sz w:val="24"/>
          <w:highlight w:val="none"/>
          <w:shd w:val="clear" w:color="auto" w:fill="auto"/>
          <w:lang w:eastAsia="zh-CN"/>
        </w:rPr>
        <w:t>采购</w:t>
      </w:r>
      <w:r>
        <w:rPr>
          <w:rFonts w:hint="eastAsia" w:ascii="仿宋" w:hAnsi="仿宋" w:eastAsia="仿宋" w:cs="仿宋"/>
          <w:color w:val="auto"/>
          <w:sz w:val="24"/>
          <w:highlight w:val="none"/>
          <w:shd w:val="clear" w:color="auto" w:fill="auto"/>
        </w:rPr>
        <w:t>政策需满足的资格要求：无</w:t>
      </w:r>
      <w:r>
        <w:rPr>
          <w:rFonts w:hint="eastAsia" w:ascii="仿宋" w:hAnsi="仿宋" w:eastAsia="仿宋" w:cs="仿宋"/>
          <w:color w:val="auto"/>
          <w:sz w:val="24"/>
          <w:highlight w:val="none"/>
          <w:shd w:val="clear" w:color="auto" w:fill="auto"/>
          <w:lang w:eastAsia="zh-CN"/>
        </w:rPr>
        <w:t>。</w:t>
      </w:r>
    </w:p>
    <w:p w14:paraId="5D19F76D">
      <w:pPr>
        <w:snapToGrid w:val="0"/>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7</w:t>
      </w:r>
      <w:r>
        <w:rPr>
          <w:rFonts w:hint="eastAsia" w:ascii="仿宋" w:hAnsi="仿宋" w:eastAsia="仿宋" w:cs="仿宋"/>
          <w:color w:val="auto"/>
          <w:sz w:val="24"/>
          <w:highlight w:val="none"/>
          <w:shd w:val="clear" w:color="auto" w:fill="auto"/>
        </w:rPr>
        <w:t>.本项目的特定资格要求：</w:t>
      </w:r>
      <w:r>
        <w:rPr>
          <w:rFonts w:hint="eastAsia" w:ascii="仿宋" w:hAnsi="仿宋" w:eastAsia="仿宋" w:cs="仿宋"/>
          <w:color w:val="auto"/>
          <w:sz w:val="24"/>
          <w:highlight w:val="none"/>
          <w:shd w:val="clear" w:color="auto" w:fill="auto"/>
          <w:lang w:val="en-US" w:eastAsia="zh-CN"/>
        </w:rPr>
        <w:t>无</w:t>
      </w:r>
      <w:r>
        <w:rPr>
          <w:rFonts w:hint="eastAsia" w:ascii="仿宋" w:hAnsi="仿宋" w:eastAsia="仿宋" w:cs="仿宋"/>
          <w:color w:val="auto"/>
          <w:sz w:val="24"/>
          <w:highlight w:val="none"/>
          <w:shd w:val="clear" w:color="auto" w:fill="auto"/>
        </w:rPr>
        <w:t>。</w:t>
      </w:r>
    </w:p>
    <w:p w14:paraId="063D6ABB">
      <w:pPr>
        <w:snapToGrid w:val="0"/>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val="en-US" w:eastAsia="zh-CN"/>
        </w:rPr>
        <w:t>8</w:t>
      </w:r>
      <w:r>
        <w:rPr>
          <w:rFonts w:hint="eastAsia" w:ascii="仿宋" w:hAnsi="仿宋" w:eastAsia="仿宋" w:cs="仿宋"/>
          <w:color w:val="auto"/>
          <w:sz w:val="24"/>
          <w:highlight w:val="none"/>
          <w:shd w:val="clear" w:color="auto" w:fill="auto"/>
        </w:rPr>
        <w:t>.单位负责人为同一人或者存在直接控股、管理关系的不同供应商，不得参加同一合同项下的</w:t>
      </w:r>
      <w:r>
        <w:rPr>
          <w:rFonts w:hint="eastAsia" w:ascii="仿宋" w:hAnsi="仿宋" w:eastAsia="仿宋" w:cs="仿宋"/>
          <w:color w:val="auto"/>
          <w:sz w:val="24"/>
          <w:highlight w:val="none"/>
          <w:shd w:val="clear" w:color="auto" w:fill="auto"/>
          <w:lang w:eastAsia="zh-CN"/>
        </w:rPr>
        <w:t>采购</w:t>
      </w:r>
      <w:r>
        <w:rPr>
          <w:rFonts w:hint="eastAsia" w:ascii="仿宋" w:hAnsi="仿宋" w:eastAsia="仿宋" w:cs="仿宋"/>
          <w:color w:val="auto"/>
          <w:sz w:val="24"/>
          <w:highlight w:val="none"/>
          <w:shd w:val="clear" w:color="auto" w:fill="auto"/>
        </w:rPr>
        <w:t>活动；为采购项目提供整体设计、规范编制或者项目管理、监理、检测等服务后不得再参加该采购项目的其他采购活动。</w:t>
      </w:r>
    </w:p>
    <w:p w14:paraId="661F44BA">
      <w:pPr>
        <w:spacing w:line="360" w:lineRule="auto"/>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三、获取交易文件 </w:t>
      </w:r>
    </w:p>
    <w:p w14:paraId="679389F7">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时间：</w:t>
      </w:r>
      <w:r>
        <w:rPr>
          <w:rFonts w:hint="eastAsia" w:ascii="仿宋" w:hAnsi="仿宋" w:eastAsia="仿宋" w:cs="仿宋"/>
          <w:color w:val="auto"/>
          <w:sz w:val="24"/>
          <w:highlight w:val="none"/>
          <w:shd w:val="clear" w:color="auto" w:fill="auto"/>
        </w:rPr>
        <w:t>/至</w:t>
      </w:r>
      <w:r>
        <w:rPr>
          <w:rFonts w:hint="eastAsia" w:ascii="仿宋" w:hAnsi="仿宋" w:eastAsia="仿宋" w:cs="仿宋"/>
          <w:color w:val="auto"/>
          <w:sz w:val="24"/>
          <w:highlight w:val="none"/>
          <w:u w:val="single"/>
          <w:shd w:val="clear" w:color="auto" w:fill="auto"/>
          <w:lang w:eastAsia="zh-CN"/>
        </w:rPr>
        <w:t>2025年07月23日</w:t>
      </w:r>
      <w:r>
        <w:rPr>
          <w:rFonts w:hint="eastAsia" w:ascii="仿宋" w:hAnsi="仿宋" w:eastAsia="仿宋" w:cs="仿宋"/>
          <w:color w:val="auto"/>
          <w:sz w:val="24"/>
          <w:highlight w:val="none"/>
          <w:shd w:val="clear" w:color="auto" w:fill="auto"/>
        </w:rPr>
        <w:t>，每天上午00:00至12:00 ，下午12:00至23:59（北京时间，线上获取法定节假日均可，线下获取文件法定节假日除外）</w:t>
      </w:r>
    </w:p>
    <w:p w14:paraId="71FB9405">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地点（网址）：</w:t>
      </w:r>
      <w:r>
        <w:rPr>
          <w:rFonts w:hint="eastAsia" w:ascii="仿宋" w:hAnsi="仿宋" w:eastAsia="仿宋" w:cs="仿宋"/>
          <w:color w:val="auto"/>
          <w:sz w:val="24"/>
          <w:highlight w:val="none"/>
          <w:shd w:val="clear" w:color="auto" w:fill="auto"/>
        </w:rPr>
        <w:t>乐采云平台（https://www.lecaiyun.com/）</w:t>
      </w:r>
    </w:p>
    <w:p w14:paraId="0EDB3267">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方式：</w:t>
      </w:r>
      <w:r>
        <w:rPr>
          <w:rFonts w:hint="eastAsia" w:ascii="仿宋" w:hAnsi="仿宋" w:eastAsia="仿宋" w:cs="仿宋"/>
          <w:color w:val="auto"/>
          <w:sz w:val="24"/>
          <w:highlight w:val="none"/>
          <w:shd w:val="clear" w:color="auto" w:fill="auto"/>
        </w:rPr>
        <w:t>供应商登录乐采云平台（https://www.lecaiyun.com/）在线申请获取采购文件（进入“项目采购”应用，在获取采购文件菜单中选择项目，申请获取采购文件）。</w:t>
      </w:r>
    </w:p>
    <w:p w14:paraId="1FEF7071">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售价（元）：</w:t>
      </w:r>
      <w:r>
        <w:rPr>
          <w:rFonts w:hint="eastAsia" w:ascii="仿宋" w:hAnsi="仿宋" w:eastAsia="仿宋" w:cs="仿宋"/>
          <w:color w:val="auto"/>
          <w:sz w:val="24"/>
          <w:highlight w:val="none"/>
          <w:shd w:val="clear" w:color="auto" w:fill="auto"/>
        </w:rPr>
        <w:t xml:space="preserve">0 </w:t>
      </w:r>
      <w:r>
        <w:rPr>
          <w:rFonts w:hint="eastAsia" w:ascii="仿宋" w:hAnsi="仿宋" w:eastAsia="仿宋" w:cs="仿宋"/>
          <w:color w:val="auto"/>
          <w:sz w:val="24"/>
          <w:highlight w:val="none"/>
          <w:shd w:val="clear" w:color="auto" w:fill="auto"/>
        </w:rPr>
        <w:tab/>
      </w:r>
    </w:p>
    <w:p w14:paraId="169F9B66">
      <w:pPr>
        <w:spacing w:line="360" w:lineRule="auto"/>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四、提交响应文件截止时间、交易时间和地点</w:t>
      </w:r>
    </w:p>
    <w:p w14:paraId="4146FF9E">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提交响应文件截止时间：</w:t>
      </w:r>
      <w:r>
        <w:rPr>
          <w:rFonts w:hint="eastAsia" w:ascii="仿宋" w:hAnsi="仿宋" w:eastAsia="仿宋" w:cs="仿宋"/>
          <w:color w:val="auto"/>
          <w:sz w:val="24"/>
          <w:highlight w:val="none"/>
          <w:u w:val="single"/>
          <w:shd w:val="clear" w:color="auto" w:fill="auto"/>
          <w:lang w:eastAsia="zh-CN"/>
        </w:rPr>
        <w:t>2025年07月23日</w:t>
      </w:r>
      <w:r>
        <w:rPr>
          <w:rFonts w:hint="eastAsia" w:ascii="仿宋" w:hAnsi="仿宋" w:eastAsia="仿宋" w:cs="仿宋"/>
          <w:color w:val="auto"/>
          <w:sz w:val="24"/>
          <w:highlight w:val="none"/>
          <w:u w:val="single"/>
          <w:shd w:val="clear" w:color="auto" w:fill="auto"/>
          <w:lang w:val="en-US" w:eastAsia="zh-CN"/>
        </w:rPr>
        <w:t>09</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0分</w:t>
      </w:r>
      <w:r>
        <w:rPr>
          <w:rFonts w:hint="eastAsia" w:ascii="仿宋" w:hAnsi="仿宋" w:eastAsia="仿宋" w:cs="仿宋"/>
          <w:color w:val="auto"/>
          <w:sz w:val="24"/>
          <w:highlight w:val="none"/>
          <w:shd w:val="clear" w:color="auto" w:fill="auto"/>
        </w:rPr>
        <w:t>（北京时间）</w:t>
      </w:r>
    </w:p>
    <w:p w14:paraId="4F156773">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highlight w:val="none"/>
          <w:shd w:val="clear" w:color="auto" w:fill="auto"/>
        </w:rPr>
        <w:t>响应地点（网址）：</w:t>
      </w:r>
      <w:r>
        <w:rPr>
          <w:rFonts w:hint="eastAsia" w:ascii="仿宋" w:hAnsi="仿宋" w:eastAsia="仿宋" w:cs="仿宋"/>
          <w:color w:val="auto"/>
          <w:sz w:val="24"/>
          <w:highlight w:val="none"/>
          <w:shd w:val="clear" w:color="auto" w:fill="auto"/>
        </w:rPr>
        <w:t>乐采云平台</w:t>
      </w:r>
      <w:r>
        <w:rPr>
          <w:rFonts w:hint="eastAsia" w:ascii="仿宋" w:hAnsi="仿宋" w:eastAsia="仿宋" w:cs="仿宋"/>
          <w:b w:val="0"/>
          <w:bCs w:val="0"/>
          <w:color w:val="auto"/>
          <w:sz w:val="24"/>
          <w:szCs w:val="24"/>
          <w:highlight w:val="none"/>
          <w:shd w:val="clear" w:color="auto" w:fill="auto"/>
        </w:rPr>
        <w:t>（</w:t>
      </w:r>
      <w:r>
        <w:rPr>
          <w:rFonts w:hint="eastAsia" w:ascii="仿宋" w:hAnsi="仿宋" w:eastAsia="仿宋" w:cs="仿宋"/>
          <w:bCs w:val="0"/>
          <w:color w:val="auto"/>
          <w:sz w:val="24"/>
          <w:highlight w:val="none"/>
          <w:shd w:val="clear" w:color="auto" w:fill="auto"/>
        </w:rPr>
        <w:t>https://www.lecaiyun.com/</w:t>
      </w:r>
      <w:r>
        <w:rPr>
          <w:rFonts w:hint="eastAsia" w:ascii="仿宋" w:hAnsi="仿宋" w:eastAsia="仿宋" w:cs="仿宋"/>
          <w:b w:val="0"/>
          <w:bCs w:val="0"/>
          <w:color w:val="auto"/>
          <w:sz w:val="24"/>
          <w:szCs w:val="24"/>
          <w:highlight w:val="none"/>
          <w:shd w:val="clear" w:color="auto" w:fill="auto"/>
        </w:rPr>
        <w:t>）</w:t>
      </w:r>
    </w:p>
    <w:p w14:paraId="4927A143">
      <w:pPr>
        <w:spacing w:line="360" w:lineRule="auto"/>
        <w:ind w:firstLine="482" w:firstLineChars="200"/>
        <w:rPr>
          <w:rFonts w:ascii="仿宋" w:hAnsi="仿宋" w:eastAsia="仿宋" w:cs="仿宋"/>
          <w:bCs/>
          <w:color w:val="auto"/>
          <w:sz w:val="24"/>
          <w:highlight w:val="none"/>
          <w:u w:val="single"/>
          <w:shd w:val="clear" w:color="auto" w:fill="auto"/>
        </w:rPr>
      </w:pPr>
      <w:r>
        <w:rPr>
          <w:rFonts w:hint="eastAsia" w:ascii="仿宋" w:hAnsi="仿宋" w:eastAsia="仿宋" w:cs="仿宋"/>
          <w:b/>
          <w:color w:val="auto"/>
          <w:sz w:val="24"/>
          <w:highlight w:val="none"/>
          <w:shd w:val="clear" w:color="auto" w:fill="auto"/>
        </w:rPr>
        <w:t>交易时间：</w:t>
      </w:r>
      <w:r>
        <w:rPr>
          <w:rFonts w:hint="eastAsia" w:ascii="仿宋" w:hAnsi="仿宋" w:eastAsia="仿宋" w:cs="仿宋"/>
          <w:color w:val="auto"/>
          <w:sz w:val="24"/>
          <w:highlight w:val="none"/>
          <w:u w:val="single"/>
          <w:shd w:val="clear" w:color="auto" w:fill="auto"/>
          <w:lang w:eastAsia="zh-CN"/>
        </w:rPr>
        <w:t>2025年07月23日</w:t>
      </w:r>
      <w:r>
        <w:rPr>
          <w:rFonts w:hint="eastAsia" w:ascii="仿宋" w:hAnsi="仿宋" w:eastAsia="仿宋" w:cs="仿宋"/>
          <w:color w:val="auto"/>
          <w:sz w:val="24"/>
          <w:highlight w:val="none"/>
          <w:u w:val="single"/>
          <w:shd w:val="clear" w:color="auto" w:fill="auto"/>
          <w:lang w:val="en-US" w:eastAsia="zh-CN"/>
        </w:rPr>
        <w:t>09</w:t>
      </w:r>
      <w:r>
        <w:rPr>
          <w:rFonts w:hint="eastAsia" w:ascii="仿宋" w:hAnsi="仿宋" w:eastAsia="仿宋" w:cs="仿宋"/>
          <w:color w:val="auto"/>
          <w:sz w:val="24"/>
          <w:highlight w:val="none"/>
          <w:u w:val="single"/>
          <w:shd w:val="clear" w:color="auto" w:fill="auto"/>
        </w:rPr>
        <w:t>点</w:t>
      </w:r>
      <w:r>
        <w:rPr>
          <w:rFonts w:hint="eastAsia" w:ascii="仿宋" w:hAnsi="仿宋" w:eastAsia="仿宋" w:cs="仿宋"/>
          <w:color w:val="auto"/>
          <w:sz w:val="24"/>
          <w:highlight w:val="none"/>
          <w:u w:val="single"/>
          <w:shd w:val="clear" w:color="auto" w:fill="auto"/>
          <w:lang w:val="en-US" w:eastAsia="zh-CN"/>
        </w:rPr>
        <w:t>3</w:t>
      </w:r>
      <w:r>
        <w:rPr>
          <w:rFonts w:hint="eastAsia" w:ascii="仿宋" w:hAnsi="仿宋" w:eastAsia="仿宋" w:cs="仿宋"/>
          <w:color w:val="auto"/>
          <w:sz w:val="24"/>
          <w:highlight w:val="none"/>
          <w:u w:val="single"/>
          <w:shd w:val="clear" w:color="auto" w:fill="auto"/>
        </w:rPr>
        <w:t>0分</w:t>
      </w:r>
    </w:p>
    <w:p w14:paraId="765527EA">
      <w:pPr>
        <w:spacing w:line="360" w:lineRule="auto"/>
        <w:ind w:firstLine="482" w:firstLineChars="200"/>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交易地点（网址）：</w:t>
      </w:r>
      <w:r>
        <w:rPr>
          <w:rFonts w:hint="eastAsia" w:ascii="仿宋" w:hAnsi="仿宋" w:eastAsia="仿宋" w:cs="仿宋"/>
          <w:color w:val="auto"/>
          <w:sz w:val="24"/>
          <w:highlight w:val="none"/>
          <w:shd w:val="clear" w:color="auto" w:fill="auto"/>
        </w:rPr>
        <w:t>乐采云平台</w:t>
      </w:r>
      <w:r>
        <w:rPr>
          <w:rFonts w:hint="eastAsia" w:ascii="仿宋" w:hAnsi="仿宋" w:eastAsia="仿宋" w:cs="仿宋"/>
          <w:b w:val="0"/>
          <w:bCs/>
          <w:color w:val="auto"/>
          <w:sz w:val="24"/>
          <w:szCs w:val="24"/>
          <w:highlight w:val="none"/>
        </w:rPr>
        <w:t>（</w:t>
      </w:r>
      <w:r>
        <w:rPr>
          <w:rFonts w:hint="eastAsia" w:ascii="仿宋" w:hAnsi="仿宋" w:eastAsia="仿宋" w:cs="仿宋"/>
          <w:bCs/>
          <w:sz w:val="24"/>
          <w:highlight w:val="none"/>
        </w:rPr>
        <w:t>https://www.lecaiyun.com/</w:t>
      </w:r>
      <w:r>
        <w:rPr>
          <w:rFonts w:hint="eastAsia" w:ascii="仿宋" w:hAnsi="仿宋" w:eastAsia="仿宋" w:cs="仿宋"/>
          <w:b w:val="0"/>
          <w:bCs/>
          <w:color w:val="auto"/>
          <w:sz w:val="24"/>
          <w:szCs w:val="24"/>
          <w:highlight w:val="none"/>
        </w:rPr>
        <w:t>）</w:t>
      </w:r>
    </w:p>
    <w:p w14:paraId="1EF6E8F6">
      <w:pPr>
        <w:spacing w:line="360" w:lineRule="auto"/>
        <w:rPr>
          <w:rFonts w:ascii="仿宋" w:hAnsi="仿宋" w:eastAsia="仿宋" w:cs="仿宋"/>
          <w:color w:val="auto"/>
          <w:sz w:val="24"/>
          <w:highlight w:val="none"/>
          <w:shd w:val="clear" w:color="auto" w:fill="auto"/>
        </w:rPr>
      </w:pPr>
      <w:r>
        <w:rPr>
          <w:rFonts w:hint="eastAsia" w:ascii="仿宋" w:hAnsi="仿宋" w:eastAsia="仿宋" w:cs="仿宋"/>
          <w:b/>
          <w:color w:val="auto"/>
          <w:sz w:val="24"/>
          <w:highlight w:val="none"/>
          <w:shd w:val="clear" w:color="auto" w:fill="auto"/>
        </w:rPr>
        <w:t xml:space="preserve">五、公告期限 </w:t>
      </w:r>
    </w:p>
    <w:p w14:paraId="44A14F0B">
      <w:pPr>
        <w:spacing w:line="360" w:lineRule="auto"/>
        <w:ind w:firstLine="480" w:firstLineChars="200"/>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自本公告发布之日起5个工作日。</w:t>
      </w:r>
    </w:p>
    <w:p w14:paraId="2626978E">
      <w:pPr>
        <w:spacing w:line="360" w:lineRule="auto"/>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六、其他补充事宜</w:t>
      </w:r>
    </w:p>
    <w:p w14:paraId="50CAA7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交易文件使自己的权益受到损害的，可以自获取交易文件之日或者交易文件公告期限届满之日（公告期限届满后获取交易文件的，以公告期限届满之日为准）起7个工作日内，以书面形式向交易发起人和代理机构提出质疑。质疑供应商对交易发起人、代理机构的答复不满意或者交易发起人、代理机构未在规定的时间内作出答复的，可以在答复期满后十五个工作日内向同级</w:t>
      </w:r>
      <w:r>
        <w:rPr>
          <w:rFonts w:hint="eastAsia" w:ascii="仿宋" w:hAnsi="仿宋" w:eastAsia="仿宋" w:cs="仿宋"/>
          <w:sz w:val="24"/>
          <w:highlight w:val="none"/>
          <w:lang w:eastAsia="zh-CN"/>
        </w:rPr>
        <w:t>采购</w:t>
      </w:r>
      <w:r>
        <w:rPr>
          <w:rFonts w:hint="eastAsia" w:ascii="仿宋" w:hAnsi="仿宋" w:eastAsia="仿宋" w:cs="仿宋"/>
          <w:sz w:val="24"/>
          <w:highlight w:val="none"/>
        </w:rPr>
        <w:t>监督管理部门投诉。质疑函范本、投诉书范本请到浙江政府采购网下载专区下载。</w:t>
      </w:r>
    </w:p>
    <w:p w14:paraId="77871A9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其他事项：（1）电子交易的说明：①电子交易：本项目以数据电文形式，依托“乐采云平台（https://www.lecaiyun.com/）”进行交易活动，不接受纸质响应文件；②响应准备：注册账号--点击“供应商”，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交易文件的获取：使用账号登录或者使用CA登录乐采云平台；进入“采购公告”应用，选择项目，获取交易文件；④响应文件的制作：在“乐采云电子交易客户端”中完成“填写基本信息”“导入响应文件”“标书关联”“标书检查”“电子签名”“生成电子标书”等操作；；⑤交易发起人、代理机构将依托了乐采云平台完成本项目的电子交易活动，平台不接受未按上述方式获取交易文件的供应商进行响应活动； ⑥对未按上述方式获取交易文件的供应商对该文件提出的质疑，交易发起人或代理机构将不予处理；⑦不提供交易文件纸质版；⑧响应文件的传输递交：响应人在交易截止时间前将加密的响应文件上传至乐采云平台；⑨响应文件的解密：响应人按照平台提示和交易文件的规定在半小时内完成在线解密。通过“乐采云平台”上传递交的响应文件无法按时解密，供应商递交了备份响应文件的，以备份响应文件为依据，否则视为响应文件撤回。通过“乐采云平台”上传递交的响应文件已按时解密的，备份响应文件自动失效。响应人仅提交备份响应文件，未在电子交易平台传输递交响应文件的，交易无效；⑩具体操作指南：详见乐采云平台“服务中心-帮助文档-项目采购-电子招投标（公开招标）-供应商”。</w:t>
      </w:r>
    </w:p>
    <w:p w14:paraId="44EDEF5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提出询问、质疑、投诉，请按以下方式联系</w:t>
      </w:r>
    </w:p>
    <w:p w14:paraId="7851152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信息</w:t>
      </w:r>
    </w:p>
    <w:p w14:paraId="2D5F54AA">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名称：杭州钱江世纪城城市综合服务有限公司</w:t>
      </w:r>
    </w:p>
    <w:p w14:paraId="2EDA62B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地址：萧山区</w:t>
      </w:r>
      <w:r>
        <w:rPr>
          <w:rFonts w:hint="eastAsia" w:ascii="仿宋" w:hAnsi="仿宋" w:eastAsia="仿宋" w:cs="仿宋"/>
          <w:color w:val="auto"/>
          <w:sz w:val="24"/>
          <w:szCs w:val="24"/>
          <w:highlight w:val="none"/>
          <w:lang w:val="en-US" w:eastAsia="zh-CN"/>
        </w:rPr>
        <w:t>世纪城华媒智谷大厦26楼</w:t>
      </w:r>
    </w:p>
    <w:p w14:paraId="7DE2D73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highlight w:val="none"/>
          <w:lang w:eastAsia="zh-CN"/>
        </w:rPr>
        <w:t>陈先生</w:t>
      </w:r>
    </w:p>
    <w:p w14:paraId="3FC91A61">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highlight w:val="none"/>
          <w:lang w:val="en-US" w:eastAsia="zh-CN"/>
        </w:rPr>
        <w:t>0571-83805795</w:t>
      </w:r>
    </w:p>
    <w:p w14:paraId="364A770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2.代理机构信息</w:t>
      </w:r>
    </w:p>
    <w:p w14:paraId="1DF48A7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浙江华耀建设咨询有限公司</w:t>
      </w:r>
    </w:p>
    <w:p w14:paraId="3378920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杭州市萧山区金城路1068号水务大厦B座1002室</w:t>
      </w:r>
    </w:p>
    <w:p w14:paraId="7EC897D5">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陈洁</w:t>
      </w:r>
    </w:p>
    <w:p w14:paraId="44967FEF">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仿宋" w:hAnsi="仿宋" w:eastAsia="仿宋" w:cs="仿宋"/>
          <w:bCs/>
          <w:snapToGrid w:val="0"/>
          <w:color w:val="auto"/>
          <w:kern w:val="28"/>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eastAsia="仿宋" w:cs="仿宋"/>
          <w:bCs/>
          <w:snapToGrid w:val="0"/>
          <w:color w:val="auto"/>
          <w:kern w:val="28"/>
          <w:sz w:val="24"/>
          <w:szCs w:val="24"/>
          <w:highlight w:val="none"/>
          <w:lang w:val="en-US" w:eastAsia="zh-CN"/>
        </w:rPr>
        <w:t>0571-82753589</w:t>
      </w:r>
    </w:p>
    <w:p w14:paraId="5D230FB2">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高小峰</w:t>
      </w:r>
    </w:p>
    <w:p w14:paraId="2C01148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Cs/>
          <w:snapToGrid w:val="0"/>
          <w:color w:val="auto"/>
          <w:kern w:val="28"/>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bCs/>
          <w:snapToGrid w:val="0"/>
          <w:color w:val="auto"/>
          <w:kern w:val="28"/>
          <w:sz w:val="24"/>
          <w:szCs w:val="24"/>
          <w:highlight w:val="none"/>
          <w:lang w:val="en-US" w:eastAsia="zh-CN"/>
        </w:rPr>
        <w:t>0571-82753589</w:t>
      </w:r>
    </w:p>
    <w:p w14:paraId="26D4E336">
      <w:pPr>
        <w:snapToGrid/>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3.同级采购监督管理部门</w:t>
      </w:r>
    </w:p>
    <w:p w14:paraId="56502C46">
      <w:pPr>
        <w:snapToGrid/>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名称：杭州市萧山钱江世纪城管理委员会</w:t>
      </w:r>
    </w:p>
    <w:p w14:paraId="5B369222">
      <w:pPr>
        <w:snapToGrid/>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地址：杭州市萧山区民和路525号三宏国际大厦</w:t>
      </w:r>
    </w:p>
    <w:p w14:paraId="00F1583F">
      <w:pPr>
        <w:snapToGrid/>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联系人：汤小姐</w:t>
      </w:r>
    </w:p>
    <w:p w14:paraId="6641DAAF">
      <w:pPr>
        <w:snapToGrid/>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监督投诉电话：0571-83785020</w:t>
      </w:r>
    </w:p>
    <w:p w14:paraId="15BE481B">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若对项目、电子交易系统操作有疑问，可登录乐采云</w:t>
      </w:r>
      <w:r>
        <w:rPr>
          <w:rFonts w:hint="eastAsia" w:ascii="仿宋" w:hAnsi="仿宋" w:eastAsia="仿宋" w:cs="仿宋"/>
          <w:bCs/>
          <w:sz w:val="24"/>
          <w:highlight w:val="none"/>
        </w:rPr>
        <w:t>（https://www.lecaiyun.com/</w:t>
      </w:r>
      <w:r>
        <w:rPr>
          <w:rFonts w:hint="eastAsia" w:ascii="仿宋" w:hAnsi="仿宋" w:eastAsia="仿宋" w:cs="仿宋"/>
          <w:sz w:val="24"/>
          <w:highlight w:val="none"/>
        </w:rPr>
        <w:t>），点击右侧咨询小采，获取采小蜜智能服务管家帮助，或拨打乐采云服务热线95763获取热线服务帮助。</w:t>
      </w:r>
    </w:p>
    <w:p w14:paraId="454D68B2">
      <w:pPr>
        <w:rPr>
          <w:rFonts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br w:type="page"/>
      </w:r>
    </w:p>
    <w:p w14:paraId="07A8EE9D">
      <w:pPr>
        <w:pStyle w:val="32"/>
        <w:spacing w:line="360" w:lineRule="auto"/>
        <w:jc w:val="center"/>
        <w:rPr>
          <w:rFonts w:ascii="仿宋" w:hAnsi="仿宋" w:eastAsia="仿宋" w:cs="仿宋"/>
          <w:b/>
          <w:color w:val="auto"/>
          <w:sz w:val="36"/>
          <w:szCs w:val="20"/>
          <w:highlight w:val="none"/>
          <w:shd w:val="clear" w:color="auto" w:fill="auto"/>
        </w:rPr>
      </w:pPr>
      <w:r>
        <w:rPr>
          <w:rFonts w:hint="eastAsia" w:ascii="仿宋" w:hAnsi="仿宋" w:eastAsia="仿宋" w:cs="仿宋"/>
          <w:b/>
          <w:color w:val="auto"/>
          <w:sz w:val="36"/>
          <w:szCs w:val="20"/>
          <w:highlight w:val="none"/>
          <w:shd w:val="clear" w:color="auto" w:fill="auto"/>
        </w:rPr>
        <w:t>第二部分</w:t>
      </w:r>
      <w:bookmarkEnd w:id="8"/>
      <w:r>
        <w:rPr>
          <w:rFonts w:hint="eastAsia" w:ascii="仿宋" w:hAnsi="仿宋" w:eastAsia="仿宋" w:cs="仿宋"/>
          <w:b/>
          <w:color w:val="auto"/>
          <w:sz w:val="36"/>
          <w:szCs w:val="20"/>
          <w:highlight w:val="none"/>
          <w:shd w:val="clear" w:color="auto" w:fill="auto"/>
        </w:rPr>
        <w:t xml:space="preserve"> 响应人须知</w:t>
      </w:r>
      <w:bookmarkEnd w:id="9"/>
    </w:p>
    <w:p w14:paraId="7D80F19C">
      <w:pPr>
        <w:snapToGrid w:val="0"/>
        <w:spacing w:line="360" w:lineRule="auto"/>
        <w:jc w:val="center"/>
        <w:rPr>
          <w:rFonts w:ascii="仿宋" w:hAnsi="仿宋" w:eastAsia="仿宋" w:cs="仿宋"/>
          <w:b/>
          <w:color w:val="auto"/>
          <w:sz w:val="32"/>
          <w:szCs w:val="20"/>
          <w:highlight w:val="none"/>
          <w:shd w:val="clear" w:color="auto" w:fill="auto"/>
        </w:rPr>
      </w:pPr>
      <w:r>
        <w:rPr>
          <w:rFonts w:hint="eastAsia" w:ascii="仿宋" w:hAnsi="仿宋" w:eastAsia="仿宋" w:cs="仿宋"/>
          <w:b/>
          <w:color w:val="auto"/>
          <w:sz w:val="32"/>
          <w:szCs w:val="20"/>
          <w:highlight w:val="none"/>
          <w:shd w:val="clear" w:color="auto" w:fill="auto"/>
        </w:rPr>
        <w:t>前附表</w:t>
      </w:r>
    </w:p>
    <w:tbl>
      <w:tblPr>
        <w:tblStyle w:val="62"/>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5"/>
        <w:gridCol w:w="1558"/>
        <w:gridCol w:w="6430"/>
      </w:tblGrid>
      <w:tr w14:paraId="6B2F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545" w:type="dxa"/>
            <w:vAlign w:val="center"/>
          </w:tcPr>
          <w:p w14:paraId="746E8AD2">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序号</w:t>
            </w:r>
          </w:p>
        </w:tc>
        <w:tc>
          <w:tcPr>
            <w:tcW w:w="1558" w:type="dxa"/>
            <w:vAlign w:val="center"/>
          </w:tcPr>
          <w:p w14:paraId="23ADAA09">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事项</w:t>
            </w:r>
          </w:p>
        </w:tc>
        <w:tc>
          <w:tcPr>
            <w:tcW w:w="6430" w:type="dxa"/>
            <w:vAlign w:val="center"/>
          </w:tcPr>
          <w:p w14:paraId="4EFA7751">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本项目的特别规定</w:t>
            </w:r>
          </w:p>
        </w:tc>
      </w:tr>
      <w:tr w14:paraId="2BEE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2" w:hRule="atLeast"/>
          <w:jc w:val="center"/>
        </w:trPr>
        <w:tc>
          <w:tcPr>
            <w:tcW w:w="545" w:type="dxa"/>
            <w:vAlign w:val="center"/>
          </w:tcPr>
          <w:p w14:paraId="07D71DD1">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w:t>
            </w:r>
          </w:p>
        </w:tc>
        <w:tc>
          <w:tcPr>
            <w:tcW w:w="1558" w:type="dxa"/>
            <w:vAlign w:val="center"/>
          </w:tcPr>
          <w:p w14:paraId="6DD43B1B">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项目属性与核心产品</w:t>
            </w:r>
          </w:p>
        </w:tc>
        <w:tc>
          <w:tcPr>
            <w:tcW w:w="6430" w:type="dxa"/>
            <w:vAlign w:val="center"/>
          </w:tcPr>
          <w:p w14:paraId="6FE872C5">
            <w:pPr>
              <w:spacing w:line="240" w:lineRule="auto"/>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kern w:val="0"/>
                <w:sz w:val="24"/>
                <w:highlight w:val="none"/>
                <w:shd w:val="clear" w:color="auto" w:fill="auto"/>
              </w:rPr>
              <w:t xml:space="preserve">B </w:t>
            </w:r>
            <w:r>
              <w:rPr>
                <w:rFonts w:hint="eastAsia" w:ascii="仿宋" w:hAnsi="仿宋" w:eastAsia="仿宋" w:cs="仿宋"/>
                <w:bCs/>
                <w:color w:val="auto"/>
                <w:sz w:val="24"/>
                <w:highlight w:val="none"/>
                <w:shd w:val="clear" w:color="auto" w:fill="auto"/>
              </w:rPr>
              <w:t>服务类。</w:t>
            </w:r>
          </w:p>
        </w:tc>
      </w:tr>
      <w:tr w14:paraId="5DC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545" w:type="dxa"/>
            <w:vAlign w:val="center"/>
          </w:tcPr>
          <w:p w14:paraId="56E101F0">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2</w:t>
            </w:r>
          </w:p>
        </w:tc>
        <w:tc>
          <w:tcPr>
            <w:tcW w:w="1558" w:type="dxa"/>
            <w:vAlign w:val="center"/>
          </w:tcPr>
          <w:p w14:paraId="29A2ACE7">
            <w:pPr>
              <w:snapToGrid w:val="0"/>
              <w:spacing w:line="240" w:lineRule="auto"/>
              <w:ind w:firstLine="482" w:firstLineChars="200"/>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分包</w:t>
            </w:r>
          </w:p>
        </w:tc>
        <w:tc>
          <w:tcPr>
            <w:tcW w:w="6430" w:type="dxa"/>
            <w:vAlign w:val="center"/>
          </w:tcPr>
          <w:p w14:paraId="65AF80E4">
            <w:pPr>
              <w:spacing w:line="240" w:lineRule="auto"/>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kern w:val="0"/>
                <w:sz w:val="24"/>
                <w:highlight w:val="none"/>
                <w:shd w:val="clear" w:color="auto" w:fill="auto"/>
              </w:rPr>
              <w:t>B</w:t>
            </w:r>
            <w:r>
              <w:rPr>
                <w:rFonts w:hint="eastAsia" w:ascii="仿宋" w:hAnsi="仿宋" w:eastAsia="仿宋" w:cs="仿宋"/>
                <w:bCs/>
                <w:color w:val="auto"/>
                <w:sz w:val="24"/>
                <w:highlight w:val="none"/>
                <w:shd w:val="clear" w:color="auto" w:fill="auto"/>
              </w:rPr>
              <w:t>不同意分包。</w:t>
            </w:r>
          </w:p>
        </w:tc>
      </w:tr>
      <w:tr w14:paraId="5422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545" w:type="dxa"/>
            <w:vAlign w:val="center"/>
          </w:tcPr>
          <w:p w14:paraId="1BF44B3B">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3</w:t>
            </w:r>
          </w:p>
        </w:tc>
        <w:tc>
          <w:tcPr>
            <w:tcW w:w="1558" w:type="dxa"/>
            <w:vAlign w:val="center"/>
          </w:tcPr>
          <w:p w14:paraId="6447FD29">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交易前答疑会或现场考察</w:t>
            </w:r>
          </w:p>
        </w:tc>
        <w:tc>
          <w:tcPr>
            <w:tcW w:w="6430" w:type="dxa"/>
            <w:vAlign w:val="center"/>
          </w:tcPr>
          <w:p w14:paraId="45B9DC96">
            <w:pPr>
              <w:spacing w:line="240" w:lineRule="auto"/>
              <w:rPr>
                <w:rFonts w:ascii="仿宋" w:hAnsi="仿宋" w:eastAsia="仿宋" w:cs="仿宋"/>
                <w:bCs/>
                <w:color w:val="auto"/>
                <w:sz w:val="24"/>
                <w:szCs w:val="20"/>
                <w:highlight w:val="none"/>
                <w:shd w:val="clear" w:color="auto" w:fill="auto"/>
              </w:rPr>
            </w:pPr>
            <w:r>
              <w:rPr>
                <w:rFonts w:hint="eastAsia" w:ascii="仿宋" w:hAnsi="仿宋" w:eastAsia="仿宋" w:cs="仿宋"/>
                <w:bCs/>
                <w:color w:val="auto"/>
                <w:sz w:val="24"/>
                <w:highlight w:val="none"/>
                <w:shd w:val="clear" w:color="auto" w:fill="auto"/>
              </w:rPr>
              <w:t>（√）</w:t>
            </w:r>
            <w:r>
              <w:rPr>
                <w:rFonts w:hint="eastAsia" w:ascii="仿宋" w:hAnsi="仿宋" w:eastAsia="仿宋" w:cs="仿宋"/>
                <w:bCs/>
                <w:color w:val="auto"/>
                <w:kern w:val="0"/>
                <w:sz w:val="24"/>
                <w:highlight w:val="none"/>
                <w:shd w:val="clear" w:color="auto" w:fill="auto"/>
              </w:rPr>
              <w:t>A</w:t>
            </w:r>
            <w:r>
              <w:rPr>
                <w:rFonts w:hint="eastAsia" w:ascii="仿宋" w:hAnsi="仿宋" w:eastAsia="仿宋" w:cs="仿宋"/>
                <w:bCs/>
                <w:color w:val="auto"/>
                <w:sz w:val="24"/>
                <w:highlight w:val="none"/>
                <w:shd w:val="clear" w:color="auto" w:fill="auto"/>
              </w:rPr>
              <w:t>不组织。</w:t>
            </w:r>
          </w:p>
        </w:tc>
      </w:tr>
      <w:tr w14:paraId="348D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545" w:type="dxa"/>
            <w:vAlign w:val="center"/>
          </w:tcPr>
          <w:p w14:paraId="174AD00D">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4</w:t>
            </w:r>
          </w:p>
        </w:tc>
        <w:tc>
          <w:tcPr>
            <w:tcW w:w="1558" w:type="dxa"/>
            <w:vAlign w:val="center"/>
          </w:tcPr>
          <w:p w14:paraId="7EB5FA6F">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样品提供</w:t>
            </w:r>
          </w:p>
        </w:tc>
        <w:tc>
          <w:tcPr>
            <w:tcW w:w="6430" w:type="dxa"/>
            <w:vAlign w:val="center"/>
          </w:tcPr>
          <w:p w14:paraId="2D5D32B2">
            <w:pPr>
              <w:spacing w:line="240" w:lineRule="auto"/>
              <w:rPr>
                <w:rFonts w:ascii="仿宋" w:hAnsi="仿宋" w:eastAsia="仿宋" w:cs="仿宋"/>
                <w:b/>
                <w:color w:val="auto"/>
                <w:sz w:val="24"/>
                <w:highlight w:val="none"/>
                <w:shd w:val="clear" w:color="auto" w:fill="auto"/>
              </w:rPr>
            </w:pPr>
            <w:r>
              <w:rPr>
                <w:rFonts w:hint="eastAsia" w:ascii="仿宋" w:hAnsi="仿宋" w:eastAsia="仿宋" w:cs="仿宋"/>
                <w:bCs/>
                <w:color w:val="auto"/>
                <w:sz w:val="24"/>
                <w:highlight w:val="none"/>
                <w:shd w:val="clear" w:color="auto" w:fill="auto"/>
              </w:rPr>
              <w:t>（√）A不要求提供</w:t>
            </w:r>
          </w:p>
        </w:tc>
      </w:tr>
      <w:tr w14:paraId="0D55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545" w:type="dxa"/>
            <w:vAlign w:val="center"/>
          </w:tcPr>
          <w:p w14:paraId="59D57FEE">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5</w:t>
            </w:r>
          </w:p>
        </w:tc>
        <w:tc>
          <w:tcPr>
            <w:tcW w:w="1558" w:type="dxa"/>
            <w:vAlign w:val="center"/>
          </w:tcPr>
          <w:p w14:paraId="7543ADCC">
            <w:pPr>
              <w:snapToGrid w:val="0"/>
              <w:spacing w:line="240" w:lineRule="auto"/>
              <w:jc w:val="center"/>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方案讲解演示</w:t>
            </w:r>
          </w:p>
        </w:tc>
        <w:tc>
          <w:tcPr>
            <w:tcW w:w="6430" w:type="dxa"/>
            <w:vAlign w:val="center"/>
          </w:tcPr>
          <w:p w14:paraId="48AB86BF">
            <w:pPr>
              <w:snapToGrid w:val="0"/>
              <w:spacing w:line="240" w:lineRule="auto"/>
              <w:rPr>
                <w:rFonts w:ascii="仿宋" w:hAnsi="仿宋" w:eastAsia="仿宋" w:cs="仿宋"/>
                <w:bCs/>
                <w:color w:val="auto"/>
                <w:kern w:val="0"/>
                <w:sz w:val="24"/>
                <w:highlight w:val="none"/>
                <w:shd w:val="clear" w:color="auto" w:fill="auto"/>
                <w:lang w:val="zh-CN"/>
              </w:rPr>
            </w:pPr>
            <w:r>
              <w:rPr>
                <w:rFonts w:hint="eastAsia" w:ascii="仿宋" w:hAnsi="仿宋" w:eastAsia="仿宋" w:cs="仿宋"/>
                <w:bCs/>
                <w:color w:val="auto"/>
                <w:sz w:val="24"/>
                <w:highlight w:val="none"/>
                <w:shd w:val="clear" w:color="auto" w:fill="auto"/>
              </w:rPr>
              <w:t>（√）不演示</w:t>
            </w:r>
          </w:p>
        </w:tc>
      </w:tr>
      <w:tr w14:paraId="3F3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45" w:type="dxa"/>
            <w:vMerge w:val="restart"/>
            <w:vAlign w:val="center"/>
          </w:tcPr>
          <w:p w14:paraId="3AC83EF1">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6</w:t>
            </w:r>
          </w:p>
        </w:tc>
        <w:tc>
          <w:tcPr>
            <w:tcW w:w="1558" w:type="dxa"/>
            <w:vMerge w:val="restart"/>
            <w:vAlign w:val="center"/>
          </w:tcPr>
          <w:p w14:paraId="6CBBC589">
            <w:pPr>
              <w:snapToGrid w:val="0"/>
              <w:spacing w:line="240" w:lineRule="auto"/>
              <w:jc w:val="center"/>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响应人应当提供的资格、资信证明文件</w:t>
            </w:r>
          </w:p>
        </w:tc>
        <w:tc>
          <w:tcPr>
            <w:tcW w:w="6430" w:type="dxa"/>
            <w:vAlign w:val="center"/>
          </w:tcPr>
          <w:p w14:paraId="44326D0B">
            <w:pPr>
              <w:spacing w:line="240" w:lineRule="auto"/>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（1）资格证明文件：见交易文件第二部分11.1。</w:t>
            </w:r>
          </w:p>
          <w:p w14:paraId="65024E85">
            <w:pPr>
              <w:spacing w:line="240" w:lineRule="auto"/>
              <w:rPr>
                <w:rFonts w:ascii="仿宋" w:hAnsi="仿宋" w:eastAsia="仿宋" w:cs="仿宋"/>
                <w:bCs/>
                <w:snapToGrid w:val="0"/>
                <w:color w:val="auto"/>
                <w:kern w:val="0"/>
                <w:szCs w:val="21"/>
                <w:highlight w:val="none"/>
                <w:shd w:val="clear" w:color="auto" w:fill="auto"/>
                <w:lang w:val="zh-CN"/>
              </w:rPr>
            </w:pPr>
            <w:r>
              <w:rPr>
                <w:rFonts w:hint="eastAsia" w:ascii="仿宋" w:hAnsi="仿宋" w:eastAsia="仿宋" w:cs="仿宋"/>
                <w:bCs/>
                <w:color w:val="auto"/>
                <w:kern w:val="0"/>
                <w:sz w:val="24"/>
                <w:highlight w:val="none"/>
                <w:shd w:val="clear" w:color="auto" w:fill="auto"/>
                <w:lang w:val="zh-CN"/>
              </w:rPr>
              <w:t>响应人未提供有效的资格证明文件的，视为响应人不具备交易文件中规定的资格要求，响应无效。</w:t>
            </w:r>
          </w:p>
        </w:tc>
      </w:tr>
      <w:tr w14:paraId="5AB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545" w:type="dxa"/>
            <w:vMerge w:val="continue"/>
            <w:vAlign w:val="center"/>
          </w:tcPr>
          <w:p w14:paraId="66A5B6E4">
            <w:pPr>
              <w:snapToGrid w:val="0"/>
              <w:spacing w:line="240" w:lineRule="auto"/>
              <w:jc w:val="center"/>
              <w:rPr>
                <w:rFonts w:ascii="仿宋" w:hAnsi="仿宋" w:eastAsia="仿宋" w:cs="仿宋"/>
                <w:color w:val="auto"/>
                <w:sz w:val="24"/>
                <w:highlight w:val="none"/>
                <w:shd w:val="clear" w:color="auto" w:fill="auto"/>
              </w:rPr>
            </w:pPr>
          </w:p>
        </w:tc>
        <w:tc>
          <w:tcPr>
            <w:tcW w:w="1558" w:type="dxa"/>
            <w:vMerge w:val="continue"/>
            <w:vAlign w:val="center"/>
          </w:tcPr>
          <w:p w14:paraId="3AF83CAD">
            <w:pPr>
              <w:snapToGrid w:val="0"/>
              <w:spacing w:line="240" w:lineRule="auto"/>
              <w:jc w:val="center"/>
              <w:rPr>
                <w:rFonts w:ascii="仿宋" w:hAnsi="仿宋" w:eastAsia="仿宋" w:cs="仿宋"/>
                <w:bCs/>
                <w:color w:val="auto"/>
                <w:sz w:val="24"/>
                <w:highlight w:val="none"/>
                <w:shd w:val="clear" w:color="auto" w:fill="auto"/>
              </w:rPr>
            </w:pPr>
          </w:p>
        </w:tc>
        <w:tc>
          <w:tcPr>
            <w:tcW w:w="6430" w:type="dxa"/>
            <w:vAlign w:val="center"/>
          </w:tcPr>
          <w:p w14:paraId="21683B07">
            <w:pPr>
              <w:spacing w:line="240" w:lineRule="auto"/>
              <w:rPr>
                <w:rFonts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rPr>
              <w:t>（2）资信证明文件：根据交易文件第四部分</w:t>
            </w:r>
            <w:r>
              <w:rPr>
                <w:rFonts w:hint="eastAsia" w:ascii="仿宋" w:hAnsi="仿宋" w:eastAsia="仿宋" w:cs="仿宋"/>
                <w:color w:val="auto"/>
                <w:sz w:val="24"/>
                <w:highlight w:val="none"/>
                <w:shd w:val="clear" w:color="auto" w:fill="auto"/>
                <w:lang w:eastAsia="zh-CN"/>
              </w:rPr>
              <w:t>评审</w:t>
            </w:r>
            <w:r>
              <w:rPr>
                <w:rFonts w:hint="eastAsia" w:ascii="仿宋" w:hAnsi="仿宋" w:eastAsia="仿宋" w:cs="仿宋"/>
                <w:color w:val="auto"/>
                <w:sz w:val="24"/>
                <w:highlight w:val="none"/>
                <w:shd w:val="clear" w:color="auto" w:fill="auto"/>
              </w:rPr>
              <w:t>标准提供。</w:t>
            </w:r>
          </w:p>
        </w:tc>
      </w:tr>
      <w:tr w14:paraId="1038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jc w:val="center"/>
        </w:trPr>
        <w:tc>
          <w:tcPr>
            <w:tcW w:w="545" w:type="dxa"/>
            <w:vAlign w:val="center"/>
          </w:tcPr>
          <w:p w14:paraId="70F1B947">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7</w:t>
            </w:r>
          </w:p>
        </w:tc>
        <w:tc>
          <w:tcPr>
            <w:tcW w:w="1558" w:type="dxa"/>
            <w:vAlign w:val="center"/>
          </w:tcPr>
          <w:p w14:paraId="1833B6B2">
            <w:pPr>
              <w:snapToGrid w:val="0"/>
              <w:spacing w:line="240" w:lineRule="auto"/>
              <w:jc w:val="center"/>
              <w:rPr>
                <w:rFonts w:ascii="仿宋" w:hAnsi="仿宋" w:eastAsia="仿宋" w:cs="仿宋"/>
                <w:bCs/>
                <w:color w:val="auto"/>
                <w:sz w:val="24"/>
                <w:highlight w:val="none"/>
                <w:shd w:val="clear" w:color="auto" w:fill="auto"/>
              </w:rPr>
            </w:pPr>
            <w:r>
              <w:rPr>
                <w:rFonts w:hint="eastAsia" w:ascii="仿宋" w:hAnsi="仿宋" w:eastAsia="仿宋" w:cs="仿宋"/>
                <w:b/>
                <w:color w:val="auto"/>
                <w:sz w:val="24"/>
                <w:highlight w:val="none"/>
                <w:shd w:val="clear" w:color="auto" w:fill="auto"/>
              </w:rPr>
              <w:t>报价要求</w:t>
            </w:r>
          </w:p>
        </w:tc>
        <w:tc>
          <w:tcPr>
            <w:tcW w:w="6430" w:type="dxa"/>
            <w:vAlign w:val="center"/>
          </w:tcPr>
          <w:p w14:paraId="09A47B76">
            <w:pPr>
              <w:spacing w:line="24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有关本项目实施所需的所有费用（含税费）均计入报价。</w:t>
            </w:r>
            <w:r>
              <w:rPr>
                <w:rFonts w:hint="eastAsia" w:ascii="仿宋" w:hAnsi="仿宋" w:eastAsia="仿宋" w:cs="仿宋"/>
                <w:b w:val="0"/>
                <w:bCs/>
                <w:color w:val="auto"/>
                <w:spacing w:val="0"/>
                <w:w w:val="100"/>
                <w:kern w:val="0"/>
                <w:sz w:val="24"/>
                <w:highlight w:val="none"/>
                <w:lang w:val="en-US" w:eastAsia="zh-CN"/>
              </w:rPr>
              <w:t>交易</w:t>
            </w:r>
            <w:r>
              <w:rPr>
                <w:rFonts w:hint="eastAsia" w:ascii="仿宋" w:hAnsi="仿宋" w:eastAsia="仿宋" w:cs="仿宋"/>
                <w:b w:val="0"/>
                <w:bCs/>
                <w:color w:val="auto"/>
                <w:spacing w:val="0"/>
                <w:w w:val="100"/>
                <w:kern w:val="0"/>
                <w:sz w:val="24"/>
                <w:highlight w:val="none"/>
              </w:rPr>
              <w:t>一览表（报价表）是报价的唯一载体</w:t>
            </w:r>
            <w:r>
              <w:rPr>
                <w:rFonts w:hint="eastAsia" w:ascii="仿宋" w:hAnsi="仿宋" w:eastAsia="仿宋" w:cs="仿宋"/>
                <w:b w:val="0"/>
                <w:bCs/>
                <w:color w:val="auto"/>
                <w:spacing w:val="0"/>
                <w:w w:val="100"/>
                <w:kern w:val="0"/>
                <w:sz w:val="24"/>
                <w:highlight w:val="none"/>
                <w:lang w:val="zh-CN"/>
              </w:rPr>
              <w:t>。交易文件未列明，而响应人认为必需的费用也需列入报价。提醒：验收时检测费用由交易发起人承担，不包含在</w:t>
            </w:r>
            <w:r>
              <w:rPr>
                <w:rFonts w:hint="eastAsia" w:ascii="仿宋" w:hAnsi="仿宋" w:eastAsia="仿宋" w:cs="仿宋"/>
                <w:b w:val="0"/>
                <w:bCs/>
                <w:color w:val="auto"/>
                <w:spacing w:val="0"/>
                <w:w w:val="100"/>
                <w:kern w:val="0"/>
                <w:sz w:val="24"/>
                <w:highlight w:val="none"/>
                <w:lang w:val="en-US" w:eastAsia="zh-CN"/>
              </w:rPr>
              <w:t>响应</w:t>
            </w:r>
            <w:r>
              <w:rPr>
                <w:rFonts w:hint="eastAsia" w:ascii="仿宋" w:hAnsi="仿宋" w:eastAsia="仿宋" w:cs="仿宋"/>
                <w:b w:val="0"/>
                <w:bCs/>
                <w:color w:val="auto"/>
                <w:spacing w:val="0"/>
                <w:w w:val="100"/>
                <w:kern w:val="0"/>
                <w:sz w:val="24"/>
                <w:highlight w:val="none"/>
                <w:lang w:val="zh-CN"/>
              </w:rPr>
              <w:t>总价中。</w:t>
            </w:r>
          </w:p>
          <w:p w14:paraId="1755EBBF">
            <w:pPr>
              <w:spacing w:line="240" w:lineRule="auto"/>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en-US" w:eastAsia="zh-CN"/>
              </w:rPr>
              <w:t>响应</w:t>
            </w:r>
            <w:r>
              <w:rPr>
                <w:rFonts w:hint="eastAsia" w:ascii="仿宋" w:hAnsi="仿宋" w:eastAsia="仿宋" w:cs="仿宋"/>
                <w:b w:val="0"/>
                <w:bCs/>
                <w:color w:val="auto"/>
                <w:spacing w:val="0"/>
                <w:w w:val="100"/>
                <w:kern w:val="0"/>
                <w:sz w:val="24"/>
                <w:highlight w:val="none"/>
                <w:lang w:val="zh-CN"/>
              </w:rPr>
              <w:t>报价出现下列情形的，</w:t>
            </w:r>
            <w:r>
              <w:rPr>
                <w:rFonts w:hint="eastAsia" w:ascii="仿宋" w:hAnsi="仿宋" w:eastAsia="仿宋" w:cs="仿宋"/>
                <w:b w:val="0"/>
                <w:bCs/>
                <w:color w:val="auto"/>
                <w:spacing w:val="0"/>
                <w:w w:val="100"/>
                <w:kern w:val="0"/>
                <w:sz w:val="24"/>
                <w:highlight w:val="none"/>
                <w:lang w:val="en-US" w:eastAsia="zh-CN"/>
              </w:rPr>
              <w:t>交易</w:t>
            </w:r>
            <w:r>
              <w:rPr>
                <w:rFonts w:hint="eastAsia" w:ascii="仿宋" w:hAnsi="仿宋" w:eastAsia="仿宋" w:cs="仿宋"/>
                <w:b w:val="0"/>
                <w:bCs/>
                <w:color w:val="auto"/>
                <w:spacing w:val="0"/>
                <w:w w:val="100"/>
                <w:kern w:val="0"/>
                <w:sz w:val="24"/>
                <w:highlight w:val="none"/>
                <w:lang w:val="zh-CN"/>
              </w:rPr>
              <w:t>无效：</w:t>
            </w:r>
          </w:p>
          <w:p w14:paraId="32ABB900">
            <w:pPr>
              <w:spacing w:line="240" w:lineRule="auto"/>
              <w:ind w:firstLine="480" w:firstLineChars="200"/>
              <w:rPr>
                <w:rFonts w:hint="eastAsia" w:ascii="仿宋" w:hAnsi="仿宋" w:eastAsia="仿宋" w:cs="仿宋"/>
                <w:b w:val="0"/>
                <w:bCs/>
                <w:color w:val="auto"/>
                <w:spacing w:val="0"/>
                <w:w w:val="100"/>
                <w:kern w:val="0"/>
                <w:sz w:val="24"/>
                <w:highlight w:val="none"/>
                <w:lang w:val="zh-CN"/>
              </w:rPr>
            </w:pPr>
            <w:r>
              <w:rPr>
                <w:rFonts w:hint="eastAsia" w:ascii="仿宋" w:hAnsi="仿宋" w:eastAsia="仿宋" w:cs="仿宋"/>
                <w:b w:val="0"/>
                <w:bCs/>
                <w:color w:val="auto"/>
                <w:spacing w:val="0"/>
                <w:w w:val="100"/>
                <w:kern w:val="0"/>
                <w:sz w:val="24"/>
                <w:highlight w:val="none"/>
                <w:lang w:val="zh-CN"/>
              </w:rPr>
              <w:t>响应文件出现不是唯一的、有选择性</w:t>
            </w:r>
            <w:r>
              <w:rPr>
                <w:rFonts w:hint="eastAsia" w:ascii="仿宋" w:hAnsi="仿宋" w:eastAsia="仿宋" w:cs="仿宋"/>
                <w:b w:val="0"/>
                <w:bCs/>
                <w:color w:val="auto"/>
                <w:spacing w:val="0"/>
                <w:w w:val="100"/>
                <w:kern w:val="0"/>
                <w:sz w:val="24"/>
                <w:highlight w:val="none"/>
                <w:lang w:val="en-US" w:eastAsia="zh-CN"/>
              </w:rPr>
              <w:t>响应</w:t>
            </w:r>
            <w:r>
              <w:rPr>
                <w:rFonts w:hint="eastAsia" w:ascii="仿宋" w:hAnsi="仿宋" w:eastAsia="仿宋" w:cs="仿宋"/>
                <w:b w:val="0"/>
                <w:bCs/>
                <w:color w:val="auto"/>
                <w:spacing w:val="0"/>
                <w:w w:val="100"/>
                <w:kern w:val="0"/>
                <w:sz w:val="24"/>
                <w:highlight w:val="none"/>
                <w:lang w:val="zh-CN"/>
              </w:rPr>
              <w:t>报价的；</w:t>
            </w:r>
          </w:p>
          <w:p w14:paraId="00D7A8A2">
            <w:pPr>
              <w:spacing w:line="24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rPr>
              <w:t>报价明显低于其他通过符合性审查</w:t>
            </w: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的报价，有可能影响产品质量或者不能诚信履约的，未能按要求提供书面说明或者提交相关证明材料证明其报价合理性的;</w:t>
            </w:r>
          </w:p>
          <w:p w14:paraId="68A614AC">
            <w:pPr>
              <w:spacing w:line="240" w:lineRule="auto"/>
              <w:ind w:firstLine="480" w:firstLineChars="200"/>
              <w:rPr>
                <w:rFonts w:hint="eastAsia" w:ascii="仿宋" w:hAnsi="仿宋" w:eastAsia="仿宋" w:cs="仿宋"/>
                <w:b w:val="0"/>
                <w:bCs/>
                <w:color w:val="auto"/>
                <w:spacing w:val="0"/>
                <w:w w:val="100"/>
                <w:kern w:val="0"/>
                <w:sz w:val="24"/>
                <w:highlight w:val="none"/>
              </w:rPr>
            </w:pPr>
            <w:r>
              <w:rPr>
                <w:rFonts w:hint="eastAsia" w:ascii="仿宋" w:hAnsi="仿宋" w:eastAsia="仿宋" w:cs="仿宋"/>
                <w:b w:val="0"/>
                <w:bCs/>
                <w:color w:val="auto"/>
                <w:spacing w:val="0"/>
                <w:w w:val="100"/>
                <w:kern w:val="0"/>
                <w:sz w:val="24"/>
                <w:highlight w:val="none"/>
                <w:lang w:eastAsia="zh-CN"/>
              </w:rPr>
              <w:t>响应人</w:t>
            </w:r>
            <w:r>
              <w:rPr>
                <w:rFonts w:hint="eastAsia" w:ascii="仿宋" w:hAnsi="仿宋" w:eastAsia="仿宋" w:cs="仿宋"/>
                <w:b w:val="0"/>
                <w:bCs/>
                <w:color w:val="auto"/>
                <w:spacing w:val="0"/>
                <w:w w:val="100"/>
                <w:kern w:val="0"/>
                <w:sz w:val="24"/>
                <w:highlight w:val="none"/>
              </w:rPr>
              <w:t>对根据修正原则修正后的报价不确认的。</w:t>
            </w:r>
          </w:p>
          <w:p w14:paraId="6F799221">
            <w:pPr>
              <w:spacing w:line="240" w:lineRule="auto"/>
              <w:ind w:firstLine="480" w:firstLineChars="200"/>
              <w:jc w:val="left"/>
              <w:rPr>
                <w:rFonts w:ascii="仿宋" w:hAnsi="仿宋" w:eastAsia="仿宋" w:cs="仿宋"/>
                <w:bCs/>
                <w:color w:val="auto"/>
                <w:highlight w:val="none"/>
                <w:shd w:val="clear" w:color="auto" w:fill="auto"/>
              </w:rPr>
            </w:pPr>
            <w:r>
              <w:rPr>
                <w:rFonts w:hint="eastAsia" w:ascii="仿宋" w:hAnsi="仿宋" w:eastAsia="仿宋" w:cs="仿宋"/>
                <w:b w:val="0"/>
                <w:bCs/>
                <w:color w:val="auto"/>
                <w:spacing w:val="0"/>
                <w:w w:val="100"/>
                <w:kern w:val="0"/>
                <w:sz w:val="24"/>
                <w:highlight w:val="none"/>
              </w:rPr>
              <w:t>资格文件、商务技术文件与报价文件未分开制作</w:t>
            </w:r>
            <w:r>
              <w:rPr>
                <w:rFonts w:hint="eastAsia" w:ascii="仿宋" w:hAnsi="仿宋" w:eastAsia="仿宋" w:cs="仿宋"/>
                <w:b w:val="0"/>
                <w:bCs/>
                <w:color w:val="auto"/>
                <w:spacing w:val="0"/>
                <w:w w:val="100"/>
                <w:sz w:val="24"/>
                <w:highlight w:val="none"/>
              </w:rPr>
              <w:t>。</w:t>
            </w:r>
          </w:p>
        </w:tc>
      </w:tr>
      <w:tr w14:paraId="6F1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01F50D0F">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8</w:t>
            </w:r>
          </w:p>
        </w:tc>
        <w:tc>
          <w:tcPr>
            <w:tcW w:w="1558" w:type="dxa"/>
            <w:vAlign w:val="center"/>
          </w:tcPr>
          <w:p w14:paraId="0AE12362">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备份响应文件</w:t>
            </w:r>
          </w:p>
        </w:tc>
        <w:tc>
          <w:tcPr>
            <w:tcW w:w="6430" w:type="dxa"/>
            <w:vAlign w:val="center"/>
          </w:tcPr>
          <w:p w14:paraId="626B4731">
            <w:pPr>
              <w:pStyle w:val="32"/>
              <w:spacing w:line="240" w:lineRule="auto"/>
              <w:rPr>
                <w:rFonts w:ascii="仿宋" w:hAnsi="仿宋" w:eastAsia="仿宋" w:cs="仿宋"/>
                <w:color w:val="auto"/>
                <w:kern w:val="28"/>
                <w:sz w:val="24"/>
                <w:highlight w:val="none"/>
                <w:shd w:val="clear" w:color="auto" w:fill="auto"/>
              </w:rPr>
            </w:pPr>
            <w:r>
              <w:rPr>
                <w:rFonts w:hint="eastAsia" w:ascii="仿宋" w:hAnsi="仿宋" w:eastAsia="仿宋" w:cs="仿宋"/>
                <w:color w:val="auto"/>
                <w:kern w:val="28"/>
                <w:sz w:val="24"/>
                <w:szCs w:val="24"/>
                <w:highlight w:val="none"/>
                <w:shd w:val="clear" w:color="auto" w:fill="auto"/>
              </w:rPr>
              <w:t>备份文件是否收取：不收取。</w:t>
            </w:r>
          </w:p>
        </w:tc>
      </w:tr>
      <w:tr w14:paraId="22E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545" w:type="dxa"/>
            <w:vAlign w:val="center"/>
          </w:tcPr>
          <w:p w14:paraId="22F13DCB">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9</w:t>
            </w:r>
          </w:p>
        </w:tc>
        <w:tc>
          <w:tcPr>
            <w:tcW w:w="1558" w:type="dxa"/>
            <w:vAlign w:val="center"/>
          </w:tcPr>
          <w:p w14:paraId="4A616D0A">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代理机构代理费用</w:t>
            </w:r>
          </w:p>
        </w:tc>
        <w:tc>
          <w:tcPr>
            <w:tcW w:w="6430" w:type="dxa"/>
            <w:vAlign w:val="center"/>
          </w:tcPr>
          <w:p w14:paraId="0E448885">
            <w:pPr>
              <w:pStyle w:val="32"/>
              <w:spacing w:line="240" w:lineRule="auto"/>
              <w:ind w:hanging="4"/>
              <w:rPr>
                <w:rFonts w:ascii="仿宋" w:hAnsi="仿宋" w:eastAsia="仿宋" w:cs="仿宋"/>
                <w:b/>
                <w:color w:val="auto"/>
                <w:sz w:val="24"/>
                <w:szCs w:val="24"/>
                <w:highlight w:val="none"/>
                <w:shd w:val="clear" w:color="auto" w:fill="auto"/>
              </w:rPr>
            </w:pPr>
            <w:r>
              <w:rPr>
                <w:rFonts w:hint="eastAsia" w:ascii="仿宋" w:hAnsi="仿宋" w:eastAsia="仿宋" w:cs="仿宋"/>
                <w:color w:val="auto"/>
                <w:sz w:val="24"/>
                <w:highlight w:val="none"/>
                <w:shd w:val="clear" w:color="auto" w:fill="auto"/>
              </w:rPr>
              <w:t>本项目的</w:t>
            </w:r>
            <w:r>
              <w:rPr>
                <w:rFonts w:hint="eastAsia" w:ascii="仿宋" w:hAnsi="仿宋" w:eastAsia="仿宋" w:cs="仿宋"/>
                <w:color w:val="auto"/>
                <w:sz w:val="24"/>
                <w:highlight w:val="none"/>
                <w:shd w:val="clear" w:color="auto" w:fill="auto"/>
                <w:lang w:eastAsia="zh-CN"/>
              </w:rPr>
              <w:t>交易</w:t>
            </w:r>
            <w:r>
              <w:rPr>
                <w:rFonts w:hint="eastAsia" w:ascii="仿宋" w:hAnsi="仿宋" w:eastAsia="仿宋" w:cs="仿宋"/>
                <w:color w:val="auto"/>
                <w:sz w:val="24"/>
                <w:highlight w:val="none"/>
                <w:shd w:val="clear" w:color="auto" w:fill="auto"/>
              </w:rPr>
              <w:t>代理费由</w:t>
            </w:r>
            <w:r>
              <w:rPr>
                <w:rFonts w:hint="eastAsia" w:ascii="仿宋" w:hAnsi="仿宋" w:eastAsia="仿宋" w:cs="仿宋"/>
                <w:color w:val="auto"/>
                <w:sz w:val="24"/>
                <w:highlight w:val="none"/>
                <w:shd w:val="clear" w:color="auto" w:fill="auto"/>
                <w:lang w:val="en-US" w:eastAsia="zh-CN"/>
              </w:rPr>
              <w:t>入围</w:t>
            </w:r>
            <w:r>
              <w:rPr>
                <w:rFonts w:hint="eastAsia" w:ascii="仿宋" w:hAnsi="仿宋" w:eastAsia="仿宋" w:cs="仿宋"/>
                <w:color w:val="auto"/>
                <w:sz w:val="24"/>
                <w:highlight w:val="none"/>
                <w:shd w:val="clear" w:color="auto" w:fill="auto"/>
              </w:rPr>
              <w:t>成交人支付，</w:t>
            </w:r>
            <w:r>
              <w:rPr>
                <w:rFonts w:hint="eastAsia" w:ascii="仿宋" w:hAnsi="仿宋" w:eastAsia="仿宋" w:cs="仿宋"/>
                <w:color w:val="auto"/>
                <w:sz w:val="24"/>
                <w:highlight w:val="none"/>
                <w:shd w:val="clear" w:color="auto" w:fill="auto"/>
                <w:lang w:val="en-US" w:eastAsia="zh-CN"/>
              </w:rPr>
              <w:t>每家入围单位4000元，</w:t>
            </w:r>
            <w:r>
              <w:rPr>
                <w:rFonts w:hint="eastAsia" w:ascii="仿宋" w:hAnsi="仿宋" w:eastAsia="仿宋" w:cs="仿宋"/>
                <w:color w:val="auto"/>
                <w:sz w:val="24"/>
                <w:highlight w:val="none"/>
                <w:shd w:val="clear" w:color="auto" w:fill="auto"/>
              </w:rPr>
              <w:t>在</w:t>
            </w:r>
            <w:r>
              <w:rPr>
                <w:rFonts w:hint="eastAsia" w:ascii="仿宋" w:hAnsi="仿宋" w:eastAsia="仿宋" w:cs="仿宋"/>
                <w:color w:val="auto"/>
                <w:sz w:val="24"/>
                <w:highlight w:val="none"/>
                <w:shd w:val="clear" w:color="auto" w:fill="auto"/>
                <w:lang w:val="en-US" w:eastAsia="zh-CN"/>
              </w:rPr>
              <w:t>领取</w:t>
            </w:r>
            <w:r>
              <w:rPr>
                <w:rFonts w:hint="eastAsia" w:ascii="仿宋" w:hAnsi="仿宋" w:eastAsia="仿宋" w:cs="仿宋"/>
                <w:color w:val="auto"/>
                <w:sz w:val="24"/>
                <w:highlight w:val="none"/>
                <w:shd w:val="clear" w:color="auto" w:fill="auto"/>
              </w:rPr>
              <w:t>成交通知书时由成交人以汇票/支票/电汇/现金直接支付给代理机构。</w:t>
            </w:r>
          </w:p>
        </w:tc>
      </w:tr>
      <w:tr w14:paraId="1E10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545" w:type="dxa"/>
            <w:vAlign w:val="center"/>
          </w:tcPr>
          <w:p w14:paraId="6466F501">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Cs/>
                <w:color w:val="auto"/>
                <w:sz w:val="24"/>
                <w:highlight w:val="none"/>
                <w:shd w:val="clear" w:color="auto" w:fill="auto"/>
              </w:rPr>
              <w:t>10</w:t>
            </w:r>
          </w:p>
        </w:tc>
        <w:tc>
          <w:tcPr>
            <w:tcW w:w="1558" w:type="dxa"/>
            <w:vAlign w:val="center"/>
          </w:tcPr>
          <w:p w14:paraId="593F48F1">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履约保证金</w:t>
            </w:r>
          </w:p>
        </w:tc>
        <w:tc>
          <w:tcPr>
            <w:tcW w:w="6430" w:type="dxa"/>
            <w:vAlign w:val="center"/>
          </w:tcPr>
          <w:p w14:paraId="2064E36B">
            <w:pPr>
              <w:pStyle w:val="15"/>
              <w:spacing w:line="240" w:lineRule="auto"/>
              <w:ind w:firstLine="0"/>
              <w:rPr>
                <w:rFonts w:hint="eastAsia" w:ascii="仿宋" w:hAnsi="仿宋" w:eastAsia="仿宋" w:cs="仿宋"/>
                <w:color w:val="auto"/>
                <w:sz w:val="24"/>
                <w:highlight w:val="none"/>
                <w:shd w:val="clear" w:color="auto" w:fill="auto"/>
                <w:lang w:eastAsia="zh-CN"/>
              </w:rPr>
            </w:pPr>
            <w:r>
              <w:rPr>
                <w:rFonts w:hint="eastAsia" w:ascii="仿宋" w:hAnsi="仿宋" w:eastAsia="仿宋" w:cs="仿宋"/>
                <w:color w:val="auto"/>
                <w:sz w:val="24"/>
                <w:highlight w:val="none"/>
                <w:shd w:val="clear" w:color="auto" w:fill="auto"/>
                <w:lang w:val="en-US" w:eastAsia="zh-CN"/>
              </w:rPr>
              <w:t>不收取。</w:t>
            </w:r>
          </w:p>
        </w:tc>
      </w:tr>
      <w:tr w14:paraId="49E2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545" w:type="dxa"/>
            <w:vAlign w:val="center"/>
          </w:tcPr>
          <w:p w14:paraId="22EC0309">
            <w:pPr>
              <w:snapToGrid w:val="0"/>
              <w:spacing w:line="240" w:lineRule="auto"/>
              <w:jc w:val="center"/>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11</w:t>
            </w:r>
          </w:p>
        </w:tc>
        <w:tc>
          <w:tcPr>
            <w:tcW w:w="1558" w:type="dxa"/>
            <w:vAlign w:val="center"/>
          </w:tcPr>
          <w:p w14:paraId="681763AF">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资格审查和信用信息审查</w:t>
            </w:r>
          </w:p>
        </w:tc>
        <w:tc>
          <w:tcPr>
            <w:tcW w:w="6430" w:type="dxa"/>
            <w:vAlign w:val="center"/>
          </w:tcPr>
          <w:p w14:paraId="5A35AAF3">
            <w:pPr>
              <w:pStyle w:val="32"/>
              <w:spacing w:line="240" w:lineRule="auto"/>
              <w:ind w:hanging="4"/>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本项目由交易发起人进行资格文件及信用信息查询。</w:t>
            </w:r>
          </w:p>
        </w:tc>
      </w:tr>
      <w:tr w14:paraId="7B3C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jc w:val="center"/>
        </w:trPr>
        <w:tc>
          <w:tcPr>
            <w:tcW w:w="545" w:type="dxa"/>
            <w:vAlign w:val="center"/>
          </w:tcPr>
          <w:p w14:paraId="2CE90926">
            <w:pPr>
              <w:snapToGrid w:val="0"/>
              <w:spacing w:line="240" w:lineRule="auto"/>
              <w:jc w:val="center"/>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12</w:t>
            </w:r>
          </w:p>
        </w:tc>
        <w:tc>
          <w:tcPr>
            <w:tcW w:w="1558" w:type="dxa"/>
            <w:vAlign w:val="center"/>
          </w:tcPr>
          <w:p w14:paraId="2B000BCB">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质疑接收人及答复</w:t>
            </w:r>
          </w:p>
        </w:tc>
        <w:tc>
          <w:tcPr>
            <w:tcW w:w="6430" w:type="dxa"/>
            <w:vAlign w:val="center"/>
          </w:tcPr>
          <w:p w14:paraId="7836C9F0">
            <w:pPr>
              <w:snapToGrid w:val="0"/>
              <w:spacing w:line="240" w:lineRule="auto"/>
              <w:rPr>
                <w:rFonts w:hint="eastAsia" w:ascii="仿宋" w:hAnsi="仿宋" w:eastAsia="仿宋" w:cs="仿宋"/>
                <w:b/>
                <w:color w:val="auto"/>
                <w:spacing w:val="0"/>
                <w:w w:val="100"/>
                <w:sz w:val="24"/>
                <w:highlight w:val="none"/>
              </w:rPr>
            </w:pPr>
            <w:r>
              <w:rPr>
                <w:rFonts w:hint="eastAsia" w:ascii="仿宋" w:hAnsi="仿宋" w:eastAsia="仿宋" w:cs="仿宋"/>
                <w:color w:val="auto"/>
                <w:spacing w:val="0"/>
                <w:w w:val="100"/>
                <w:sz w:val="24"/>
                <w:highlight w:val="none"/>
                <w:lang w:eastAsia="zh-CN"/>
              </w:rPr>
              <w:t>交易发起人</w:t>
            </w:r>
            <w:r>
              <w:rPr>
                <w:rFonts w:hint="eastAsia" w:ascii="仿宋" w:hAnsi="仿宋" w:eastAsia="仿宋" w:cs="仿宋"/>
                <w:color w:val="auto"/>
                <w:spacing w:val="0"/>
                <w:w w:val="100"/>
                <w:sz w:val="24"/>
                <w:highlight w:val="none"/>
              </w:rPr>
              <w:t>、</w:t>
            </w:r>
            <w:r>
              <w:rPr>
                <w:rFonts w:hint="eastAsia" w:ascii="仿宋" w:hAnsi="仿宋" w:eastAsia="仿宋" w:cs="仿宋"/>
                <w:color w:val="auto"/>
                <w:spacing w:val="0"/>
                <w:w w:val="100"/>
                <w:sz w:val="24"/>
                <w:highlight w:val="none"/>
                <w:lang w:eastAsia="zh-CN"/>
              </w:rPr>
              <w:t>代理</w:t>
            </w:r>
            <w:r>
              <w:rPr>
                <w:rFonts w:hint="eastAsia" w:ascii="仿宋" w:hAnsi="仿宋" w:eastAsia="仿宋" w:cs="仿宋"/>
                <w:b/>
                <w:color w:val="auto"/>
                <w:spacing w:val="0"/>
                <w:w w:val="100"/>
                <w:sz w:val="24"/>
                <w:highlight w:val="none"/>
                <w:lang w:eastAsia="zh-CN"/>
              </w:rPr>
              <w:t>机构</w:t>
            </w:r>
            <w:r>
              <w:rPr>
                <w:rFonts w:hint="eastAsia" w:ascii="仿宋" w:hAnsi="仿宋" w:eastAsia="仿宋" w:cs="仿宋"/>
                <w:b/>
                <w:color w:val="auto"/>
                <w:spacing w:val="0"/>
                <w:w w:val="100"/>
                <w:sz w:val="24"/>
                <w:highlight w:val="none"/>
              </w:rPr>
              <w:t>质疑接收人、联系方式：详见公告</w:t>
            </w:r>
          </w:p>
          <w:p w14:paraId="49F554E3">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要求的质疑文件（参考附件2），请将书面材料于</w:t>
            </w:r>
            <w:r>
              <w:rPr>
                <w:rFonts w:hint="eastAsia" w:ascii="仿宋" w:hAnsi="仿宋" w:eastAsia="仿宋" w:cs="仿宋"/>
                <w:b/>
                <w:color w:val="auto"/>
                <w:sz w:val="24"/>
                <w:highlight w:val="none"/>
                <w:lang w:eastAsia="zh-CN"/>
              </w:rPr>
              <w:t>2025年</w:t>
            </w:r>
            <w:r>
              <w:rPr>
                <w:rFonts w:hint="eastAsia" w:ascii="仿宋" w:hAnsi="仿宋" w:eastAsia="仿宋" w:cs="仿宋"/>
                <w:b/>
                <w:color w:val="auto"/>
                <w:sz w:val="24"/>
                <w:highlight w:val="none"/>
                <w:lang w:val="en-US" w:eastAsia="zh-CN"/>
              </w:rPr>
              <w:t>07</w:t>
            </w:r>
            <w:r>
              <w:rPr>
                <w:rFonts w:hint="eastAsia" w:ascii="仿宋" w:hAnsi="仿宋" w:eastAsia="仿宋" w:cs="仿宋"/>
                <w:b/>
                <w:color w:val="auto"/>
                <w:sz w:val="24"/>
                <w:highlight w:val="none"/>
                <w:lang w:eastAsia="zh-CN"/>
              </w:rPr>
              <w:t>月</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lang w:eastAsia="zh-CN"/>
              </w:rPr>
              <w:t>日</w:t>
            </w:r>
            <w:r>
              <w:rPr>
                <w:rFonts w:hint="eastAsia" w:ascii="仿宋" w:hAnsi="仿宋" w:eastAsia="仿宋" w:cs="仿宋"/>
                <w:b/>
                <w:color w:val="auto"/>
                <w:sz w:val="24"/>
                <w:highlight w:val="none"/>
              </w:rPr>
              <w:t>16:00前传真或盖章扫描邮件至</w:t>
            </w:r>
            <w:r>
              <w:rPr>
                <w:rFonts w:hint="eastAsia" w:ascii="仿宋" w:hAnsi="仿宋" w:eastAsia="仿宋" w:cs="仿宋"/>
                <w:b/>
                <w:color w:val="auto"/>
                <w:sz w:val="24"/>
                <w:highlight w:val="none"/>
                <w:lang w:val="en-US" w:eastAsia="zh-CN"/>
              </w:rPr>
              <w:t>交易</w:t>
            </w:r>
            <w:r>
              <w:rPr>
                <w:rFonts w:hint="eastAsia" w:ascii="仿宋" w:hAnsi="仿宋" w:eastAsia="仿宋" w:cs="仿宋"/>
                <w:b/>
                <w:color w:val="auto"/>
                <w:sz w:val="24"/>
                <w:highlight w:val="none"/>
              </w:rPr>
              <w:t>代理机构，邮箱:</w:t>
            </w: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"mailto:3030580@qq.com" </w:instrText>
            </w:r>
            <w:r>
              <w:rPr>
                <w:rFonts w:hint="eastAsia" w:ascii="仿宋" w:hAnsi="仿宋" w:eastAsia="仿宋" w:cs="仿宋"/>
                <w:b/>
                <w:color w:val="auto"/>
                <w:sz w:val="24"/>
                <w:highlight w:val="none"/>
              </w:rPr>
              <w:fldChar w:fldCharType="separate"/>
            </w:r>
            <w:r>
              <w:rPr>
                <w:rFonts w:hint="eastAsia" w:ascii="仿宋" w:hAnsi="仿宋" w:eastAsia="仿宋" w:cs="仿宋"/>
                <w:b/>
                <w:color w:val="auto"/>
                <w:sz w:val="24"/>
                <w:highlight w:val="none"/>
              </w:rPr>
              <w:t>3030580@qq.com</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2662530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需求、评分办法及</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过程中有关现场考察或</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前答疑会事项由</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进行答复。</w:t>
            </w:r>
          </w:p>
          <w:p w14:paraId="34822467">
            <w:pPr>
              <w:pStyle w:val="32"/>
              <w:spacing w:line="240" w:lineRule="auto"/>
              <w:ind w:hanging="4"/>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rPr>
              <w:t>涉及流程组织等相关事项，由</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进行答复。</w:t>
            </w:r>
          </w:p>
        </w:tc>
      </w:tr>
      <w:tr w14:paraId="561C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545" w:type="dxa"/>
            <w:vAlign w:val="center"/>
          </w:tcPr>
          <w:p w14:paraId="23800483">
            <w:pPr>
              <w:snapToGrid w:val="0"/>
              <w:spacing w:line="24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13</w:t>
            </w:r>
          </w:p>
        </w:tc>
        <w:tc>
          <w:tcPr>
            <w:tcW w:w="1558" w:type="dxa"/>
            <w:vAlign w:val="center"/>
          </w:tcPr>
          <w:p w14:paraId="08F58792">
            <w:pPr>
              <w:snapToGrid w:val="0"/>
              <w:spacing w:line="240" w:lineRule="auto"/>
              <w:jc w:val="center"/>
              <w:rPr>
                <w:rFonts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特别说明</w:t>
            </w:r>
          </w:p>
        </w:tc>
        <w:tc>
          <w:tcPr>
            <w:tcW w:w="6430" w:type="dxa"/>
            <w:vAlign w:val="center"/>
          </w:tcPr>
          <w:p w14:paraId="1FF7AA17">
            <w:pPr>
              <w:spacing w:line="24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本项目通用总则条款与前附表等专用特别规定有冲突之处，以专用条款（特别规定）为准。</w:t>
            </w:r>
          </w:p>
          <w:p w14:paraId="7D9CAAE3">
            <w:pPr>
              <w:spacing w:line="24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val="en-US" w:eastAsia="zh-CN"/>
              </w:rPr>
              <w:t>成交</w:t>
            </w:r>
            <w:r>
              <w:rPr>
                <w:rFonts w:hint="eastAsia" w:ascii="仿宋" w:hAnsi="仿宋" w:eastAsia="仿宋" w:cs="仿宋"/>
                <w:b/>
                <w:color w:val="auto"/>
                <w:sz w:val="24"/>
                <w:highlight w:val="none"/>
                <w:shd w:val="clear" w:color="auto" w:fill="auto"/>
              </w:rPr>
              <w:t>单位在</w:t>
            </w:r>
            <w:r>
              <w:rPr>
                <w:rFonts w:hint="eastAsia" w:ascii="仿宋" w:hAnsi="仿宋" w:eastAsia="仿宋" w:cs="仿宋"/>
                <w:b/>
                <w:color w:val="auto"/>
                <w:sz w:val="24"/>
                <w:highlight w:val="none"/>
                <w:shd w:val="clear" w:color="auto" w:fill="auto"/>
                <w:lang w:val="en-US" w:eastAsia="zh-CN"/>
              </w:rPr>
              <w:t>成交</w:t>
            </w:r>
            <w:r>
              <w:rPr>
                <w:rFonts w:hint="eastAsia" w:ascii="仿宋" w:hAnsi="仿宋" w:eastAsia="仿宋" w:cs="仿宋"/>
                <w:b/>
                <w:color w:val="auto"/>
                <w:sz w:val="24"/>
                <w:highlight w:val="none"/>
                <w:shd w:val="clear" w:color="auto" w:fill="auto"/>
              </w:rPr>
              <w:t>后提供纸质</w:t>
            </w:r>
            <w:r>
              <w:rPr>
                <w:rFonts w:hint="eastAsia" w:ascii="仿宋" w:hAnsi="仿宋" w:eastAsia="仿宋" w:cs="仿宋"/>
                <w:b/>
                <w:color w:val="auto"/>
                <w:sz w:val="24"/>
                <w:highlight w:val="none"/>
                <w:shd w:val="clear" w:color="auto" w:fill="auto"/>
                <w:lang w:val="en-US" w:eastAsia="zh-CN"/>
              </w:rPr>
              <w:t>响应</w:t>
            </w:r>
            <w:r>
              <w:rPr>
                <w:rFonts w:hint="eastAsia" w:ascii="仿宋" w:hAnsi="仿宋" w:eastAsia="仿宋" w:cs="仿宋"/>
                <w:b/>
                <w:color w:val="auto"/>
                <w:sz w:val="24"/>
                <w:highlight w:val="none"/>
                <w:shd w:val="clear" w:color="auto" w:fill="auto"/>
              </w:rPr>
              <w:t>文件一正</w:t>
            </w:r>
            <w:r>
              <w:rPr>
                <w:rFonts w:hint="eastAsia" w:ascii="仿宋" w:hAnsi="仿宋" w:eastAsia="仿宋" w:cs="仿宋"/>
                <w:b/>
                <w:color w:val="auto"/>
                <w:sz w:val="24"/>
                <w:highlight w:val="none"/>
                <w:shd w:val="clear" w:color="auto" w:fill="auto"/>
                <w:lang w:val="en-US" w:eastAsia="zh-CN"/>
              </w:rPr>
              <w:t>肆</w:t>
            </w:r>
            <w:r>
              <w:rPr>
                <w:rFonts w:hint="eastAsia" w:ascii="仿宋" w:hAnsi="仿宋" w:eastAsia="仿宋" w:cs="仿宋"/>
                <w:b/>
                <w:color w:val="auto"/>
                <w:sz w:val="24"/>
                <w:highlight w:val="none"/>
                <w:shd w:val="clear" w:color="auto" w:fill="auto"/>
              </w:rPr>
              <w:t>副</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需加盖公章</w:t>
            </w:r>
            <w:r>
              <w:rPr>
                <w:rFonts w:hint="eastAsia" w:ascii="仿宋" w:hAnsi="仿宋" w:eastAsia="仿宋" w:cs="仿宋"/>
                <w:b/>
                <w:color w:val="auto"/>
                <w:sz w:val="24"/>
                <w:highlight w:val="none"/>
                <w:shd w:val="clear" w:color="auto" w:fill="auto"/>
                <w:lang w:eastAsia="zh-CN"/>
              </w:rPr>
              <w:t>）</w:t>
            </w:r>
          </w:p>
        </w:tc>
      </w:tr>
      <w:bookmarkEnd w:id="10"/>
    </w:tbl>
    <w:p w14:paraId="1FCC5CBD">
      <w:pPr>
        <w:adjustRightInd/>
        <w:spacing w:line="440" w:lineRule="exact"/>
        <w:outlineLvl w:val="0"/>
        <w:rPr>
          <w:rFonts w:hint="eastAsia" w:ascii="仿宋" w:hAnsi="仿宋" w:eastAsia="仿宋" w:cs="仿宋"/>
          <w:b/>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shd w:val="clear" w:color="auto" w:fill="auto"/>
        </w:rPr>
        <w:br w:type="page"/>
      </w:r>
      <w:r>
        <w:rPr>
          <w:rFonts w:hint="eastAsia" w:ascii="仿宋" w:hAnsi="仿宋" w:eastAsia="仿宋" w:cs="仿宋"/>
          <w:b/>
          <w:sz w:val="32"/>
          <w:szCs w:val="20"/>
          <w:highlight w:val="none"/>
        </w:rPr>
        <w:t>一、总则</w:t>
      </w:r>
    </w:p>
    <w:p w14:paraId="6B5201C4">
      <w:pPr>
        <w:snapToGrid w:val="0"/>
        <w:spacing w:line="440" w:lineRule="exact"/>
        <w:ind w:firstLine="482" w:firstLineChars="200"/>
        <w:jc w:val="left"/>
        <w:outlineLvl w:val="1"/>
        <w:rPr>
          <w:rFonts w:hint="eastAsia" w:ascii="仿宋" w:hAnsi="仿宋" w:eastAsia="仿宋" w:cs="仿宋"/>
          <w:b/>
          <w:sz w:val="24"/>
          <w:highlight w:val="none"/>
        </w:rPr>
      </w:pPr>
      <w:r>
        <w:rPr>
          <w:rFonts w:hint="eastAsia" w:ascii="仿宋" w:hAnsi="仿宋" w:eastAsia="仿宋" w:cs="仿宋"/>
          <w:b/>
          <w:sz w:val="24"/>
          <w:highlight w:val="none"/>
        </w:rPr>
        <w:t>1. 适用范围</w:t>
      </w:r>
    </w:p>
    <w:p w14:paraId="2CC02A66">
      <w:pPr>
        <w:snapToGrid w:val="0"/>
        <w:spacing w:line="44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本项目以公开竞争方式进行公开交易。本交易文件适用于该项目的交易、响应、交易会、资格审查及信用信息查询、评审、定标、合同、验收等行为（法律、法规另有规定的，从其规定）。</w:t>
      </w:r>
    </w:p>
    <w:p w14:paraId="001FA75D">
      <w:pPr>
        <w:adjustRightInd/>
        <w:spacing w:line="44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69782D8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 “交易发起人”系指交易公告中载明的本项目的交易发起人。</w:t>
      </w:r>
    </w:p>
    <w:p w14:paraId="5C7078A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 “代理机构”系指交易公告中载明的本项目的代理机构。</w:t>
      </w:r>
    </w:p>
    <w:p w14:paraId="3209E1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 “响应人”系指是指响应</w:t>
      </w:r>
      <w:r>
        <w:rPr>
          <w:rFonts w:hint="eastAsia" w:ascii="仿宋" w:hAnsi="仿宋" w:eastAsia="仿宋" w:cs="仿宋"/>
          <w:sz w:val="24"/>
          <w:highlight w:val="none"/>
          <w:lang w:eastAsia="zh-CN"/>
        </w:rPr>
        <w:t>交易</w:t>
      </w:r>
      <w:r>
        <w:rPr>
          <w:rFonts w:hint="eastAsia" w:ascii="仿宋" w:hAnsi="仿宋" w:eastAsia="仿宋" w:cs="仿宋"/>
          <w:sz w:val="24"/>
          <w:highlight w:val="none"/>
        </w:rPr>
        <w:t>、参加</w:t>
      </w:r>
      <w:r>
        <w:rPr>
          <w:rFonts w:hint="eastAsia" w:ascii="仿宋" w:hAnsi="仿宋" w:eastAsia="仿宋" w:cs="仿宋"/>
          <w:sz w:val="24"/>
          <w:highlight w:val="none"/>
          <w:lang w:eastAsia="zh-CN"/>
        </w:rPr>
        <w:t>响应</w:t>
      </w:r>
      <w:r>
        <w:rPr>
          <w:rFonts w:hint="eastAsia" w:ascii="仿宋" w:hAnsi="仿宋" w:eastAsia="仿宋" w:cs="仿宋"/>
          <w:sz w:val="24"/>
          <w:highlight w:val="none"/>
        </w:rPr>
        <w:t>竞争的法人、其他组织或者自然人。</w:t>
      </w:r>
    </w:p>
    <w:p w14:paraId="1B44BC6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645F3B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时须提供《业务专用章使用说明函》（附件1）。</w:t>
      </w:r>
    </w:p>
    <w:p w14:paraId="164567D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2.6“电子交易平台”是指本项目</w:t>
      </w:r>
      <w:r>
        <w:rPr>
          <w:rFonts w:hint="eastAsia" w:ascii="仿宋" w:hAnsi="仿宋" w:eastAsia="仿宋" w:cs="仿宋"/>
          <w:sz w:val="24"/>
          <w:highlight w:val="none"/>
          <w:lang w:eastAsia="zh-CN"/>
        </w:rPr>
        <w:t>采购</w:t>
      </w:r>
      <w:r>
        <w:rPr>
          <w:rFonts w:hint="eastAsia" w:ascii="仿宋" w:hAnsi="仿宋" w:eastAsia="仿宋" w:cs="仿宋"/>
          <w:sz w:val="24"/>
          <w:highlight w:val="none"/>
        </w:rPr>
        <w:t>活动所依托的乐采云平台（</w:t>
      </w:r>
      <w:r>
        <w:rPr>
          <w:rFonts w:hint="eastAsia" w:ascii="仿宋" w:hAnsi="仿宋" w:eastAsia="仿宋" w:cs="仿宋"/>
          <w:bCs/>
          <w:sz w:val="24"/>
          <w:highlight w:val="none"/>
        </w:rPr>
        <w:t>https://www.lecaiyun.com/</w:t>
      </w:r>
      <w:r>
        <w:rPr>
          <w:rFonts w:hint="eastAsia" w:ascii="仿宋" w:hAnsi="仿宋" w:eastAsia="仿宋" w:cs="仿宋"/>
          <w:sz w:val="24"/>
          <w:highlight w:val="none"/>
        </w:rPr>
        <w:t>）。</w:t>
      </w:r>
    </w:p>
    <w:p w14:paraId="0E443F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bCs/>
          <w:sz w:val="24"/>
          <w:highlight w:val="none"/>
        </w:rPr>
        <w:t>√</w:t>
      </w:r>
      <w:r>
        <w:rPr>
          <w:rFonts w:hint="eastAsia" w:ascii="仿宋" w:hAnsi="仿宋" w:eastAsia="仿宋" w:cs="仿宋"/>
          <w:sz w:val="24"/>
          <w:highlight w:val="none"/>
        </w:rPr>
        <w:t>）” 系指适用本项目的要求，“（  ）”系指不适用本项目的要求。</w:t>
      </w:r>
    </w:p>
    <w:p w14:paraId="47F74D63">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3.采购项目需要落实的</w:t>
      </w:r>
      <w:r>
        <w:rPr>
          <w:rFonts w:hint="eastAsia" w:ascii="仿宋" w:hAnsi="仿宋" w:eastAsia="仿宋" w:cs="仿宋"/>
          <w:b/>
          <w:sz w:val="24"/>
          <w:highlight w:val="none"/>
          <w:lang w:eastAsia="zh-CN"/>
        </w:rPr>
        <w:t>采购</w:t>
      </w:r>
      <w:r>
        <w:rPr>
          <w:rFonts w:hint="eastAsia" w:ascii="仿宋" w:hAnsi="仿宋" w:eastAsia="仿宋" w:cs="仿宋"/>
          <w:b/>
          <w:sz w:val="24"/>
          <w:highlight w:val="none"/>
        </w:rPr>
        <w:t>政策（本项目不适用）</w:t>
      </w:r>
    </w:p>
    <w:p w14:paraId="4708D06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无</w:t>
      </w:r>
    </w:p>
    <w:p w14:paraId="4F2A1ED4">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4.询问、异议、投诉</w:t>
      </w:r>
    </w:p>
    <w:p w14:paraId="2B64AFE0">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0E6F5ECB">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w:t>
      </w:r>
      <w:r>
        <w:rPr>
          <w:rFonts w:hint="eastAsia" w:ascii="仿宋" w:hAnsi="仿宋" w:eastAsia="仿宋" w:cs="仿宋"/>
          <w:kern w:val="0"/>
          <w:sz w:val="24"/>
          <w:highlight w:val="none"/>
        </w:rPr>
        <w:t>交易活动事项</w:t>
      </w:r>
      <w:r>
        <w:rPr>
          <w:rFonts w:hint="eastAsia" w:ascii="仿宋" w:hAnsi="仿宋" w:eastAsia="仿宋" w:cs="仿宋"/>
          <w:kern w:val="0"/>
          <w:sz w:val="24"/>
          <w:highlight w:val="none"/>
          <w:lang w:val="zh-CN"/>
        </w:rPr>
        <w:t>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6C7338F2">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w:t>
      </w:r>
      <w:r>
        <w:rPr>
          <w:rFonts w:hint="eastAsia" w:ascii="仿宋" w:hAnsi="仿宋" w:eastAsia="仿宋" w:cs="仿宋"/>
          <w:sz w:val="24"/>
          <w:highlight w:val="none"/>
        </w:rPr>
        <w:t>异议</w:t>
      </w:r>
    </w:p>
    <w:p w14:paraId="43FF0FFC">
      <w:pPr>
        <w:pStyle w:val="32"/>
        <w:spacing w:line="44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.1提出异议的供应商应当是参与所异议项目交易活动的供应商。潜在供应商已依法获取其可异议的交易文件的，可以对该文件提出异议。</w:t>
      </w:r>
    </w:p>
    <w:p w14:paraId="558A0E3E">
      <w:pPr>
        <w:pStyle w:val="32"/>
        <w:spacing w:line="44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交易文件、交易过程和成交结果使自己的权益受到损害的，可以在知道或者应知其权益受到损害之日起3日内，以书面形式向交易发起人或者代理机构提出质疑，否则，交易发起人或者代理机构不予受理：</w:t>
      </w:r>
    </w:p>
    <w:p w14:paraId="08293C53">
      <w:pPr>
        <w:pStyle w:val="15"/>
        <w:spacing w:line="44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4.2.2.1对交易文件提出</w:t>
      </w:r>
      <w:r>
        <w:rPr>
          <w:rFonts w:hint="eastAsia" w:ascii="仿宋" w:hAnsi="仿宋" w:eastAsia="仿宋" w:cs="仿宋"/>
          <w:color w:val="auto"/>
          <w:sz w:val="24"/>
          <w:highlight w:val="none"/>
        </w:rPr>
        <w:t>异议</w:t>
      </w:r>
      <w:r>
        <w:rPr>
          <w:rFonts w:hint="eastAsia" w:ascii="仿宋" w:hAnsi="仿宋" w:eastAsia="仿宋" w:cs="仿宋"/>
          <w:snapToGrid/>
          <w:color w:val="auto"/>
          <w:kern w:val="2"/>
          <w:sz w:val="24"/>
          <w:highlight w:val="none"/>
        </w:rPr>
        <w:t>的，</w:t>
      </w:r>
      <w:r>
        <w:rPr>
          <w:rFonts w:hint="eastAsia" w:ascii="仿宋" w:hAnsi="仿宋" w:eastAsia="仿宋" w:cs="仿宋"/>
          <w:color w:val="auto"/>
          <w:sz w:val="24"/>
          <w:highlight w:val="none"/>
        </w:rPr>
        <w:t>异议</w:t>
      </w:r>
      <w:r>
        <w:rPr>
          <w:rFonts w:hint="eastAsia" w:ascii="仿宋" w:hAnsi="仿宋" w:eastAsia="仿宋" w:cs="仿宋"/>
          <w:snapToGrid/>
          <w:color w:val="auto"/>
          <w:kern w:val="2"/>
          <w:sz w:val="24"/>
          <w:highlight w:val="none"/>
        </w:rPr>
        <w:t>期限为供应商获得交易文件之日或者交易文件公告期限届满之日起计算。</w:t>
      </w:r>
    </w:p>
    <w:p w14:paraId="60675FB5">
      <w:pPr>
        <w:pStyle w:val="32"/>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4.2.2.2对交易过程提出异议的，质疑期限为各采购程序环节结束之日起计算。对同一交易程序环节的异议，供应商须一次性提出。</w:t>
      </w:r>
    </w:p>
    <w:p w14:paraId="77682383">
      <w:pPr>
        <w:pStyle w:val="32"/>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4.2.2.3对交易结果提出异议的，异议期限自采购结果公告期限届满之日起计算。</w:t>
      </w:r>
    </w:p>
    <w:p w14:paraId="61C0D2DE">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4.2.3供应商提出</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应当提交</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函和必要的证明材料。</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函应当包括下列内容：</w:t>
      </w:r>
    </w:p>
    <w:p w14:paraId="339B1AA5">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297AB7DA">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项目的名称、编号；</w:t>
      </w:r>
    </w:p>
    <w:p w14:paraId="441E37BF">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事项和与</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事项相关的请求；</w:t>
      </w:r>
    </w:p>
    <w:p w14:paraId="29D1CEC7">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23969045">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0987A5BB">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4.2.3.6提出</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的日期。</w:t>
      </w:r>
    </w:p>
    <w:p w14:paraId="52296A44">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供应商提交的</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函需一式三份。供应商为自然人的，应当由本人签字；供应商为法人或者其他组织的，应当由法定代表人、主要负责人，或者其授权代表签字或者盖章，并加盖公章。</w:t>
      </w:r>
    </w:p>
    <w:p w14:paraId="08715E9A">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函范本及制作说明详见附件2。</w:t>
      </w:r>
    </w:p>
    <w:p w14:paraId="5BB4F877">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4.2.4交易发起人或者代理机构应当在收到供应商的书面</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后</w:t>
      </w: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日内作出答复，并以书面形式通知</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供应商和其他与</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处理结果有利害关系的</w:t>
      </w:r>
      <w:r>
        <w:rPr>
          <w:rFonts w:hint="eastAsia" w:ascii="仿宋" w:hAnsi="仿宋" w:eastAsia="仿宋" w:cs="仿宋"/>
          <w:kern w:val="0"/>
          <w:sz w:val="24"/>
          <w:highlight w:val="none"/>
        </w:rPr>
        <w:t>交易</w:t>
      </w:r>
      <w:r>
        <w:rPr>
          <w:rFonts w:hint="eastAsia" w:ascii="仿宋" w:hAnsi="仿宋" w:eastAsia="仿宋" w:cs="仿宋"/>
          <w:kern w:val="0"/>
          <w:sz w:val="24"/>
          <w:highlight w:val="none"/>
          <w:lang w:val="zh-CN"/>
        </w:rPr>
        <w:t>当事人，但答复的内容不得涉及商业秘密。</w:t>
      </w:r>
    </w:p>
    <w:p w14:paraId="7D45904E">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4.2.5询问或者</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事项可能影响</w:t>
      </w:r>
      <w:r>
        <w:rPr>
          <w:rFonts w:hint="eastAsia" w:ascii="仿宋" w:hAnsi="仿宋" w:eastAsia="仿宋" w:cs="仿宋"/>
          <w:kern w:val="0"/>
          <w:sz w:val="24"/>
          <w:highlight w:val="none"/>
        </w:rPr>
        <w:t>交易</w:t>
      </w:r>
      <w:r>
        <w:rPr>
          <w:rFonts w:hint="eastAsia" w:ascii="仿宋" w:hAnsi="仿宋" w:eastAsia="仿宋" w:cs="仿宋"/>
          <w:kern w:val="0"/>
          <w:sz w:val="24"/>
          <w:highlight w:val="none"/>
          <w:lang w:val="zh-CN"/>
        </w:rPr>
        <w:t>结果的，交易发起人应当暂停签订合同，已经签订合同的，应当中止履行合同。</w:t>
      </w:r>
    </w:p>
    <w:p w14:paraId="00CA4A01">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4.3供应商投诉</w:t>
      </w:r>
    </w:p>
    <w:p w14:paraId="56043D43">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4.3.1</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供应商对交易发起人、代理机构的答复不满意或者交易发起人、代理机构未在规定的时间内作出答复的，可以在答复期满后十五个工作日内向基层监督机构部门提出投诉。</w:t>
      </w:r>
    </w:p>
    <w:p w14:paraId="596E971B">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4.3.2供应商投诉的事项不得超出已</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事项的范围，基于</w:t>
      </w:r>
      <w:r>
        <w:rPr>
          <w:rFonts w:hint="eastAsia" w:ascii="仿宋" w:hAnsi="仿宋" w:eastAsia="仿宋" w:cs="仿宋"/>
          <w:sz w:val="24"/>
          <w:highlight w:val="none"/>
        </w:rPr>
        <w:t>异议</w:t>
      </w:r>
      <w:r>
        <w:rPr>
          <w:rFonts w:hint="eastAsia" w:ascii="仿宋" w:hAnsi="仿宋" w:eastAsia="仿宋" w:cs="仿宋"/>
          <w:kern w:val="0"/>
          <w:sz w:val="24"/>
          <w:highlight w:val="none"/>
          <w:lang w:val="zh-CN"/>
        </w:rPr>
        <w:t>答复内容提出的投诉事项除外。</w:t>
      </w:r>
    </w:p>
    <w:p w14:paraId="7D5D17BC">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4.3.3供应商投诉应当有明确的请求和必要的证明材料。</w:t>
      </w:r>
    </w:p>
    <w:p w14:paraId="5113E9C8">
      <w:pPr>
        <w:autoSpaceDE w:val="0"/>
        <w:autoSpaceDN w:val="0"/>
        <w:spacing w:line="440" w:lineRule="exact"/>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4.3.5 以联合体形式参加政府</w:t>
      </w:r>
      <w:r>
        <w:rPr>
          <w:rFonts w:hint="eastAsia" w:ascii="仿宋" w:hAnsi="仿宋" w:eastAsia="仿宋" w:cs="仿宋"/>
          <w:kern w:val="0"/>
          <w:sz w:val="24"/>
          <w:highlight w:val="none"/>
        </w:rPr>
        <w:t>交易</w:t>
      </w:r>
      <w:r>
        <w:rPr>
          <w:rFonts w:hint="eastAsia" w:ascii="仿宋" w:hAnsi="仿宋" w:eastAsia="仿宋" w:cs="仿宋"/>
          <w:kern w:val="0"/>
          <w:sz w:val="24"/>
          <w:highlight w:val="none"/>
          <w:lang w:val="zh-CN"/>
        </w:rPr>
        <w:t>活动的，其投诉应当由组成联合体的所有供应商共同提出。</w:t>
      </w:r>
    </w:p>
    <w:p w14:paraId="2EC19D15">
      <w:pPr>
        <w:autoSpaceDE w:val="0"/>
        <w:autoSpaceDN w:val="0"/>
        <w:spacing w:line="440" w:lineRule="exact"/>
        <w:ind w:firstLine="480" w:firstLineChars="200"/>
        <w:jc w:val="left"/>
        <w:rPr>
          <w:rFonts w:hint="eastAsia" w:ascii="仿宋" w:hAnsi="仿宋" w:eastAsia="仿宋" w:cs="仿宋"/>
          <w:sz w:val="18"/>
          <w:szCs w:val="18"/>
          <w:highlight w:val="none"/>
        </w:rPr>
      </w:pPr>
      <w:r>
        <w:rPr>
          <w:rFonts w:hint="eastAsia" w:ascii="仿宋" w:hAnsi="仿宋" w:eastAsia="仿宋" w:cs="仿宋"/>
          <w:kern w:val="0"/>
          <w:sz w:val="24"/>
          <w:highlight w:val="none"/>
          <w:lang w:val="zh-CN"/>
        </w:rPr>
        <w:t>投诉书范本及制作说明详见附件3。</w:t>
      </w:r>
    </w:p>
    <w:p w14:paraId="6D622DF3">
      <w:pPr>
        <w:adjustRightInd/>
        <w:spacing w:line="440" w:lineRule="exact"/>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二、交易文件的构成、澄清、修改</w:t>
      </w:r>
    </w:p>
    <w:p w14:paraId="02A6239D">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5.交易文件的构成</w:t>
      </w:r>
    </w:p>
    <w:p w14:paraId="769BDE4C">
      <w:pPr>
        <w:pStyle w:val="32"/>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 交易文件包括下列文件及附件：</w:t>
      </w:r>
    </w:p>
    <w:p w14:paraId="4DA1D0F5">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5.1.1交易公告；</w:t>
      </w:r>
    </w:p>
    <w:p w14:paraId="07394F12">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5.1.2响应人须知；</w:t>
      </w:r>
    </w:p>
    <w:p w14:paraId="38876BD7">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5.1.3交易需求；</w:t>
      </w:r>
    </w:p>
    <w:p w14:paraId="6F21774D">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5.1.4评审办法；</w:t>
      </w:r>
    </w:p>
    <w:p w14:paraId="6A01636A">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32B8124A">
      <w:pPr>
        <w:pStyle w:val="32"/>
        <w:tabs>
          <w:tab w:val="left" w:pos="840"/>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8D17B0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澄清或者修改的内容为交易文件的组成部分</w:t>
      </w:r>
      <w:r>
        <w:rPr>
          <w:rFonts w:hint="eastAsia" w:ascii="仿宋" w:hAnsi="仿宋" w:eastAsia="仿宋" w:cs="仿宋"/>
          <w:sz w:val="24"/>
          <w:highlight w:val="none"/>
        </w:rPr>
        <w:t>。</w:t>
      </w:r>
    </w:p>
    <w:p w14:paraId="33D66D04">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6.交易文件的澄清、修改</w:t>
      </w:r>
    </w:p>
    <w:p w14:paraId="49256409">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6.1已获取交易文件的潜在响应人，若有问题需要澄清，应于交易截止时间前，以书面形式向代理机构提出。</w:t>
      </w:r>
    </w:p>
    <w:p w14:paraId="48C29988">
      <w:pPr>
        <w:pStyle w:val="136"/>
        <w:snapToGrid w:val="0"/>
        <w:spacing w:before="0" w:line="440" w:lineRule="exact"/>
        <w:ind w:firstLine="480"/>
        <w:rPr>
          <w:rFonts w:hint="eastAsia" w:ascii="仿宋" w:hAnsi="仿宋" w:eastAsia="仿宋" w:cs="仿宋"/>
          <w:sz w:val="18"/>
          <w:szCs w:val="18"/>
          <w:highlight w:val="none"/>
        </w:rPr>
      </w:pPr>
      <w:r>
        <w:rPr>
          <w:rFonts w:hint="eastAsia" w:ascii="仿宋" w:hAnsi="仿宋" w:eastAsia="仿宋" w:cs="仿宋"/>
          <w:highlight w:val="none"/>
        </w:rPr>
        <w:t>6.2 代理机构对交易文件进行澄清或修改的，将同时通过电子交易平台通知已获取交易文件的潜在响应人。依法应当公告的，将按规定公告，同时视情况延长投交易截止时间和响应时间。该澄清或者修改的内容为交易文件的组成部分。</w:t>
      </w:r>
    </w:p>
    <w:p w14:paraId="0E83C277">
      <w:pPr>
        <w:adjustRightInd/>
        <w:spacing w:line="440" w:lineRule="exact"/>
        <w:jc w:val="center"/>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三、交易</w:t>
      </w:r>
    </w:p>
    <w:p w14:paraId="504FCA17">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7.交易文件的获取</w:t>
      </w:r>
    </w:p>
    <w:p w14:paraId="0A65E172">
      <w:pPr>
        <w:spacing w:line="440" w:lineRule="exact"/>
        <w:ind w:firstLine="480" w:firstLineChars="200"/>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详见交易公告中获取交易文件的时间期限、地点、方式及交易文件售价。</w:t>
      </w:r>
    </w:p>
    <w:p w14:paraId="4BC52FC1">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8.交易前答疑会或现场考察</w:t>
      </w:r>
    </w:p>
    <w:p w14:paraId="5DB89A7B">
      <w:pPr>
        <w:pStyle w:val="32"/>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交易发起人组织潜在响应人现场考察或者召开交易前答疑会的，潜在响应人按第二部分响应人须知前附表的规定参加现场考察或者交易前答疑会。</w:t>
      </w:r>
    </w:p>
    <w:p w14:paraId="69C3F23A">
      <w:pPr>
        <w:pStyle w:val="32"/>
        <w:spacing w:line="440" w:lineRule="exact"/>
        <w:ind w:firstLine="482" w:firstLineChars="200"/>
        <w:rPr>
          <w:rFonts w:hint="eastAsia" w:ascii="仿宋" w:hAnsi="仿宋" w:eastAsia="仿宋" w:cs="仿宋"/>
          <w:b/>
          <w:szCs w:val="24"/>
          <w:highlight w:val="none"/>
        </w:rPr>
      </w:pPr>
      <w:r>
        <w:rPr>
          <w:rFonts w:hint="eastAsia" w:ascii="仿宋" w:hAnsi="仿宋" w:eastAsia="仿宋" w:cs="仿宋"/>
          <w:b/>
          <w:kern w:val="28"/>
          <w:sz w:val="24"/>
          <w:szCs w:val="24"/>
          <w:highlight w:val="none"/>
        </w:rPr>
        <w:t>9.交易保证金</w:t>
      </w:r>
    </w:p>
    <w:p w14:paraId="0B99260D">
      <w:pPr>
        <w:pStyle w:val="15"/>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交易保证金缴纳要求详见第二部分 响应人须知前附表第13项。</w:t>
      </w:r>
    </w:p>
    <w:p w14:paraId="74F3B115">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10.响应文件的语言</w:t>
      </w:r>
    </w:p>
    <w:p w14:paraId="21DB849A">
      <w:pPr>
        <w:autoSpaceDE w:val="0"/>
        <w:autoSpaceDN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响应文件及响应人与交易有关的来往通知、函件和文件均应使用中文。</w:t>
      </w:r>
    </w:p>
    <w:p w14:paraId="150068A7">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11.响应文件的组成</w:t>
      </w:r>
    </w:p>
    <w:p w14:paraId="597B6D5B">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27E539DF">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11.1.1符合参加交易活动应当具备的一般条件的承诺函；</w:t>
      </w:r>
    </w:p>
    <w:p w14:paraId="6C1B8ED3">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11.1.2本项目的特定资格要求。</w:t>
      </w:r>
    </w:p>
    <w:p w14:paraId="74B9A982">
      <w:pPr>
        <w:snapToGrid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r>
        <w:rPr>
          <w:rFonts w:hint="eastAsia" w:ascii="仿宋" w:hAnsi="仿宋" w:eastAsia="仿宋" w:cs="仿宋"/>
          <w:sz w:val="24"/>
          <w:highlight w:val="none"/>
          <w:lang w:val="zh-CN"/>
        </w:rPr>
        <w:t>：</w:t>
      </w:r>
    </w:p>
    <w:p w14:paraId="07292F0B">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11.2.1响应函；</w:t>
      </w:r>
    </w:p>
    <w:p w14:paraId="0C37693A">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3CE978AA">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11.2.3符合性审查资料；</w:t>
      </w:r>
    </w:p>
    <w:p w14:paraId="4E2CA977">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11.2.4</w:t>
      </w:r>
      <w:r>
        <w:rPr>
          <w:rFonts w:hint="eastAsia" w:ascii="仿宋" w:hAnsi="仿宋" w:eastAsia="仿宋" w:cs="仿宋"/>
          <w:sz w:val="24"/>
          <w:highlight w:val="none"/>
          <w:lang w:eastAsia="zh-CN"/>
        </w:rPr>
        <w:t>评审</w:t>
      </w:r>
      <w:r>
        <w:rPr>
          <w:rFonts w:hint="eastAsia" w:ascii="仿宋" w:hAnsi="仿宋" w:eastAsia="仿宋" w:cs="仿宋"/>
          <w:sz w:val="24"/>
          <w:highlight w:val="none"/>
        </w:rPr>
        <w:t>标准相应的商务技术资料；</w:t>
      </w:r>
    </w:p>
    <w:p w14:paraId="0EBC9969">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11.2.5商务技术偏离表；</w:t>
      </w:r>
    </w:p>
    <w:p w14:paraId="5BB3A05D">
      <w:pPr>
        <w:snapToGrid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供应商廉洁自律承诺书；</w:t>
      </w:r>
    </w:p>
    <w:p w14:paraId="71ADA2A6">
      <w:pPr>
        <w:snapToGrid w:val="0"/>
        <w:spacing w:line="440" w:lineRule="exact"/>
        <w:ind w:firstLine="480" w:firstLineChars="200"/>
        <w:rPr>
          <w:rFonts w:hint="eastAsia"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p>
    <w:p w14:paraId="1829B38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11.3.1交易一览表（报价表）；</w:t>
      </w:r>
    </w:p>
    <w:p w14:paraId="5631B443">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响应文件含有交易发起人不能接受的附加条件的，交易无效；</w:t>
      </w:r>
    </w:p>
    <w:p w14:paraId="15F04571">
      <w:pPr>
        <w:spacing w:line="440" w:lineRule="exact"/>
        <w:ind w:firstLine="482" w:firstLineChars="200"/>
        <w:rPr>
          <w:rFonts w:hint="eastAsia" w:ascii="仿宋" w:hAnsi="仿宋" w:eastAsia="仿宋" w:cs="仿宋"/>
          <w:b/>
          <w:sz w:val="24"/>
          <w:szCs w:val="21"/>
          <w:highlight w:val="none"/>
        </w:rPr>
      </w:pPr>
      <w:r>
        <w:rPr>
          <w:rFonts w:hint="eastAsia" w:ascii="仿宋" w:hAnsi="仿宋" w:eastAsia="仿宋" w:cs="仿宋"/>
          <w:b/>
          <w:sz w:val="24"/>
          <w:highlight w:val="none"/>
        </w:rPr>
        <w:t>响应人提供虚假材料响应的，交易无效。</w:t>
      </w:r>
    </w:p>
    <w:p w14:paraId="69129712">
      <w:pPr>
        <w:pStyle w:val="136"/>
        <w:snapToGrid w:val="0"/>
        <w:spacing w:before="0" w:line="440" w:lineRule="exact"/>
        <w:ind w:firstLine="482"/>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w:t>
      </w:r>
      <w:r>
        <w:rPr>
          <w:rFonts w:hint="eastAsia" w:ascii="仿宋" w:hAnsi="仿宋" w:eastAsia="仿宋" w:cs="仿宋"/>
          <w:b/>
          <w:szCs w:val="24"/>
          <w:highlight w:val="none"/>
        </w:rPr>
        <w:t>响应文件的编制</w:t>
      </w:r>
    </w:p>
    <w:p w14:paraId="089F11A5">
      <w:pPr>
        <w:spacing w:line="440" w:lineRule="exact"/>
        <w:ind w:firstLine="480" w:firstLineChars="200"/>
        <w:rPr>
          <w:rFonts w:hint="eastAsia" w:ascii="仿宋" w:hAnsi="仿宋" w:eastAsia="仿宋" w:cs="仿宋"/>
          <w:b/>
          <w:sz w:val="24"/>
          <w:highlight w:val="none"/>
        </w:rPr>
      </w:pPr>
      <w:r>
        <w:rPr>
          <w:rFonts w:hint="eastAsia" w:ascii="仿宋" w:hAnsi="仿宋" w:eastAsia="仿宋" w:cs="仿宋"/>
          <w:kern w:val="0"/>
          <w:sz w:val="24"/>
          <w:highlight w:val="none"/>
          <w:lang w:val="zh-CN"/>
        </w:rPr>
        <w:t>12.1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746B60C6">
      <w:pPr>
        <w:spacing w:line="44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12.2响应人进行电子投标应安装客户端软件—“</w:t>
      </w:r>
      <w:r>
        <w:rPr>
          <w:rFonts w:hint="eastAsia" w:ascii="仿宋" w:hAnsi="仿宋" w:eastAsia="仿宋" w:cs="仿宋"/>
          <w:kern w:val="0"/>
          <w:sz w:val="24"/>
          <w:highlight w:val="none"/>
        </w:rPr>
        <w:t>乐采</w:t>
      </w:r>
      <w:r>
        <w:rPr>
          <w:rFonts w:hint="eastAsia" w:ascii="仿宋" w:hAnsi="仿宋" w:eastAsia="仿宋" w:cs="仿宋"/>
          <w:kern w:val="0"/>
          <w:sz w:val="24"/>
          <w:highlight w:val="none"/>
          <w:lang w:val="zh-CN"/>
        </w:rPr>
        <w:t>云电子交易客户端”，并按照交易文件和电子交易平台的要求编制并加密响应文件。响应人未按规定加密的响应文件，电子交易平台将拒收并提示。</w:t>
      </w:r>
    </w:p>
    <w:p w14:paraId="3F514B3E">
      <w:pPr>
        <w:spacing w:line="44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w:t>
      </w:r>
      <w:r>
        <w:rPr>
          <w:rFonts w:hint="eastAsia" w:ascii="仿宋" w:hAnsi="仿宋" w:eastAsia="仿宋" w:cs="仿宋"/>
          <w:kern w:val="0"/>
          <w:sz w:val="24"/>
          <w:highlight w:val="none"/>
        </w:rPr>
        <w:t>乐采</w:t>
      </w:r>
      <w:r>
        <w:rPr>
          <w:rFonts w:hint="eastAsia" w:ascii="仿宋" w:hAnsi="仿宋" w:eastAsia="仿宋" w:cs="仿宋"/>
          <w:kern w:val="0"/>
          <w:sz w:val="24"/>
          <w:highlight w:val="none"/>
          <w:lang w:val="zh-CN"/>
        </w:rPr>
        <w:t>云电子交易客户端”需要提前申领CA数字证书，申领流程请自行前往“</w:t>
      </w:r>
      <w:r>
        <w:rPr>
          <w:rFonts w:hint="eastAsia" w:ascii="仿宋" w:hAnsi="仿宋" w:eastAsia="仿宋" w:cs="仿宋"/>
          <w:sz w:val="24"/>
          <w:highlight w:val="none"/>
        </w:rPr>
        <w:t>浙江企业采购信息服务网-下载专区-电子交易客户端</w:t>
      </w:r>
      <w:r>
        <w:rPr>
          <w:rFonts w:hint="eastAsia" w:ascii="仿宋" w:hAnsi="仿宋" w:eastAsia="仿宋" w:cs="仿宋"/>
          <w:kern w:val="0"/>
          <w:sz w:val="24"/>
          <w:highlight w:val="none"/>
          <w:lang w:val="zh-CN"/>
        </w:rPr>
        <w:t>-CA驱动和申领流程”进行查阅。</w:t>
      </w:r>
    </w:p>
    <w:p w14:paraId="13C40315">
      <w:pPr>
        <w:snapToGrid w:val="0"/>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13.响应文件的签署、盖章</w:t>
      </w:r>
    </w:p>
    <w:p w14:paraId="786A54DD">
      <w:pPr>
        <w:pStyle w:val="136"/>
        <w:snapToGrid w:val="0"/>
        <w:spacing w:before="0" w:line="440" w:lineRule="exact"/>
        <w:ind w:firstLine="480"/>
        <w:rPr>
          <w:rFonts w:hint="eastAsia" w:ascii="仿宋" w:hAnsi="仿宋" w:eastAsia="仿宋" w:cs="仿宋"/>
          <w:b/>
          <w:highlight w:val="none"/>
        </w:rPr>
      </w:pPr>
      <w:r>
        <w:rPr>
          <w:rFonts w:hint="eastAsia" w:ascii="仿宋" w:hAnsi="仿宋" w:eastAsia="仿宋" w:cs="仿宋"/>
          <w:szCs w:val="24"/>
          <w:highlight w:val="none"/>
        </w:rPr>
        <w:t>13.1响应文件按照交易文件第六部分格式要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▲响应人的响应文件未按照交易文件要求签署、盖章的，其交易无效</w:t>
      </w:r>
      <w:r>
        <w:rPr>
          <w:rFonts w:hint="eastAsia" w:ascii="仿宋" w:hAnsi="仿宋" w:eastAsia="仿宋" w:cs="仿宋"/>
          <w:szCs w:val="24"/>
          <w:highlight w:val="none"/>
        </w:rPr>
        <w:t>。</w:t>
      </w:r>
    </w:p>
    <w:p w14:paraId="3E15EBC4">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13.2为确保网上操作合法、有效和安全，响应人应当在交易截止时间前完成在“乐采云平台”的身份认证，确保在电子交易过程中能够对相关数据电文进行加密和使用电子签名。</w:t>
      </w:r>
    </w:p>
    <w:p w14:paraId="63446595">
      <w:pPr>
        <w:pStyle w:val="136"/>
        <w:snapToGrid w:val="0"/>
        <w:spacing w:before="0" w:line="440" w:lineRule="exact"/>
        <w:ind w:firstLine="480"/>
        <w:rPr>
          <w:rFonts w:hint="eastAsia" w:ascii="仿宋" w:hAnsi="仿宋" w:eastAsia="仿宋" w:cs="仿宋"/>
          <w:szCs w:val="24"/>
          <w:highlight w:val="none"/>
        </w:rPr>
      </w:pPr>
      <w:r>
        <w:rPr>
          <w:rFonts w:hint="eastAsia" w:ascii="仿宋" w:hAnsi="仿宋" w:eastAsia="仿宋" w:cs="仿宋"/>
          <w:highlight w:val="none"/>
        </w:rPr>
        <w:t>13.3交易文件对响应文件签署、盖章的要求适用于电子签名。</w:t>
      </w:r>
    </w:p>
    <w:p w14:paraId="0DF2D093">
      <w:pPr>
        <w:pStyle w:val="136"/>
        <w:spacing w:before="0" w:line="440" w:lineRule="exact"/>
        <w:ind w:firstLine="482"/>
        <w:rPr>
          <w:rFonts w:hint="eastAsia" w:ascii="仿宋" w:hAnsi="仿宋" w:eastAsia="仿宋" w:cs="仿宋"/>
          <w:b/>
          <w:szCs w:val="24"/>
          <w:highlight w:val="none"/>
        </w:rPr>
      </w:pPr>
      <w:r>
        <w:rPr>
          <w:rFonts w:hint="eastAsia" w:ascii="仿宋" w:hAnsi="仿宋" w:eastAsia="仿宋" w:cs="仿宋"/>
          <w:b/>
          <w:szCs w:val="24"/>
          <w:highlight w:val="none"/>
        </w:rPr>
        <w:t>14.响应文件的提交、补充、修改、撤回</w:t>
      </w:r>
    </w:p>
    <w:p w14:paraId="4293EECE">
      <w:pPr>
        <w:pStyle w:val="136"/>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14.1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99E04C6">
      <w:pPr>
        <w:pStyle w:val="136"/>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627709E0">
      <w:pPr>
        <w:pStyle w:val="136"/>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14.3交易发起人、代理机构可以视情况延长响应文件提交的截止时间。在上述情况下，代理机构与响应人以前在交易截止期方面的全部权利、责任和义务，将适用于延长至新的</w:t>
      </w:r>
      <w:r>
        <w:rPr>
          <w:rFonts w:hint="eastAsia" w:ascii="仿宋" w:hAnsi="仿宋" w:eastAsia="仿宋" w:cs="仿宋"/>
          <w:szCs w:val="24"/>
          <w:highlight w:val="none"/>
          <w:lang w:eastAsia="zh-CN"/>
        </w:rPr>
        <w:t>响应</w:t>
      </w:r>
      <w:r>
        <w:rPr>
          <w:rFonts w:hint="eastAsia" w:ascii="仿宋" w:hAnsi="仿宋" w:eastAsia="仿宋" w:cs="仿宋"/>
          <w:szCs w:val="24"/>
          <w:highlight w:val="none"/>
        </w:rPr>
        <w:t>截止期。</w:t>
      </w:r>
    </w:p>
    <w:p w14:paraId="3861DD83">
      <w:pPr>
        <w:pStyle w:val="32"/>
        <w:spacing w:line="44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15.备份响应文件</w:t>
      </w:r>
    </w:p>
    <w:p w14:paraId="49C4A199">
      <w:pPr>
        <w:pStyle w:val="32"/>
        <w:spacing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kern w:val="28"/>
          <w:sz w:val="24"/>
          <w:szCs w:val="24"/>
          <w:highlight w:val="none"/>
        </w:rPr>
        <w:t>不收取备份响应文件。</w:t>
      </w:r>
    </w:p>
    <w:p w14:paraId="48820F28">
      <w:pPr>
        <w:pStyle w:val="136"/>
        <w:spacing w:before="0" w:line="440" w:lineRule="exact"/>
        <w:ind w:firstLine="482"/>
        <w:rPr>
          <w:rFonts w:hint="eastAsia" w:ascii="仿宋" w:hAnsi="仿宋" w:eastAsia="仿宋" w:cs="仿宋"/>
          <w:b/>
          <w:szCs w:val="24"/>
          <w:highlight w:val="none"/>
        </w:rPr>
      </w:pPr>
      <w:r>
        <w:rPr>
          <w:rFonts w:hint="eastAsia" w:ascii="仿宋" w:hAnsi="仿宋" w:eastAsia="仿宋" w:cs="仿宋"/>
          <w:b/>
          <w:szCs w:val="24"/>
          <w:highlight w:val="none"/>
        </w:rPr>
        <w:t>16.响应文件的无效处理</w:t>
      </w:r>
    </w:p>
    <w:p w14:paraId="6CEA624A">
      <w:pPr>
        <w:pStyle w:val="24"/>
        <w:spacing w:line="440" w:lineRule="exact"/>
        <w:rPr>
          <w:rFonts w:hint="eastAsia" w:ascii="仿宋" w:hAnsi="仿宋" w:eastAsia="仿宋" w:cs="仿宋"/>
          <w:szCs w:val="21"/>
          <w:highlight w:val="none"/>
        </w:rPr>
      </w:pPr>
      <w:r>
        <w:rPr>
          <w:rFonts w:hint="eastAsia" w:ascii="仿宋" w:hAnsi="仿宋" w:eastAsia="仿宋" w:cs="仿宋"/>
          <w:szCs w:val="21"/>
          <w:highlight w:val="none"/>
        </w:rPr>
        <w:t>有交易文件第四部分</w:t>
      </w:r>
      <w:r>
        <w:rPr>
          <w:rFonts w:hint="eastAsia" w:ascii="仿宋" w:hAnsi="仿宋" w:eastAsia="仿宋" w:cs="仿宋"/>
          <w:highlight w:val="none"/>
        </w:rPr>
        <w:t>4.2规定</w:t>
      </w:r>
      <w:r>
        <w:rPr>
          <w:rFonts w:hint="eastAsia" w:ascii="仿宋" w:hAnsi="仿宋" w:eastAsia="仿宋" w:cs="仿宋"/>
          <w:szCs w:val="21"/>
          <w:highlight w:val="none"/>
        </w:rPr>
        <w:t>的情形之一的，交易无效：</w:t>
      </w:r>
    </w:p>
    <w:p w14:paraId="63BD59B5">
      <w:pPr>
        <w:pStyle w:val="136"/>
        <w:spacing w:before="0" w:line="440" w:lineRule="exact"/>
        <w:ind w:firstLine="482"/>
        <w:rPr>
          <w:rFonts w:hint="eastAsia" w:ascii="仿宋" w:hAnsi="仿宋" w:eastAsia="仿宋" w:cs="仿宋"/>
          <w:b/>
          <w:szCs w:val="24"/>
          <w:highlight w:val="none"/>
        </w:rPr>
      </w:pPr>
      <w:r>
        <w:rPr>
          <w:rFonts w:hint="eastAsia" w:ascii="仿宋" w:hAnsi="仿宋" w:eastAsia="仿宋" w:cs="仿宋"/>
          <w:b/>
          <w:szCs w:val="24"/>
          <w:highlight w:val="none"/>
        </w:rPr>
        <w:t>17.交易有效期</w:t>
      </w:r>
    </w:p>
    <w:p w14:paraId="199A743E">
      <w:pPr>
        <w:spacing w:line="440" w:lineRule="exact"/>
        <w:ind w:firstLine="480" w:firstLineChars="200"/>
        <w:rPr>
          <w:rFonts w:hint="eastAsia" w:ascii="仿宋" w:hAnsi="仿宋" w:eastAsia="仿宋" w:cs="仿宋"/>
          <w:b/>
          <w:sz w:val="24"/>
          <w:szCs w:val="21"/>
          <w:highlight w:val="none"/>
        </w:rPr>
      </w:pPr>
      <w:r>
        <w:rPr>
          <w:rFonts w:hint="eastAsia" w:ascii="仿宋" w:hAnsi="仿宋" w:eastAsia="仿宋" w:cs="仿宋"/>
          <w:sz w:val="24"/>
          <w:szCs w:val="20"/>
          <w:highlight w:val="none"/>
        </w:rPr>
        <w:t>17.1交易有效期为从提交响应文件的截止之日起90天。▲</w:t>
      </w:r>
      <w:r>
        <w:rPr>
          <w:rFonts w:hint="eastAsia" w:ascii="仿宋" w:hAnsi="仿宋" w:eastAsia="仿宋" w:cs="仿宋"/>
          <w:b/>
          <w:sz w:val="24"/>
          <w:szCs w:val="20"/>
          <w:highlight w:val="none"/>
        </w:rPr>
        <w:t>响应人的响应文件中承</w:t>
      </w:r>
      <w:r>
        <w:rPr>
          <w:rFonts w:hint="eastAsia" w:ascii="仿宋" w:hAnsi="仿宋" w:eastAsia="仿宋" w:cs="仿宋"/>
          <w:b/>
          <w:sz w:val="24"/>
          <w:szCs w:val="21"/>
          <w:highlight w:val="none"/>
        </w:rPr>
        <w:t>诺的</w:t>
      </w:r>
      <w:r>
        <w:rPr>
          <w:rFonts w:hint="eastAsia" w:ascii="仿宋" w:hAnsi="仿宋" w:eastAsia="仿宋" w:cs="仿宋"/>
          <w:b/>
          <w:sz w:val="24"/>
          <w:szCs w:val="21"/>
          <w:highlight w:val="none"/>
          <w:lang w:eastAsia="zh-CN"/>
        </w:rPr>
        <w:t>响应</w:t>
      </w:r>
      <w:r>
        <w:rPr>
          <w:rFonts w:hint="eastAsia" w:ascii="仿宋" w:hAnsi="仿宋" w:eastAsia="仿宋" w:cs="仿宋"/>
          <w:b/>
          <w:sz w:val="24"/>
          <w:szCs w:val="21"/>
          <w:highlight w:val="none"/>
        </w:rPr>
        <w:t>有效期少于交易文件中载明的交易有效期的，交易无效。</w:t>
      </w:r>
    </w:p>
    <w:p w14:paraId="1D5BF13F">
      <w:pPr>
        <w:pStyle w:val="136"/>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17.2响应文件合格投递后，自交易截止日期起，在交易有效期内有效。</w:t>
      </w:r>
    </w:p>
    <w:p w14:paraId="6A7D2D26">
      <w:pPr>
        <w:pStyle w:val="136"/>
        <w:spacing w:before="0" w:line="440" w:lineRule="exact"/>
        <w:ind w:firstLine="480"/>
        <w:rPr>
          <w:rFonts w:hint="eastAsia" w:ascii="仿宋" w:hAnsi="仿宋" w:eastAsia="仿宋" w:cs="仿宋"/>
          <w:b/>
          <w:sz w:val="32"/>
          <w:highlight w:val="none"/>
        </w:rPr>
      </w:pPr>
      <w:r>
        <w:rPr>
          <w:rFonts w:hint="eastAsia" w:ascii="仿宋" w:hAnsi="仿宋" w:eastAsia="仿宋" w:cs="仿宋"/>
          <w:highlight w:val="none"/>
        </w:rPr>
        <w:t>17.3在原定</w:t>
      </w:r>
      <w:r>
        <w:rPr>
          <w:rFonts w:hint="eastAsia" w:ascii="仿宋" w:hAnsi="仿宋" w:eastAsia="仿宋" w:cs="仿宋"/>
          <w:highlight w:val="none"/>
          <w:lang w:eastAsia="zh-CN"/>
        </w:rPr>
        <w:t>响应</w:t>
      </w:r>
      <w:r>
        <w:rPr>
          <w:rFonts w:hint="eastAsia" w:ascii="仿宋" w:hAnsi="仿宋" w:eastAsia="仿宋" w:cs="仿宋"/>
          <w:highlight w:val="none"/>
        </w:rPr>
        <w:t>有效期满之前，如果出现特殊情况，代理机构可以以书面形式通知响应人延长交易有效期。响应人同意延长的，不得要求或被允许修改其响应文件，响应人拒绝延长的，其交易无效。</w:t>
      </w:r>
    </w:p>
    <w:p w14:paraId="73785B12">
      <w:pPr>
        <w:pStyle w:val="136"/>
        <w:spacing w:before="0" w:line="440" w:lineRule="exact"/>
        <w:ind w:firstLine="0" w:firstLineChars="0"/>
        <w:jc w:val="center"/>
        <w:rPr>
          <w:rFonts w:hint="eastAsia" w:ascii="仿宋" w:hAnsi="仿宋" w:eastAsia="仿宋" w:cs="仿宋"/>
          <w:b/>
          <w:sz w:val="32"/>
          <w:highlight w:val="none"/>
        </w:rPr>
      </w:pPr>
      <w:r>
        <w:rPr>
          <w:rFonts w:hint="eastAsia" w:ascii="仿宋" w:hAnsi="仿宋" w:eastAsia="仿宋" w:cs="仿宋"/>
          <w:b/>
          <w:sz w:val="32"/>
          <w:highlight w:val="none"/>
        </w:rPr>
        <w:t>四、交易、资格审查与信用信息查询</w:t>
      </w:r>
    </w:p>
    <w:p w14:paraId="5F8A0048">
      <w:pPr>
        <w:pStyle w:val="558"/>
        <w:spacing w:before="0" w:line="440" w:lineRule="exact"/>
        <w:ind w:left="0" w:firstLine="482" w:firstLineChars="200"/>
        <w:contextualSpacing/>
        <w:rPr>
          <w:rFonts w:hint="eastAsia" w:ascii="仿宋" w:hAnsi="仿宋" w:eastAsia="仿宋" w:cs="仿宋"/>
          <w:sz w:val="24"/>
          <w:highlight w:val="none"/>
        </w:rPr>
      </w:pPr>
      <w:r>
        <w:rPr>
          <w:rFonts w:hint="eastAsia" w:ascii="仿宋" w:hAnsi="仿宋" w:eastAsia="仿宋" w:cs="仿宋"/>
          <w:b/>
          <w:sz w:val="24"/>
          <w:szCs w:val="24"/>
          <w:highlight w:val="none"/>
        </w:rPr>
        <w:t>18.交易</w:t>
      </w:r>
      <w:r>
        <w:rPr>
          <w:rFonts w:hint="eastAsia" w:ascii="仿宋" w:hAnsi="仿宋" w:eastAsia="仿宋" w:cs="仿宋"/>
          <w:sz w:val="24"/>
          <w:highlight w:val="none"/>
        </w:rPr>
        <w:t xml:space="preserve"> </w:t>
      </w:r>
    </w:p>
    <w:p w14:paraId="428066F6">
      <w:pPr>
        <w:pStyle w:val="558"/>
        <w:spacing w:before="0" w:line="440" w:lineRule="exact"/>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18.1代理机构按照交易文件规定的时间通过电子交易平台组织交易会，所有响应人均应当准时在线参加。响应人不足</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家的，不得</w:t>
      </w:r>
      <w:r>
        <w:rPr>
          <w:rFonts w:hint="eastAsia" w:ascii="仿宋" w:hAnsi="仿宋" w:eastAsia="仿宋" w:cs="仿宋"/>
          <w:sz w:val="24"/>
          <w:highlight w:val="none"/>
          <w:lang w:eastAsia="zh-CN"/>
        </w:rPr>
        <w:t>交易</w:t>
      </w:r>
      <w:r>
        <w:rPr>
          <w:rFonts w:hint="eastAsia" w:ascii="仿宋" w:hAnsi="仿宋" w:eastAsia="仿宋" w:cs="仿宋"/>
          <w:sz w:val="24"/>
          <w:highlight w:val="none"/>
        </w:rPr>
        <w:t>。</w:t>
      </w:r>
    </w:p>
    <w:p w14:paraId="6B9942CC">
      <w:pPr>
        <w:pStyle w:val="558"/>
        <w:spacing w:before="0" w:line="440" w:lineRule="exact"/>
        <w:ind w:left="0" w:firstLine="480" w:firstLineChars="200"/>
        <w:contextualSpacing/>
        <w:rPr>
          <w:rFonts w:hint="eastAsia" w:ascii="仿宋" w:hAnsi="仿宋" w:eastAsia="仿宋" w:cs="仿宋"/>
          <w:sz w:val="24"/>
          <w:highlight w:val="none"/>
        </w:rPr>
      </w:pPr>
      <w:r>
        <w:rPr>
          <w:rFonts w:hint="eastAsia" w:ascii="仿宋" w:hAnsi="仿宋" w:eastAsia="仿宋" w:cs="仿宋"/>
          <w:sz w:val="24"/>
          <w:highlight w:val="none"/>
        </w:rPr>
        <w:t>18.2交易时，电子交易平台按交易时间自动提取所有响应文件。代理机构依托电子交易平台发起开始解密指令，响应人按照平台提示和交易文件的规定在半小时内完成在线解密。</w:t>
      </w:r>
    </w:p>
    <w:p w14:paraId="70291B37">
      <w:pPr>
        <w:pStyle w:val="558"/>
        <w:spacing w:before="0" w:line="440" w:lineRule="exact"/>
        <w:ind w:left="0" w:firstLine="480" w:firstLineChars="200"/>
        <w:contextualSpacing/>
        <w:rPr>
          <w:rFonts w:hint="eastAsia" w:ascii="仿宋" w:hAnsi="仿宋" w:eastAsia="仿宋" w:cs="仿宋"/>
          <w:b/>
          <w:sz w:val="24"/>
          <w:highlight w:val="none"/>
        </w:rPr>
      </w:pPr>
      <w:r>
        <w:rPr>
          <w:rFonts w:hint="eastAsia" w:ascii="仿宋" w:hAnsi="仿宋" w:eastAsia="仿宋" w:cs="仿宋"/>
          <w:sz w:val="24"/>
          <w:highlight w:val="none"/>
        </w:rPr>
        <w:t>18.3</w:t>
      </w:r>
      <w:r>
        <w:rPr>
          <w:rFonts w:hint="eastAsia" w:ascii="仿宋" w:hAnsi="仿宋" w:eastAsia="仿宋" w:cs="仿宋"/>
          <w:b/>
          <w:sz w:val="24"/>
          <w:highlight w:val="none"/>
        </w:rPr>
        <w:t>响应文件未按时解密，视为响应文件撤回。</w:t>
      </w:r>
    </w:p>
    <w:p w14:paraId="60FAF531">
      <w:pPr>
        <w:widowControl/>
        <w:spacing w:line="440" w:lineRule="exact"/>
        <w:ind w:firstLine="482" w:firstLineChars="200"/>
        <w:jc w:val="left"/>
        <w:rPr>
          <w:rFonts w:hint="eastAsia" w:ascii="仿宋" w:hAnsi="仿宋" w:eastAsia="仿宋" w:cs="仿宋"/>
          <w:b/>
          <w:sz w:val="24"/>
          <w:szCs w:val="20"/>
          <w:highlight w:val="none"/>
        </w:rPr>
      </w:pPr>
      <w:r>
        <w:rPr>
          <w:rFonts w:hint="eastAsia" w:ascii="仿宋" w:hAnsi="仿宋" w:eastAsia="仿宋" w:cs="仿宋"/>
          <w:b/>
          <w:sz w:val="24"/>
          <w:szCs w:val="20"/>
          <w:highlight w:val="none"/>
        </w:rPr>
        <w:t>19.资格审查</w:t>
      </w:r>
    </w:p>
    <w:p w14:paraId="2989B3DD">
      <w:pPr>
        <w:pStyle w:val="136"/>
        <w:spacing w:before="0" w:line="440" w:lineRule="exact"/>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19.1交易后，交易发起人或代理机构将依法对响应人的资格进行审查。</w:t>
      </w:r>
    </w:p>
    <w:p w14:paraId="1714055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交易发起人或代理机构依据法律法规和交易文件的规定，对响应人的基本资格条件、特定资格条件进行审查。</w:t>
      </w:r>
    </w:p>
    <w:p w14:paraId="64D59DC3">
      <w:pPr>
        <w:pStyle w:val="136"/>
        <w:spacing w:before="0" w:line="440" w:lineRule="exact"/>
        <w:ind w:firstLine="480"/>
        <w:rPr>
          <w:rFonts w:hint="eastAsia" w:ascii="仿宋" w:hAnsi="仿宋" w:eastAsia="仿宋" w:cs="仿宋"/>
          <w:highlight w:val="none"/>
        </w:rPr>
      </w:pPr>
      <w:r>
        <w:rPr>
          <w:rFonts w:hint="eastAsia" w:ascii="仿宋" w:hAnsi="仿宋" w:eastAsia="仿宋" w:cs="仿宋"/>
          <w:kern w:val="0"/>
          <w:szCs w:val="24"/>
          <w:highlight w:val="none"/>
        </w:rPr>
        <w:t>19.3响应人未按照交易文件要求提供与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响应人不具备交易文件中规定的资格要求，其交易无效。</w:t>
      </w:r>
    </w:p>
    <w:p w14:paraId="4874C970">
      <w:pPr>
        <w:pStyle w:val="136"/>
        <w:spacing w:before="0" w:line="440" w:lineRule="exact"/>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4对未通过资格审查的响应人，交易发起人或代理机构告知其未通过的原因。</w:t>
      </w:r>
    </w:p>
    <w:p w14:paraId="1A466FD6">
      <w:pPr>
        <w:pStyle w:val="136"/>
        <w:spacing w:before="0" w:line="440" w:lineRule="exact"/>
        <w:ind w:firstLine="480"/>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5合格响应人不足</w:t>
      </w:r>
      <w:r>
        <w:rPr>
          <w:rFonts w:hint="eastAsia" w:ascii="仿宋" w:hAnsi="仿宋" w:eastAsia="仿宋" w:cs="仿宋"/>
          <w:highlight w:val="none"/>
          <w:lang w:val="en-US" w:eastAsia="zh-CN"/>
        </w:rPr>
        <w:t>9</w:t>
      </w:r>
      <w:r>
        <w:rPr>
          <w:rFonts w:hint="eastAsia" w:ascii="仿宋" w:hAnsi="仿宋" w:eastAsia="仿宋" w:cs="仿宋"/>
          <w:highlight w:val="none"/>
        </w:rPr>
        <w:t>家的，不再</w:t>
      </w:r>
      <w:r>
        <w:rPr>
          <w:rFonts w:hint="eastAsia" w:ascii="仿宋" w:hAnsi="仿宋" w:eastAsia="仿宋" w:cs="仿宋"/>
          <w:highlight w:val="none"/>
          <w:lang w:eastAsia="zh-CN"/>
        </w:rPr>
        <w:t>评审</w:t>
      </w:r>
      <w:r>
        <w:rPr>
          <w:rFonts w:hint="eastAsia" w:ascii="仿宋" w:hAnsi="仿宋" w:eastAsia="仿宋" w:cs="仿宋"/>
          <w:highlight w:val="none"/>
        </w:rPr>
        <w:t>。</w:t>
      </w:r>
    </w:p>
    <w:p w14:paraId="4842FEA4">
      <w:pPr>
        <w:pStyle w:val="136"/>
        <w:spacing w:before="0" w:line="440" w:lineRule="exact"/>
        <w:ind w:firstLine="482"/>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7EC01FCA">
      <w:pPr>
        <w:pStyle w:val="136"/>
        <w:spacing w:before="0" w:line="440" w:lineRule="exact"/>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20.1信用信息查询渠道及截止时间：代理机构将通过“信用中国”网站(www.creditchina.gov.cn)、中国政府采购网(www.ccgp.gov.cn)渠道查询响应人</w:t>
      </w:r>
      <w:r>
        <w:rPr>
          <w:rFonts w:hint="eastAsia" w:ascii="仿宋" w:hAnsi="仿宋" w:eastAsia="仿宋" w:cs="仿宋"/>
          <w:kern w:val="0"/>
          <w:szCs w:val="24"/>
          <w:highlight w:val="none"/>
          <w:lang w:eastAsia="zh-CN"/>
        </w:rPr>
        <w:t>响应</w:t>
      </w:r>
      <w:r>
        <w:rPr>
          <w:rFonts w:hint="eastAsia" w:ascii="仿宋" w:hAnsi="仿宋" w:eastAsia="仿宋" w:cs="仿宋"/>
          <w:kern w:val="0"/>
          <w:szCs w:val="24"/>
          <w:highlight w:val="none"/>
        </w:rPr>
        <w:t>截止时间当天的信用记录。</w:t>
      </w:r>
    </w:p>
    <w:p w14:paraId="60F11270">
      <w:pPr>
        <w:pStyle w:val="136"/>
        <w:spacing w:before="0" w:line="440" w:lineRule="exact"/>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20.2信用信息查询记录和证据留存的具体方式：现场查询的响应人的信用记录、查询结果经确认后将与交易文件一起存档。</w:t>
      </w:r>
    </w:p>
    <w:p w14:paraId="2D184F25">
      <w:pPr>
        <w:pStyle w:val="136"/>
        <w:spacing w:before="0" w:line="440" w:lineRule="exact"/>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20.3信用信息的使用规则：经查询列入失信被执行人名单、重大税收违法案件当事人名单、政府采购严重违法失信行为记录名单的响应人将被拒绝参与政府采购活动。</w:t>
      </w:r>
    </w:p>
    <w:p w14:paraId="127BFEE0">
      <w:pPr>
        <w:pStyle w:val="136"/>
        <w:spacing w:before="0" w:line="440" w:lineRule="exact"/>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w:t>
      </w:r>
      <w:r>
        <w:rPr>
          <w:rFonts w:hint="eastAsia" w:ascii="仿宋" w:hAnsi="仿宋" w:eastAsia="仿宋" w:cs="仿宋"/>
          <w:kern w:val="0"/>
          <w:szCs w:val="24"/>
          <w:highlight w:val="none"/>
          <w:lang w:eastAsia="zh-CN"/>
        </w:rPr>
        <w:t>采购</w:t>
      </w:r>
      <w:r>
        <w:rPr>
          <w:rFonts w:hint="eastAsia" w:ascii="仿宋" w:hAnsi="仿宋" w:eastAsia="仿宋" w:cs="仿宋"/>
          <w:kern w:val="0"/>
          <w:szCs w:val="24"/>
          <w:highlight w:val="none"/>
        </w:rPr>
        <w:t>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75BC5516">
      <w:pPr>
        <w:snapToGrid w:val="0"/>
        <w:spacing w:line="440" w:lineRule="exact"/>
        <w:jc w:val="center"/>
        <w:outlineLvl w:val="0"/>
        <w:rPr>
          <w:rFonts w:hint="eastAsia" w:ascii="仿宋" w:hAnsi="仿宋" w:eastAsia="仿宋" w:cs="仿宋"/>
          <w:b/>
          <w:sz w:val="36"/>
          <w:szCs w:val="36"/>
          <w:highlight w:val="none"/>
          <w:lang w:eastAsia="zh-CN"/>
        </w:rPr>
      </w:pPr>
      <w:r>
        <w:rPr>
          <w:rFonts w:hint="eastAsia" w:ascii="仿宋" w:hAnsi="仿宋" w:eastAsia="仿宋" w:cs="仿宋"/>
          <w:b/>
          <w:sz w:val="36"/>
          <w:szCs w:val="36"/>
          <w:highlight w:val="none"/>
        </w:rPr>
        <w:t>五、</w:t>
      </w:r>
      <w:r>
        <w:rPr>
          <w:rFonts w:hint="eastAsia" w:ascii="仿宋" w:hAnsi="仿宋" w:eastAsia="仿宋" w:cs="仿宋"/>
          <w:b/>
          <w:sz w:val="36"/>
          <w:szCs w:val="36"/>
          <w:highlight w:val="none"/>
          <w:lang w:eastAsia="zh-CN"/>
        </w:rPr>
        <w:t>评审</w:t>
      </w:r>
    </w:p>
    <w:p w14:paraId="06656708">
      <w:pPr>
        <w:spacing w:line="4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w:t>
      </w:r>
      <w:r>
        <w:rPr>
          <w:rFonts w:hint="eastAsia" w:ascii="仿宋" w:hAnsi="仿宋" w:eastAsia="仿宋" w:cs="仿宋"/>
          <w:sz w:val="24"/>
          <w:highlight w:val="none"/>
          <w:lang w:eastAsia="zh-CN"/>
        </w:rPr>
        <w:t>评审</w:t>
      </w:r>
      <w:r>
        <w:rPr>
          <w:rFonts w:hint="eastAsia" w:ascii="仿宋" w:hAnsi="仿宋" w:eastAsia="仿宋" w:cs="仿宋"/>
          <w:sz w:val="24"/>
          <w:highlight w:val="none"/>
        </w:rPr>
        <w:t>委员会将根据交易文件和有关规定，履行</w:t>
      </w:r>
      <w:r>
        <w:rPr>
          <w:rFonts w:hint="eastAsia" w:ascii="仿宋" w:hAnsi="仿宋" w:eastAsia="仿宋" w:cs="仿宋"/>
          <w:sz w:val="24"/>
          <w:highlight w:val="none"/>
          <w:lang w:eastAsia="zh-CN"/>
        </w:rPr>
        <w:t>评审</w:t>
      </w:r>
      <w:r>
        <w:rPr>
          <w:rFonts w:hint="eastAsia" w:ascii="仿宋" w:hAnsi="仿宋" w:eastAsia="仿宋" w:cs="仿宋"/>
          <w:sz w:val="24"/>
          <w:highlight w:val="none"/>
        </w:rPr>
        <w:t>工作职责，并按照</w:t>
      </w:r>
      <w:r>
        <w:rPr>
          <w:rFonts w:hint="eastAsia" w:ascii="仿宋" w:hAnsi="仿宋" w:eastAsia="仿宋" w:cs="仿宋"/>
          <w:sz w:val="24"/>
          <w:highlight w:val="none"/>
          <w:lang w:eastAsia="zh-CN"/>
        </w:rPr>
        <w:t>评审</w:t>
      </w:r>
      <w:r>
        <w:rPr>
          <w:rFonts w:hint="eastAsia" w:ascii="仿宋" w:hAnsi="仿宋" w:eastAsia="仿宋" w:cs="仿宋"/>
          <w:sz w:val="24"/>
          <w:highlight w:val="none"/>
        </w:rPr>
        <w:t>方法及评分标准，全面衡量各响应人对交易文件的响应情况。对实质上响应交易文件的响应人，按照评审因素的量化指标排出推荐成交的响应人的先后顺序，并按顺序提出授标建议。</w:t>
      </w:r>
      <w:r>
        <w:rPr>
          <w:rFonts w:hint="eastAsia" w:ascii="仿宋" w:hAnsi="仿宋" w:eastAsia="仿宋" w:cs="仿宋"/>
          <w:b/>
          <w:sz w:val="24"/>
          <w:highlight w:val="none"/>
        </w:rPr>
        <w:t>详见交易文件第四部分评审办法。</w:t>
      </w:r>
    </w:p>
    <w:p w14:paraId="26F8B750">
      <w:pPr>
        <w:snapToGrid w:val="0"/>
        <w:spacing w:line="440" w:lineRule="exact"/>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六、定 标</w:t>
      </w:r>
    </w:p>
    <w:p w14:paraId="3B292A7F">
      <w:pPr>
        <w:pStyle w:val="24"/>
        <w:spacing w:line="440" w:lineRule="exact"/>
        <w:ind w:firstLine="482"/>
        <w:rPr>
          <w:rFonts w:hint="eastAsia" w:ascii="仿宋" w:hAnsi="仿宋" w:eastAsia="仿宋" w:cs="仿宋"/>
          <w:b/>
          <w:highlight w:val="none"/>
        </w:rPr>
      </w:pPr>
      <w:r>
        <w:rPr>
          <w:rFonts w:hint="eastAsia" w:ascii="仿宋" w:hAnsi="仿宋" w:eastAsia="仿宋" w:cs="仿宋"/>
          <w:b/>
          <w:highlight w:val="none"/>
        </w:rPr>
        <w:t>22.确定成交供应商</w:t>
      </w:r>
    </w:p>
    <w:p w14:paraId="148962D2">
      <w:pPr>
        <w:pStyle w:val="136"/>
        <w:snapToGrid w:val="0"/>
        <w:spacing w:before="0" w:line="440" w:lineRule="exact"/>
        <w:ind w:firstLine="480"/>
        <w:rPr>
          <w:rFonts w:hint="eastAsia" w:ascii="仿宋" w:hAnsi="仿宋" w:eastAsia="仿宋" w:cs="仿宋"/>
          <w:b/>
          <w:szCs w:val="24"/>
          <w:highlight w:val="none"/>
        </w:rPr>
      </w:pPr>
      <w:r>
        <w:rPr>
          <w:rFonts w:hint="eastAsia" w:ascii="仿宋" w:hAnsi="仿宋" w:eastAsia="仿宋" w:cs="仿宋"/>
          <w:szCs w:val="24"/>
          <w:highlight w:val="none"/>
        </w:rPr>
        <w:t>交易发起人将自收到评审报告之日起5个工作日内通过电子交易平台在评审报告推荐的成交候选人中按顺序确定成交供应商。</w:t>
      </w:r>
    </w:p>
    <w:p w14:paraId="2AAE2918">
      <w:pPr>
        <w:pStyle w:val="136"/>
        <w:snapToGrid w:val="0"/>
        <w:spacing w:before="0" w:line="440" w:lineRule="exact"/>
        <w:ind w:firstLine="482"/>
        <w:rPr>
          <w:rFonts w:hint="eastAsia" w:ascii="仿宋" w:hAnsi="仿宋" w:eastAsia="仿宋" w:cs="仿宋"/>
          <w:b/>
          <w:szCs w:val="24"/>
          <w:highlight w:val="none"/>
        </w:rPr>
      </w:pPr>
      <w:r>
        <w:rPr>
          <w:rFonts w:hint="eastAsia" w:ascii="仿宋" w:hAnsi="仿宋" w:eastAsia="仿宋" w:cs="仿宋"/>
          <w:b/>
          <w:szCs w:val="24"/>
          <w:highlight w:val="none"/>
        </w:rPr>
        <w:t>23.成交通知与成交结果公告</w:t>
      </w:r>
    </w:p>
    <w:p w14:paraId="20AF9B5B">
      <w:pPr>
        <w:pStyle w:val="136"/>
        <w:snapToGrid w:val="0"/>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23.1自成交人确定之日起2个工作日内，代理机构通过电子交易平台向成交人发出成交通知书，同时编制发布采购成交公告。代理机构也可以以纸质形式进行成交通知。</w:t>
      </w:r>
    </w:p>
    <w:p w14:paraId="624AFC04">
      <w:pPr>
        <w:pStyle w:val="136"/>
        <w:snapToGrid w:val="0"/>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23.2成交结果公告内容包括交易发起人及其委托的代理机构的名称、地址、联系方式，项目名称和项目编号，成交人名称、地址和成交金额。</w:t>
      </w:r>
    </w:p>
    <w:p w14:paraId="56F7CC00">
      <w:pPr>
        <w:pStyle w:val="136"/>
        <w:snapToGrid w:val="0"/>
        <w:spacing w:before="0" w:line="44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23.3公告期限为1个工作日。</w:t>
      </w:r>
    </w:p>
    <w:p w14:paraId="3C0350F5">
      <w:pPr>
        <w:snapToGrid w:val="0"/>
        <w:spacing w:line="440" w:lineRule="exact"/>
        <w:jc w:val="center"/>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39B85C0C">
      <w:pPr>
        <w:pStyle w:val="24"/>
        <w:spacing w:line="440" w:lineRule="exact"/>
        <w:ind w:firstLine="482"/>
        <w:rPr>
          <w:rFonts w:hint="eastAsia" w:ascii="仿宋" w:hAnsi="仿宋" w:eastAsia="仿宋" w:cs="仿宋"/>
          <w:b/>
          <w:highlight w:val="none"/>
        </w:rPr>
      </w:pPr>
      <w:r>
        <w:rPr>
          <w:rFonts w:hint="eastAsia" w:ascii="仿宋" w:hAnsi="仿宋" w:eastAsia="仿宋" w:cs="仿宋"/>
          <w:b/>
          <w:highlight w:val="none"/>
        </w:rPr>
        <w:t>24.</w:t>
      </w:r>
      <w:r>
        <w:rPr>
          <w:rFonts w:hint="eastAsia" w:ascii="仿宋" w:hAnsi="仿宋" w:eastAsia="仿宋" w:cs="仿宋"/>
          <w:highlight w:val="none"/>
        </w:rPr>
        <w:t>合同主要条款详见第五部分拟签订的合同文本。</w:t>
      </w:r>
    </w:p>
    <w:p w14:paraId="02E74F97">
      <w:pPr>
        <w:pStyle w:val="24"/>
        <w:spacing w:line="440" w:lineRule="exact"/>
        <w:ind w:firstLine="482"/>
        <w:rPr>
          <w:rFonts w:hint="eastAsia" w:ascii="仿宋" w:hAnsi="仿宋" w:eastAsia="仿宋" w:cs="仿宋"/>
          <w:b/>
          <w:highlight w:val="none"/>
        </w:rPr>
      </w:pPr>
      <w:r>
        <w:rPr>
          <w:rFonts w:hint="eastAsia" w:ascii="仿宋" w:hAnsi="仿宋" w:eastAsia="仿宋" w:cs="仿宋"/>
          <w:b/>
          <w:highlight w:val="none"/>
        </w:rPr>
        <w:t>25.合同的签订</w:t>
      </w:r>
    </w:p>
    <w:p w14:paraId="1388AE49">
      <w:pPr>
        <w:pStyle w:val="136"/>
        <w:snapToGrid w:val="0"/>
        <w:spacing w:before="0" w:line="440" w:lineRule="exact"/>
        <w:ind w:firstLine="480"/>
        <w:rPr>
          <w:rFonts w:hint="eastAsia" w:ascii="仿宋" w:hAnsi="仿宋" w:eastAsia="仿宋" w:cs="仿宋"/>
          <w:kern w:val="0"/>
          <w:highlight w:val="none"/>
          <w:lang w:val="zh-CN"/>
        </w:rPr>
      </w:pPr>
      <w:r>
        <w:rPr>
          <w:rFonts w:hint="eastAsia" w:ascii="仿宋" w:hAnsi="仿宋" w:eastAsia="仿宋" w:cs="仿宋"/>
          <w:kern w:val="0"/>
          <w:highlight w:val="none"/>
          <w:lang w:val="zh-CN"/>
        </w:rPr>
        <w:t>25.1 交易发起人与成交人应当通过电子交易平台在成交通知书发出之日起</w:t>
      </w:r>
      <w:r>
        <w:rPr>
          <w:rFonts w:hint="eastAsia" w:ascii="仿宋" w:hAnsi="仿宋" w:eastAsia="仿宋" w:cs="仿宋"/>
          <w:kern w:val="0"/>
          <w:highlight w:val="none"/>
        </w:rPr>
        <w:t>三</w:t>
      </w:r>
      <w:r>
        <w:rPr>
          <w:rFonts w:hint="eastAsia" w:ascii="仿宋" w:hAnsi="仿宋" w:eastAsia="仿宋" w:cs="仿宋"/>
          <w:kern w:val="0"/>
          <w:highlight w:val="none"/>
          <w:lang w:val="zh-CN"/>
        </w:rPr>
        <w:t>十日内，按照交易文件确定的事项签订</w:t>
      </w:r>
      <w:r>
        <w:rPr>
          <w:rFonts w:hint="eastAsia" w:ascii="仿宋" w:hAnsi="仿宋" w:eastAsia="仿宋" w:cs="仿宋"/>
          <w:kern w:val="0"/>
          <w:highlight w:val="none"/>
        </w:rPr>
        <w:t>书面</w:t>
      </w:r>
      <w:r>
        <w:rPr>
          <w:rFonts w:hint="eastAsia" w:ascii="仿宋" w:hAnsi="仿宋" w:eastAsia="仿宋" w:cs="仿宋"/>
          <w:kern w:val="0"/>
          <w:highlight w:val="none"/>
          <w:lang w:val="zh-CN"/>
        </w:rPr>
        <w:t>合同。</w:t>
      </w:r>
    </w:p>
    <w:p w14:paraId="34C1C1BC">
      <w:pPr>
        <w:pStyle w:val="136"/>
        <w:snapToGrid w:val="0"/>
        <w:spacing w:before="0" w:line="440" w:lineRule="exact"/>
        <w:ind w:firstLine="480"/>
        <w:rPr>
          <w:rFonts w:hint="eastAsia" w:ascii="仿宋" w:hAnsi="仿宋" w:eastAsia="仿宋" w:cs="仿宋"/>
          <w:kern w:val="0"/>
          <w:highlight w:val="none"/>
        </w:rPr>
      </w:pPr>
      <w:r>
        <w:rPr>
          <w:rFonts w:hint="eastAsia" w:ascii="仿宋" w:hAnsi="仿宋" w:eastAsia="仿宋" w:cs="仿宋"/>
          <w:kern w:val="0"/>
          <w:highlight w:val="none"/>
          <w:lang w:val="zh-CN"/>
        </w:rPr>
        <w:t>25.2成交人按规定的日期、时间、地点，由法定代表人或其授权代表与交易发起人代表签订合同。如成交人为联合体的，由联合体成员各方法定代表人或其授权代表与交易发起人代表签订合同。</w:t>
      </w:r>
    </w:p>
    <w:p w14:paraId="2BF801E9">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4D5E0C6B">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25.4成交供应商拒绝与交易发起人签订合同的，交易发起人可以按照评审报告推荐的成交或者成交候选人名单排序，确定下一候选人为成交供应商，也可以重新开展交易活动。</w:t>
      </w:r>
    </w:p>
    <w:p w14:paraId="5F26BD28">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25.5书面合同由交易发起人与成交供应商根据交易文件、响应文件等内容签订。</w:t>
      </w:r>
    </w:p>
    <w:p w14:paraId="72E7BE6E">
      <w:pPr>
        <w:pStyle w:val="24"/>
        <w:spacing w:line="440" w:lineRule="exact"/>
        <w:ind w:firstLine="482"/>
        <w:rPr>
          <w:rFonts w:hint="eastAsia" w:ascii="仿宋" w:hAnsi="仿宋" w:eastAsia="仿宋" w:cs="仿宋"/>
          <w:b/>
          <w:highlight w:val="none"/>
        </w:rPr>
      </w:pPr>
      <w:r>
        <w:rPr>
          <w:rFonts w:hint="eastAsia" w:ascii="仿宋" w:hAnsi="仿宋" w:eastAsia="仿宋" w:cs="仿宋"/>
          <w:b/>
          <w:highlight w:val="none"/>
        </w:rPr>
        <w:t>26.履约保证金</w:t>
      </w:r>
    </w:p>
    <w:p w14:paraId="336BB82B">
      <w:pPr>
        <w:spacing w:line="440" w:lineRule="exact"/>
        <w:ind w:firstLine="480" w:firstLineChars="200"/>
        <w:rPr>
          <w:rFonts w:hint="eastAsia" w:ascii="仿宋" w:hAnsi="仿宋" w:eastAsia="仿宋" w:cs="仿宋"/>
          <w:sz w:val="24"/>
          <w:szCs w:val="20"/>
          <w:highlight w:val="none"/>
        </w:rPr>
      </w:pPr>
      <w:r>
        <w:rPr>
          <w:rFonts w:hint="eastAsia" w:ascii="仿宋" w:hAnsi="仿宋" w:eastAsia="仿宋" w:cs="仿宋"/>
          <w:kern w:val="0"/>
          <w:sz w:val="24"/>
          <w:highlight w:val="none"/>
        </w:rPr>
        <w:t>拟</w:t>
      </w:r>
      <w:r>
        <w:rPr>
          <w:rFonts w:hint="eastAsia" w:ascii="仿宋" w:hAnsi="仿宋" w:eastAsia="仿宋" w:cs="仿宋"/>
          <w:sz w:val="24"/>
          <w:szCs w:val="20"/>
          <w:highlight w:val="none"/>
        </w:rPr>
        <w:t>签订的合同文本要求成交供应商提交履约保证金的，供应商应当以支票、汇票、本票或者金融机构、担保机构出具的保函等非现金形式提交。履约保证金的数额不得超过</w:t>
      </w:r>
      <w:r>
        <w:rPr>
          <w:rFonts w:hint="eastAsia" w:ascii="仿宋" w:hAnsi="仿宋" w:eastAsia="仿宋" w:cs="仿宋"/>
          <w:sz w:val="24"/>
          <w:szCs w:val="20"/>
          <w:highlight w:val="none"/>
          <w:lang w:eastAsia="zh-CN"/>
        </w:rPr>
        <w:t>采购</w:t>
      </w:r>
      <w:r>
        <w:rPr>
          <w:rFonts w:hint="eastAsia" w:ascii="仿宋" w:hAnsi="仿宋" w:eastAsia="仿宋" w:cs="仿宋"/>
          <w:sz w:val="24"/>
          <w:szCs w:val="20"/>
          <w:highlight w:val="none"/>
        </w:rPr>
        <w:t>合同金额的1%。鼓励和支持供应商以银行、保险公司出具的保函形式提供履约保证金。交易发起人不得拒收履约保函，项目验收结束后应及时退还。</w:t>
      </w:r>
    </w:p>
    <w:p w14:paraId="051BABE9">
      <w:pPr>
        <w:snapToGrid w:val="0"/>
        <w:spacing w:line="440" w:lineRule="exact"/>
        <w:jc w:val="center"/>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55FA3726">
      <w:pPr>
        <w:pStyle w:val="136"/>
        <w:snapToGrid w:val="0"/>
        <w:spacing w:before="0" w:line="440" w:lineRule="exact"/>
        <w:ind w:firstLine="482"/>
        <w:rPr>
          <w:rFonts w:hint="eastAsia"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7.</w:t>
      </w:r>
      <w:r>
        <w:rPr>
          <w:rFonts w:hint="eastAsia" w:ascii="仿宋" w:hAnsi="仿宋" w:eastAsia="仿宋" w:cs="仿宋"/>
          <w:b/>
          <w:szCs w:val="24"/>
          <w:highlight w:val="none"/>
        </w:rPr>
        <w:t>电子交易活动的中止。</w:t>
      </w:r>
      <w:r>
        <w:rPr>
          <w:rFonts w:hint="eastAsia" w:ascii="仿宋" w:hAnsi="仿宋" w:eastAsia="仿宋" w:cs="仿宋"/>
          <w:highlight w:val="none"/>
        </w:rPr>
        <w:t>交易过程中出现以下情形，导致电子交易平台无法正常运行，或者无法保证电子交易的公平、公正和安全时，代理机构可中止电子交易活动：</w:t>
      </w:r>
    </w:p>
    <w:p w14:paraId="4C56B3DE">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54B9E881">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66B5BBC7">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7E93C441">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6DFC1D73">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09193F01">
      <w:pPr>
        <w:pStyle w:val="136"/>
        <w:snapToGrid w:val="0"/>
        <w:spacing w:before="0" w:line="440" w:lineRule="exact"/>
        <w:ind w:firstLine="480"/>
        <w:rPr>
          <w:rFonts w:hint="eastAsia" w:ascii="仿宋" w:hAnsi="仿宋" w:eastAsia="仿宋" w:cs="仿宋"/>
          <w:highlight w:val="none"/>
        </w:rPr>
      </w:pPr>
      <w:r>
        <w:rPr>
          <w:rFonts w:hint="eastAsia" w:ascii="仿宋" w:hAnsi="仿宋" w:eastAsia="仿宋" w:cs="仿宋"/>
          <w:highlight w:val="none"/>
        </w:rPr>
        <w:t>28.出现以上情形，不影响交易公平、公正性的，代理机构可以待上述情形消除后继续组织电子交易活动，也可以决定某些环节以纸质形式进行；影响或可能影响交易公平、公正性的，应当重新交易。</w:t>
      </w:r>
    </w:p>
    <w:p w14:paraId="6BB75C87">
      <w:pPr>
        <w:snapToGrid w:val="0"/>
        <w:spacing w:line="440" w:lineRule="exact"/>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508F507A">
      <w:pPr>
        <w:pStyle w:val="24"/>
        <w:spacing w:line="440" w:lineRule="exact"/>
        <w:ind w:firstLine="482"/>
        <w:rPr>
          <w:rFonts w:hint="eastAsia" w:ascii="仿宋" w:hAnsi="仿宋" w:eastAsia="仿宋" w:cs="仿宋"/>
          <w:b/>
          <w:highlight w:val="none"/>
        </w:rPr>
      </w:pPr>
      <w:r>
        <w:rPr>
          <w:rFonts w:hint="eastAsia" w:ascii="仿宋" w:hAnsi="仿宋" w:eastAsia="仿宋" w:cs="仿宋"/>
          <w:b/>
          <w:highlight w:val="none"/>
        </w:rPr>
        <w:t>29.验收</w:t>
      </w:r>
    </w:p>
    <w:p w14:paraId="7AB6A2C8">
      <w:pPr>
        <w:tabs>
          <w:tab w:val="left" w:pos="0"/>
        </w:tabs>
        <w:spacing w:line="44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29.1交易发起人应当组织对供应商履约的验收。</w:t>
      </w:r>
    </w:p>
    <w:p w14:paraId="500470A0">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bookmarkEnd w:id="11"/>
    <w:bookmarkEnd w:id="12"/>
    <w:p w14:paraId="1F3D0726">
      <w:pPr>
        <w:jc w:val="center"/>
        <w:rPr>
          <w:rFonts w:ascii="仿宋" w:hAnsi="仿宋" w:eastAsia="仿宋" w:cs="仿宋"/>
          <w:b/>
          <w:color w:val="auto"/>
          <w:sz w:val="36"/>
          <w:szCs w:val="36"/>
          <w:highlight w:val="none"/>
          <w:shd w:val="clear" w:color="auto" w:fill="auto"/>
        </w:rPr>
      </w:pPr>
      <w:bookmarkStart w:id="13" w:name="第四部分"/>
      <w:r>
        <w:rPr>
          <w:rFonts w:hint="eastAsia" w:ascii="仿宋" w:hAnsi="仿宋" w:eastAsia="仿宋" w:cs="仿宋"/>
          <w:b/>
          <w:color w:val="auto"/>
          <w:sz w:val="36"/>
          <w:szCs w:val="36"/>
          <w:highlight w:val="none"/>
          <w:shd w:val="clear" w:color="auto" w:fill="auto"/>
        </w:rPr>
        <w:t xml:space="preserve">第三部分   </w:t>
      </w:r>
      <w:r>
        <w:rPr>
          <w:rFonts w:hint="eastAsia" w:ascii="仿宋" w:hAnsi="仿宋" w:eastAsia="仿宋" w:cs="仿宋"/>
          <w:b/>
          <w:color w:val="auto"/>
          <w:sz w:val="36"/>
          <w:szCs w:val="36"/>
          <w:highlight w:val="none"/>
          <w:shd w:val="clear" w:color="auto" w:fill="auto"/>
          <w:lang w:val="en-US" w:eastAsia="zh-CN"/>
        </w:rPr>
        <w:t>交易</w:t>
      </w:r>
      <w:r>
        <w:rPr>
          <w:rFonts w:hint="eastAsia" w:ascii="仿宋" w:hAnsi="仿宋" w:eastAsia="仿宋" w:cs="仿宋"/>
          <w:b/>
          <w:color w:val="auto"/>
          <w:sz w:val="36"/>
          <w:szCs w:val="36"/>
          <w:highlight w:val="none"/>
          <w:shd w:val="clear" w:color="auto" w:fill="auto"/>
        </w:rPr>
        <w:t>需求</w:t>
      </w:r>
    </w:p>
    <w:p w14:paraId="26FDAB36">
      <w:pPr>
        <w:snapToGrid w:val="0"/>
        <w:spacing w:line="360" w:lineRule="auto"/>
        <w:jc w:val="center"/>
        <w:rPr>
          <w:rFonts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属于实质性要求条款的，请用符号“▲”标明，否则属于非实质性要求。</w:t>
      </w:r>
    </w:p>
    <w:p w14:paraId="0DD9C8E4">
      <w:pPr>
        <w:snapToGrid w:val="0"/>
        <w:spacing w:line="360" w:lineRule="auto"/>
        <w:ind w:firstLine="281" w:firstLineChars="100"/>
        <w:jc w:val="center"/>
        <w:rPr>
          <w:rFonts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一、</w:t>
      </w:r>
      <w:r>
        <w:rPr>
          <w:rFonts w:hint="eastAsia" w:ascii="仿宋" w:hAnsi="仿宋" w:eastAsia="仿宋" w:cs="仿宋"/>
          <w:b/>
          <w:bCs/>
          <w:color w:val="auto"/>
          <w:sz w:val="28"/>
          <w:szCs w:val="28"/>
          <w:highlight w:val="none"/>
          <w:shd w:val="clear" w:color="auto" w:fill="auto"/>
          <w:lang w:val="en-US" w:eastAsia="zh-CN"/>
        </w:rPr>
        <w:t>交易</w:t>
      </w:r>
      <w:r>
        <w:rPr>
          <w:rFonts w:hint="eastAsia" w:ascii="仿宋" w:hAnsi="仿宋" w:eastAsia="仿宋" w:cs="仿宋"/>
          <w:b/>
          <w:bCs/>
          <w:color w:val="auto"/>
          <w:sz w:val="28"/>
          <w:szCs w:val="28"/>
          <w:highlight w:val="none"/>
          <w:shd w:val="clear" w:color="auto" w:fill="auto"/>
        </w:rPr>
        <w:t>一览表</w:t>
      </w:r>
    </w:p>
    <w:tbl>
      <w:tblPr>
        <w:tblStyle w:val="62"/>
        <w:tblpPr w:leftFromText="180" w:rightFromText="180" w:vertAnchor="text" w:tblpXSpec="center" w:tblpY="1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3371"/>
        <w:gridCol w:w="1685"/>
        <w:gridCol w:w="849"/>
        <w:gridCol w:w="880"/>
        <w:gridCol w:w="1045"/>
      </w:tblGrid>
      <w:tr w14:paraId="1687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04" w:type="pct"/>
            <w:vAlign w:val="center"/>
          </w:tcPr>
          <w:p w14:paraId="39447BD6">
            <w:pPr>
              <w:widowControl/>
              <w:jc w:val="center"/>
              <w:rPr>
                <w:rFonts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标项</w:t>
            </w:r>
          </w:p>
        </w:tc>
        <w:tc>
          <w:tcPr>
            <w:tcW w:w="1977" w:type="pct"/>
            <w:vAlign w:val="center"/>
          </w:tcPr>
          <w:p w14:paraId="114C975C">
            <w:pPr>
              <w:widowControl/>
              <w:jc w:val="center"/>
              <w:rPr>
                <w:rFonts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名称</w:t>
            </w:r>
          </w:p>
        </w:tc>
        <w:tc>
          <w:tcPr>
            <w:tcW w:w="988" w:type="pct"/>
            <w:vAlign w:val="center"/>
          </w:tcPr>
          <w:p w14:paraId="25C64BBB">
            <w:pPr>
              <w:widowControl/>
              <w:jc w:val="center"/>
              <w:rPr>
                <w:rFonts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具体服务及技术要求</w:t>
            </w:r>
          </w:p>
        </w:tc>
        <w:tc>
          <w:tcPr>
            <w:tcW w:w="498" w:type="pct"/>
            <w:vAlign w:val="center"/>
          </w:tcPr>
          <w:p w14:paraId="4C3B11CD">
            <w:pPr>
              <w:widowControl/>
              <w:jc w:val="center"/>
              <w:rPr>
                <w:rFonts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数量</w:t>
            </w:r>
          </w:p>
        </w:tc>
        <w:tc>
          <w:tcPr>
            <w:tcW w:w="516" w:type="pct"/>
            <w:vAlign w:val="center"/>
          </w:tcPr>
          <w:p w14:paraId="38014081">
            <w:pPr>
              <w:widowControl/>
              <w:jc w:val="center"/>
              <w:rPr>
                <w:rFonts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单位</w:t>
            </w:r>
          </w:p>
        </w:tc>
        <w:tc>
          <w:tcPr>
            <w:tcW w:w="613" w:type="pct"/>
            <w:vAlign w:val="center"/>
          </w:tcPr>
          <w:p w14:paraId="66A3B590">
            <w:pPr>
              <w:widowControl/>
              <w:jc w:val="center"/>
              <w:rPr>
                <w:rFonts w:ascii="仿宋" w:hAnsi="仿宋" w:eastAsia="仿宋" w:cs="仿宋"/>
                <w:b/>
                <w:bCs/>
                <w:color w:val="auto"/>
                <w:kern w:val="0"/>
                <w:sz w:val="24"/>
                <w:highlight w:val="none"/>
                <w:shd w:val="clear" w:color="auto" w:fill="auto"/>
                <w:lang w:val="zh-CN"/>
              </w:rPr>
            </w:pPr>
            <w:r>
              <w:rPr>
                <w:rFonts w:hint="eastAsia" w:ascii="仿宋" w:hAnsi="仿宋" w:eastAsia="仿宋" w:cs="仿宋"/>
                <w:b/>
                <w:bCs/>
                <w:color w:val="auto"/>
                <w:kern w:val="0"/>
                <w:sz w:val="24"/>
                <w:highlight w:val="none"/>
                <w:shd w:val="clear" w:color="auto" w:fill="auto"/>
                <w:lang w:val="zh-CN"/>
              </w:rPr>
              <w:t>备注</w:t>
            </w:r>
          </w:p>
        </w:tc>
      </w:tr>
      <w:tr w14:paraId="56E3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04" w:type="pct"/>
            <w:vAlign w:val="center"/>
          </w:tcPr>
          <w:p w14:paraId="7D952047">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1977" w:type="pct"/>
            <w:vAlign w:val="center"/>
          </w:tcPr>
          <w:p w14:paraId="40186C67">
            <w:pPr>
              <w:widowControl/>
              <w:jc w:val="center"/>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lang w:eastAsia="zh-CN"/>
              </w:rPr>
              <w:t>杭州钱江世纪城城市综合服务有限公司2025-2026年度联合体投标及项目合作单位库采购项目(房建物业类)</w:t>
            </w:r>
          </w:p>
        </w:tc>
        <w:tc>
          <w:tcPr>
            <w:tcW w:w="988" w:type="pct"/>
            <w:vAlign w:val="center"/>
          </w:tcPr>
          <w:p w14:paraId="39568012">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详见</w:t>
            </w:r>
            <w:r>
              <w:rPr>
                <w:rFonts w:hint="eastAsia" w:ascii="仿宋" w:hAnsi="仿宋" w:eastAsia="仿宋" w:cs="仿宋"/>
                <w:color w:val="auto"/>
                <w:kern w:val="0"/>
                <w:sz w:val="24"/>
                <w:highlight w:val="none"/>
                <w:shd w:val="clear" w:color="auto" w:fill="auto"/>
                <w:lang w:val="en-US" w:eastAsia="zh-CN"/>
              </w:rPr>
              <w:t>交易</w:t>
            </w:r>
            <w:r>
              <w:rPr>
                <w:rFonts w:hint="eastAsia" w:ascii="仿宋" w:hAnsi="仿宋" w:eastAsia="仿宋" w:cs="仿宋"/>
                <w:color w:val="auto"/>
                <w:kern w:val="0"/>
                <w:sz w:val="24"/>
                <w:highlight w:val="none"/>
                <w:shd w:val="clear" w:color="auto" w:fill="auto"/>
              </w:rPr>
              <w:t>需求</w:t>
            </w:r>
          </w:p>
        </w:tc>
        <w:tc>
          <w:tcPr>
            <w:tcW w:w="498" w:type="pct"/>
            <w:vAlign w:val="center"/>
          </w:tcPr>
          <w:p w14:paraId="74F7AFD5">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516" w:type="pct"/>
            <w:vAlign w:val="center"/>
          </w:tcPr>
          <w:p w14:paraId="61184D96">
            <w:pPr>
              <w:widowControl/>
              <w:jc w:val="center"/>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lang w:val="en-US" w:eastAsia="zh-CN"/>
              </w:rPr>
              <w:t>项</w:t>
            </w:r>
          </w:p>
        </w:tc>
        <w:tc>
          <w:tcPr>
            <w:tcW w:w="613" w:type="pct"/>
            <w:vAlign w:val="center"/>
          </w:tcPr>
          <w:p w14:paraId="0DC36687">
            <w:pPr>
              <w:widowControl/>
              <w:jc w:val="center"/>
              <w:rPr>
                <w:rFonts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选聘服务单位</w:t>
            </w:r>
            <w:r>
              <w:rPr>
                <w:rFonts w:hint="eastAsia" w:ascii="仿宋" w:hAnsi="仿宋" w:eastAsia="仿宋" w:cs="仿宋"/>
                <w:color w:val="auto"/>
                <w:kern w:val="0"/>
                <w:sz w:val="24"/>
                <w:highlight w:val="none"/>
                <w:shd w:val="clear" w:color="auto" w:fill="auto"/>
                <w:lang w:val="en-US" w:eastAsia="zh-CN"/>
              </w:rPr>
              <w:t>7</w:t>
            </w:r>
            <w:r>
              <w:rPr>
                <w:rFonts w:hint="eastAsia" w:ascii="仿宋" w:hAnsi="仿宋" w:eastAsia="仿宋" w:cs="仿宋"/>
                <w:color w:val="auto"/>
                <w:kern w:val="0"/>
                <w:sz w:val="24"/>
                <w:highlight w:val="none"/>
                <w:shd w:val="clear" w:color="auto" w:fill="auto"/>
              </w:rPr>
              <w:t>家，服务期</w:t>
            </w:r>
            <w:r>
              <w:rPr>
                <w:rFonts w:hint="eastAsia" w:ascii="仿宋" w:hAnsi="仿宋" w:eastAsia="仿宋" w:cs="仿宋"/>
                <w:color w:val="auto"/>
                <w:kern w:val="0"/>
                <w:sz w:val="24"/>
                <w:highlight w:val="none"/>
                <w:shd w:val="clear" w:color="auto" w:fill="auto"/>
                <w:lang w:val="en-US" w:eastAsia="zh-CN"/>
              </w:rPr>
              <w:t>1</w:t>
            </w:r>
            <w:r>
              <w:rPr>
                <w:rFonts w:hint="eastAsia" w:ascii="仿宋" w:hAnsi="仿宋" w:eastAsia="仿宋" w:cs="仿宋"/>
                <w:color w:val="auto"/>
                <w:kern w:val="0"/>
                <w:sz w:val="24"/>
                <w:highlight w:val="none"/>
                <w:shd w:val="clear" w:color="auto" w:fill="auto"/>
              </w:rPr>
              <w:t>年</w:t>
            </w:r>
          </w:p>
        </w:tc>
      </w:tr>
    </w:tbl>
    <w:p w14:paraId="034009C2">
      <w:pPr>
        <w:spacing w:line="360" w:lineRule="auto"/>
        <w:ind w:firstLine="281" w:firstLineChars="100"/>
        <w:jc w:val="center"/>
        <w:rPr>
          <w:rFonts w:ascii="仿宋" w:hAnsi="仿宋" w:eastAsia="仿宋" w:cs="仿宋"/>
          <w:b/>
          <w:color w:val="auto"/>
          <w:sz w:val="28"/>
          <w:szCs w:val="28"/>
          <w:highlight w:val="none"/>
          <w:shd w:val="clear" w:color="auto" w:fill="auto"/>
        </w:rPr>
      </w:pPr>
    </w:p>
    <w:p w14:paraId="4C647C96">
      <w:pPr>
        <w:snapToGrid w:val="0"/>
        <w:spacing w:line="360" w:lineRule="auto"/>
        <w:ind w:left="0" w:leftChars="0" w:firstLine="0" w:firstLineChars="0"/>
        <w:jc w:val="center"/>
        <w:rPr>
          <w:rFonts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二、</w:t>
      </w:r>
      <w:r>
        <w:rPr>
          <w:rFonts w:hint="eastAsia" w:ascii="仿宋" w:hAnsi="仿宋" w:eastAsia="仿宋" w:cs="仿宋"/>
          <w:b/>
          <w:bCs/>
          <w:color w:val="auto"/>
          <w:sz w:val="28"/>
          <w:szCs w:val="28"/>
          <w:highlight w:val="none"/>
          <w:shd w:val="clear" w:color="auto" w:fill="auto"/>
          <w:lang w:val="en-US" w:eastAsia="zh-CN"/>
        </w:rPr>
        <w:t>交易</w:t>
      </w:r>
      <w:r>
        <w:rPr>
          <w:rFonts w:hint="eastAsia" w:ascii="仿宋" w:hAnsi="仿宋" w:eastAsia="仿宋" w:cs="仿宋"/>
          <w:b/>
          <w:bCs/>
          <w:color w:val="auto"/>
          <w:sz w:val="28"/>
          <w:szCs w:val="28"/>
          <w:highlight w:val="none"/>
          <w:shd w:val="clear" w:color="auto" w:fill="auto"/>
        </w:rPr>
        <w:t>需求</w:t>
      </w:r>
    </w:p>
    <w:p w14:paraId="1F4794F8">
      <w:pPr>
        <w:pStyle w:val="6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技术需求</w:t>
      </w:r>
    </w:p>
    <w:p w14:paraId="305731DF">
      <w:pPr>
        <w:pStyle w:val="60"/>
        <w:rPr>
          <w:rFonts w:ascii="仿宋" w:hAnsi="仿宋" w:eastAsia="仿宋" w:cs="仿宋"/>
          <w:b/>
          <w:szCs w:val="24"/>
          <w:highlight w:val="none"/>
        </w:rPr>
      </w:pPr>
      <w:r>
        <w:rPr>
          <w:rFonts w:hint="eastAsia" w:ascii="仿宋" w:hAnsi="仿宋" w:eastAsia="仿宋" w:cs="仿宋"/>
          <w:b/>
          <w:szCs w:val="24"/>
          <w:highlight w:val="none"/>
        </w:rPr>
        <w:t>项目技术范围和服务要求（</w:t>
      </w:r>
      <w:r>
        <w:rPr>
          <w:rFonts w:hint="eastAsia" w:ascii="仿宋" w:hAnsi="仿宋" w:eastAsia="仿宋" w:cs="仿宋"/>
          <w:b/>
          <w:szCs w:val="24"/>
          <w:highlight w:val="none"/>
          <w:lang w:val="en-US"/>
        </w:rPr>
        <w:t>以下要求为基本要求，最终服务要求以实际投标项目为准</w:t>
      </w:r>
      <w:r>
        <w:rPr>
          <w:rFonts w:hint="eastAsia" w:ascii="仿宋" w:hAnsi="仿宋" w:eastAsia="仿宋" w:cs="仿宋"/>
          <w:b/>
          <w:szCs w:val="24"/>
          <w:highlight w:val="none"/>
        </w:rPr>
        <w:t>）：</w:t>
      </w:r>
    </w:p>
    <w:p w14:paraId="71A3005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1、本次交易包括以下几方面的内容：</w:t>
      </w:r>
    </w:p>
    <w:p w14:paraId="43701D8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包括但不仅限于联合体投标及项目的保洁、保安、环境卫生、绿化、水电及房屋养护维修和采购单位交办的其他工作等。</w:t>
      </w:r>
    </w:p>
    <w:p w14:paraId="1E57AD4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2、项目技术范围和服务要求：</w:t>
      </w:r>
    </w:p>
    <w:p w14:paraId="7E7C696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2、1联合体投标要求</w:t>
      </w:r>
    </w:p>
    <w:p w14:paraId="475B393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1）前期准备</w:t>
      </w:r>
    </w:p>
    <w:p w14:paraId="3D92FD1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1.明确联合体成员的角色和分工，确定各自的责任和义务。</w:t>
      </w:r>
    </w:p>
    <w:p w14:paraId="24762BB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2.对联合体成员进行资质审查，确保每个成员都符合招标文件中的要求</w:t>
      </w:r>
    </w:p>
    <w:p w14:paraId="554CB0F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3.制定详细的工作计划和时间表，明确各项任务的完成时间和责任人。</w:t>
      </w:r>
    </w:p>
    <w:p w14:paraId="7DAFC3B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4.对招标文件进行仔细研究，了解投标要求、技术规范、评分标准等内容.</w:t>
      </w:r>
    </w:p>
    <w:p w14:paraId="75E085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5.确定联合体成员之间的沟通方式和协作方式，建立有效的沟通渠道。</w:t>
      </w:r>
    </w:p>
    <w:p w14:paraId="615AD55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2）投标文件编制</w:t>
      </w:r>
    </w:p>
    <w:p w14:paraId="3E1CEAB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1.根据招标文件要求，编制完整、准确、清晰、规范的投标文件。</w:t>
      </w:r>
    </w:p>
    <w:p w14:paraId="0E35091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2.投标文件中必须包含所有必需的信息和材料，如企业资质证书、业绩证明等。</w:t>
      </w:r>
    </w:p>
    <w:p w14:paraId="1F52268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3.在编制投标报价时，要考虑其他竞争对手可能提出的价格，并在此基础上进行适当调整。</w:t>
      </w:r>
    </w:p>
    <w:p w14:paraId="59295BB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4.在编制技术方案时，要充分考虑采购人需求，并结合自身优势提出具有创新性和实用性的方案。</w:t>
      </w:r>
    </w:p>
    <w:p w14:paraId="7D7CFA9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5.投标文件中必须遵守法律法规和诚信原则，不得有任何虚假信息或误导性陈述。</w:t>
      </w:r>
    </w:p>
    <w:p w14:paraId="53A48FC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3）投标过程管理</w:t>
      </w:r>
    </w:p>
    <w:p w14:paraId="4F6133A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1.在投标过程中，要保持与采购人的良好沟通，及时回答询问和提出的问题。</w:t>
      </w:r>
    </w:p>
    <w:p w14:paraId="19EFE9D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2.对于采购人提出的变更要求或补充文件，要及时做出响应并进行相应调整。</w:t>
      </w:r>
    </w:p>
    <w:p w14:paraId="34316A8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3.在投标文件提交前，要进行严格的自我审查和校对，确保投标文件的准确性和完整性。</w:t>
      </w:r>
    </w:p>
    <w:p w14:paraId="7078767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4.在投标文件提交后，要及时跟进采购人的反馈情况，并积极参与答辩环节。</w:t>
      </w:r>
    </w:p>
    <w:p w14:paraId="13A31CA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5.在整个投标过程中，要遵守诚信原则，不得采取任何不正当手段获取竞争优势。</w:t>
      </w:r>
    </w:p>
    <w:p w14:paraId="5BA8004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4）合同履行管理</w:t>
      </w:r>
    </w:p>
    <w:p w14:paraId="6050A83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1.在获得中标后，要认真执行合同条款，并严格按照约定时间和质量完成工作。</w:t>
      </w:r>
    </w:p>
    <w:p w14:paraId="735391B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2.对于合同变更或索赔等事项，要及时与采购人进行沟通协商，并尽力维护联合体成员的利益。</w:t>
      </w:r>
    </w:p>
    <w:p w14:paraId="3A1CF39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3.在合同履行过程中，要注意保护知识产权和商业机密等重要信息。</w:t>
      </w:r>
    </w:p>
    <w:p w14:paraId="65E0953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4.建立完善的项目管理体系和质量控制体系，确保项目顺利完成并达到客户满意度。</w:t>
      </w:r>
    </w:p>
    <w:p w14:paraId="1EEB972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5.遵守法律法规和诚信原则，在合同履行过程中不得有任何违规行为。</w:t>
      </w:r>
    </w:p>
    <w:p w14:paraId="094187F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2、2项目服务管理要求</w:t>
      </w:r>
    </w:p>
    <w:p w14:paraId="36CA4AA7">
      <w:pPr>
        <w:widowControl/>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服务项目公共配套设施的养护，公共场所的照明、摄像监控系统与中心及消防设备的管理和维修养护，服务设备、文化娱乐、体育活动场所的管理及维修，包含</w:t>
      </w:r>
      <w:r>
        <w:rPr>
          <w:rFonts w:ascii="仿宋" w:hAnsi="仿宋" w:eastAsia="仿宋" w:cs="仿宋"/>
          <w:sz w:val="24"/>
          <w:highlight w:val="none"/>
        </w:rPr>
        <w:t>服务项目内的</w:t>
      </w:r>
      <w:r>
        <w:rPr>
          <w:rFonts w:hint="eastAsia" w:ascii="仿宋" w:hAnsi="仿宋" w:eastAsia="仿宋" w:cs="仿宋"/>
          <w:sz w:val="24"/>
          <w:highlight w:val="none"/>
        </w:rPr>
        <w:t>环境卫生等。</w:t>
      </w:r>
    </w:p>
    <w:p w14:paraId="7DE27D4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服务项目内的公共秩序的维护和管理，对各种车辆（包括机动和非机动车辆）的统一管理，协助政府</w:t>
      </w:r>
      <w:r>
        <w:rPr>
          <w:rFonts w:ascii="仿宋" w:hAnsi="仿宋" w:eastAsia="仿宋" w:cs="仿宋"/>
          <w:sz w:val="24"/>
          <w:highlight w:val="none"/>
        </w:rPr>
        <w:t>职能部门</w:t>
      </w:r>
      <w:r>
        <w:rPr>
          <w:rFonts w:hint="eastAsia" w:ascii="仿宋" w:hAnsi="仿宋" w:eastAsia="仿宋" w:cs="仿宋"/>
          <w:sz w:val="24"/>
          <w:highlight w:val="none"/>
        </w:rPr>
        <w:t>对项目进行治安防范工作，对违章违法行为进行制止并及时报告；对服务</w:t>
      </w:r>
      <w:r>
        <w:rPr>
          <w:rFonts w:ascii="仿宋" w:hAnsi="仿宋" w:eastAsia="仿宋" w:cs="仿宋"/>
          <w:sz w:val="24"/>
          <w:highlight w:val="none"/>
        </w:rPr>
        <w:t>项目</w:t>
      </w:r>
      <w:r>
        <w:rPr>
          <w:rFonts w:hint="eastAsia" w:ascii="仿宋" w:hAnsi="仿宋" w:eastAsia="仿宋" w:cs="仿宋"/>
          <w:sz w:val="24"/>
          <w:highlight w:val="none"/>
        </w:rPr>
        <w:t>内住/租户装修活动进行监督和管理并做好</w:t>
      </w:r>
      <w:r>
        <w:rPr>
          <w:rFonts w:ascii="仿宋" w:hAnsi="仿宋" w:eastAsia="仿宋" w:cs="仿宋"/>
          <w:sz w:val="24"/>
          <w:highlight w:val="none"/>
        </w:rPr>
        <w:t>建档工作；</w:t>
      </w:r>
      <w:r>
        <w:rPr>
          <w:rFonts w:hint="eastAsia" w:ascii="仿宋" w:hAnsi="仿宋" w:eastAsia="仿宋" w:cs="仿宋"/>
          <w:sz w:val="24"/>
          <w:highlight w:val="none"/>
        </w:rPr>
        <w:t>组织社区文化活动，完善业主/租户/企业主</w:t>
      </w:r>
      <w:r>
        <w:rPr>
          <w:rFonts w:ascii="仿宋" w:hAnsi="仿宋" w:eastAsia="仿宋" w:cs="仿宋"/>
          <w:sz w:val="24"/>
          <w:highlight w:val="none"/>
        </w:rPr>
        <w:t>的</w:t>
      </w:r>
      <w:r>
        <w:rPr>
          <w:rFonts w:hint="eastAsia" w:ascii="仿宋" w:hAnsi="仿宋" w:eastAsia="仿宋" w:cs="仿宋"/>
          <w:sz w:val="24"/>
          <w:highlight w:val="none"/>
        </w:rPr>
        <w:t>档案资料管理，对</w:t>
      </w:r>
      <w:r>
        <w:rPr>
          <w:rFonts w:ascii="仿宋" w:hAnsi="仿宋" w:eastAsia="仿宋" w:cs="仿宋"/>
          <w:sz w:val="24"/>
          <w:highlight w:val="none"/>
        </w:rPr>
        <w:t>公区</w:t>
      </w:r>
      <w:r>
        <w:rPr>
          <w:rFonts w:hint="eastAsia" w:ascii="仿宋" w:hAnsi="仿宋" w:eastAsia="仿宋" w:cs="仿宋"/>
          <w:sz w:val="24"/>
          <w:highlight w:val="none"/>
        </w:rPr>
        <w:t>水电费用交纳，公共车位、商业用房出租管理和收费上缴，法律政策及合同规定的其他事项。</w:t>
      </w:r>
    </w:p>
    <w:p w14:paraId="223E95E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物业公司遇到问题及时沟通,不能因各种理由从而影响物业服务质量。</w:t>
      </w:r>
    </w:p>
    <w:p w14:paraId="2039A63F">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1）环境卫生管理</w:t>
      </w:r>
    </w:p>
    <w:p w14:paraId="57CF6A7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服务内容：服务项目内公共部位，包括大门口、各楼梯、公共厕所等区域的日常保洁、保养、幕墙清洗以及垃圾、废弃物清理及自行清运和灭“四害”工作。</w:t>
      </w:r>
    </w:p>
    <w:p w14:paraId="231160F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0A25420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a、保持值班室、大门口和园区清洁、环境整洁，有序、道路畅通。</w:t>
      </w:r>
    </w:p>
    <w:p w14:paraId="2038FF7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围墙内的道路、停车场和门前“三包”及所有公共区域的地面（包括电梯及电梯前室、架空层、楼道、夹层、地下车库），无有形垃圾和建筑垃圾、无堆积杂物、无积灰、无积水和淤泥、无阻塞等。做到每12小时清扫，巡回保洁。</w:t>
      </w:r>
    </w:p>
    <w:p w14:paraId="3CADE79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c、对垃圾、废弃物每天进行清除、外运，做到日产日清；化粪池及时清掏，保持常年干净、清洁，无积水、无异味；</w:t>
      </w:r>
      <w:r>
        <w:rPr>
          <w:rFonts w:ascii="仿宋" w:hAnsi="仿宋" w:eastAsia="仿宋" w:cs="仿宋"/>
          <w:sz w:val="24"/>
          <w:highlight w:val="none"/>
        </w:rPr>
        <w:t>按规定完成垃圾分类工作</w:t>
      </w:r>
      <w:r>
        <w:rPr>
          <w:rFonts w:hint="eastAsia" w:ascii="仿宋" w:hAnsi="仿宋" w:eastAsia="仿宋" w:cs="仿宋"/>
          <w:sz w:val="24"/>
          <w:highlight w:val="none"/>
        </w:rPr>
        <w:t xml:space="preserve">。 </w:t>
      </w:r>
    </w:p>
    <w:p w14:paraId="09E06ED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d、建立“四害”消杀工作管理制度，根据实际情况定期开展消杀工作，有效控制鼠、蟑、蝇、蚊等害虫孳生，定期对各类病虫害进行预防控制，适时投放消杀药物和设施。</w:t>
      </w:r>
    </w:p>
    <w:p w14:paraId="78A510B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③需确服务</w:t>
      </w:r>
      <w:r>
        <w:rPr>
          <w:rFonts w:ascii="仿宋" w:hAnsi="仿宋" w:eastAsia="仿宋" w:cs="仿宋"/>
          <w:sz w:val="24"/>
          <w:highlight w:val="none"/>
        </w:rPr>
        <w:t>项目</w:t>
      </w:r>
      <w:r>
        <w:rPr>
          <w:rFonts w:hint="eastAsia" w:ascii="仿宋" w:hAnsi="仿宋" w:eastAsia="仿宋" w:cs="仿宋"/>
          <w:sz w:val="24"/>
          <w:highlight w:val="none"/>
        </w:rPr>
        <w:t>区域范围内的清洁卫生，管理好用户的生活垃圾、建筑垃圾、装修垃圾及装修原材料的堆放及清运工作。</w:t>
      </w:r>
    </w:p>
    <w:p w14:paraId="32D45BBB">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2)公共秩序管理和消防、监控设施维护</w:t>
      </w:r>
    </w:p>
    <w:p w14:paraId="04274AC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外来人员进入园区证件核验、登记、报刊信件收发等；维护公共秩序；处理治安及共他突发事件；负责小区内道路交通管理、机动车和非机动车停放管理；负责防盗、防火报警监控设备运行管理和维护、修理等。</w:t>
      </w:r>
    </w:p>
    <w:p w14:paraId="4C2BE24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278607D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a、门卫值班</w:t>
      </w:r>
    </w:p>
    <w:p w14:paraId="4AA7D13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主出入口安排24小时值班，建立传达、保安、车辆、道路及公共秩序管理等制度。用语规范，礼貌待客，文明工作。严格验证、登记制度，杜绝闲杂人员进入小区，维护园区安全、正常的生活/办公环境。实行物品进出审验制度，</w:t>
      </w:r>
      <w:r>
        <w:rPr>
          <w:rFonts w:ascii="仿宋" w:hAnsi="仿宋" w:eastAsia="仿宋" w:cs="仿宋"/>
          <w:sz w:val="24"/>
          <w:highlight w:val="none"/>
        </w:rPr>
        <w:t>大件物品出门需</w:t>
      </w:r>
      <w:r>
        <w:rPr>
          <w:rFonts w:hint="eastAsia" w:ascii="仿宋" w:hAnsi="仿宋" w:eastAsia="仿宋" w:cs="仿宋"/>
          <w:sz w:val="24"/>
          <w:highlight w:val="none"/>
        </w:rPr>
        <w:t>有</w:t>
      </w:r>
      <w:r>
        <w:rPr>
          <w:rFonts w:ascii="仿宋" w:hAnsi="仿宋" w:eastAsia="仿宋" w:cs="仿宋"/>
          <w:sz w:val="24"/>
          <w:highlight w:val="none"/>
        </w:rPr>
        <w:t>确认和登记</w:t>
      </w:r>
      <w:r>
        <w:rPr>
          <w:rFonts w:hint="eastAsia" w:ascii="仿宋" w:hAnsi="仿宋" w:eastAsia="仿宋" w:cs="仿宋"/>
          <w:sz w:val="24"/>
          <w:highlight w:val="none"/>
        </w:rPr>
        <w:t>放行。</w:t>
      </w:r>
    </w:p>
    <w:p w14:paraId="575C6C5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b、巡查。</w:t>
      </w:r>
    </w:p>
    <w:p w14:paraId="35834382">
      <w:pPr>
        <w:snapToGrid w:val="0"/>
        <w:spacing w:line="360" w:lineRule="auto"/>
        <w:ind w:right="-313" w:rightChars="-149" w:firstLine="480" w:firstLineChars="200"/>
        <w:rPr>
          <w:rFonts w:ascii="仿宋" w:hAnsi="仿宋" w:eastAsia="仿宋" w:cs="仿宋"/>
          <w:sz w:val="24"/>
          <w:highlight w:val="none"/>
        </w:rPr>
      </w:pPr>
      <w:r>
        <w:rPr>
          <w:rFonts w:hint="eastAsia" w:ascii="仿宋" w:hAnsi="仿宋" w:eastAsia="仿宋" w:cs="仿宋"/>
          <w:sz w:val="24"/>
          <w:highlight w:val="none"/>
        </w:rPr>
        <w:t>规划红线范围以内安排24小时巡查（巡查</w:t>
      </w:r>
      <w:r>
        <w:rPr>
          <w:rFonts w:ascii="仿宋" w:hAnsi="仿宋" w:eastAsia="仿宋" w:cs="仿宋"/>
          <w:sz w:val="24"/>
          <w:highlight w:val="none"/>
        </w:rPr>
        <w:t>方案路线</w:t>
      </w:r>
      <w:r>
        <w:rPr>
          <w:rFonts w:hint="eastAsia" w:ascii="仿宋" w:hAnsi="仿宋" w:eastAsia="仿宋" w:cs="仿宋"/>
          <w:sz w:val="24"/>
          <w:highlight w:val="none"/>
        </w:rPr>
        <w:t>需有</w:t>
      </w:r>
      <w:r>
        <w:rPr>
          <w:rFonts w:ascii="仿宋" w:hAnsi="仿宋" w:eastAsia="仿宋" w:cs="仿宋"/>
          <w:sz w:val="24"/>
          <w:highlight w:val="none"/>
        </w:rPr>
        <w:t>两条或两条以上</w:t>
      </w:r>
      <w:r>
        <w:rPr>
          <w:rFonts w:hint="eastAsia" w:ascii="仿宋" w:hAnsi="仿宋" w:eastAsia="仿宋" w:cs="仿宋"/>
          <w:sz w:val="24"/>
          <w:highlight w:val="none"/>
        </w:rPr>
        <w:t>）。明确巡查工作职责，规范巡视工作流程，制定相对固定的巡视路线，对重要区域、部位进行重点巡视并记录巡视情况，及时发现和处理各种安全和事故隐患。巡视时应使用巡更设备。监控室应保存巡更记录。在接到监控室发出的指令后，巡视人员应及时到达事发现场，采取相应措施妥善处理;如巡视中发现异常情况，应立即通知有关部门并在现场采取必要措施，随时准备启动并执行相应的应急预案。</w:t>
      </w:r>
    </w:p>
    <w:p w14:paraId="3A0BD8F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c、消控、监控室值班。</w:t>
      </w:r>
    </w:p>
    <w:p w14:paraId="04F711D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消控、监控设施应保持24小时开通，并保持完整的监控记录，保证对各出入口、内部重点区域的安全监控、录像及协助布警。监控室收到火情、险情及其他异常情况报警信号后，应及时报警，并派专人赶到现场进行前期处理。</w:t>
      </w:r>
    </w:p>
    <w:p w14:paraId="4DEC3DC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d、停车管理及室外电瓶车充电桩收费及日常维护。</w:t>
      </w:r>
    </w:p>
    <w:p w14:paraId="45663F2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管辖区域设置行车指示标志，规定车辆行驶路线，指定车辆停放区域，非机动车应实行定点停放。对进出小区的各类车辆进行管理，维护交通秩序，保证车辆有序通行、有序停放。车库应保持良好通风，无易燃、易爆等物品存放，车库内配置道闸和监视系统，地面、墙面按要求设立明显指示牌和地标。</w:t>
      </w:r>
    </w:p>
    <w:p w14:paraId="308289F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e、突发事件处理。</w:t>
      </w:r>
    </w:p>
    <w:p w14:paraId="27991E5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按照要求制订物业突发事件应急预案，并将预案内容在物业办公室、监控室等处张榜悬挂。当发生台风、暴雨等灾害性天气及其他突发事件时，应采取应急措施：对停车场、广告牌、电线杆等露天设施进行检查和加固。各岗位人员必须按规定实行岗位警戒，根据不同突发事件的现场情况进行应变处理，在有关部门到达现场前，确保人身安全，减少财产损失，并全力协助处理相关事宜。</w:t>
      </w:r>
    </w:p>
    <w:p w14:paraId="6EBB119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f、消防、监控设施维护及微型消防站的建制。</w:t>
      </w:r>
    </w:p>
    <w:p w14:paraId="4D9B723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定期对消防、监控主机及各消防、监控点的设备进行巡查，确保运行无故障；定期对室外的消防栓、消防水带、消防水箱等设备进行检查，是否有埋压或损坏和失效等情况；定期对消防栓进行检查，设施是否齐全；定期对喷淋头、感烟探测器、感温探测器、其他形式的消防设施、设备进行检查，是否有遮挡或损坏等情况；定期对灭火器进行检查更换，是否有压力不足或缺少等情况；定期对排烟通风口、消防通道进行检查，是否有遮挡或堵塞。同时负责上述检查缺陷的修复和复原。</w:t>
      </w:r>
    </w:p>
    <w:p w14:paraId="5B9C801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微型消防站的建制按消防部门相关要求执行。</w:t>
      </w:r>
    </w:p>
    <w:p w14:paraId="75702DBF">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3)绿化管理</w:t>
      </w:r>
    </w:p>
    <w:p w14:paraId="59A4DA9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服务内容：围墙内树木、花草、色块等的日常养护和管理。</w:t>
      </w:r>
    </w:p>
    <w:p w14:paraId="2EC39B6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7BA7D12B">
      <w:pPr>
        <w:numPr>
          <w:ilvl w:val="0"/>
          <w:numId w:val="1"/>
        </w:num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草坪。夏季高温时做好草坪防晒降温工作，保持常年翠绿，无杂草、无干枯坏死和病虫侵害。</w:t>
      </w:r>
    </w:p>
    <w:p w14:paraId="79D302BD">
      <w:pPr>
        <w:numPr>
          <w:ilvl w:val="0"/>
          <w:numId w:val="1"/>
        </w:num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树木和色块。植株修剪及时，做到枝叶紧密、圆整、无脱节、无枯枝。及时防治、灭治病虫害，主要病虫害发生率低于5%，无倾斜、缺枝、空档。</w:t>
      </w:r>
    </w:p>
    <w:p w14:paraId="4881BB1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c、花坛和花景。及时清除枯萎的花蒂、黄叶、杂草、垃圾，做好病虫害防治。花坛和花景做到造型新颖、色彩鲜艳、植物长势好。</w:t>
      </w:r>
    </w:p>
    <w:p w14:paraId="1ECD7B1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③做好区域范围所有绿化内卫生清洁工作。</w:t>
      </w:r>
    </w:p>
    <w:p w14:paraId="2EDEED95">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4)给排水设备运行维护</w:t>
      </w:r>
    </w:p>
    <w:p w14:paraId="05AC7EA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服务内容：对小区内给排水系统的设备、设施，如水泵、消火栓、管道、管件、阀门、水嘴、卫生洁具、室外排水管及附属构筑物等进行日常养护维修，保持正常运行。</w:t>
      </w:r>
    </w:p>
    <w:p w14:paraId="3F65F19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5F0A15E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a、定期对给排水系统进行维护、润滑。</w:t>
      </w:r>
    </w:p>
    <w:p w14:paraId="0A7338A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b、保证各种管道阀门完好，仪表显示正常，无跑、冒、滴、漏现象。</w:t>
      </w:r>
    </w:p>
    <w:p w14:paraId="2B197B4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c、用户末端的水压及流量满足使用要求。</w:t>
      </w:r>
    </w:p>
    <w:p w14:paraId="7C4F34F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d、每季对楼宇排水总管进行检查，每半年对水泵、管道进行防锈处理。</w:t>
      </w:r>
    </w:p>
    <w:p w14:paraId="628B610C">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5)供电设备管理维护</w:t>
      </w:r>
    </w:p>
    <w:p w14:paraId="055E8D2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服务内容：对小区供电系统高、低压电器设备、电线电缆、电气照明装置等设备进行日常管理和维修，保持正常运行，同时配合供电部门对供电设备的维修工作。</w:t>
      </w:r>
    </w:p>
    <w:p w14:paraId="5C04B3C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20676AD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a、建立严格的高配供电室岗任责任制，高低配交接班制度、高低配室操作规程制度、高配倒闸操作制度、高低配及维修巡回检查等制度、供电故障报修制度。</w:t>
      </w:r>
    </w:p>
    <w:p w14:paraId="647869B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b、按照规定周期对变配电设备设施进行检查、维护、清洁，并做好记录，确保高(低)压变(配)电柜操作运行正常，各计量检测表计显示正常。</w:t>
      </w:r>
    </w:p>
    <w:p w14:paraId="667611E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c、变(配)电柜、低压配电柜运行正常，符合工作要求，各类表计显示正常。</w:t>
      </w:r>
    </w:p>
    <w:p w14:paraId="31DFF50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d、变(配)电系统联络切换正常。</w:t>
      </w:r>
    </w:p>
    <w:p w14:paraId="5436373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e、负责各类照明灯具、供用电设备设施的日常管理和维护修理。</w:t>
      </w:r>
    </w:p>
    <w:p w14:paraId="44DEC14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f、通过有效的管理措施及技术措施，积极开展节能管理工作。</w:t>
      </w:r>
    </w:p>
    <w:p w14:paraId="1EFBB334">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6）电梯管理</w:t>
      </w:r>
    </w:p>
    <w:p w14:paraId="74AB55A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①、服务内容：除专业维保外的日常管理。</w:t>
      </w:r>
    </w:p>
    <w:p w14:paraId="3325D2C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②、服务质量标准:</w:t>
      </w:r>
    </w:p>
    <w:p w14:paraId="6BC3A40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a、建立电梯运行安全管理制度，引导乘客安全用梯，确保电梯按规定时间运行。</w:t>
      </w:r>
    </w:p>
    <w:p w14:paraId="16F8647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b、管辖区域内所有电梯有效运行，电梯按时开启和关闭。轿厢内、外按钮及灯具等配件保持完好，维持轿厢整洁。</w:t>
      </w:r>
    </w:p>
    <w:p w14:paraId="5DDFC32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c、从业人员对电梯保养工作进行监督，并对电梯运行进行管理。</w:t>
      </w:r>
    </w:p>
    <w:p w14:paraId="5DDDDAA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d、电梯发生一般故障时，应立即通知专业维保单位。发生电梯困人或其他重大事件时，应立即通知专业维保单位，并在专业维保单位的指导下做好现场的应急处理。</w:t>
      </w:r>
    </w:p>
    <w:p w14:paraId="55F7B6BE">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7)房屋及设施日常养护维修</w:t>
      </w:r>
    </w:p>
    <w:p w14:paraId="0C0CF11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1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①</w:t>
      </w:r>
      <w:r>
        <w:rPr>
          <w:rFonts w:hint="eastAsia" w:ascii="仿宋" w:hAnsi="仿宋" w:eastAsia="仿宋" w:cs="仿宋"/>
          <w:sz w:val="24"/>
          <w:highlight w:val="none"/>
        </w:rPr>
        <w:fldChar w:fldCharType="end"/>
      </w:r>
      <w:r>
        <w:rPr>
          <w:rFonts w:hint="eastAsia" w:ascii="仿宋" w:hAnsi="仿宋" w:eastAsia="仿宋" w:cs="仿宋"/>
          <w:sz w:val="24"/>
          <w:highlight w:val="none"/>
        </w:rPr>
        <w:t>服务内容：房屋日常养护和维修。</w:t>
      </w:r>
    </w:p>
    <w:p w14:paraId="7192EF9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5D80D3E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a、做好施工单位工程保修期外的非主体结构维修工作，确保业主正常生活。</w:t>
      </w:r>
    </w:p>
    <w:p w14:paraId="2A58F5B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b、粉刷无明显剥落开裂，墙面砖、地坪、地砖、地板平整不起壳、无遗缺，吊顶无污（水）渍、开缝和破损。否则应及时修复或更换。</w:t>
      </w:r>
    </w:p>
    <w:p w14:paraId="22C6B94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c、屋面排水沟、室内室外排水管保障畅通；雨前及时巡查，排除隐患。发现过滤网及管道破损及时修复或更换。</w:t>
      </w:r>
    </w:p>
    <w:p w14:paraId="4481538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d、保修期后发现屋面或其他防水层有气鼓、破裂，隔热板有断裂、缺损的，屋面、墙面有渗漏的，应在3个工作日内安排专项修理。</w:t>
      </w:r>
    </w:p>
    <w:p w14:paraId="6E6E042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e、及时完成各项零星维修任务，一般维修任务确保不超过24小时，确保维修合格率达到100%。 </w:t>
      </w:r>
    </w:p>
    <w:p w14:paraId="22B57104">
      <w:pPr>
        <w:snapToGrid w:val="0"/>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8)弱电系统管理</w:t>
      </w:r>
    </w:p>
    <w:p w14:paraId="1877FB7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①服务内容：楼宇可视对讲系统、防盗监控系统、消防报警系统、电话通讯系统、小区广播等系统的日常运行、维修保养和巡视检查等工作。</w:t>
      </w:r>
    </w:p>
    <w:p w14:paraId="10B5BC9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 2 \* GB3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②</w:t>
      </w:r>
      <w:r>
        <w:rPr>
          <w:rFonts w:hint="eastAsia" w:ascii="仿宋" w:hAnsi="仿宋" w:eastAsia="仿宋" w:cs="仿宋"/>
          <w:sz w:val="24"/>
          <w:highlight w:val="none"/>
        </w:rPr>
        <w:fldChar w:fldCharType="end"/>
      </w:r>
      <w:r>
        <w:rPr>
          <w:rFonts w:hint="eastAsia" w:ascii="仿宋" w:hAnsi="仿宋" w:eastAsia="仿宋" w:cs="仿宋"/>
          <w:sz w:val="24"/>
          <w:highlight w:val="none"/>
        </w:rPr>
        <w:t>服务质量标准:</w:t>
      </w:r>
    </w:p>
    <w:p w14:paraId="5251DB7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a、按照规定周期对弱电系统设施进行检查、维护，并做好记录，确保各弱电系统运行正常。</w:t>
      </w:r>
    </w:p>
    <w:p w14:paraId="7FB1F72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b、每月应检查可视对讲系统的功能，对业主提出的故障及时维修。</w:t>
      </w:r>
    </w:p>
    <w:p w14:paraId="5A5C44F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c、每日应检查火灾报警控制器的功能，并填写系统运行和控制器日检登记表，发现故障及时排除。每季度应检查和试验消防系统/设备的功能并填写季度登记表。</w:t>
      </w:r>
    </w:p>
    <w:p w14:paraId="27FB90F4">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9）工作时间要求：</w:t>
      </w:r>
    </w:p>
    <w:p w14:paraId="62A69946">
      <w:pPr>
        <w:snapToGrid w:val="0"/>
        <w:spacing w:line="360" w:lineRule="auto"/>
        <w:ind w:firstLine="480" w:firstLineChars="200"/>
        <w:rPr>
          <w:rFonts w:ascii="仿宋" w:hAnsi="仿宋" w:eastAsia="仿宋" w:cs="仿宋"/>
          <w:snapToGrid w:val="0"/>
          <w:sz w:val="24"/>
          <w:highlight w:val="none"/>
        </w:rPr>
      </w:pPr>
      <w:r>
        <w:rPr>
          <w:rFonts w:hint="eastAsia" w:ascii="仿宋" w:hAnsi="仿宋" w:eastAsia="仿宋" w:cs="仿宋"/>
          <w:snapToGrid w:val="0"/>
          <w:sz w:val="24"/>
          <w:highlight w:val="none"/>
        </w:rPr>
        <w:t>保安、消控实行每天24小时值班。保洁、工程部工作时间为每天上班为8小时，休息日保证值班人员。如遇设施抢修、水电事故应急、抗台、抗震等特殊情况，24小时到场服务。</w:t>
      </w:r>
    </w:p>
    <w:p w14:paraId="71FCC5AB">
      <w:pPr>
        <w:snapToGrid w:val="0"/>
        <w:spacing w:line="360" w:lineRule="auto"/>
        <w:ind w:firstLine="480" w:firstLineChars="200"/>
        <w:rPr>
          <w:rFonts w:ascii="仿宋" w:hAnsi="仿宋" w:eastAsia="仿宋" w:cs="仿宋"/>
          <w:snapToGrid w:val="0"/>
          <w:sz w:val="24"/>
          <w:highlight w:val="none"/>
        </w:rPr>
      </w:pPr>
      <w:r>
        <w:rPr>
          <w:rFonts w:hint="eastAsia" w:ascii="仿宋" w:hAnsi="仿宋" w:eastAsia="仿宋" w:cs="仿宋"/>
          <w:snapToGrid w:val="0"/>
          <w:sz w:val="24"/>
          <w:highlight w:val="none"/>
        </w:rPr>
        <w:t>3.报价要求</w:t>
      </w:r>
    </w:p>
    <w:p w14:paraId="5AAE0883">
      <w:pPr>
        <w:snapToGrid w:val="0"/>
        <w:spacing w:line="360" w:lineRule="auto"/>
        <w:ind w:firstLine="480" w:firstLineChars="200"/>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sz w:val="24"/>
          <w:highlight w:val="none"/>
        </w:rPr>
        <w:t>因本项目服务期内的投标要求存在不确定性，故本次报价均按99.99%报价，报价不做竞争</w:t>
      </w:r>
      <w:r>
        <w:rPr>
          <w:rFonts w:hint="eastAsia" w:ascii="仿宋" w:hAnsi="仿宋" w:eastAsia="仿宋" w:cs="仿宋"/>
          <w:snapToGrid w:val="0"/>
          <w:sz w:val="24"/>
          <w:highlight w:val="none"/>
          <w:lang w:eastAsia="zh-CN"/>
        </w:rPr>
        <w:t>。</w:t>
      </w:r>
    </w:p>
    <w:p w14:paraId="23A4DCA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snapToGrid w:val="0"/>
          <w:color w:val="auto"/>
          <w:sz w:val="24"/>
          <w:szCs w:val="24"/>
          <w:highlight w:val="none"/>
          <w:lang w:val="en-US" w:eastAsia="zh-CN"/>
        </w:rPr>
        <w:t>（二）</w:t>
      </w:r>
      <w:r>
        <w:rPr>
          <w:rFonts w:hint="eastAsia" w:ascii="仿宋" w:hAnsi="仿宋" w:eastAsia="仿宋" w:cs="仿宋"/>
          <w:b w:val="0"/>
          <w:bCs w:val="0"/>
          <w:snapToGrid w:val="0"/>
          <w:color w:val="auto"/>
          <w:sz w:val="24"/>
          <w:szCs w:val="24"/>
          <w:highlight w:val="none"/>
        </w:rPr>
        <w:t>商务需求</w:t>
      </w:r>
      <w:r>
        <w:rPr>
          <w:rFonts w:hint="eastAsia" w:ascii="仿宋" w:hAnsi="仿宋" w:eastAsia="仿宋" w:cs="仿宋"/>
          <w:b w:val="0"/>
          <w:bCs w:val="0"/>
          <w:snapToGrid w:val="0"/>
          <w:color w:val="auto"/>
          <w:sz w:val="24"/>
          <w:szCs w:val="24"/>
          <w:highlight w:val="none"/>
          <w:lang w:eastAsia="zh-CN"/>
        </w:rPr>
        <w:t>：</w:t>
      </w:r>
    </w:p>
    <w:p w14:paraId="3FBE3A8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2.1、服务时间及地点</w:t>
      </w:r>
    </w:p>
    <w:p w14:paraId="7F03925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snapToGrid w:val="0"/>
          <w:color w:val="auto"/>
          <w:sz w:val="24"/>
          <w:szCs w:val="24"/>
          <w:highlight w:val="none"/>
        </w:rPr>
      </w:pPr>
      <w:r>
        <w:rPr>
          <w:rFonts w:hint="eastAsia" w:ascii="仿宋" w:hAnsi="仿宋" w:eastAsia="仿宋" w:cs="仿宋"/>
          <w:color w:val="auto"/>
          <w:sz w:val="24"/>
          <w:highlight w:val="none"/>
          <w:shd w:val="clear" w:color="auto" w:fill="auto"/>
        </w:rPr>
        <w:t>▲</w:t>
      </w:r>
      <w:r>
        <w:rPr>
          <w:rFonts w:hint="eastAsia" w:ascii="仿宋" w:hAnsi="仿宋" w:eastAsia="仿宋" w:cs="仿宋"/>
          <w:b w:val="0"/>
          <w:bCs w:val="0"/>
          <w:snapToGrid w:val="0"/>
          <w:color w:val="auto"/>
          <w:sz w:val="24"/>
          <w:szCs w:val="24"/>
          <w:highlight w:val="none"/>
        </w:rPr>
        <w:t>(1)</w:t>
      </w:r>
      <w:r>
        <w:rPr>
          <w:rFonts w:hint="eastAsia" w:ascii="仿宋" w:hAnsi="仿宋" w:eastAsia="仿宋" w:cs="仿宋"/>
          <w:b w:val="0"/>
          <w:bCs w:val="0"/>
          <w:color w:val="auto"/>
          <w:sz w:val="24"/>
          <w:szCs w:val="24"/>
          <w:highlight w:val="none"/>
          <w:lang w:val="en-US" w:eastAsia="zh-CN"/>
        </w:rPr>
        <w:t>合作</w:t>
      </w:r>
      <w:r>
        <w:rPr>
          <w:rFonts w:hint="eastAsia" w:ascii="仿宋" w:hAnsi="仿宋" w:eastAsia="仿宋" w:cs="仿宋"/>
          <w:b w:val="0"/>
          <w:bCs w:val="0"/>
          <w:snapToGrid w:val="0"/>
          <w:color w:val="auto"/>
          <w:sz w:val="24"/>
          <w:szCs w:val="24"/>
          <w:highlight w:val="none"/>
        </w:rPr>
        <w:t>期限：</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snapToGrid w:val="0"/>
          <w:color w:val="auto"/>
          <w:sz w:val="24"/>
          <w:szCs w:val="24"/>
          <w:highlight w:val="none"/>
        </w:rPr>
        <w:t>年（服务起止时间根据</w:t>
      </w:r>
      <w:r>
        <w:rPr>
          <w:rFonts w:hint="eastAsia" w:ascii="仿宋" w:hAnsi="仿宋" w:eastAsia="仿宋" w:cs="仿宋"/>
          <w:b w:val="0"/>
          <w:bCs w:val="0"/>
          <w:color w:val="auto"/>
          <w:sz w:val="24"/>
          <w:szCs w:val="24"/>
          <w:highlight w:val="none"/>
          <w:lang w:eastAsia="zh-CN"/>
        </w:rPr>
        <w:t>交易</w:t>
      </w:r>
      <w:r>
        <w:rPr>
          <w:rFonts w:hint="eastAsia" w:ascii="仿宋" w:hAnsi="仿宋" w:eastAsia="仿宋" w:cs="仿宋"/>
          <w:b w:val="0"/>
          <w:bCs w:val="0"/>
          <w:snapToGrid w:val="0"/>
          <w:color w:val="auto"/>
          <w:sz w:val="24"/>
          <w:szCs w:val="24"/>
          <w:highlight w:val="none"/>
        </w:rPr>
        <w:t>进度在签订合同时明确）。</w:t>
      </w:r>
    </w:p>
    <w:p w14:paraId="482B7A66">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(2)服务地点：</w:t>
      </w:r>
      <w:r>
        <w:rPr>
          <w:rFonts w:hint="eastAsia" w:ascii="仿宋" w:hAnsi="仿宋" w:eastAsia="仿宋" w:cs="仿宋"/>
          <w:color w:val="auto"/>
          <w:sz w:val="24"/>
          <w:szCs w:val="24"/>
          <w:highlight w:val="none"/>
          <w:lang w:val="en-US" w:eastAsia="zh-CN"/>
        </w:rPr>
        <w:t>交易发起人指定地点</w:t>
      </w:r>
      <w:r>
        <w:rPr>
          <w:rFonts w:hint="eastAsia" w:ascii="仿宋" w:hAnsi="仿宋" w:eastAsia="仿宋" w:cs="仿宋"/>
          <w:color w:val="auto"/>
          <w:sz w:val="24"/>
          <w:szCs w:val="24"/>
          <w:highlight w:val="none"/>
        </w:rPr>
        <w:t>。</w:t>
      </w:r>
    </w:p>
    <w:p w14:paraId="3D390C42">
      <w:pPr>
        <w:pageBreakBefore w:val="0"/>
        <w:widowControl w:val="0"/>
        <w:kinsoku/>
        <w:wordWrap/>
        <w:overflowPunct/>
        <w:topLinePunct w:val="0"/>
        <w:autoSpaceDE/>
        <w:autoSpaceDN/>
        <w:bidi w:val="0"/>
        <w:snapToGrid w:val="0"/>
        <w:spacing w:after="0" w:afterAutospacing="0" w:line="360" w:lineRule="auto"/>
        <w:ind w:firstLine="480" w:firstLineChars="200"/>
        <w:textAlignment w:val="auto"/>
        <w:rPr>
          <w:rFonts w:hint="eastAsia" w:ascii="仿宋" w:hAnsi="仿宋" w:eastAsia="仿宋" w:cs="仿宋"/>
          <w:b w:val="0"/>
          <w:bCs w:val="0"/>
          <w:snapToGrid w:val="0"/>
          <w:color w:val="auto"/>
          <w:sz w:val="24"/>
          <w:szCs w:val="24"/>
          <w:highlight w:val="none"/>
        </w:rPr>
      </w:pPr>
      <w:r>
        <w:rPr>
          <w:rFonts w:hint="eastAsia" w:ascii="仿宋" w:hAnsi="仿宋" w:eastAsia="仿宋" w:cs="仿宋"/>
          <w:b w:val="0"/>
          <w:bCs w:val="0"/>
          <w:snapToGrid w:val="0"/>
          <w:color w:val="auto"/>
          <w:sz w:val="24"/>
          <w:szCs w:val="24"/>
          <w:highlight w:val="none"/>
        </w:rPr>
        <w:t>2.2、付款方式</w:t>
      </w:r>
    </w:p>
    <w:p w14:paraId="48D7875F">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(1)履约保证金：不收取。</w:t>
      </w:r>
    </w:p>
    <w:p w14:paraId="76D95437">
      <w:pPr>
        <w:spacing w:line="360" w:lineRule="auto"/>
        <w:ind w:firstLine="480" w:firstLineChars="200"/>
        <w:rPr>
          <w:rFonts w:hint="eastAsia" w:ascii="仿宋" w:hAnsi="仿宋" w:eastAsia="仿宋" w:cs="仿宋"/>
          <w:b w:val="0"/>
          <w:bCs w:val="0"/>
          <w:color w:val="auto"/>
          <w:sz w:val="24"/>
          <w:highlight w:val="none"/>
          <w:shd w:val="clear"/>
        </w:rPr>
      </w:pPr>
      <w:r>
        <w:rPr>
          <w:rFonts w:hint="eastAsia" w:ascii="仿宋" w:hAnsi="仿宋" w:eastAsia="仿宋" w:cs="仿宋"/>
          <w:color w:val="auto"/>
          <w:sz w:val="24"/>
          <w:highlight w:val="none"/>
          <w:shd w:val="clear" w:color="auto" w:fill="auto"/>
        </w:rPr>
        <w:t>▲</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Cs w:val="0"/>
          <w:color w:val="auto"/>
          <w:sz w:val="24"/>
          <w:szCs w:val="24"/>
          <w:highlight w:val="none"/>
        </w:rPr>
        <w:t>年度合同签订后，根据实际联合体投标以及合作项目进行一事一议，具体根据投标及合作项目的实际情况以单个中标项目的具体协议明确并结算</w:t>
      </w:r>
      <w:r>
        <w:rPr>
          <w:rFonts w:hint="eastAsia" w:ascii="仿宋" w:hAnsi="仿宋" w:eastAsia="仿宋" w:cs="仿宋"/>
          <w:color w:val="auto"/>
          <w:sz w:val="24"/>
          <w:szCs w:val="24"/>
          <w:highlight w:val="none"/>
        </w:rPr>
        <w:t>。</w:t>
      </w:r>
    </w:p>
    <w:p w14:paraId="2CE6B29E">
      <w:pPr>
        <w:pStyle w:val="60"/>
        <w:rPr>
          <w:rFonts w:hint="eastAsia" w:ascii="仿宋" w:hAnsi="仿宋" w:eastAsia="仿宋" w:cs="仿宋"/>
          <w:highlight w:val="none"/>
        </w:rPr>
      </w:pPr>
    </w:p>
    <w:p w14:paraId="0A66137C">
      <w:pPr>
        <w:jc w:val="left"/>
        <w:rPr>
          <w:rFonts w:hint="eastAsia"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br w:type="page"/>
      </w:r>
    </w:p>
    <w:p w14:paraId="033C6F8F">
      <w:pPr>
        <w:jc w:val="center"/>
        <w:rPr>
          <w:rFonts w:ascii="仿宋" w:hAnsi="仿宋" w:eastAsia="仿宋" w:cs="仿宋"/>
          <w:b/>
          <w:color w:val="auto"/>
          <w:sz w:val="36"/>
          <w:szCs w:val="36"/>
          <w:highlight w:val="none"/>
          <w:shd w:val="clear" w:color="auto" w:fill="auto"/>
        </w:rPr>
      </w:pPr>
      <w:r>
        <w:rPr>
          <w:rFonts w:hint="eastAsia" w:ascii="仿宋" w:hAnsi="仿宋" w:eastAsia="仿宋" w:cs="仿宋"/>
          <w:b/>
          <w:color w:val="auto"/>
          <w:sz w:val="36"/>
          <w:szCs w:val="36"/>
          <w:highlight w:val="none"/>
          <w:shd w:val="clear" w:color="auto" w:fill="auto"/>
        </w:rPr>
        <w:t xml:space="preserve">第四部分 </w:t>
      </w:r>
      <w:bookmarkStart w:id="14" w:name="_Toc184308082"/>
      <w:bookmarkEnd w:id="14"/>
      <w:bookmarkStart w:id="15" w:name="_Toc184310302"/>
      <w:bookmarkEnd w:id="15"/>
      <w:bookmarkStart w:id="16" w:name="_Toc184308052"/>
      <w:bookmarkEnd w:id="16"/>
      <w:bookmarkStart w:id="17" w:name="_Toc184308088"/>
      <w:bookmarkEnd w:id="17"/>
      <w:bookmarkStart w:id="18" w:name="_Toc184308085"/>
      <w:bookmarkEnd w:id="18"/>
      <w:bookmarkStart w:id="19" w:name="_Toc184308057"/>
      <w:bookmarkEnd w:id="19"/>
      <w:bookmarkStart w:id="20" w:name="_Toc184312124"/>
      <w:bookmarkEnd w:id="20"/>
      <w:bookmarkStart w:id="21" w:name="_Toc184312089"/>
      <w:bookmarkEnd w:id="21"/>
      <w:bookmarkStart w:id="22" w:name="_Toc184308106"/>
      <w:bookmarkEnd w:id="22"/>
      <w:bookmarkStart w:id="23" w:name="_Toc184312099"/>
      <w:bookmarkEnd w:id="23"/>
      <w:bookmarkStart w:id="24" w:name="_Toc184313245"/>
      <w:bookmarkEnd w:id="24"/>
      <w:bookmarkStart w:id="25" w:name="_Toc184314435"/>
      <w:bookmarkEnd w:id="25"/>
      <w:bookmarkStart w:id="26" w:name="_Toc184314468"/>
      <w:bookmarkEnd w:id="26"/>
      <w:bookmarkStart w:id="27" w:name="_Toc184310280"/>
      <w:bookmarkEnd w:id="27"/>
      <w:bookmarkStart w:id="28" w:name="_Toc184308103"/>
      <w:bookmarkEnd w:id="28"/>
      <w:bookmarkStart w:id="29" w:name="_Toc184310309"/>
      <w:bookmarkEnd w:id="29"/>
      <w:bookmarkStart w:id="30" w:name="_Toc184314457"/>
      <w:bookmarkEnd w:id="30"/>
      <w:bookmarkStart w:id="31" w:name="_Toc184310297"/>
      <w:bookmarkEnd w:id="31"/>
      <w:bookmarkStart w:id="32" w:name="_Toc184312136"/>
      <w:bookmarkEnd w:id="32"/>
      <w:bookmarkStart w:id="33" w:name="_Toc184313278"/>
      <w:bookmarkEnd w:id="33"/>
      <w:bookmarkStart w:id="34" w:name="_Toc184312074"/>
      <w:bookmarkEnd w:id="34"/>
      <w:bookmarkStart w:id="35" w:name="_Toc184310298"/>
      <w:bookmarkEnd w:id="35"/>
      <w:bookmarkStart w:id="36" w:name="_Toc184314441"/>
      <w:bookmarkEnd w:id="36"/>
      <w:bookmarkStart w:id="37" w:name="_Toc184308073"/>
      <w:bookmarkEnd w:id="37"/>
      <w:bookmarkStart w:id="38" w:name="_Toc184308087"/>
      <w:bookmarkEnd w:id="38"/>
      <w:bookmarkStart w:id="39" w:name="_Toc184310317"/>
      <w:bookmarkEnd w:id="39"/>
      <w:bookmarkStart w:id="40" w:name="_Toc184310279"/>
      <w:bookmarkEnd w:id="40"/>
      <w:bookmarkStart w:id="41" w:name="_Toc184313263"/>
      <w:bookmarkEnd w:id="41"/>
      <w:bookmarkStart w:id="42" w:name="_Toc184314442"/>
      <w:bookmarkEnd w:id="42"/>
      <w:bookmarkStart w:id="43" w:name="_Toc184313284"/>
      <w:bookmarkEnd w:id="43"/>
      <w:bookmarkStart w:id="44" w:name="_Toc184308099"/>
      <w:bookmarkEnd w:id="44"/>
      <w:bookmarkStart w:id="45" w:name="_Toc184313257"/>
      <w:bookmarkEnd w:id="45"/>
      <w:bookmarkStart w:id="46" w:name="_Toc184308072"/>
      <w:bookmarkEnd w:id="46"/>
      <w:bookmarkStart w:id="47" w:name="_Toc184310341"/>
      <w:bookmarkEnd w:id="47"/>
      <w:bookmarkStart w:id="48" w:name="_Toc184314461"/>
      <w:bookmarkEnd w:id="48"/>
      <w:bookmarkStart w:id="49" w:name="_Toc184314412"/>
      <w:bookmarkEnd w:id="49"/>
      <w:bookmarkStart w:id="50" w:name="_Toc184310290"/>
      <w:bookmarkEnd w:id="50"/>
      <w:bookmarkStart w:id="51" w:name="_Toc184312117"/>
      <w:bookmarkEnd w:id="51"/>
      <w:bookmarkStart w:id="52" w:name="_Toc184310281"/>
      <w:bookmarkEnd w:id="52"/>
      <w:bookmarkStart w:id="53" w:name="_Toc184310331"/>
      <w:bookmarkEnd w:id="53"/>
      <w:bookmarkStart w:id="54" w:name="_Toc184312118"/>
      <w:bookmarkEnd w:id="54"/>
      <w:bookmarkStart w:id="55" w:name="_Toc184308089"/>
      <w:bookmarkEnd w:id="55"/>
      <w:bookmarkStart w:id="56" w:name="_Toc184310334"/>
      <w:bookmarkEnd w:id="56"/>
      <w:bookmarkStart w:id="57" w:name="_Toc184314443"/>
      <w:bookmarkEnd w:id="57"/>
      <w:bookmarkStart w:id="58" w:name="_Toc184314453"/>
      <w:bookmarkEnd w:id="58"/>
      <w:bookmarkStart w:id="59" w:name="_Toc184308051"/>
      <w:bookmarkEnd w:id="59"/>
      <w:bookmarkStart w:id="60" w:name="_Toc184312106"/>
      <w:bookmarkEnd w:id="60"/>
      <w:bookmarkStart w:id="61" w:name="_Toc184313299"/>
      <w:bookmarkEnd w:id="61"/>
      <w:bookmarkStart w:id="62" w:name="_Toc184313250"/>
      <w:bookmarkEnd w:id="62"/>
      <w:bookmarkStart w:id="63" w:name="_Toc184312085"/>
      <w:bookmarkEnd w:id="63"/>
      <w:bookmarkStart w:id="64" w:name="_Toc184313260"/>
      <w:bookmarkEnd w:id="64"/>
      <w:bookmarkStart w:id="65" w:name="_Toc184310328"/>
      <w:bookmarkEnd w:id="65"/>
      <w:bookmarkStart w:id="66" w:name="_Toc184310276"/>
      <w:bookmarkEnd w:id="66"/>
      <w:bookmarkStart w:id="67" w:name="_Toc184314482"/>
      <w:bookmarkEnd w:id="67"/>
      <w:bookmarkStart w:id="68" w:name="_Toc184314421"/>
      <w:bookmarkEnd w:id="68"/>
      <w:bookmarkStart w:id="69" w:name="_Toc184312116"/>
      <w:bookmarkEnd w:id="69"/>
      <w:bookmarkStart w:id="70" w:name="_Toc184308098"/>
      <w:bookmarkEnd w:id="70"/>
      <w:bookmarkStart w:id="71" w:name="_Toc184312082"/>
      <w:bookmarkEnd w:id="71"/>
      <w:bookmarkStart w:id="72" w:name="_Toc184310333"/>
      <w:bookmarkEnd w:id="72"/>
      <w:bookmarkStart w:id="73" w:name="_Toc184312138"/>
      <w:bookmarkEnd w:id="73"/>
      <w:bookmarkStart w:id="74" w:name="_Toc184313254"/>
      <w:bookmarkEnd w:id="74"/>
      <w:bookmarkStart w:id="75" w:name="_Toc184314472"/>
      <w:bookmarkEnd w:id="75"/>
      <w:bookmarkStart w:id="76" w:name="_Toc184310284"/>
      <w:bookmarkEnd w:id="76"/>
      <w:bookmarkStart w:id="77" w:name="_Toc184310303"/>
      <w:bookmarkEnd w:id="77"/>
      <w:bookmarkStart w:id="78" w:name="_Toc184312067"/>
      <w:bookmarkEnd w:id="78"/>
      <w:bookmarkStart w:id="79" w:name="_Toc184308066"/>
      <w:bookmarkEnd w:id="79"/>
      <w:bookmarkStart w:id="80" w:name="_Toc184312081"/>
      <w:bookmarkEnd w:id="80"/>
      <w:bookmarkStart w:id="81" w:name="_Toc184310307"/>
      <w:bookmarkEnd w:id="81"/>
      <w:bookmarkStart w:id="82" w:name="_Toc184308042"/>
      <w:bookmarkEnd w:id="82"/>
      <w:bookmarkStart w:id="83" w:name="_Toc184314467"/>
      <w:bookmarkEnd w:id="83"/>
      <w:bookmarkStart w:id="84" w:name="_Toc184313289"/>
      <w:bookmarkEnd w:id="84"/>
      <w:bookmarkStart w:id="85" w:name="_Toc184310336"/>
      <w:bookmarkEnd w:id="85"/>
      <w:bookmarkStart w:id="86" w:name="_Toc184313264"/>
      <w:bookmarkEnd w:id="86"/>
      <w:bookmarkStart w:id="87" w:name="_Toc184310288"/>
      <w:bookmarkEnd w:id="87"/>
      <w:bookmarkStart w:id="88" w:name="_Toc184310272"/>
      <w:bookmarkEnd w:id="88"/>
      <w:bookmarkStart w:id="89" w:name="_Toc184308071"/>
      <w:bookmarkEnd w:id="89"/>
      <w:bookmarkStart w:id="90" w:name="_Toc184310321"/>
      <w:bookmarkEnd w:id="90"/>
      <w:bookmarkStart w:id="91" w:name="_Toc184310339"/>
      <w:bookmarkEnd w:id="91"/>
      <w:bookmarkStart w:id="92" w:name="_Toc184314446"/>
      <w:bookmarkEnd w:id="92"/>
      <w:bookmarkStart w:id="93" w:name="_Toc184313265"/>
      <w:bookmarkEnd w:id="93"/>
      <w:bookmarkStart w:id="94" w:name="_Toc184308094"/>
      <w:bookmarkEnd w:id="94"/>
      <w:bookmarkStart w:id="95" w:name="_Toc184313276"/>
      <w:bookmarkEnd w:id="95"/>
      <w:bookmarkStart w:id="96" w:name="_Toc184308083"/>
      <w:bookmarkEnd w:id="96"/>
      <w:bookmarkStart w:id="97" w:name="_Toc184313269"/>
      <w:bookmarkEnd w:id="97"/>
      <w:bookmarkStart w:id="98" w:name="_Toc184312077"/>
      <w:bookmarkEnd w:id="98"/>
      <w:bookmarkStart w:id="99" w:name="_Toc184314419"/>
      <w:bookmarkEnd w:id="99"/>
      <w:bookmarkStart w:id="100" w:name="_Toc184308086"/>
      <w:bookmarkEnd w:id="100"/>
      <w:bookmarkStart w:id="101" w:name="_Toc184308096"/>
      <w:bookmarkEnd w:id="101"/>
      <w:bookmarkStart w:id="102" w:name="_Toc184314424"/>
      <w:bookmarkEnd w:id="102"/>
      <w:bookmarkStart w:id="103" w:name="_Toc184313302"/>
      <w:bookmarkEnd w:id="103"/>
      <w:bookmarkStart w:id="104" w:name="_Toc184312137"/>
      <w:bookmarkEnd w:id="104"/>
      <w:bookmarkStart w:id="105" w:name="_Toc184308038"/>
      <w:bookmarkEnd w:id="105"/>
      <w:bookmarkStart w:id="106" w:name="_Toc184312068"/>
      <w:bookmarkEnd w:id="106"/>
      <w:bookmarkStart w:id="107" w:name="_Toc184308075"/>
      <w:bookmarkEnd w:id="107"/>
      <w:bookmarkStart w:id="108" w:name="_Toc184310293"/>
      <w:bookmarkEnd w:id="108"/>
      <w:bookmarkStart w:id="109" w:name="_Toc184314479"/>
      <w:bookmarkEnd w:id="109"/>
      <w:bookmarkStart w:id="110" w:name="_Toc184312129"/>
      <w:bookmarkEnd w:id="110"/>
      <w:bookmarkStart w:id="111" w:name="_Toc184313270"/>
      <w:bookmarkEnd w:id="111"/>
      <w:bookmarkStart w:id="112" w:name="_Toc184314440"/>
      <w:bookmarkEnd w:id="112"/>
      <w:bookmarkStart w:id="113" w:name="_Toc184312114"/>
      <w:bookmarkEnd w:id="113"/>
      <w:bookmarkStart w:id="114" w:name="_Toc184314464"/>
      <w:bookmarkEnd w:id="114"/>
      <w:bookmarkStart w:id="115" w:name="_Toc184308050"/>
      <w:bookmarkEnd w:id="115"/>
      <w:bookmarkStart w:id="116" w:name="_Toc184310273"/>
      <w:bookmarkEnd w:id="116"/>
      <w:bookmarkStart w:id="117" w:name="_Toc184312076"/>
      <w:bookmarkEnd w:id="117"/>
      <w:bookmarkStart w:id="118" w:name="_Toc184310287"/>
      <w:bookmarkEnd w:id="118"/>
      <w:bookmarkStart w:id="119" w:name="_Toc184313300"/>
      <w:bookmarkEnd w:id="119"/>
      <w:bookmarkStart w:id="120" w:name="_Toc184314434"/>
      <w:bookmarkEnd w:id="120"/>
      <w:bookmarkStart w:id="121" w:name="_Toc184313266"/>
      <w:bookmarkEnd w:id="121"/>
      <w:bookmarkStart w:id="122" w:name="_Toc184310344"/>
      <w:bookmarkEnd w:id="122"/>
      <w:bookmarkStart w:id="123" w:name="_Toc184312104"/>
      <w:bookmarkEnd w:id="123"/>
      <w:bookmarkStart w:id="124" w:name="_Toc184312107"/>
      <w:bookmarkEnd w:id="124"/>
      <w:bookmarkStart w:id="125" w:name="_Toc184308070"/>
      <w:bookmarkEnd w:id="125"/>
      <w:bookmarkStart w:id="126" w:name="_Toc184314462"/>
      <w:bookmarkEnd w:id="126"/>
      <w:bookmarkStart w:id="127" w:name="_Toc184308076"/>
      <w:bookmarkEnd w:id="127"/>
      <w:bookmarkStart w:id="128" w:name="_Toc184308067"/>
      <w:bookmarkEnd w:id="128"/>
      <w:bookmarkStart w:id="129" w:name="_Toc184313292"/>
      <w:bookmarkEnd w:id="129"/>
      <w:bookmarkStart w:id="130" w:name="_Toc184313249"/>
      <w:bookmarkEnd w:id="130"/>
      <w:bookmarkStart w:id="131" w:name="_Toc184313247"/>
      <w:bookmarkEnd w:id="131"/>
      <w:bookmarkStart w:id="132" w:name="_Toc184312122"/>
      <w:bookmarkEnd w:id="132"/>
      <w:bookmarkStart w:id="133" w:name="_Toc184308055"/>
      <w:bookmarkEnd w:id="133"/>
      <w:bookmarkStart w:id="134" w:name="_Toc184310322"/>
      <w:bookmarkEnd w:id="134"/>
      <w:bookmarkStart w:id="135" w:name="_Toc184310286"/>
      <w:bookmarkEnd w:id="135"/>
      <w:bookmarkStart w:id="136" w:name="_Toc184313286"/>
      <w:bookmarkEnd w:id="136"/>
      <w:bookmarkStart w:id="137" w:name="_Toc184313305"/>
      <w:bookmarkEnd w:id="137"/>
      <w:bookmarkStart w:id="138" w:name="_Toc184314420"/>
      <w:bookmarkEnd w:id="138"/>
      <w:bookmarkStart w:id="139" w:name="_Toc184312133"/>
      <w:bookmarkEnd w:id="139"/>
      <w:bookmarkStart w:id="140" w:name="_Toc184308039"/>
      <w:bookmarkEnd w:id="140"/>
      <w:bookmarkStart w:id="141" w:name="_Toc184308043"/>
      <w:bookmarkEnd w:id="141"/>
      <w:bookmarkStart w:id="142" w:name="_Toc184313246"/>
      <w:bookmarkEnd w:id="142"/>
      <w:bookmarkStart w:id="143" w:name="_Toc184310299"/>
      <w:bookmarkEnd w:id="143"/>
      <w:bookmarkStart w:id="144" w:name="_Toc184314458"/>
      <w:bookmarkEnd w:id="144"/>
      <w:bookmarkStart w:id="145" w:name="_Toc184312110"/>
      <w:bookmarkEnd w:id="145"/>
      <w:bookmarkStart w:id="146" w:name="_Toc184308059"/>
      <w:bookmarkEnd w:id="146"/>
      <w:bookmarkStart w:id="147" w:name="_Toc184312105"/>
      <w:bookmarkEnd w:id="147"/>
      <w:bookmarkStart w:id="148" w:name="_Toc184308045"/>
      <w:bookmarkEnd w:id="148"/>
      <w:bookmarkStart w:id="149" w:name="_Toc184310326"/>
      <w:bookmarkEnd w:id="149"/>
      <w:bookmarkStart w:id="150" w:name="_Toc184308079"/>
      <w:bookmarkEnd w:id="150"/>
      <w:bookmarkStart w:id="151" w:name="_Toc184314413"/>
      <w:bookmarkEnd w:id="151"/>
      <w:bookmarkStart w:id="152" w:name="_Toc184310320"/>
      <w:bookmarkEnd w:id="152"/>
      <w:bookmarkStart w:id="153" w:name="_Toc184308041"/>
      <w:bookmarkEnd w:id="153"/>
      <w:bookmarkStart w:id="154" w:name="_Toc184313310"/>
      <w:bookmarkEnd w:id="154"/>
      <w:bookmarkStart w:id="155" w:name="_Toc184313307"/>
      <w:bookmarkEnd w:id="155"/>
      <w:bookmarkStart w:id="156" w:name="_Toc184310301"/>
      <w:bookmarkEnd w:id="156"/>
      <w:bookmarkStart w:id="157" w:name="_Toc184310305"/>
      <w:bookmarkEnd w:id="157"/>
      <w:bookmarkStart w:id="158" w:name="_Toc184310338"/>
      <w:bookmarkEnd w:id="158"/>
      <w:bookmarkStart w:id="159" w:name="_Toc184314438"/>
      <w:bookmarkEnd w:id="159"/>
      <w:bookmarkStart w:id="160" w:name="_Toc184308102"/>
      <w:bookmarkEnd w:id="160"/>
      <w:bookmarkStart w:id="161" w:name="_Toc184312131"/>
      <w:bookmarkEnd w:id="161"/>
      <w:bookmarkStart w:id="162" w:name="_Toc184312075"/>
      <w:bookmarkEnd w:id="162"/>
      <w:bookmarkStart w:id="163" w:name="_Toc184314448"/>
      <w:bookmarkEnd w:id="163"/>
      <w:bookmarkStart w:id="164" w:name="_Toc184314455"/>
      <w:bookmarkEnd w:id="164"/>
      <w:bookmarkStart w:id="165" w:name="_Toc184308065"/>
      <w:bookmarkEnd w:id="165"/>
      <w:bookmarkStart w:id="166" w:name="_Toc184313288"/>
      <w:bookmarkEnd w:id="166"/>
      <w:bookmarkStart w:id="167" w:name="_Toc184308054"/>
      <w:bookmarkEnd w:id="167"/>
      <w:bookmarkStart w:id="168" w:name="_Toc184310296"/>
      <w:bookmarkEnd w:id="168"/>
      <w:bookmarkStart w:id="169" w:name="_Toc184313251"/>
      <w:bookmarkEnd w:id="169"/>
      <w:bookmarkStart w:id="170" w:name="_Toc184313259"/>
      <w:bookmarkEnd w:id="170"/>
      <w:bookmarkStart w:id="171" w:name="_Toc184312120"/>
      <w:bookmarkEnd w:id="171"/>
      <w:bookmarkStart w:id="172" w:name="_Toc184312080"/>
      <w:bookmarkEnd w:id="172"/>
      <w:bookmarkStart w:id="173" w:name="_Toc184313261"/>
      <w:bookmarkEnd w:id="173"/>
      <w:bookmarkStart w:id="174" w:name="_Toc184308097"/>
      <w:bookmarkEnd w:id="174"/>
      <w:bookmarkStart w:id="175" w:name="_Toc184308047"/>
      <w:bookmarkEnd w:id="175"/>
      <w:bookmarkStart w:id="176" w:name="_Toc184310274"/>
      <w:bookmarkEnd w:id="176"/>
      <w:bookmarkStart w:id="177" w:name="_Toc184308069"/>
      <w:bookmarkEnd w:id="177"/>
      <w:bookmarkStart w:id="178" w:name="_Toc184313262"/>
      <w:bookmarkEnd w:id="178"/>
      <w:bookmarkStart w:id="179" w:name="_Toc184314433"/>
      <w:bookmarkEnd w:id="179"/>
      <w:bookmarkStart w:id="180" w:name="_Toc184308058"/>
      <w:bookmarkEnd w:id="180"/>
      <w:bookmarkStart w:id="181" w:name="_Toc184310308"/>
      <w:bookmarkEnd w:id="181"/>
      <w:bookmarkStart w:id="182" w:name="_Toc184313272"/>
      <w:bookmarkEnd w:id="182"/>
      <w:bookmarkStart w:id="183" w:name="_Toc184312083"/>
      <w:bookmarkEnd w:id="183"/>
      <w:bookmarkStart w:id="184" w:name="_Toc184314478"/>
      <w:bookmarkEnd w:id="184"/>
      <w:bookmarkStart w:id="185" w:name="_Toc184313256"/>
      <w:bookmarkEnd w:id="185"/>
      <w:bookmarkStart w:id="186" w:name="_Toc184314460"/>
      <w:bookmarkEnd w:id="186"/>
      <w:bookmarkStart w:id="187" w:name="_Toc184314466"/>
      <w:bookmarkEnd w:id="187"/>
      <w:bookmarkStart w:id="188" w:name="_Toc184308049"/>
      <w:bookmarkEnd w:id="188"/>
      <w:bookmarkStart w:id="189" w:name="_Toc184314465"/>
      <w:bookmarkEnd w:id="189"/>
      <w:bookmarkStart w:id="190" w:name="_Toc184312084"/>
      <w:bookmarkEnd w:id="190"/>
      <w:bookmarkStart w:id="191" w:name="_Toc184314414"/>
      <w:bookmarkEnd w:id="191"/>
      <w:bookmarkStart w:id="192" w:name="_Toc184310332"/>
      <w:bookmarkEnd w:id="192"/>
      <w:bookmarkStart w:id="193" w:name="_Toc184314411"/>
      <w:bookmarkEnd w:id="193"/>
      <w:bookmarkStart w:id="194" w:name="_Toc184313293"/>
      <w:bookmarkEnd w:id="194"/>
      <w:bookmarkStart w:id="195" w:name="_Toc184313252"/>
      <w:bookmarkEnd w:id="195"/>
      <w:bookmarkStart w:id="196" w:name="_Toc184313244"/>
      <w:bookmarkEnd w:id="196"/>
      <w:bookmarkStart w:id="197" w:name="_Toc184314470"/>
      <w:bookmarkEnd w:id="197"/>
      <w:bookmarkStart w:id="198" w:name="_Toc184314439"/>
      <w:bookmarkEnd w:id="198"/>
      <w:bookmarkStart w:id="199" w:name="_Toc184310313"/>
      <w:bookmarkEnd w:id="199"/>
      <w:bookmarkStart w:id="200" w:name="_Toc184310294"/>
      <w:bookmarkEnd w:id="200"/>
      <w:bookmarkStart w:id="201" w:name="_Toc184310325"/>
      <w:bookmarkEnd w:id="201"/>
      <w:bookmarkStart w:id="202" w:name="_Toc184314436"/>
      <w:bookmarkEnd w:id="202"/>
      <w:bookmarkStart w:id="203" w:name="_Toc184310291"/>
      <w:bookmarkEnd w:id="203"/>
      <w:bookmarkStart w:id="204" w:name="_Toc184313283"/>
      <w:bookmarkEnd w:id="204"/>
      <w:bookmarkStart w:id="205" w:name="_Toc184313306"/>
      <w:bookmarkEnd w:id="205"/>
      <w:bookmarkStart w:id="206" w:name="_Toc184310314"/>
      <w:bookmarkEnd w:id="206"/>
      <w:bookmarkStart w:id="207" w:name="_Toc184308093"/>
      <w:bookmarkEnd w:id="207"/>
      <w:bookmarkStart w:id="208" w:name="_Toc184308068"/>
      <w:bookmarkEnd w:id="208"/>
      <w:bookmarkStart w:id="209" w:name="_Toc184314428"/>
      <w:bookmarkEnd w:id="209"/>
      <w:bookmarkStart w:id="210" w:name="_Toc184314459"/>
      <w:bookmarkEnd w:id="210"/>
      <w:bookmarkStart w:id="211" w:name="_Toc184313271"/>
      <w:bookmarkEnd w:id="211"/>
      <w:bookmarkStart w:id="212" w:name="_Toc184313248"/>
      <w:bookmarkEnd w:id="212"/>
      <w:bookmarkStart w:id="213" w:name="_Toc184314429"/>
      <w:bookmarkEnd w:id="213"/>
      <w:bookmarkStart w:id="214" w:name="_Toc184312070"/>
      <w:bookmarkEnd w:id="214"/>
      <w:bookmarkStart w:id="215" w:name="_Toc184312091"/>
      <w:bookmarkEnd w:id="215"/>
      <w:bookmarkStart w:id="216" w:name="_Toc184310282"/>
      <w:bookmarkEnd w:id="216"/>
      <w:bookmarkStart w:id="217" w:name="_Toc184314445"/>
      <w:bookmarkEnd w:id="217"/>
      <w:bookmarkStart w:id="218" w:name="_Toc184310289"/>
      <w:bookmarkEnd w:id="218"/>
      <w:bookmarkStart w:id="219" w:name="_Toc184314426"/>
      <w:bookmarkEnd w:id="219"/>
      <w:bookmarkStart w:id="220" w:name="_Toc184312095"/>
      <w:bookmarkEnd w:id="220"/>
      <w:bookmarkStart w:id="221" w:name="_Toc184313295"/>
      <w:bookmarkEnd w:id="221"/>
      <w:bookmarkStart w:id="222" w:name="_Toc184312093"/>
      <w:bookmarkEnd w:id="222"/>
      <w:bookmarkStart w:id="223" w:name="_Toc184312134"/>
      <w:bookmarkEnd w:id="223"/>
      <w:bookmarkStart w:id="224" w:name="_Toc184314477"/>
      <w:bookmarkEnd w:id="224"/>
      <w:bookmarkStart w:id="225" w:name="_Toc184313298"/>
      <w:bookmarkEnd w:id="225"/>
      <w:bookmarkStart w:id="226" w:name="_Toc184314456"/>
      <w:bookmarkEnd w:id="226"/>
      <w:bookmarkStart w:id="227" w:name="_Toc184310300"/>
      <w:bookmarkEnd w:id="227"/>
      <w:bookmarkStart w:id="228" w:name="_Toc184312115"/>
      <w:bookmarkEnd w:id="228"/>
      <w:bookmarkStart w:id="229" w:name="_Toc184308090"/>
      <w:bookmarkEnd w:id="229"/>
      <w:bookmarkStart w:id="230" w:name="_Toc184310277"/>
      <w:bookmarkEnd w:id="230"/>
      <w:bookmarkStart w:id="231" w:name="_Toc184310310"/>
      <w:bookmarkEnd w:id="231"/>
      <w:bookmarkStart w:id="232" w:name="_Toc184308092"/>
      <w:bookmarkEnd w:id="232"/>
      <w:bookmarkStart w:id="233" w:name="_Toc184312139"/>
      <w:bookmarkEnd w:id="233"/>
      <w:bookmarkStart w:id="234" w:name="_Toc184313242"/>
      <w:bookmarkEnd w:id="234"/>
      <w:bookmarkStart w:id="235" w:name="_Toc184310304"/>
      <w:bookmarkEnd w:id="235"/>
      <w:bookmarkStart w:id="236" w:name="_Toc184308064"/>
      <w:bookmarkEnd w:id="236"/>
      <w:bookmarkStart w:id="237" w:name="_Toc184310330"/>
      <w:bookmarkEnd w:id="237"/>
      <w:bookmarkStart w:id="238" w:name="_Toc184312086"/>
      <w:bookmarkEnd w:id="238"/>
      <w:bookmarkStart w:id="239" w:name="_Toc184314423"/>
      <w:bookmarkEnd w:id="239"/>
      <w:bookmarkStart w:id="240" w:name="_Toc184308108"/>
      <w:bookmarkEnd w:id="240"/>
      <w:bookmarkStart w:id="241" w:name="_Toc184310323"/>
      <w:bookmarkEnd w:id="241"/>
      <w:bookmarkStart w:id="242" w:name="_Toc184312100"/>
      <w:bookmarkEnd w:id="242"/>
      <w:bookmarkStart w:id="243" w:name="_Toc184312130"/>
      <w:bookmarkEnd w:id="243"/>
      <w:bookmarkStart w:id="244" w:name="_Toc184313273"/>
      <w:bookmarkEnd w:id="244"/>
      <w:bookmarkStart w:id="245" w:name="_Toc184314474"/>
      <w:bookmarkEnd w:id="245"/>
      <w:bookmarkStart w:id="246" w:name="_Toc184314415"/>
      <w:bookmarkEnd w:id="246"/>
      <w:bookmarkStart w:id="247" w:name="_Toc184312101"/>
      <w:bookmarkEnd w:id="247"/>
      <w:bookmarkStart w:id="248" w:name="_Toc184312072"/>
      <w:bookmarkEnd w:id="248"/>
      <w:bookmarkStart w:id="249" w:name="_Toc184313267"/>
      <w:bookmarkEnd w:id="249"/>
      <w:bookmarkStart w:id="250" w:name="_Toc184308048"/>
      <w:bookmarkEnd w:id="250"/>
      <w:bookmarkStart w:id="251" w:name="_Toc184313294"/>
      <w:bookmarkEnd w:id="251"/>
      <w:bookmarkStart w:id="252" w:name="_Toc184310295"/>
      <w:bookmarkEnd w:id="252"/>
      <w:bookmarkStart w:id="253" w:name="_Toc184312087"/>
      <w:bookmarkEnd w:id="253"/>
      <w:bookmarkStart w:id="254" w:name="_Toc184313239"/>
      <w:bookmarkEnd w:id="254"/>
      <w:bookmarkStart w:id="255" w:name="_Toc184312108"/>
      <w:bookmarkEnd w:id="255"/>
      <w:bookmarkStart w:id="256" w:name="_Toc184314416"/>
      <w:bookmarkEnd w:id="256"/>
      <w:bookmarkStart w:id="257" w:name="_Toc184314444"/>
      <w:bookmarkEnd w:id="257"/>
      <w:bookmarkStart w:id="258" w:name="_Toc184313275"/>
      <w:bookmarkEnd w:id="258"/>
      <w:bookmarkStart w:id="259" w:name="_Toc184313277"/>
      <w:bookmarkEnd w:id="259"/>
      <w:bookmarkStart w:id="260" w:name="_Toc184314480"/>
      <w:bookmarkEnd w:id="260"/>
      <w:bookmarkStart w:id="261" w:name="_Toc184308060"/>
      <w:bookmarkEnd w:id="261"/>
      <w:bookmarkStart w:id="262" w:name="_Toc184308044"/>
      <w:bookmarkEnd w:id="262"/>
      <w:bookmarkStart w:id="263" w:name="_Toc184314431"/>
      <w:bookmarkEnd w:id="263"/>
      <w:bookmarkStart w:id="264" w:name="_Toc184310335"/>
      <w:bookmarkEnd w:id="264"/>
      <w:bookmarkStart w:id="265" w:name="_Toc184310324"/>
      <w:bookmarkEnd w:id="265"/>
      <w:bookmarkStart w:id="266" w:name="_Toc184308056"/>
      <w:bookmarkEnd w:id="266"/>
      <w:bookmarkStart w:id="267" w:name="_Toc184312090"/>
      <w:bookmarkEnd w:id="267"/>
      <w:bookmarkStart w:id="268" w:name="_Toc184312103"/>
      <w:bookmarkEnd w:id="268"/>
      <w:bookmarkStart w:id="269" w:name="_Toc184310292"/>
      <w:bookmarkEnd w:id="269"/>
      <w:bookmarkStart w:id="270" w:name="_Toc184314481"/>
      <w:bookmarkEnd w:id="270"/>
      <w:bookmarkStart w:id="271" w:name="_Toc184310312"/>
      <w:bookmarkEnd w:id="271"/>
      <w:bookmarkStart w:id="272" w:name="_Toc184312096"/>
      <w:bookmarkEnd w:id="272"/>
      <w:bookmarkStart w:id="273" w:name="_Toc184308037"/>
      <w:bookmarkEnd w:id="273"/>
      <w:bookmarkStart w:id="274" w:name="_Toc184312088"/>
      <w:bookmarkEnd w:id="274"/>
      <w:bookmarkStart w:id="275" w:name="_Toc184314471"/>
      <w:bookmarkEnd w:id="275"/>
      <w:bookmarkStart w:id="276" w:name="_Toc184310311"/>
      <w:bookmarkEnd w:id="276"/>
      <w:bookmarkStart w:id="277" w:name="_Toc184308074"/>
      <w:bookmarkEnd w:id="277"/>
      <w:bookmarkStart w:id="278" w:name="_Toc184310342"/>
      <w:bookmarkEnd w:id="278"/>
      <w:bookmarkStart w:id="279" w:name="_Toc184308100"/>
      <w:bookmarkEnd w:id="279"/>
      <w:bookmarkStart w:id="280" w:name="_Toc184313281"/>
      <w:bookmarkEnd w:id="280"/>
      <w:bookmarkStart w:id="281" w:name="_Toc184310278"/>
      <w:bookmarkEnd w:id="281"/>
      <w:bookmarkStart w:id="282" w:name="_Toc184312135"/>
      <w:bookmarkEnd w:id="282"/>
      <w:bookmarkStart w:id="283" w:name="_Toc184310329"/>
      <w:bookmarkEnd w:id="283"/>
      <w:bookmarkStart w:id="284" w:name="_Toc184308077"/>
      <w:bookmarkEnd w:id="284"/>
      <w:bookmarkStart w:id="285" w:name="_Toc184313308"/>
      <w:bookmarkEnd w:id="285"/>
      <w:bookmarkStart w:id="286" w:name="_Toc184312121"/>
      <w:bookmarkEnd w:id="286"/>
      <w:bookmarkStart w:id="287" w:name="_Toc184314469"/>
      <w:bookmarkEnd w:id="287"/>
      <w:bookmarkStart w:id="288" w:name="_Toc184313253"/>
      <w:bookmarkEnd w:id="288"/>
      <w:bookmarkStart w:id="289" w:name="_Toc184310315"/>
      <w:bookmarkEnd w:id="289"/>
      <w:bookmarkStart w:id="290" w:name="_Toc184308084"/>
      <w:bookmarkEnd w:id="290"/>
      <w:bookmarkStart w:id="291" w:name="_Toc184313285"/>
      <w:bookmarkEnd w:id="291"/>
      <w:bookmarkStart w:id="292" w:name="_Toc184310283"/>
      <w:bookmarkEnd w:id="292"/>
      <w:bookmarkStart w:id="293" w:name="_Toc184310343"/>
      <w:bookmarkEnd w:id="293"/>
      <w:bookmarkStart w:id="294" w:name="_Toc184312119"/>
      <w:bookmarkEnd w:id="294"/>
      <w:bookmarkStart w:id="295" w:name="_Toc184314452"/>
      <w:bookmarkEnd w:id="295"/>
      <w:bookmarkStart w:id="296" w:name="_Toc184313309"/>
      <w:bookmarkEnd w:id="296"/>
      <w:bookmarkStart w:id="297" w:name="_Toc184313274"/>
      <w:bookmarkEnd w:id="297"/>
      <w:bookmarkStart w:id="298" w:name="_Toc184312132"/>
      <w:bookmarkEnd w:id="298"/>
      <w:bookmarkStart w:id="299" w:name="_Toc184314454"/>
      <w:bookmarkEnd w:id="299"/>
      <w:bookmarkStart w:id="300" w:name="_Toc184312128"/>
      <w:bookmarkEnd w:id="300"/>
      <w:bookmarkStart w:id="301" w:name="_Toc184312079"/>
      <w:bookmarkEnd w:id="301"/>
      <w:bookmarkStart w:id="302" w:name="_Toc184308046"/>
      <w:bookmarkEnd w:id="302"/>
      <w:bookmarkStart w:id="303" w:name="_Toc184310306"/>
      <w:bookmarkEnd w:id="303"/>
      <w:bookmarkStart w:id="304" w:name="_Toc184310285"/>
      <w:bookmarkEnd w:id="304"/>
      <w:bookmarkStart w:id="305" w:name="_Toc184312092"/>
      <w:bookmarkEnd w:id="305"/>
      <w:bookmarkStart w:id="306" w:name="_Toc184314432"/>
      <w:bookmarkEnd w:id="306"/>
      <w:bookmarkStart w:id="307" w:name="_Toc184313296"/>
      <w:bookmarkEnd w:id="307"/>
      <w:bookmarkStart w:id="308" w:name="_Toc184308091"/>
      <w:bookmarkEnd w:id="308"/>
      <w:bookmarkStart w:id="309" w:name="_Toc184312112"/>
      <w:bookmarkEnd w:id="309"/>
      <w:bookmarkStart w:id="310" w:name="_Toc184312111"/>
      <w:bookmarkEnd w:id="310"/>
      <w:bookmarkStart w:id="311" w:name="_Toc184313243"/>
      <w:bookmarkEnd w:id="311"/>
      <w:bookmarkStart w:id="312" w:name="_Toc184312113"/>
      <w:bookmarkEnd w:id="312"/>
      <w:bookmarkStart w:id="313" w:name="_Toc184308062"/>
      <w:bookmarkEnd w:id="313"/>
      <w:bookmarkStart w:id="314" w:name="_Toc184314447"/>
      <w:bookmarkEnd w:id="314"/>
      <w:bookmarkStart w:id="315" w:name="_Toc184314417"/>
      <w:bookmarkEnd w:id="315"/>
      <w:bookmarkStart w:id="316" w:name="_Toc184308078"/>
      <w:bookmarkEnd w:id="316"/>
      <w:bookmarkStart w:id="317" w:name="_Toc184308101"/>
      <w:bookmarkEnd w:id="317"/>
      <w:bookmarkStart w:id="318" w:name="_Toc184308107"/>
      <w:bookmarkEnd w:id="318"/>
      <w:bookmarkStart w:id="319" w:name="_Toc184308105"/>
      <w:bookmarkEnd w:id="319"/>
      <w:bookmarkStart w:id="320" w:name="_Toc184308061"/>
      <w:bookmarkEnd w:id="320"/>
      <w:bookmarkStart w:id="321" w:name="_Toc184314451"/>
      <w:bookmarkEnd w:id="321"/>
      <w:bookmarkStart w:id="322" w:name="_Toc184313304"/>
      <w:bookmarkEnd w:id="322"/>
      <w:bookmarkStart w:id="323" w:name="_Toc184312069"/>
      <w:bookmarkEnd w:id="323"/>
      <w:bookmarkStart w:id="324" w:name="_Toc184313291"/>
      <w:bookmarkEnd w:id="324"/>
      <w:bookmarkStart w:id="325" w:name="_Toc184310318"/>
      <w:bookmarkEnd w:id="325"/>
      <w:bookmarkStart w:id="326" w:name="_Toc184313290"/>
      <w:bookmarkEnd w:id="326"/>
      <w:bookmarkStart w:id="327" w:name="_Toc184310275"/>
      <w:bookmarkEnd w:id="327"/>
      <w:bookmarkStart w:id="328" w:name="_Toc184310340"/>
      <w:bookmarkEnd w:id="328"/>
      <w:bookmarkStart w:id="329" w:name="_Toc184314450"/>
      <w:bookmarkEnd w:id="329"/>
      <w:bookmarkStart w:id="330" w:name="_Toc184312126"/>
      <w:bookmarkEnd w:id="330"/>
      <w:bookmarkStart w:id="331" w:name="_Toc184314425"/>
      <w:bookmarkEnd w:id="331"/>
      <w:bookmarkStart w:id="332" w:name="_Toc184313297"/>
      <w:bookmarkEnd w:id="332"/>
      <w:bookmarkStart w:id="333" w:name="_Toc184312094"/>
      <w:bookmarkEnd w:id="333"/>
      <w:bookmarkStart w:id="334" w:name="_Toc184314418"/>
      <w:bookmarkEnd w:id="334"/>
      <w:bookmarkStart w:id="335" w:name="_Toc184313255"/>
      <w:bookmarkEnd w:id="335"/>
      <w:bookmarkStart w:id="336" w:name="_Toc184314427"/>
      <w:bookmarkEnd w:id="336"/>
      <w:bookmarkStart w:id="337" w:name="_Toc184313279"/>
      <w:bookmarkEnd w:id="337"/>
      <w:bookmarkStart w:id="338" w:name="_Toc184314437"/>
      <w:bookmarkEnd w:id="338"/>
      <w:bookmarkStart w:id="339" w:name="_Toc184314463"/>
      <w:bookmarkEnd w:id="339"/>
      <w:bookmarkStart w:id="340" w:name="_Toc184312102"/>
      <w:bookmarkEnd w:id="340"/>
      <w:bookmarkStart w:id="341" w:name="_Toc184308063"/>
      <w:bookmarkEnd w:id="341"/>
      <w:bookmarkStart w:id="342" w:name="_Toc184314475"/>
      <w:bookmarkEnd w:id="342"/>
      <w:bookmarkStart w:id="343" w:name="_Toc184308095"/>
      <w:bookmarkEnd w:id="343"/>
      <w:bookmarkStart w:id="344" w:name="_Toc184310337"/>
      <w:bookmarkEnd w:id="344"/>
      <w:bookmarkStart w:id="345" w:name="_Toc184308104"/>
      <w:bookmarkEnd w:id="345"/>
      <w:bookmarkStart w:id="346" w:name="_Toc184312098"/>
      <w:bookmarkEnd w:id="346"/>
      <w:bookmarkStart w:id="347" w:name="_Toc184310316"/>
      <w:bookmarkEnd w:id="347"/>
      <w:bookmarkStart w:id="348" w:name="_Toc184313268"/>
      <w:bookmarkEnd w:id="348"/>
      <w:bookmarkStart w:id="349" w:name="_Toc184313303"/>
      <w:bookmarkEnd w:id="349"/>
      <w:bookmarkStart w:id="350" w:name="_Toc184313238"/>
      <w:bookmarkEnd w:id="350"/>
      <w:bookmarkStart w:id="351" w:name="_Toc184312123"/>
      <w:bookmarkEnd w:id="351"/>
      <w:bookmarkStart w:id="352" w:name="_Toc184313258"/>
      <w:bookmarkEnd w:id="352"/>
      <w:bookmarkStart w:id="353" w:name="_Toc184314476"/>
      <w:bookmarkEnd w:id="353"/>
      <w:bookmarkStart w:id="354" w:name="_Toc184312078"/>
      <w:bookmarkEnd w:id="354"/>
      <w:bookmarkStart w:id="355" w:name="_Toc184313240"/>
      <w:bookmarkEnd w:id="355"/>
      <w:bookmarkStart w:id="356" w:name="_Toc184308080"/>
      <w:bookmarkEnd w:id="356"/>
      <w:bookmarkStart w:id="357" w:name="_Toc184308053"/>
      <w:bookmarkEnd w:id="357"/>
      <w:bookmarkStart w:id="358" w:name="_Toc184313241"/>
      <w:bookmarkEnd w:id="358"/>
      <w:bookmarkStart w:id="359" w:name="_Toc184314422"/>
      <w:bookmarkEnd w:id="359"/>
      <w:bookmarkStart w:id="360" w:name="_Toc184312073"/>
      <w:bookmarkEnd w:id="360"/>
      <w:bookmarkStart w:id="361" w:name="_Toc184308040"/>
      <w:bookmarkEnd w:id="361"/>
      <w:bookmarkStart w:id="362" w:name="_Toc184310319"/>
      <w:bookmarkEnd w:id="362"/>
      <w:bookmarkStart w:id="363" w:name="_Toc184312127"/>
      <w:bookmarkEnd w:id="363"/>
      <w:bookmarkStart w:id="364" w:name="_Toc184312097"/>
      <w:bookmarkEnd w:id="364"/>
      <w:bookmarkStart w:id="365" w:name="_Toc184313301"/>
      <w:bookmarkEnd w:id="365"/>
      <w:bookmarkStart w:id="366" w:name="_Toc184312071"/>
      <w:bookmarkEnd w:id="366"/>
      <w:bookmarkStart w:id="367" w:name="_Toc184310327"/>
      <w:bookmarkEnd w:id="367"/>
      <w:bookmarkStart w:id="368" w:name="_Toc184312125"/>
      <w:bookmarkEnd w:id="368"/>
      <w:bookmarkStart w:id="369" w:name="_Toc184314449"/>
      <w:bookmarkEnd w:id="369"/>
      <w:bookmarkStart w:id="370" w:name="_Toc184313287"/>
      <w:bookmarkEnd w:id="370"/>
      <w:bookmarkStart w:id="371" w:name="_Toc184314410"/>
      <w:bookmarkEnd w:id="371"/>
      <w:bookmarkStart w:id="372" w:name="_Toc184308036"/>
      <w:bookmarkEnd w:id="372"/>
      <w:bookmarkStart w:id="373" w:name="_Toc184313282"/>
      <w:bookmarkEnd w:id="373"/>
      <w:bookmarkStart w:id="374" w:name="_Toc184314473"/>
      <w:bookmarkEnd w:id="374"/>
      <w:bookmarkStart w:id="375" w:name="_Toc184314430"/>
      <w:bookmarkEnd w:id="375"/>
      <w:bookmarkStart w:id="376" w:name="_Toc184312109"/>
      <w:bookmarkEnd w:id="376"/>
      <w:bookmarkStart w:id="377" w:name="_Toc184308081"/>
      <w:bookmarkEnd w:id="377"/>
      <w:bookmarkStart w:id="378" w:name="_Toc184313280"/>
      <w:bookmarkEnd w:id="378"/>
      <w:r>
        <w:rPr>
          <w:rFonts w:hint="eastAsia" w:ascii="仿宋" w:hAnsi="仿宋" w:eastAsia="仿宋" w:cs="仿宋"/>
          <w:b/>
          <w:color w:val="auto"/>
          <w:sz w:val="36"/>
          <w:szCs w:val="36"/>
          <w:highlight w:val="none"/>
          <w:shd w:val="clear" w:color="auto" w:fill="auto"/>
        </w:rPr>
        <w:t>评审办法</w:t>
      </w:r>
    </w:p>
    <w:p w14:paraId="61A0A2A3">
      <w:pPr>
        <w:spacing w:before="120" w:beforeLines="50" w:line="360" w:lineRule="auto"/>
        <w:outlineLvl w:val="1"/>
        <w:rPr>
          <w:rFonts w:ascii="仿宋" w:hAnsi="仿宋" w:eastAsia="仿宋" w:cs="仿宋"/>
          <w:b/>
          <w:color w:val="auto"/>
          <w:sz w:val="24"/>
          <w:highlight w:val="none"/>
          <w:shd w:val="clear" w:color="auto" w:fill="auto"/>
        </w:rPr>
      </w:pPr>
      <w:bookmarkStart w:id="379" w:name="_Toc15300"/>
      <w:r>
        <w:rPr>
          <w:rFonts w:hint="eastAsia" w:ascii="仿宋" w:hAnsi="仿宋" w:eastAsia="仿宋" w:cs="仿宋"/>
          <w:b/>
          <w:color w:val="auto"/>
          <w:sz w:val="24"/>
          <w:highlight w:val="none"/>
          <w:shd w:val="clear" w:color="auto" w:fill="auto"/>
        </w:rPr>
        <w:t xml:space="preserve">(一) </w:t>
      </w:r>
      <w:bookmarkEnd w:id="379"/>
      <w:r>
        <w:rPr>
          <w:rFonts w:hint="eastAsia" w:ascii="仿宋" w:hAnsi="仿宋" w:eastAsia="仿宋" w:cs="仿宋"/>
          <w:b/>
          <w:color w:val="auto"/>
          <w:sz w:val="24"/>
          <w:highlight w:val="none"/>
          <w:shd w:val="clear" w:color="auto" w:fill="auto"/>
        </w:rPr>
        <w:t>商务技术分（</w:t>
      </w:r>
      <w:r>
        <w:rPr>
          <w:rFonts w:hint="eastAsia" w:ascii="仿宋" w:hAnsi="仿宋" w:eastAsia="仿宋" w:cs="仿宋"/>
          <w:b/>
          <w:color w:val="auto"/>
          <w:sz w:val="24"/>
          <w:highlight w:val="none"/>
          <w:shd w:val="clear" w:color="auto" w:fill="auto"/>
          <w:lang w:val="en-US" w:eastAsia="zh-CN"/>
        </w:rPr>
        <w:t>9</w:t>
      </w:r>
      <w:r>
        <w:rPr>
          <w:rFonts w:hint="eastAsia" w:ascii="仿宋" w:hAnsi="仿宋" w:eastAsia="仿宋" w:cs="仿宋"/>
          <w:b/>
          <w:color w:val="auto"/>
          <w:sz w:val="24"/>
          <w:highlight w:val="none"/>
          <w:shd w:val="clear" w:color="auto" w:fill="auto"/>
        </w:rPr>
        <w:t>0分）</w:t>
      </w:r>
    </w:p>
    <w:tbl>
      <w:tblPr>
        <w:tblStyle w:val="62"/>
        <w:tblW w:w="8877" w:type="dxa"/>
        <w:jc w:val="center"/>
        <w:tblLayout w:type="fixed"/>
        <w:tblCellMar>
          <w:top w:w="0" w:type="dxa"/>
          <w:left w:w="108" w:type="dxa"/>
          <w:bottom w:w="0" w:type="dxa"/>
          <w:right w:w="108" w:type="dxa"/>
        </w:tblCellMar>
      </w:tblPr>
      <w:tblGrid>
        <w:gridCol w:w="713"/>
        <w:gridCol w:w="687"/>
        <w:gridCol w:w="5736"/>
        <w:gridCol w:w="754"/>
        <w:gridCol w:w="987"/>
      </w:tblGrid>
      <w:tr w14:paraId="63319028">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B790">
            <w:pPr>
              <w:jc w:val="center"/>
              <w:rPr>
                <w:rFonts w:hint="eastAsia" w:ascii="仿宋" w:hAnsi="仿宋" w:eastAsia="仿宋" w:cs="仿宋"/>
                <w:color w:val="auto"/>
                <w:sz w:val="24"/>
                <w:highlight w:val="none"/>
                <w:lang w:val="en-US" w:eastAsia="zh-CN"/>
              </w:rPr>
            </w:pPr>
            <w:bookmarkStart w:id="380" w:name="_Toc23049"/>
            <w:r>
              <w:rPr>
                <w:rFonts w:hint="eastAsia" w:ascii="仿宋" w:hAnsi="仿宋" w:eastAsia="仿宋" w:cs="仿宋"/>
                <w:color w:val="auto"/>
                <w:sz w:val="24"/>
                <w:highlight w:val="none"/>
                <w:lang w:val="en-US" w:eastAsia="zh-CN"/>
              </w:rPr>
              <w:t>类别</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93F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5736" w:type="dxa"/>
            <w:tcBorders>
              <w:top w:val="single" w:color="000000" w:sz="4" w:space="0"/>
              <w:left w:val="nil"/>
              <w:bottom w:val="single" w:color="000000" w:sz="4" w:space="0"/>
              <w:right w:val="single" w:color="000000" w:sz="4" w:space="0"/>
            </w:tcBorders>
            <w:shd w:val="clear" w:color="auto" w:fill="auto"/>
            <w:vAlign w:val="center"/>
          </w:tcPr>
          <w:p w14:paraId="223E1B5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评审条款</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1CA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分值区间</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5C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主客观分</w:t>
            </w:r>
          </w:p>
        </w:tc>
      </w:tr>
      <w:tr w14:paraId="644EAF8C">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97A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商务资信</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F4E">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55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管理体系、服务能力认证：</w:t>
            </w:r>
          </w:p>
          <w:p w14:paraId="23A7436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（1）质量管理体系、</w:t>
            </w:r>
          </w:p>
          <w:p w14:paraId="6973B505">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（2）环境管理体系、</w:t>
            </w:r>
          </w:p>
          <w:p w14:paraId="400CAE5F">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（3）职业健康管理体系、</w:t>
            </w:r>
          </w:p>
          <w:p w14:paraId="5D55BB1D">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（4）能源管理体系、</w:t>
            </w:r>
          </w:p>
          <w:p w14:paraId="41BD4118">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（5）生活垃圾分类服务能力认证、</w:t>
            </w:r>
          </w:p>
          <w:p w14:paraId="67025429">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）物业服务认证证书、</w:t>
            </w:r>
          </w:p>
          <w:p w14:paraId="37BB6C66">
            <w:pPr>
              <w:keepNext w:val="0"/>
              <w:keepLines w:val="0"/>
              <w:spacing w:line="240" w:lineRule="auto"/>
              <w:ind w:left="0"/>
              <w:rPr>
                <w:rFonts w:hint="eastAsia" w:ascii="仿宋" w:hAnsi="仿宋" w:eastAsia="仿宋" w:cs="仿宋"/>
                <w:b w:val="0"/>
                <w:bCs w:val="0"/>
                <w:color w:val="auto"/>
                <w:sz w:val="24"/>
                <w:szCs w:val="24"/>
                <w:highlight w:val="none"/>
                <w:lang w:val="en-US"/>
              </w:rPr>
            </w:pP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24"/>
                <w:highlight w:val="none"/>
                <w:lang w:val="en-US"/>
              </w:rPr>
              <w:t>7</w:t>
            </w: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24"/>
                <w:highlight w:val="none"/>
                <w:lang w:val="en-US"/>
              </w:rPr>
              <w:t>诚信管理体系认证证书</w:t>
            </w:r>
            <w:r>
              <w:rPr>
                <w:rFonts w:hint="eastAsia" w:ascii="仿宋" w:hAnsi="仿宋" w:eastAsia="仿宋" w:cs="仿宋"/>
                <w:b w:val="0"/>
                <w:bCs w:val="0"/>
                <w:color w:val="auto"/>
                <w:sz w:val="24"/>
                <w:szCs w:val="24"/>
                <w:highlight w:val="none"/>
                <w:lang w:val="en-US" w:eastAsia="zh-CN"/>
              </w:rPr>
              <w:t>、</w:t>
            </w:r>
          </w:p>
          <w:p w14:paraId="576F6C70">
            <w:pPr>
              <w:keepNext w:val="0"/>
              <w:keepLines w:val="0"/>
              <w:spacing w:line="24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（8）售后服务能力认证证书</w:t>
            </w:r>
            <w:r>
              <w:rPr>
                <w:rFonts w:hint="eastAsia" w:ascii="仿宋" w:hAnsi="仿宋" w:eastAsia="仿宋" w:cs="仿宋"/>
                <w:color w:val="auto"/>
                <w:sz w:val="24"/>
                <w:highlight w:val="none"/>
                <w:lang w:eastAsia="zh-CN"/>
              </w:rPr>
              <w:t>。</w:t>
            </w:r>
          </w:p>
          <w:p w14:paraId="72ABFD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每提供1项得1分，本项最高可得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分。（提供有效证书复印件，否则不得分）。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177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9B5">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74EB5AE">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10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C3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07B6">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业绩经验：</w:t>
            </w:r>
          </w:p>
          <w:p w14:paraId="11C3871B">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年1月1日以来承接的</w:t>
            </w:r>
            <w:r>
              <w:rPr>
                <w:rFonts w:hint="eastAsia" w:ascii="仿宋" w:hAnsi="仿宋" w:eastAsia="仿宋" w:cs="仿宋"/>
                <w:color w:val="auto"/>
                <w:sz w:val="24"/>
                <w:highlight w:val="none"/>
                <w:lang w:val="en-US" w:eastAsia="zh-CN"/>
              </w:rPr>
              <w:t>房建类</w:t>
            </w:r>
            <w:r>
              <w:rPr>
                <w:rFonts w:hint="eastAsia" w:ascii="仿宋" w:hAnsi="仿宋" w:eastAsia="仿宋" w:cs="仿宋"/>
                <w:color w:val="auto"/>
                <w:sz w:val="24"/>
                <w:highlight w:val="none"/>
              </w:rPr>
              <w:t>物业项目业绩，</w:t>
            </w:r>
            <w:r>
              <w:rPr>
                <w:rFonts w:hint="eastAsia" w:ascii="仿宋" w:hAnsi="仿宋" w:eastAsia="仿宋" w:cs="仿宋"/>
                <w:color w:val="auto"/>
                <w:sz w:val="24"/>
                <w:highlight w:val="none"/>
                <w:lang w:val="en-US" w:eastAsia="zh-CN"/>
              </w:rPr>
              <w:t>合同金额500万元及以上的</w:t>
            </w:r>
            <w:r>
              <w:rPr>
                <w:rFonts w:hint="eastAsia" w:ascii="仿宋" w:hAnsi="仿宋" w:eastAsia="仿宋" w:cs="仿宋"/>
                <w:color w:val="auto"/>
                <w:sz w:val="24"/>
                <w:highlight w:val="none"/>
              </w:rPr>
              <w:t>每个合同得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中提供合同复印件，时间</w:t>
            </w:r>
            <w:r>
              <w:rPr>
                <w:rFonts w:hint="eastAsia" w:ascii="仿宋" w:hAnsi="仿宋" w:eastAsia="仿宋" w:cs="仿宋"/>
                <w:color w:val="auto"/>
                <w:sz w:val="24"/>
                <w:highlight w:val="none"/>
                <w:lang w:val="en-US" w:eastAsia="zh-CN"/>
              </w:rPr>
              <w:t>及金额</w:t>
            </w:r>
            <w:r>
              <w:rPr>
                <w:rFonts w:hint="eastAsia" w:ascii="仿宋" w:hAnsi="仿宋" w:eastAsia="仿宋" w:cs="仿宋"/>
                <w:color w:val="auto"/>
                <w:sz w:val="24"/>
                <w:highlight w:val="none"/>
              </w:rPr>
              <w:t>以合同为准）。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69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13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2888B709">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3D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96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F96D">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服务质量评价：</w:t>
            </w:r>
          </w:p>
          <w:p w14:paraId="5766BC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rPr>
              <w:t>2</w:t>
            </w:r>
            <w:r>
              <w:rPr>
                <w:rFonts w:hint="eastAsia" w:ascii="仿宋" w:hAnsi="仿宋" w:eastAsia="仿宋" w:cs="仿宋"/>
                <w:color w:val="auto"/>
                <w:sz w:val="24"/>
                <w:highlight w:val="none"/>
              </w:rPr>
              <w:t>年1月1日起，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收到服务对象表扬信、感谢信、表彰等</w:t>
            </w:r>
            <w:r>
              <w:rPr>
                <w:rFonts w:hint="eastAsia" w:ascii="仿宋" w:hAnsi="仿宋" w:eastAsia="仿宋" w:cs="仿宋"/>
                <w:color w:val="auto"/>
                <w:sz w:val="24"/>
                <w:highlight w:val="none"/>
                <w:lang w:eastAsia="zh-CN"/>
              </w:rPr>
              <w:t>正面服务质量</w:t>
            </w:r>
            <w:r>
              <w:rPr>
                <w:rFonts w:hint="eastAsia" w:ascii="仿宋" w:hAnsi="仿宋" w:eastAsia="仿宋" w:cs="仿宋"/>
                <w:color w:val="auto"/>
                <w:sz w:val="24"/>
                <w:highlight w:val="none"/>
              </w:rPr>
              <w:t>评价材料，每提供1个得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6C75AD9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以收到服务对象盖公章书面材料为准。（服务对象指如机关事业单位、公司、小区业委会等</w:t>
            </w:r>
            <w:r>
              <w:rPr>
                <w:rFonts w:hint="eastAsia" w:ascii="仿宋" w:hAnsi="仿宋" w:eastAsia="仿宋" w:cs="仿宋"/>
                <w:b/>
                <w:bCs/>
                <w:color w:val="auto"/>
                <w:sz w:val="24"/>
                <w:highlight w:val="none"/>
                <w:u w:val="single"/>
              </w:rPr>
              <w:t>非自然人机构</w:t>
            </w:r>
            <w:r>
              <w:rPr>
                <w:rFonts w:hint="eastAsia" w:ascii="仿宋" w:hAnsi="仿宋" w:eastAsia="仿宋" w:cs="仿宋"/>
                <w:color w:val="auto"/>
                <w:sz w:val="24"/>
                <w:highlight w:val="none"/>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24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E695">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客观分</w:t>
            </w:r>
          </w:p>
        </w:tc>
      </w:tr>
      <w:tr w14:paraId="6C18C987">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2A8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364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C624">
            <w:pP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内部管理情况</w:t>
            </w:r>
            <w:r>
              <w:rPr>
                <w:rFonts w:hint="eastAsia" w:ascii="仿宋" w:hAnsi="仿宋" w:eastAsia="仿宋" w:cs="仿宋"/>
                <w:b/>
                <w:bCs/>
                <w:color w:val="auto"/>
                <w:sz w:val="24"/>
                <w:highlight w:val="none"/>
                <w:lang w:eastAsia="zh-CN"/>
              </w:rPr>
              <w:t>：</w:t>
            </w:r>
          </w:p>
          <w:p w14:paraId="12A4F3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内部管理</w:t>
            </w:r>
            <w:r>
              <w:rPr>
                <w:rFonts w:hint="eastAsia" w:ascii="仿宋" w:hAnsi="仿宋" w:eastAsia="仿宋" w:cs="仿宋"/>
                <w:color w:val="auto"/>
                <w:sz w:val="24"/>
                <w:highlight w:val="none"/>
              </w:rPr>
              <w:t>方案综合评定，包括</w:t>
            </w:r>
          </w:p>
          <w:p w14:paraId="71AA60B7">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劳动纪律与职工守则、</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奖惩管理制度、</w:t>
            </w:r>
            <w:r>
              <w:rPr>
                <w:rFonts w:hint="eastAsia" w:ascii="仿宋" w:hAnsi="仿宋" w:eastAsia="仿宋" w:cs="仿宋"/>
                <w:color w:val="auto"/>
                <w:sz w:val="24"/>
                <w:highlight w:val="none"/>
              </w:rPr>
              <w:t>③信息化管理</w:t>
            </w:r>
            <w:r>
              <w:rPr>
                <w:rFonts w:hint="eastAsia" w:ascii="仿宋" w:hAnsi="仿宋" w:eastAsia="仿宋" w:cs="仿宋"/>
                <w:color w:val="auto"/>
                <w:sz w:val="24"/>
                <w:highlight w:val="none"/>
                <w:lang w:val="en-US" w:eastAsia="zh-CN"/>
              </w:rPr>
              <w:t>制度角度由评审委员会综合评定。（3、2、1、0）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2A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4574">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r>
      <w:tr w14:paraId="501775F5">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55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090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9DA9">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秩序管理工作方案：</w:t>
            </w:r>
          </w:p>
          <w:p w14:paraId="54542A5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提供的秩序管理工作方案综合评定，</w:t>
            </w:r>
          </w:p>
          <w:p w14:paraId="625A38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①日常秩序管理工作方案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②来访人员管理方案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③车辆停放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电动自行车充电管理方案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④重点时段安防工作方案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⑤房屋装修的监管方案</w:t>
            </w:r>
            <w:r>
              <w:rPr>
                <w:rFonts w:hint="eastAsia" w:ascii="仿宋" w:hAnsi="仿宋" w:eastAsia="仿宋" w:cs="仿宋"/>
                <w:color w:val="auto"/>
                <w:sz w:val="24"/>
                <w:highlight w:val="none"/>
                <w:lang w:val="en-US" w:eastAsia="zh-CN"/>
              </w:rPr>
              <w:t>角度由评审委员会综合评定。（5、4、3、2、1、0）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5E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29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20B005E">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6ADC">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E9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FE5">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保洁服务工作方案：</w:t>
            </w:r>
          </w:p>
          <w:p w14:paraId="5969349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提供的保洁服务方案综合评定，包括</w:t>
            </w:r>
          </w:p>
          <w:p w14:paraId="633047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①室内公共区域保洁服务方案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②室外公共区域保洁服务方案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③设施设备保洁服务方案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④垃圾、废弃物分类服务方案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⑤灭“四害”方案</w:t>
            </w:r>
            <w:r>
              <w:rPr>
                <w:rFonts w:hint="eastAsia" w:ascii="仿宋" w:hAnsi="仿宋" w:eastAsia="仿宋" w:cs="仿宋"/>
                <w:color w:val="auto"/>
                <w:sz w:val="24"/>
                <w:highlight w:val="none"/>
                <w:lang w:val="en-US" w:eastAsia="zh-CN"/>
              </w:rPr>
              <w:t>角度由评审委员会综合评定。（5、4、3、2、1、0）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E0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50B">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EAF7E21">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AB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88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C57">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消防监控工作方案：</w:t>
            </w:r>
          </w:p>
          <w:p w14:paraId="4BA0D38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提供的消防监控工作方案综合评定，包括</w:t>
            </w:r>
          </w:p>
          <w:p w14:paraId="0F053EF0">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①日常工作方案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②抽查、巡查方案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③突发故障处置方案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④防盗、防火报警监控设备运行管理</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⑤防盗、防火报警监控设备维护、修理方案</w:t>
            </w:r>
            <w:r>
              <w:rPr>
                <w:rFonts w:hint="eastAsia" w:ascii="仿宋" w:hAnsi="仿宋" w:eastAsia="仿宋" w:cs="仿宋"/>
                <w:color w:val="auto"/>
                <w:sz w:val="24"/>
                <w:highlight w:val="none"/>
                <w:lang w:val="en-US" w:eastAsia="zh-CN"/>
              </w:rPr>
              <w:t>角度由评审委员会综合评定。（5、4、3、2、1、0）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B4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CE1B">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5BE611E9">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79E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D21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7D0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绿化管理方案：</w:t>
            </w:r>
          </w:p>
          <w:p w14:paraId="516E77C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提供的绿化养护方案综合评定，包括</w:t>
            </w:r>
          </w:p>
          <w:p w14:paraId="502EB9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①按季节养护服务方案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②定时养护服务方案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③病虫害防治服务方案</w:t>
            </w:r>
            <w:r>
              <w:rPr>
                <w:rFonts w:hint="eastAsia" w:ascii="仿宋" w:hAnsi="仿宋" w:eastAsia="仿宋" w:cs="仿宋"/>
                <w:color w:val="auto"/>
                <w:sz w:val="24"/>
                <w:highlight w:val="none"/>
                <w:lang w:val="en-US" w:eastAsia="zh-CN"/>
              </w:rPr>
              <w:t>角度由评审委员会综合评定。（3、2、1、0）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A117">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283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07B9A3A">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07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493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047">
            <w:pPr>
              <w:widowControl/>
              <w:jc w:val="left"/>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设施设备维修方案：</w:t>
            </w:r>
          </w:p>
          <w:p w14:paraId="07F143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提供的设施设备维护方案综合评定，包括</w:t>
            </w:r>
          </w:p>
          <w:p w14:paraId="3477AC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①设备运行保障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管理及维修方案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②供电系统维护实施方案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③排水系统维护实施方案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④照明系统维护实施方案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⑤突发故障处理预案</w:t>
            </w:r>
            <w:r>
              <w:rPr>
                <w:rFonts w:hint="eastAsia" w:ascii="仿宋" w:hAnsi="仿宋" w:eastAsia="仿宋" w:cs="仿宋"/>
                <w:color w:val="auto"/>
                <w:sz w:val="24"/>
                <w:highlight w:val="none"/>
                <w:lang w:val="en-US" w:eastAsia="zh-CN"/>
              </w:rPr>
              <w:t>角度由评审委员会综合评定。（5、4、3、2、1、0）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A76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44FC">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20DC506">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A9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B3B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B1D">
            <w:pPr>
              <w:widowControl/>
              <w:jc w:val="left"/>
              <w:textAlignment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业主</w:t>
            </w:r>
            <w:r>
              <w:rPr>
                <w:rFonts w:hint="eastAsia" w:ascii="仿宋" w:hAnsi="仿宋" w:eastAsia="仿宋" w:cs="仿宋"/>
                <w:b/>
                <w:bCs/>
                <w:color w:val="auto"/>
                <w:sz w:val="24"/>
                <w:highlight w:val="none"/>
              </w:rPr>
              <w:t>服务管理方案：</w:t>
            </w:r>
          </w:p>
          <w:p w14:paraId="1DFA465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业主</w:t>
            </w:r>
            <w:r>
              <w:rPr>
                <w:rFonts w:hint="eastAsia" w:ascii="仿宋" w:hAnsi="仿宋" w:eastAsia="仿宋" w:cs="仿宋"/>
                <w:color w:val="auto"/>
                <w:sz w:val="24"/>
                <w:highlight w:val="none"/>
              </w:rPr>
              <w:t>服务方案综合评定，包括</w:t>
            </w:r>
          </w:p>
          <w:p w14:paraId="0B01B75F">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业主</w:t>
            </w:r>
            <w:r>
              <w:rPr>
                <w:rFonts w:hint="eastAsia" w:ascii="仿宋" w:hAnsi="仿宋" w:eastAsia="仿宋" w:cs="仿宋"/>
                <w:color w:val="auto"/>
                <w:sz w:val="24"/>
                <w:highlight w:val="none"/>
              </w:rPr>
              <w:t>业务接待、建档方案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②信息收发管理方案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③犬类豢养管理方案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④投诉处理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业主回访及满意度管理方案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⑤便民服务方案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rPr>
              <w:t>小区文化建设</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重大节日活动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角度由评审委员会综合评定。（5、4、3、2、1、0）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98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B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C4591FB">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6C7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A8F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E9B8">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应急能力方案：</w:t>
            </w:r>
          </w:p>
          <w:p w14:paraId="103E3C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提供的应急能力方案综合评定，包括</w:t>
            </w:r>
          </w:p>
          <w:p w14:paraId="5C5A4EE5">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①极端天气（包括发生台风、暴雨等灾害性天气）应急预案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②突发性停水停电应急预案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③电梯停运、坠落等突发事件应急预案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④火灾应急预案</w:t>
            </w:r>
            <w:r>
              <w:rPr>
                <w:rFonts w:hint="eastAsia" w:ascii="仿宋" w:hAnsi="仿宋" w:eastAsia="仿宋" w:cs="仿宋"/>
                <w:color w:val="auto"/>
                <w:sz w:val="24"/>
                <w:highlight w:val="none"/>
                <w:lang w:val="en-US" w:eastAsia="zh-CN"/>
              </w:rPr>
              <w:t>角度由评审委员会综合评定。（4、3、2、1、0）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789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34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EF5C6AF">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0C8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18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868">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项目物资配置方案：</w:t>
            </w:r>
          </w:p>
          <w:p w14:paraId="77C9DE50">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项目物资配备方案综合评定，</w:t>
            </w:r>
            <w:r>
              <w:rPr>
                <w:rFonts w:hint="eastAsia" w:ascii="仿宋" w:hAnsi="仿宋" w:eastAsia="仿宋" w:cs="仿宋"/>
                <w:color w:val="auto"/>
                <w:sz w:val="24"/>
                <w:highlight w:val="none"/>
                <w:lang w:val="en-US" w:eastAsia="zh-CN"/>
              </w:rPr>
              <w:t>包括</w:t>
            </w:r>
          </w:p>
          <w:p w14:paraId="651D97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①办公用品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②材料</w:t>
            </w:r>
            <w:r>
              <w:rPr>
                <w:rFonts w:hint="eastAsia" w:ascii="仿宋" w:hAnsi="仿宋" w:eastAsia="仿宋" w:cs="仿宋"/>
                <w:color w:val="auto"/>
                <w:sz w:val="24"/>
                <w:highlight w:val="none"/>
                <w:lang w:val="en-US" w:eastAsia="zh-CN"/>
              </w:rPr>
              <w:t>用</w:t>
            </w:r>
            <w:r>
              <w:rPr>
                <w:rFonts w:hint="eastAsia" w:ascii="仿宋" w:hAnsi="仿宋" w:eastAsia="仿宋" w:cs="仿宋"/>
                <w:color w:val="auto"/>
                <w:sz w:val="24"/>
                <w:highlight w:val="none"/>
              </w:rPr>
              <w:t>品</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易耗品</w:t>
            </w:r>
            <w:r>
              <w:rPr>
                <w:rFonts w:hint="eastAsia" w:ascii="仿宋" w:hAnsi="仿宋" w:eastAsia="仿宋" w:cs="仿宋"/>
                <w:color w:val="auto"/>
                <w:sz w:val="24"/>
                <w:highlight w:val="none"/>
                <w:lang w:val="en-US" w:eastAsia="zh-CN"/>
              </w:rPr>
              <w:t>角度由评审委员会综合评定。（2、1、0）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10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C5E">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7731B643">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834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7C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134">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专业工具配置方案：</w:t>
            </w:r>
          </w:p>
          <w:p w14:paraId="2BB1D5E0">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提供的专业工具响应情况评定，</w:t>
            </w:r>
            <w:r>
              <w:rPr>
                <w:rFonts w:hint="eastAsia" w:ascii="仿宋" w:hAnsi="仿宋" w:eastAsia="仿宋" w:cs="仿宋"/>
                <w:color w:val="auto"/>
                <w:sz w:val="24"/>
                <w:highlight w:val="none"/>
                <w:lang w:val="en-US" w:eastAsia="zh-CN"/>
              </w:rPr>
              <w:t>包括</w:t>
            </w:r>
          </w:p>
          <w:p w14:paraId="3BFF20E0">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①保洁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消杀设备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②巡逻设备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③绿化设备</w:t>
            </w:r>
            <w:r>
              <w:rPr>
                <w:rFonts w:hint="eastAsia" w:ascii="仿宋" w:hAnsi="仿宋" w:eastAsia="仿宋" w:cs="仿宋"/>
                <w:color w:val="auto"/>
                <w:sz w:val="24"/>
                <w:highlight w:val="none"/>
                <w:lang w:val="en-US" w:eastAsia="zh-CN"/>
              </w:rPr>
              <w:t>角度由评审委员会综合评定。（3、2、1、0）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0F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F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9B9DF77">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738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71E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8B4">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信息沟通及处理机制：</w:t>
            </w:r>
          </w:p>
          <w:p w14:paraId="7510D1B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提供的信息沟通及处理机制综合评定，包括</w:t>
            </w:r>
          </w:p>
          <w:p w14:paraId="4A0B9044">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①多渠道信息反馈机制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②相关部门沟通、联动机制</w:t>
            </w:r>
            <w:r>
              <w:rPr>
                <w:rFonts w:hint="eastAsia" w:ascii="仿宋" w:hAnsi="仿宋" w:eastAsia="仿宋" w:cs="仿宋"/>
                <w:color w:val="auto"/>
                <w:sz w:val="24"/>
                <w:highlight w:val="none"/>
                <w:lang w:val="en-US" w:eastAsia="zh-CN"/>
              </w:rPr>
              <w:t>角度由评审委员会综合评定。（2、1、0）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9B0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90A">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105CF42">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0D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A45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75B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培训方案：</w:t>
            </w:r>
          </w:p>
          <w:p w14:paraId="4234C30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提供的培训方案综合评定，包括</w:t>
            </w:r>
          </w:p>
          <w:p w14:paraId="61B63D12">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①消防知识培训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②人员服务培训、安全培训方案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③人员上岗仪表、行为、态度的标准规定及培训</w:t>
            </w:r>
            <w:r>
              <w:rPr>
                <w:rFonts w:hint="eastAsia" w:ascii="仿宋" w:hAnsi="仿宋" w:eastAsia="仿宋" w:cs="仿宋"/>
                <w:color w:val="auto"/>
                <w:sz w:val="24"/>
                <w:highlight w:val="none"/>
                <w:lang w:val="en-US" w:eastAsia="zh-CN"/>
              </w:rPr>
              <w:t>角度由评审委员会综合评定。（3、2、1、0）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DD5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4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9B19B03">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C1A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6E5">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D189">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节能降耗措施：</w:t>
            </w:r>
          </w:p>
          <w:p w14:paraId="34CAC2B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提供的节能降耗措施评定，每条措施需包括</w:t>
            </w:r>
          </w:p>
          <w:p w14:paraId="0FAD632C">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①现状分析</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②节能降耗措施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③拟取得的效果分析或已取得的成效展示。</w:t>
            </w:r>
          </w:p>
          <w:p w14:paraId="23D5C4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有效措施每条得1分，有缺漏不得分。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F7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A70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002D0E1">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A574">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88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0362">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物业管理创新方案：</w:t>
            </w:r>
          </w:p>
          <w:p w14:paraId="2A12936D">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物业</w:t>
            </w:r>
            <w:r>
              <w:rPr>
                <w:rFonts w:hint="eastAsia" w:ascii="仿宋" w:hAnsi="仿宋" w:eastAsia="仿宋" w:cs="仿宋"/>
                <w:color w:val="auto"/>
                <w:sz w:val="24"/>
                <w:szCs w:val="24"/>
                <w:highlight w:val="none"/>
              </w:rPr>
              <w:t>管理创新</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highlight w:val="none"/>
              </w:rPr>
              <w:t>综合评定，包括</w:t>
            </w:r>
          </w:p>
          <w:p w14:paraId="3ECF5A7A">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①管理中运用的创新手段、②团队智能化管理人员配备情况、③智能化设施的日常管理角度由评标委员会综合评定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9E3E">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9DD">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09EAEB80">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99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28D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0F3A">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交接方案:</w:t>
            </w:r>
          </w:p>
          <w:p w14:paraId="6836D5B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根据做好进场管理工作的交接方案综合评定，包括</w:t>
            </w:r>
          </w:p>
          <w:p w14:paraId="04F1FEC2">
            <w:pPr>
              <w:rPr>
                <w:rFonts w:hint="eastAsia" w:ascii="仿宋" w:hAnsi="仿宋" w:eastAsia="仿宋" w:cs="仿宋"/>
                <w:color w:val="auto"/>
                <w:sz w:val="24"/>
                <w:highlight w:val="none"/>
              </w:rPr>
            </w:pPr>
            <w:r>
              <w:rPr>
                <w:rFonts w:hint="eastAsia" w:ascii="仿宋" w:hAnsi="仿宋" w:eastAsia="仿宋" w:cs="仿宋"/>
                <w:color w:val="auto"/>
                <w:sz w:val="24"/>
                <w:highlight w:val="none"/>
              </w:rPr>
              <w:t>①接管工作进度计划</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②接管小组人员方案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③交接工作方案</w:t>
            </w:r>
            <w:r>
              <w:rPr>
                <w:rFonts w:hint="eastAsia" w:ascii="仿宋" w:hAnsi="仿宋" w:eastAsia="仿宋" w:cs="仿宋"/>
                <w:color w:val="auto"/>
                <w:sz w:val="24"/>
                <w:highlight w:val="none"/>
                <w:lang w:val="en-US" w:eastAsia="zh-CN"/>
              </w:rPr>
              <w:t>角度由评审委员会综合评定。（3、2、1、0）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20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52D">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680227A">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CCA">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8A1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610">
            <w:pPr>
              <w:widowControl/>
              <w:jc w:val="left"/>
              <w:textAlignment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合理化建议:</w:t>
            </w:r>
          </w:p>
          <w:p w14:paraId="2A530B00">
            <w:pPr>
              <w:keepNext w:val="0"/>
              <w:keepLines w:val="0"/>
              <w:suppressLineNumbers w:val="0"/>
              <w:spacing w:before="0" w:beforeAutospacing="0" w:after="0" w:afterAutospacing="0" w:line="240" w:lineRule="auto"/>
              <w:ind w:left="0" w:right="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lang w:val="en-US" w:eastAsia="zh-CN"/>
              </w:rPr>
              <w:t>根据房建类物业管理的难点和重点，提供合理化建议，</w:t>
            </w:r>
            <w:r>
              <w:rPr>
                <w:rFonts w:hint="eastAsia" w:ascii="仿宋" w:hAnsi="仿宋" w:eastAsia="仿宋" w:cs="仿宋"/>
                <w:b w:val="0"/>
                <w:bCs w:val="0"/>
                <w:color w:val="auto"/>
                <w:sz w:val="24"/>
                <w:highlight w:val="none"/>
              </w:rPr>
              <w:t>根据</w:t>
            </w:r>
            <w:r>
              <w:rPr>
                <w:rFonts w:hint="eastAsia" w:ascii="仿宋" w:hAnsi="仿宋" w:eastAsia="仿宋" w:cs="仿宋"/>
                <w:b w:val="0"/>
                <w:bCs w:val="0"/>
                <w:color w:val="auto"/>
                <w:sz w:val="24"/>
                <w:highlight w:val="none"/>
                <w:lang w:eastAsia="zh-CN"/>
              </w:rPr>
              <w:t>供应商</w:t>
            </w:r>
            <w:r>
              <w:rPr>
                <w:rFonts w:hint="eastAsia" w:ascii="仿宋" w:hAnsi="仿宋" w:eastAsia="仿宋" w:cs="仿宋"/>
                <w:b w:val="0"/>
                <w:bCs w:val="0"/>
                <w:color w:val="auto"/>
                <w:sz w:val="24"/>
                <w:highlight w:val="none"/>
              </w:rPr>
              <w:t>提供的合理化建议综合评定，</w:t>
            </w:r>
            <w:r>
              <w:rPr>
                <w:rFonts w:hint="eastAsia" w:ascii="仿宋" w:hAnsi="仿宋" w:eastAsia="仿宋" w:cs="仿宋"/>
                <w:b w:val="0"/>
                <w:bCs w:val="0"/>
                <w:color w:val="auto"/>
                <w:sz w:val="24"/>
                <w:highlight w:val="none"/>
                <w:lang w:val="en-US" w:eastAsia="zh-CN"/>
              </w:rPr>
              <w:t>每条建议需包括</w:t>
            </w:r>
          </w:p>
          <w:p w14:paraId="1C2589B1">
            <w:pPr>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①问题分析</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②建议措施</w:t>
            </w:r>
            <w:r>
              <w:rPr>
                <w:rFonts w:hint="eastAsia" w:ascii="仿宋" w:hAnsi="仿宋" w:eastAsia="仿宋" w:cs="仿宋"/>
                <w:b w:val="0"/>
                <w:bCs w:val="0"/>
                <w:color w:val="auto"/>
                <w:sz w:val="24"/>
                <w:highlight w:val="none"/>
                <w:lang w:eastAsia="zh-CN"/>
              </w:rPr>
              <w:t>、</w:t>
            </w: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可行性方案</w:t>
            </w:r>
          </w:p>
          <w:p w14:paraId="471F9689">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每条合理化建议得1分，最高得3分。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85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1FD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38B2877C">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F554">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3B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E3A">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项目服务人员保障措施：</w:t>
            </w:r>
          </w:p>
          <w:p w14:paraId="0AA6D01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①提供</w:t>
            </w:r>
            <w:r>
              <w:rPr>
                <w:rFonts w:hint="eastAsia" w:ascii="仿宋" w:hAnsi="仿宋" w:eastAsia="仿宋" w:cs="仿宋"/>
                <w:color w:val="auto"/>
                <w:sz w:val="24"/>
                <w:szCs w:val="24"/>
                <w:highlight w:val="none"/>
              </w:rPr>
              <w:t>保证人员到岗率</w:t>
            </w:r>
            <w:r>
              <w:rPr>
                <w:rFonts w:hint="eastAsia" w:ascii="仿宋" w:hAnsi="仿宋" w:eastAsia="仿宋" w:cs="仿宋"/>
                <w:color w:val="auto"/>
                <w:sz w:val="24"/>
                <w:szCs w:val="24"/>
                <w:highlight w:val="none"/>
                <w:lang w:val="en-US" w:eastAsia="zh-CN"/>
              </w:rPr>
              <w:t>前提下</w:t>
            </w:r>
            <w:r>
              <w:rPr>
                <w:rFonts w:hint="eastAsia" w:ascii="仿宋" w:hAnsi="仿宋" w:eastAsia="仿宋" w:cs="仿宋"/>
                <w:color w:val="auto"/>
                <w:sz w:val="24"/>
                <w:szCs w:val="24"/>
                <w:highlight w:val="none"/>
              </w:rPr>
              <w:t>，能</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安排员工休息的</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每条1分，本项最高2分；</w:t>
            </w:r>
          </w:p>
          <w:p w14:paraId="1256A45C">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②提供</w:t>
            </w:r>
            <w:r>
              <w:rPr>
                <w:rFonts w:hint="eastAsia" w:ascii="仿宋" w:hAnsi="仿宋" w:eastAsia="仿宋" w:cs="仿宋"/>
                <w:color w:val="auto"/>
                <w:sz w:val="24"/>
                <w:szCs w:val="24"/>
                <w:highlight w:val="none"/>
              </w:rPr>
              <w:t>稳定员工队伍的合理措施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包括但不限于社保、工资保障、社会活动等），每条1分，本项最高1分；</w:t>
            </w:r>
          </w:p>
          <w:p w14:paraId="212BF568">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③提供员工离职时，服务人员的有效替补措施，每条得2分，本项最高1分。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57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67BF">
            <w:pPr>
              <w:jc w:val="center"/>
              <w:rPr>
                <w:rFonts w:hint="eastAsia" w:ascii="仿宋" w:hAnsi="仿宋" w:eastAsia="仿宋" w:cs="仿宋"/>
                <w:color w:val="auto"/>
                <w:sz w:val="24"/>
                <w:highlight w:val="none"/>
              </w:rPr>
            </w:pPr>
            <w:r>
              <w:rPr>
                <w:rFonts w:hint="eastAsia" w:ascii="仿宋" w:hAnsi="仿宋" w:eastAsia="仿宋" w:cs="仿宋"/>
                <w:strike w:val="0"/>
                <w:dstrike w:val="0"/>
                <w:color w:val="auto"/>
                <w:sz w:val="24"/>
                <w:highlight w:val="none"/>
                <w:lang w:eastAsia="zh-CN"/>
              </w:rPr>
              <w:t>主观分</w:t>
            </w:r>
          </w:p>
        </w:tc>
      </w:tr>
      <w:tr w14:paraId="09A5CF4A">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514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C960">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9F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项目经理（1人）：</w:t>
            </w:r>
          </w:p>
          <w:p w14:paraId="5938F0E4">
            <w:pPr>
              <w:numPr>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（1）取得</w:t>
            </w:r>
            <w:r>
              <w:rPr>
                <w:rFonts w:hint="eastAsia" w:ascii="仿宋" w:hAnsi="仿宋" w:eastAsia="仿宋" w:cs="仿宋"/>
                <w:color w:val="auto"/>
                <w:sz w:val="24"/>
                <w:highlight w:val="none"/>
              </w:rPr>
              <w:t>本科及以上学历得1分。</w:t>
            </w:r>
          </w:p>
          <w:p w14:paraId="4C6FB61B">
            <w:pPr>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（2）年龄45周岁及以下得1分。</w:t>
            </w:r>
          </w:p>
          <w:p w14:paraId="28404A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）工作经验：有3年及以上物业项目负责人工作经验的得1分。</w:t>
            </w:r>
          </w:p>
          <w:p w14:paraId="22972E94">
            <w:pPr>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color w:val="auto"/>
                <w:kern w:val="2"/>
                <w:sz w:val="24"/>
                <w:highlight w:val="none"/>
              </w:rPr>
              <w:t>学信网查询</w:t>
            </w:r>
            <w:r>
              <w:rPr>
                <w:rFonts w:hint="eastAsia" w:ascii="仿宋" w:hAnsi="仿宋" w:eastAsia="仿宋" w:cs="仿宋"/>
                <w:b w:val="0"/>
                <w:bCs w:val="0"/>
                <w:color w:val="auto"/>
                <w:sz w:val="24"/>
                <w:szCs w:val="24"/>
                <w:highlight w:val="none"/>
                <w:lang w:val="en-US" w:eastAsia="zh-CN"/>
              </w:rPr>
              <w:t>学历</w:t>
            </w:r>
            <w:r>
              <w:rPr>
                <w:rFonts w:hint="eastAsia" w:ascii="仿宋" w:hAnsi="仿宋" w:eastAsia="仿宋" w:cs="仿宋"/>
                <w:color w:val="auto"/>
                <w:kern w:val="2"/>
                <w:sz w:val="24"/>
                <w:highlight w:val="none"/>
              </w:rPr>
              <w:t>证明截图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身份证、</w:t>
            </w:r>
            <w:r>
              <w:rPr>
                <w:rFonts w:hint="eastAsia" w:ascii="仿宋" w:hAnsi="仿宋" w:eastAsia="仿宋" w:cs="仿宋"/>
                <w:b w:val="0"/>
                <w:bCs w:val="0"/>
                <w:color w:val="auto"/>
                <w:sz w:val="24"/>
                <w:szCs w:val="24"/>
                <w:highlight w:val="none"/>
                <w:lang w:val="en-US" w:eastAsia="zh-CN"/>
              </w:rPr>
              <w:t>工作经验证明、响应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0D04">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8661">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373063DA">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964">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AF2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22</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607">
            <w:pP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秩序主管（1人）：</w:t>
            </w:r>
          </w:p>
          <w:p w14:paraId="775063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持</w:t>
            </w:r>
            <w:r>
              <w:rPr>
                <w:rFonts w:hint="eastAsia" w:ascii="仿宋" w:hAnsi="仿宋" w:eastAsia="仿宋" w:cs="仿宋"/>
                <w:color w:val="auto"/>
                <w:sz w:val="24"/>
                <w:highlight w:val="none"/>
              </w:rPr>
              <w:t>人社部门颁发的保安职业</w:t>
            </w:r>
            <w:r>
              <w:rPr>
                <w:rFonts w:hint="eastAsia" w:ascii="仿宋" w:hAnsi="仿宋" w:eastAsia="仿宋" w:cs="仿宋"/>
                <w:color w:val="auto"/>
                <w:sz w:val="24"/>
                <w:highlight w:val="none"/>
                <w:lang w:eastAsia="zh-CN"/>
              </w:rPr>
              <w:t>资格</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lang w:eastAsia="zh-CN"/>
              </w:rPr>
              <w:t>）：</w:t>
            </w:r>
          </w:p>
          <w:p w14:paraId="2ACBA547">
            <w:pPr>
              <w:rPr>
                <w:rFonts w:hint="eastAsia" w:ascii="仿宋" w:hAnsi="仿宋" w:eastAsia="仿宋" w:cs="仿宋"/>
                <w:color w:val="auto"/>
                <w:sz w:val="24"/>
                <w:highlight w:val="none"/>
              </w:rPr>
            </w:pPr>
            <w:r>
              <w:rPr>
                <w:rFonts w:hint="eastAsia" w:ascii="仿宋" w:hAnsi="仿宋" w:eastAsia="仿宋" w:cs="仿宋"/>
                <w:color w:val="auto"/>
                <w:sz w:val="24"/>
                <w:highlight w:val="none"/>
              </w:rPr>
              <w:t>四级/中级工（原中级保安员）得0.5分</w:t>
            </w:r>
          </w:p>
          <w:p w14:paraId="61B6DC03">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三级/高级工（原高级保安员）及以上</w:t>
            </w:r>
            <w:r>
              <w:rPr>
                <w:rFonts w:hint="eastAsia" w:ascii="仿宋" w:hAnsi="仿宋" w:eastAsia="仿宋" w:cs="仿宋"/>
                <w:color w:val="auto"/>
                <w:sz w:val="24"/>
                <w:highlight w:val="none"/>
                <w:lang w:val="en-US" w:eastAsia="zh-CN"/>
              </w:rPr>
              <w:t>或退伍军人证</w:t>
            </w:r>
            <w:r>
              <w:rPr>
                <w:rFonts w:hint="eastAsia" w:ascii="仿宋" w:hAnsi="仿宋" w:eastAsia="仿宋" w:cs="仿宋"/>
                <w:color w:val="auto"/>
                <w:sz w:val="24"/>
                <w:highlight w:val="none"/>
              </w:rPr>
              <w:t>得1分</w:t>
            </w:r>
          </w:p>
          <w:p w14:paraId="0E599A85">
            <w:pPr>
              <w:numPr>
                <w:numId w:val="0"/>
              </w:numPr>
              <w:ind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）取得大专</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学历</w:t>
            </w:r>
            <w:r>
              <w:rPr>
                <w:rFonts w:hint="eastAsia" w:ascii="仿宋" w:hAnsi="仿宋" w:eastAsia="仿宋" w:cs="仿宋"/>
                <w:color w:val="auto"/>
                <w:sz w:val="24"/>
                <w:highlight w:val="none"/>
                <w:lang w:val="en-US" w:eastAsia="zh-CN"/>
              </w:rPr>
              <w:t>得0.5分</w:t>
            </w:r>
            <w:r>
              <w:rPr>
                <w:rFonts w:hint="eastAsia" w:ascii="仿宋" w:hAnsi="仿宋" w:eastAsia="仿宋" w:cs="仿宋"/>
                <w:color w:val="auto"/>
                <w:sz w:val="24"/>
                <w:highlight w:val="none"/>
              </w:rPr>
              <w:t>。</w:t>
            </w:r>
          </w:p>
          <w:p w14:paraId="527118B4">
            <w:pPr>
              <w:numPr>
                <w:ilvl w:val="0"/>
                <w:numId w:val="0"/>
              </w:numPr>
              <w:ind w:lef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（3）年龄45周岁及以下得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14:paraId="5344716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（4）持有消防设施操作员证书（原“建（构）筑消防员”）或注册消防工程师，得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2F800F0A">
            <w:pPr>
              <w:rPr>
                <w:rFonts w:hint="eastAsia" w:ascii="仿宋" w:hAnsi="仿宋" w:eastAsia="仿宋" w:cs="仿宋"/>
                <w:color w:val="auto"/>
                <w:sz w:val="24"/>
                <w:highlight w:val="none"/>
              </w:rPr>
            </w:pPr>
            <w:r>
              <w:rPr>
                <w:rFonts w:hint="eastAsia" w:ascii="仿宋" w:hAnsi="仿宋" w:eastAsia="仿宋" w:cs="仿宋"/>
                <w:color w:val="auto"/>
                <w:sz w:val="24"/>
                <w:highlight w:val="none"/>
              </w:rPr>
              <w:t>（5）工作经验：有3年及以上保安主管（管理）工作经验的得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w:t>
            </w:r>
          </w:p>
          <w:p w14:paraId="0AC7C6F3">
            <w:pPr>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color w:val="auto"/>
                <w:kern w:val="2"/>
                <w:sz w:val="24"/>
                <w:highlight w:val="none"/>
              </w:rPr>
              <w:t>学信网查询</w:t>
            </w:r>
            <w:r>
              <w:rPr>
                <w:rFonts w:hint="eastAsia" w:ascii="仿宋" w:hAnsi="仿宋" w:eastAsia="仿宋" w:cs="仿宋"/>
                <w:b w:val="0"/>
                <w:bCs w:val="0"/>
                <w:color w:val="auto"/>
                <w:sz w:val="24"/>
                <w:szCs w:val="24"/>
                <w:highlight w:val="none"/>
                <w:lang w:val="en-US" w:eastAsia="zh-CN"/>
              </w:rPr>
              <w:t>学历</w:t>
            </w:r>
            <w:r>
              <w:rPr>
                <w:rFonts w:hint="eastAsia" w:ascii="仿宋" w:hAnsi="仿宋" w:eastAsia="仿宋" w:cs="仿宋"/>
                <w:color w:val="auto"/>
                <w:kern w:val="2"/>
                <w:sz w:val="24"/>
                <w:highlight w:val="none"/>
              </w:rPr>
              <w:t>证明截图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身份证、</w:t>
            </w:r>
            <w:r>
              <w:rPr>
                <w:rFonts w:hint="eastAsia" w:ascii="仿宋" w:hAnsi="仿宋" w:eastAsia="仿宋" w:cs="仿宋"/>
                <w:b w:val="0"/>
                <w:bCs w:val="0"/>
                <w:color w:val="auto"/>
                <w:sz w:val="24"/>
                <w:szCs w:val="24"/>
                <w:highlight w:val="none"/>
                <w:lang w:val="en-US" w:eastAsia="zh-CN"/>
              </w:rPr>
              <w:t>工作经验证明、相关证书扫描件、响应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8D88">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998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9E0A1D9">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28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566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23</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64BB">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保洁主管（1人）：</w:t>
            </w:r>
          </w:p>
          <w:p w14:paraId="1534CB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）取得大专</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t>学历</w:t>
            </w:r>
            <w:r>
              <w:rPr>
                <w:rFonts w:hint="eastAsia" w:ascii="仿宋" w:hAnsi="仿宋" w:eastAsia="仿宋" w:cs="仿宋"/>
                <w:color w:val="auto"/>
                <w:sz w:val="24"/>
                <w:highlight w:val="none"/>
                <w:lang w:val="en-US" w:eastAsia="zh-CN"/>
              </w:rPr>
              <w:t>得1分</w:t>
            </w:r>
            <w:r>
              <w:rPr>
                <w:rFonts w:hint="eastAsia" w:ascii="仿宋" w:hAnsi="仿宋" w:eastAsia="仿宋" w:cs="仿宋"/>
                <w:color w:val="auto"/>
                <w:sz w:val="24"/>
                <w:highlight w:val="none"/>
              </w:rPr>
              <w:t>。</w:t>
            </w:r>
          </w:p>
          <w:p w14:paraId="02F0A827">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周岁及以下得1分。</w:t>
            </w:r>
          </w:p>
          <w:p w14:paraId="629069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工作经验：</w:t>
            </w:r>
            <w:r>
              <w:rPr>
                <w:rFonts w:hint="eastAsia" w:ascii="仿宋" w:hAnsi="仿宋" w:eastAsia="仿宋" w:cs="仿宋"/>
                <w:color w:val="auto"/>
                <w:sz w:val="24"/>
                <w:highlight w:val="none"/>
              </w:rPr>
              <w:t>有保洁管理（主管）工作经验3年及以上得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03954D90">
            <w:pPr>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color w:val="auto"/>
                <w:kern w:val="2"/>
                <w:sz w:val="24"/>
                <w:highlight w:val="none"/>
              </w:rPr>
              <w:t>学信网查询</w:t>
            </w:r>
            <w:r>
              <w:rPr>
                <w:rFonts w:hint="eastAsia" w:ascii="仿宋" w:hAnsi="仿宋" w:eastAsia="仿宋" w:cs="仿宋"/>
                <w:b w:val="0"/>
                <w:bCs w:val="0"/>
                <w:color w:val="auto"/>
                <w:sz w:val="24"/>
                <w:szCs w:val="24"/>
                <w:highlight w:val="none"/>
                <w:lang w:val="en-US" w:eastAsia="zh-CN"/>
              </w:rPr>
              <w:t>学历</w:t>
            </w:r>
            <w:r>
              <w:rPr>
                <w:rFonts w:hint="eastAsia" w:ascii="仿宋" w:hAnsi="仿宋" w:eastAsia="仿宋" w:cs="仿宋"/>
                <w:color w:val="auto"/>
                <w:kern w:val="2"/>
                <w:sz w:val="24"/>
                <w:highlight w:val="none"/>
              </w:rPr>
              <w:t>证明截图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身份证、</w:t>
            </w:r>
            <w:r>
              <w:rPr>
                <w:rFonts w:hint="eastAsia" w:ascii="仿宋" w:hAnsi="仿宋" w:eastAsia="仿宋" w:cs="仿宋"/>
                <w:b w:val="0"/>
                <w:bCs w:val="0"/>
                <w:color w:val="auto"/>
                <w:sz w:val="24"/>
                <w:szCs w:val="24"/>
                <w:highlight w:val="none"/>
                <w:lang w:val="en-US" w:eastAsia="zh-CN"/>
              </w:rPr>
              <w:t>工作经验证明、响应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4B91">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A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52A0F2EC">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88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AC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85E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工程主管（1人）：</w:t>
            </w:r>
          </w:p>
          <w:p w14:paraId="4086179F">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（1）取得大专</w:t>
            </w:r>
            <w:r>
              <w:rPr>
                <w:rFonts w:hint="eastAsia" w:ascii="仿宋" w:hAnsi="仿宋" w:eastAsia="仿宋" w:cs="仿宋"/>
                <w:color w:val="auto"/>
                <w:sz w:val="24"/>
                <w:highlight w:val="none"/>
                <w:lang w:eastAsia="zh-CN"/>
              </w:rPr>
              <w:t>及以上</w:t>
            </w:r>
            <w:r>
              <w:rPr>
                <w:rFonts w:hint="eastAsia" w:ascii="仿宋" w:hAnsi="仿宋" w:eastAsia="仿宋" w:cs="仿宋"/>
                <w:color w:val="auto"/>
                <w:sz w:val="24"/>
                <w:highlight w:val="none"/>
              </w:rPr>
              <w:t>学历得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144FC291">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（2）年龄</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周岁及以下得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649E8A2E">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（3）工作经验：有3年及以上物业项目工程部管理（主管）工作经验的得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36D74CA3">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color w:val="auto"/>
                <w:kern w:val="2"/>
                <w:sz w:val="24"/>
                <w:highlight w:val="none"/>
              </w:rPr>
              <w:t>学信网查询</w:t>
            </w:r>
            <w:r>
              <w:rPr>
                <w:rFonts w:hint="eastAsia" w:ascii="仿宋" w:hAnsi="仿宋" w:eastAsia="仿宋" w:cs="仿宋"/>
                <w:b w:val="0"/>
                <w:bCs w:val="0"/>
                <w:color w:val="auto"/>
                <w:sz w:val="24"/>
                <w:szCs w:val="24"/>
                <w:highlight w:val="none"/>
                <w:lang w:val="en-US" w:eastAsia="zh-CN"/>
              </w:rPr>
              <w:t>学历</w:t>
            </w:r>
            <w:r>
              <w:rPr>
                <w:rFonts w:hint="eastAsia" w:ascii="仿宋" w:hAnsi="仿宋" w:eastAsia="仿宋" w:cs="仿宋"/>
                <w:color w:val="auto"/>
                <w:kern w:val="2"/>
                <w:sz w:val="24"/>
                <w:highlight w:val="none"/>
              </w:rPr>
              <w:t>证明截图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身份证、</w:t>
            </w:r>
            <w:r>
              <w:rPr>
                <w:rFonts w:hint="eastAsia" w:ascii="仿宋" w:hAnsi="仿宋" w:eastAsia="仿宋" w:cs="仿宋"/>
                <w:b w:val="0"/>
                <w:bCs w:val="0"/>
                <w:color w:val="auto"/>
                <w:sz w:val="24"/>
                <w:szCs w:val="24"/>
                <w:highlight w:val="none"/>
                <w:lang w:val="en-US" w:eastAsia="zh-CN"/>
              </w:rPr>
              <w:t>工作经验证明、响应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CDD">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71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6369F6C1">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8F5">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5BF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D8FC">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客服主管（1人）：</w:t>
            </w:r>
          </w:p>
          <w:p w14:paraId="78891868">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（1）取得大专学历得0.5分，本科及以上学历得1分。</w:t>
            </w:r>
          </w:p>
          <w:p w14:paraId="65B62425">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（2）年龄</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周岁及以下得1分。</w:t>
            </w:r>
          </w:p>
          <w:p w14:paraId="3415A6C5">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（3）工作经验：有3年及以上客服主管工作经验的得1分。</w:t>
            </w:r>
          </w:p>
          <w:p w14:paraId="33DDB6A4">
            <w:pPr>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color w:val="auto"/>
                <w:kern w:val="2"/>
                <w:sz w:val="24"/>
                <w:highlight w:val="none"/>
              </w:rPr>
              <w:t>学信网查询</w:t>
            </w:r>
            <w:r>
              <w:rPr>
                <w:rFonts w:hint="eastAsia" w:ascii="仿宋" w:hAnsi="仿宋" w:eastAsia="仿宋" w:cs="仿宋"/>
                <w:b w:val="0"/>
                <w:bCs w:val="0"/>
                <w:color w:val="auto"/>
                <w:sz w:val="24"/>
                <w:szCs w:val="24"/>
                <w:highlight w:val="none"/>
                <w:lang w:val="en-US" w:eastAsia="zh-CN"/>
              </w:rPr>
              <w:t>学历</w:t>
            </w:r>
            <w:r>
              <w:rPr>
                <w:rFonts w:hint="eastAsia" w:ascii="仿宋" w:hAnsi="仿宋" w:eastAsia="仿宋" w:cs="仿宋"/>
                <w:color w:val="auto"/>
                <w:kern w:val="2"/>
                <w:sz w:val="24"/>
                <w:highlight w:val="none"/>
              </w:rPr>
              <w:t>证明截图</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身份证、</w:t>
            </w:r>
            <w:r>
              <w:rPr>
                <w:rFonts w:hint="eastAsia" w:ascii="仿宋" w:hAnsi="仿宋" w:eastAsia="仿宋" w:cs="仿宋"/>
                <w:b w:val="0"/>
                <w:bCs w:val="0"/>
                <w:color w:val="auto"/>
                <w:sz w:val="24"/>
                <w:szCs w:val="24"/>
                <w:highlight w:val="none"/>
                <w:lang w:val="en-US" w:eastAsia="zh-CN"/>
              </w:rPr>
              <w:t>工作经验证明、响应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93CE">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FE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14:paraId="12724DD8">
        <w:tblPrEx>
          <w:tblCellMar>
            <w:top w:w="0" w:type="dxa"/>
            <w:left w:w="108" w:type="dxa"/>
            <w:bottom w:w="0" w:type="dxa"/>
            <w:right w:w="108" w:type="dxa"/>
          </w:tblCellMar>
        </w:tblPrEx>
        <w:trPr>
          <w:trHeight w:val="23"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B74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3E1">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w:t>
            </w:r>
          </w:p>
        </w:tc>
        <w:tc>
          <w:tcPr>
            <w:tcW w:w="5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E1A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其他团队人员证书（除前述项目负责人、主管以外）：</w:t>
            </w:r>
          </w:p>
          <w:p w14:paraId="07B9CDC0">
            <w:pP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）持有应急部门颁发的高压或低压电工证（每提供1本得1分）；</w:t>
            </w:r>
          </w:p>
          <w:p w14:paraId="554FB677">
            <w:pPr>
              <w:bidi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持</w:t>
            </w:r>
            <w:r>
              <w:rPr>
                <w:rFonts w:hint="eastAsia" w:ascii="仿宋" w:hAnsi="仿宋" w:eastAsia="仿宋" w:cs="仿宋"/>
                <w:color w:val="auto"/>
                <w:sz w:val="24"/>
                <w:highlight w:val="none"/>
              </w:rPr>
              <w:t>人社部门颁发的保安职业</w:t>
            </w:r>
            <w:r>
              <w:rPr>
                <w:rFonts w:hint="eastAsia" w:ascii="仿宋" w:hAnsi="仿宋" w:eastAsia="仿宋" w:cs="仿宋"/>
                <w:color w:val="auto"/>
                <w:sz w:val="24"/>
                <w:highlight w:val="none"/>
                <w:lang w:eastAsia="zh-CN"/>
              </w:rPr>
              <w:t>资格</w:t>
            </w:r>
            <w:r>
              <w:rPr>
                <w:rFonts w:hint="eastAsia" w:ascii="仿宋" w:hAnsi="仿宋" w:eastAsia="仿宋" w:cs="仿宋"/>
                <w:color w:val="auto"/>
                <w:sz w:val="24"/>
                <w:highlight w:val="none"/>
              </w:rPr>
              <w:t>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四级/中级工（原中级保安员）及以上证书，每提供1本得1分；</w:t>
            </w:r>
          </w:p>
          <w:p w14:paraId="7139CCB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除消控人员外，</w:t>
            </w:r>
            <w:r>
              <w:rPr>
                <w:rFonts w:hint="eastAsia" w:ascii="仿宋" w:hAnsi="仿宋" w:eastAsia="仿宋" w:cs="仿宋"/>
                <w:color w:val="auto"/>
                <w:sz w:val="24"/>
                <w:highlight w:val="none"/>
              </w:rPr>
              <w:t>持有消防设施操作员证书（原“建（构）筑消防员”）或注册消防工程师，每</w:t>
            </w:r>
            <w:r>
              <w:rPr>
                <w:rFonts w:hint="eastAsia" w:ascii="仿宋" w:hAnsi="仿宋" w:eastAsia="仿宋" w:cs="仿宋"/>
                <w:color w:val="auto"/>
                <w:sz w:val="24"/>
                <w:highlight w:val="none"/>
                <w:lang w:eastAsia="zh-CN"/>
              </w:rPr>
              <w:t>再</w:t>
            </w:r>
            <w:r>
              <w:rPr>
                <w:rFonts w:hint="eastAsia" w:ascii="仿宋" w:hAnsi="仿宋" w:eastAsia="仿宋" w:cs="仿宋"/>
                <w:color w:val="auto"/>
                <w:sz w:val="24"/>
                <w:highlight w:val="none"/>
              </w:rPr>
              <w:t>提供1本得1分</w:t>
            </w:r>
            <w:r>
              <w:rPr>
                <w:rFonts w:hint="eastAsia" w:ascii="仿宋" w:hAnsi="仿宋" w:eastAsia="仿宋" w:cs="仿宋"/>
                <w:color w:val="auto"/>
                <w:sz w:val="24"/>
                <w:highlight w:val="none"/>
                <w:lang w:eastAsia="zh-CN"/>
              </w:rPr>
              <w:t>。</w:t>
            </w:r>
          </w:p>
          <w:p w14:paraId="49D26939">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项目负责人、主管以外团队成员提供证书可累计加分，本项最高</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p w14:paraId="4B81BF24">
            <w:pPr>
              <w:rPr>
                <w:rFonts w:hint="eastAsia" w:ascii="仿宋" w:hAnsi="仿宋" w:eastAsia="仿宋" w:cs="仿宋"/>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rPr>
              <w:t>证明材料：提供</w:t>
            </w:r>
            <w:r>
              <w:rPr>
                <w:rFonts w:hint="eastAsia" w:ascii="仿宋" w:hAnsi="仿宋" w:eastAsia="仿宋" w:cs="仿宋"/>
                <w:b w:val="0"/>
                <w:bCs w:val="0"/>
                <w:color w:val="auto"/>
                <w:sz w:val="24"/>
                <w:szCs w:val="24"/>
                <w:highlight w:val="none"/>
                <w:lang w:val="en-US" w:eastAsia="zh-CN"/>
              </w:rPr>
              <w:t>相关证书扫描件、响应</w:t>
            </w:r>
            <w:r>
              <w:rPr>
                <w:rFonts w:hint="eastAsia" w:ascii="仿宋" w:hAnsi="仿宋" w:eastAsia="仿宋" w:cs="仿宋"/>
                <w:b w:val="0"/>
                <w:bCs w:val="0"/>
                <w:color w:val="auto"/>
                <w:sz w:val="24"/>
                <w:szCs w:val="24"/>
                <w:highlight w:val="none"/>
                <w:lang w:val="en-US"/>
              </w:rPr>
              <w:t>人为</w:t>
            </w:r>
            <w:r>
              <w:rPr>
                <w:rFonts w:hint="eastAsia" w:ascii="仿宋" w:hAnsi="仿宋" w:eastAsia="仿宋" w:cs="仿宋"/>
                <w:b w:val="0"/>
                <w:bCs w:val="0"/>
                <w:color w:val="auto"/>
                <w:sz w:val="24"/>
                <w:szCs w:val="24"/>
                <w:highlight w:val="none"/>
                <w:lang w:val="en-US" w:eastAsia="zh-CN"/>
              </w:rPr>
              <w:t>其</w:t>
            </w:r>
            <w:r>
              <w:rPr>
                <w:rFonts w:hint="eastAsia" w:ascii="仿宋" w:hAnsi="仿宋" w:eastAsia="仿宋" w:cs="仿宋"/>
                <w:b w:val="0"/>
                <w:bCs w:val="0"/>
                <w:color w:val="auto"/>
                <w:sz w:val="24"/>
                <w:szCs w:val="24"/>
                <w:highlight w:val="none"/>
                <w:lang w:val="en-US"/>
              </w:rPr>
              <w:t>缴纳的近三个月</w:t>
            </w:r>
            <w:r>
              <w:rPr>
                <w:rFonts w:hint="eastAsia" w:ascii="仿宋" w:hAnsi="仿宋" w:eastAsia="仿宋" w:cs="仿宋"/>
                <w:b w:val="0"/>
                <w:bCs w:val="0"/>
                <w:color w:val="auto"/>
                <w:sz w:val="24"/>
                <w:szCs w:val="24"/>
                <w:highlight w:val="none"/>
                <w:lang w:val="en-US" w:eastAsia="zh-CN"/>
              </w:rPr>
              <w:t>（含2025年4月、5月、6月）</w:t>
            </w:r>
            <w:r>
              <w:rPr>
                <w:rFonts w:hint="eastAsia" w:ascii="仿宋" w:hAnsi="仿宋" w:eastAsia="仿宋" w:cs="仿宋"/>
                <w:b w:val="0"/>
                <w:bCs w:val="0"/>
                <w:color w:val="auto"/>
                <w:sz w:val="24"/>
                <w:szCs w:val="24"/>
                <w:highlight w:val="none"/>
                <w:lang w:val="en-US"/>
              </w:rPr>
              <w:t>的社保证明（社保缴纳证明以社保机构出具的社保证明为准）。证明材料不齐全不得分）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62D">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83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41DA6BA8">
      <w:pPr>
        <w:pStyle w:val="32"/>
        <w:numPr>
          <w:ilvl w:val="0"/>
          <w:numId w:val="0"/>
        </w:numPr>
        <w:spacing w:line="360" w:lineRule="auto"/>
        <w:ind w:firstLine="0" w:firstLineChars="0"/>
        <w:rPr>
          <w:rFonts w:hint="eastAsia" w:ascii="仿宋" w:hAnsi="仿宋" w:eastAsia="仿宋" w:cs="仿宋"/>
          <w:b/>
          <w:color w:val="auto"/>
          <w:sz w:val="24"/>
          <w:highlight w:val="none"/>
          <w:shd w:val="clear" w:color="auto" w:fill="auto"/>
          <w:lang w:eastAsia="zh-CN"/>
        </w:rPr>
      </w:pPr>
    </w:p>
    <w:p w14:paraId="455E79EF">
      <w:pPr>
        <w:pStyle w:val="32"/>
        <w:numPr>
          <w:ilvl w:val="0"/>
          <w:numId w:val="0"/>
        </w:numPr>
        <w:spacing w:line="360" w:lineRule="auto"/>
        <w:ind w:firstLine="482" w:firstLineChars="200"/>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lang w:val="en-US" w:eastAsia="zh-CN"/>
        </w:rPr>
        <w:t>二</w:t>
      </w:r>
      <w:r>
        <w:rPr>
          <w:rFonts w:hint="eastAsia" w:ascii="仿宋" w:hAnsi="仿宋" w:eastAsia="仿宋" w:cs="仿宋"/>
          <w:b/>
          <w:color w:val="auto"/>
          <w:sz w:val="24"/>
          <w:highlight w:val="none"/>
          <w:shd w:val="clear" w:color="auto" w:fill="auto"/>
          <w:lang w:eastAsia="zh-CN"/>
        </w:rPr>
        <w:t>）</w:t>
      </w:r>
      <w:r>
        <w:rPr>
          <w:rFonts w:hint="eastAsia" w:ascii="仿宋" w:hAnsi="仿宋" w:eastAsia="仿宋" w:cs="仿宋"/>
          <w:b/>
          <w:color w:val="auto"/>
          <w:sz w:val="24"/>
          <w:highlight w:val="none"/>
          <w:shd w:val="clear" w:color="auto" w:fill="auto"/>
        </w:rPr>
        <w:t>价格分（</w:t>
      </w:r>
      <w:r>
        <w:rPr>
          <w:rFonts w:hint="eastAsia" w:ascii="仿宋" w:hAnsi="仿宋" w:eastAsia="仿宋" w:cs="仿宋"/>
          <w:b/>
          <w:color w:val="auto"/>
          <w:sz w:val="24"/>
          <w:highlight w:val="none"/>
          <w:shd w:val="clear" w:color="auto" w:fill="auto"/>
          <w:lang w:val="en-US" w:eastAsia="zh-CN"/>
        </w:rPr>
        <w:t>10</w:t>
      </w:r>
      <w:r>
        <w:rPr>
          <w:rFonts w:hint="eastAsia" w:ascii="仿宋" w:hAnsi="仿宋" w:eastAsia="仿宋" w:cs="仿宋"/>
          <w:b/>
          <w:color w:val="auto"/>
          <w:sz w:val="24"/>
          <w:highlight w:val="none"/>
          <w:shd w:val="clear" w:color="auto" w:fill="auto"/>
        </w:rPr>
        <w:t>分）</w:t>
      </w:r>
      <w:bookmarkEnd w:id="380"/>
    </w:p>
    <w:p w14:paraId="1090297D">
      <w:pPr>
        <w:spacing w:line="360" w:lineRule="auto"/>
        <w:ind w:firstLine="482" w:firstLineChars="200"/>
        <w:rPr>
          <w:rFonts w:hint="eastAsia" w:ascii="仿宋" w:hAnsi="仿宋" w:eastAsia="仿宋" w:cs="仿宋"/>
          <w:b/>
          <w:color w:val="auto"/>
          <w:sz w:val="24"/>
          <w:highlight w:val="none"/>
          <w:shd w:val="clear" w:color="auto" w:fill="auto"/>
          <w:lang w:val="en-US" w:eastAsia="zh-CN"/>
        </w:rPr>
      </w:pPr>
      <w:r>
        <w:rPr>
          <w:rFonts w:hint="eastAsia" w:ascii="仿宋" w:hAnsi="仿宋" w:eastAsia="仿宋" w:cs="仿宋"/>
          <w:b/>
          <w:color w:val="auto"/>
          <w:sz w:val="24"/>
          <w:highlight w:val="none"/>
          <w:shd w:val="clear" w:color="auto" w:fill="auto"/>
          <w:lang w:eastAsia="zh-CN"/>
        </w:rPr>
        <w:t>供应商</w:t>
      </w:r>
      <w:r>
        <w:rPr>
          <w:rFonts w:hint="eastAsia" w:ascii="仿宋" w:hAnsi="仿宋" w:eastAsia="仿宋" w:cs="仿宋"/>
          <w:b/>
          <w:color w:val="auto"/>
          <w:sz w:val="24"/>
          <w:highlight w:val="none"/>
          <w:shd w:val="clear" w:color="auto" w:fill="auto"/>
        </w:rPr>
        <w:t>根据</w:t>
      </w:r>
      <w:r>
        <w:rPr>
          <w:rFonts w:hint="eastAsia" w:ascii="仿宋" w:hAnsi="仿宋" w:eastAsia="仿宋" w:cs="仿宋"/>
          <w:b/>
          <w:color w:val="auto"/>
          <w:sz w:val="24"/>
          <w:highlight w:val="none"/>
          <w:shd w:val="clear" w:color="auto" w:fill="auto"/>
          <w:lang w:val="en-US" w:eastAsia="zh-CN"/>
        </w:rPr>
        <w:t>交易需求进行承诺，报价根据后续合作项目的文件要求执行。供应商按要求承诺的报价得10分，不按要求承诺的作无效标处理。</w:t>
      </w:r>
    </w:p>
    <w:p w14:paraId="4527C7B0">
      <w:pPr>
        <w:spacing w:line="360" w:lineRule="auto"/>
        <w:rPr>
          <w:rFonts w:hint="eastAsia" w:ascii="仿宋" w:hAnsi="仿宋" w:eastAsia="仿宋" w:cs="仿宋"/>
          <w:color w:val="auto"/>
          <w:sz w:val="20"/>
          <w:szCs w:val="20"/>
          <w:highlight w:val="none"/>
          <w:shd w:val="clear" w:color="auto" w:fill="auto"/>
        </w:rPr>
      </w:pPr>
    </w:p>
    <w:p w14:paraId="790D5B2E">
      <w:pPr>
        <w:spacing w:line="360" w:lineRule="auto"/>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0"/>
          <w:szCs w:val="20"/>
          <w:highlight w:val="none"/>
          <w:shd w:val="clear" w:color="auto" w:fill="auto"/>
        </w:rPr>
        <w:t>*</w:t>
      </w:r>
      <w:r>
        <w:rPr>
          <w:rFonts w:hint="eastAsia" w:ascii="仿宋" w:hAnsi="仿宋" w:eastAsia="仿宋" w:cs="仿宋"/>
          <w:b/>
          <w:color w:val="auto"/>
          <w:sz w:val="24"/>
          <w:highlight w:val="none"/>
          <w:shd w:val="clear" w:color="auto" w:fill="auto"/>
        </w:rPr>
        <w:t>备注：</w:t>
      </w:r>
      <w:r>
        <w:rPr>
          <w:rFonts w:hint="eastAsia" w:ascii="仿宋" w:hAnsi="仿宋" w:eastAsia="仿宋" w:cs="仿宋"/>
          <w:color w:val="auto"/>
          <w:sz w:val="24"/>
          <w:highlight w:val="none"/>
          <w:shd w:val="clear" w:color="auto" w:fill="auto"/>
        </w:rPr>
        <w:t>供应商编制响应文件（商务技术文件部分）时，建议按此目录（序号和内容）提供评审标准相应的商务技术资料。</w:t>
      </w:r>
    </w:p>
    <w:p w14:paraId="675664B2">
      <w:pPr>
        <w:spacing w:line="240" w:lineRule="auto"/>
        <w:rPr>
          <w:rFonts w:hint="eastAsia" w:ascii="仿宋" w:hAnsi="仿宋" w:eastAsia="仿宋" w:cs="仿宋"/>
          <w:b/>
          <w:sz w:val="32"/>
          <w:highlight w:val="none"/>
        </w:rPr>
      </w:pPr>
      <w:r>
        <w:rPr>
          <w:rFonts w:hint="eastAsia" w:ascii="仿宋" w:hAnsi="仿宋" w:eastAsia="仿宋" w:cs="仿宋"/>
          <w:b/>
          <w:sz w:val="32"/>
          <w:highlight w:val="none"/>
        </w:rPr>
        <w:br w:type="page"/>
      </w:r>
    </w:p>
    <w:p w14:paraId="38A74821">
      <w:pPr>
        <w:spacing w:line="360" w:lineRule="auto"/>
        <w:rPr>
          <w:rFonts w:hint="eastAsia" w:ascii="仿宋" w:hAnsi="仿宋" w:eastAsia="仿宋" w:cs="仿宋"/>
          <w:b/>
          <w:sz w:val="28"/>
          <w:szCs w:val="28"/>
          <w:highlight w:val="none"/>
        </w:rPr>
      </w:pPr>
      <w:r>
        <w:rPr>
          <w:rFonts w:hint="eastAsia" w:ascii="仿宋" w:hAnsi="仿宋" w:eastAsia="仿宋" w:cs="仿宋"/>
          <w:b/>
          <w:sz w:val="32"/>
          <w:highlight w:val="none"/>
        </w:rPr>
        <w:t>一、</w:t>
      </w:r>
      <w:r>
        <w:rPr>
          <w:rFonts w:hint="eastAsia" w:ascii="仿宋" w:hAnsi="仿宋" w:eastAsia="仿宋" w:cs="仿宋"/>
          <w:b/>
          <w:sz w:val="32"/>
          <w:highlight w:val="none"/>
          <w:lang w:eastAsia="zh-CN"/>
        </w:rPr>
        <w:t>评审</w:t>
      </w:r>
      <w:r>
        <w:rPr>
          <w:rFonts w:hint="eastAsia" w:ascii="仿宋" w:hAnsi="仿宋" w:eastAsia="仿宋" w:cs="仿宋"/>
          <w:b/>
          <w:sz w:val="32"/>
          <w:highlight w:val="none"/>
        </w:rPr>
        <w:t>方法</w:t>
      </w:r>
    </w:p>
    <w:p w14:paraId="5DAB1F9C">
      <w:pPr>
        <w:adjustRightInd/>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1.本项目采用综合评估法。</w:t>
      </w:r>
      <w:r>
        <w:rPr>
          <w:rFonts w:hint="eastAsia" w:ascii="仿宋" w:hAnsi="仿宋" w:eastAsia="仿宋" w:cs="仿宋"/>
          <w:kern w:val="0"/>
          <w:sz w:val="24"/>
          <w:highlight w:val="none"/>
        </w:rPr>
        <w:t>综合评估法，是指响应文件满足交易文件全部实质性要求，且按照评审因素的量化指标评审得分最高的响应人为成交候选人的</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方法。</w:t>
      </w:r>
    </w:p>
    <w:p w14:paraId="5015A725">
      <w:pPr>
        <w:adjustRightInd/>
        <w:spacing w:line="360" w:lineRule="auto"/>
        <w:rPr>
          <w:rFonts w:hint="eastAsia" w:ascii="仿宋" w:hAnsi="仿宋" w:eastAsia="仿宋" w:cs="仿宋"/>
          <w:kern w:val="0"/>
          <w:sz w:val="24"/>
          <w:highlight w:val="none"/>
        </w:rPr>
      </w:pPr>
      <w:r>
        <w:rPr>
          <w:rFonts w:hint="eastAsia" w:ascii="仿宋" w:hAnsi="仿宋" w:eastAsia="仿宋" w:cs="仿宋"/>
          <w:b/>
          <w:sz w:val="32"/>
          <w:highlight w:val="none"/>
        </w:rPr>
        <w:t>二、</w:t>
      </w:r>
      <w:r>
        <w:rPr>
          <w:rFonts w:hint="eastAsia" w:ascii="仿宋" w:hAnsi="仿宋" w:eastAsia="仿宋" w:cs="仿宋"/>
          <w:b/>
          <w:sz w:val="32"/>
          <w:highlight w:val="none"/>
          <w:lang w:eastAsia="zh-CN"/>
        </w:rPr>
        <w:t>评审</w:t>
      </w:r>
      <w:r>
        <w:rPr>
          <w:rFonts w:hint="eastAsia" w:ascii="仿宋" w:hAnsi="仿宋" w:eastAsia="仿宋" w:cs="仿宋"/>
          <w:b/>
          <w:sz w:val="32"/>
          <w:highlight w:val="none"/>
        </w:rPr>
        <w:t>标准</w:t>
      </w:r>
    </w:p>
    <w:p w14:paraId="36CB6D89">
      <w:pPr>
        <w:spacing w:line="360" w:lineRule="auto"/>
        <w:ind w:firstLine="472" w:firstLineChars="196"/>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标准：</w:t>
      </w:r>
      <w:r>
        <w:rPr>
          <w:rFonts w:hint="eastAsia" w:ascii="仿宋" w:hAnsi="仿宋" w:eastAsia="仿宋" w:cs="仿宋"/>
          <w:kern w:val="0"/>
          <w:sz w:val="24"/>
          <w:highlight w:val="none"/>
        </w:rPr>
        <w:t>见评审办法前附表。</w:t>
      </w:r>
    </w:p>
    <w:p w14:paraId="10D786B4">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三、</w:t>
      </w:r>
      <w:r>
        <w:rPr>
          <w:rFonts w:hint="eastAsia" w:ascii="仿宋" w:hAnsi="仿宋" w:eastAsia="仿宋" w:cs="仿宋"/>
          <w:b/>
          <w:sz w:val="36"/>
          <w:szCs w:val="36"/>
          <w:highlight w:val="none"/>
          <w:lang w:eastAsia="zh-CN"/>
        </w:rPr>
        <w:t>评审</w:t>
      </w:r>
      <w:r>
        <w:rPr>
          <w:rFonts w:hint="eastAsia" w:ascii="仿宋" w:hAnsi="仿宋" w:eastAsia="仿宋" w:cs="仿宋"/>
          <w:b/>
          <w:sz w:val="36"/>
          <w:szCs w:val="36"/>
          <w:highlight w:val="none"/>
        </w:rPr>
        <w:t>程序</w:t>
      </w:r>
    </w:p>
    <w:p w14:paraId="34CF944B">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委员会应当对符合资格的响应人的响应文件进行符合性审查，以确定其是否满足交易文件的实质性要求。不满足交易文件的实质性要求的，交易无效。</w:t>
      </w:r>
    </w:p>
    <w:p w14:paraId="72489D30">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委员会应当按照交易文件中规定的</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方法和标准，对符合性审查合格的响应文件进行商务和技术评估，综合比较与评价。</w:t>
      </w:r>
    </w:p>
    <w:p w14:paraId="22F3B1F3">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委员会各成员应当独立对每个响应人的商务和技术文件进行评价，并汇总商务技术得分情况。</w:t>
      </w:r>
    </w:p>
    <w:p w14:paraId="4B83B4A3">
      <w:pPr>
        <w:spacing w:line="360" w:lineRule="auto"/>
        <w:ind w:firstLine="472" w:firstLineChars="196"/>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694CFA73">
      <w:pPr>
        <w:pStyle w:val="136"/>
        <w:spacing w:before="0"/>
        <w:ind w:firstLine="508" w:firstLineChars="212"/>
        <w:rPr>
          <w:rFonts w:hint="eastAsia" w:ascii="仿宋" w:hAnsi="仿宋" w:eastAsia="仿宋" w:cs="仿宋"/>
          <w:kern w:val="0"/>
          <w:highlight w:val="none"/>
        </w:rPr>
      </w:pPr>
      <w:r>
        <w:rPr>
          <w:rFonts w:hint="eastAsia" w:ascii="仿宋" w:hAnsi="仿宋" w:eastAsia="仿宋" w:cs="仿宋"/>
          <w:kern w:val="0"/>
          <w:highlight w:val="none"/>
        </w:rPr>
        <w:t>3.4.1响应文件报价出现前后不一致的，按照下列规定修正：</w:t>
      </w:r>
    </w:p>
    <w:p w14:paraId="7CE75841">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3.4.1.1响应文件中交易一览表(报价表)内容与响应文件中相应内容不一致的，以交易一览表(报价表)为准;</w:t>
      </w:r>
    </w:p>
    <w:p w14:paraId="60830E23">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1772A1BB">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3.4.1.3单价金额小数点或者百分比有明显错位的，以交易一览表的总价为准，并修改单价;</w:t>
      </w:r>
    </w:p>
    <w:p w14:paraId="5DA7E1AD">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443AB9AF">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3.4.1.5同时出现两种以上不一致的，按照3.4.1规定的顺序修正。修正后的报价经响应人确认后产生约束力。</w:t>
      </w:r>
    </w:p>
    <w:p w14:paraId="4E8E98E0">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3.4.2响应文件出现不是唯一的、有选择性</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报价的，交易无效。</w:t>
      </w:r>
    </w:p>
    <w:p w14:paraId="47844217">
      <w:pPr>
        <w:snapToGrid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3.4.3响应报价超过交易文件中规定的预算金额或者最高限价的，交易无效。</w:t>
      </w:r>
    </w:p>
    <w:p w14:paraId="3CC29190">
      <w:pPr>
        <w:pStyle w:val="136"/>
        <w:spacing w:before="0"/>
        <w:ind w:firstLine="480"/>
        <w:rPr>
          <w:rFonts w:hint="eastAsia" w:ascii="仿宋" w:hAnsi="仿宋" w:eastAsia="仿宋" w:cs="仿宋"/>
          <w:kern w:val="0"/>
          <w:szCs w:val="24"/>
          <w:highlight w:val="none"/>
        </w:rPr>
      </w:pPr>
      <w:r>
        <w:rPr>
          <w:rFonts w:hint="eastAsia" w:ascii="仿宋" w:hAnsi="仿宋" w:eastAsia="仿宋" w:cs="仿宋"/>
          <w:kern w:val="0"/>
          <w:szCs w:val="24"/>
          <w:highlight w:val="none"/>
        </w:rPr>
        <w:t>3.4.4</w:t>
      </w:r>
      <w:r>
        <w:rPr>
          <w:rFonts w:hint="eastAsia" w:ascii="仿宋" w:hAnsi="仿宋" w:eastAsia="仿宋" w:cs="仿宋"/>
          <w:kern w:val="0"/>
          <w:szCs w:val="24"/>
          <w:highlight w:val="none"/>
          <w:lang w:eastAsia="zh-CN"/>
        </w:rPr>
        <w:t>评审</w:t>
      </w:r>
      <w:r>
        <w:rPr>
          <w:rFonts w:hint="eastAsia" w:ascii="仿宋" w:hAnsi="仿宋" w:eastAsia="仿宋" w:cs="仿宋"/>
          <w:kern w:val="0"/>
          <w:szCs w:val="24"/>
          <w:highlight w:val="none"/>
        </w:rPr>
        <w:t>委员会认为响应人的报价明显低于其他通过符合性审查响应人的报价，有可能影响产品质量或者不能诚信履约的，应当要求其在合理的时间内提供书面说明，必要时提交相关证明材料;响应人不能证明其报价合理性的，</w:t>
      </w:r>
      <w:r>
        <w:rPr>
          <w:rFonts w:hint="eastAsia" w:ascii="仿宋" w:hAnsi="仿宋" w:eastAsia="仿宋" w:cs="仿宋"/>
          <w:kern w:val="0"/>
          <w:szCs w:val="24"/>
          <w:highlight w:val="none"/>
          <w:lang w:eastAsia="zh-CN"/>
        </w:rPr>
        <w:t>评审</w:t>
      </w:r>
      <w:r>
        <w:rPr>
          <w:rFonts w:hint="eastAsia" w:ascii="仿宋" w:hAnsi="仿宋" w:eastAsia="仿宋" w:cs="仿宋"/>
          <w:kern w:val="0"/>
          <w:szCs w:val="24"/>
          <w:highlight w:val="none"/>
        </w:rPr>
        <w:t>委员会应当将其作为无效响应处理。</w:t>
      </w:r>
    </w:p>
    <w:p w14:paraId="5F8FED13">
      <w:pPr>
        <w:pStyle w:val="136"/>
        <w:ind w:firstLine="482"/>
        <w:rPr>
          <w:rFonts w:hint="eastAsia" w:ascii="仿宋" w:hAnsi="仿宋" w:eastAsia="仿宋" w:cs="仿宋"/>
          <w:kern w:val="0"/>
          <w:highlight w:val="none"/>
        </w:rPr>
      </w:pPr>
      <w:r>
        <w:rPr>
          <w:rFonts w:hint="eastAsia" w:ascii="仿宋" w:hAnsi="仿宋" w:eastAsia="仿宋" w:cs="仿宋"/>
          <w:b/>
          <w:kern w:val="0"/>
          <w:highlight w:val="none"/>
        </w:rPr>
        <w:t>3.5排序与推荐。</w:t>
      </w:r>
      <w:r>
        <w:rPr>
          <w:rFonts w:hint="eastAsia" w:ascii="仿宋" w:hAnsi="仿宋" w:eastAsia="仿宋" w:cs="仿宋"/>
          <w:kern w:val="0"/>
          <w:highlight w:val="none"/>
        </w:rPr>
        <w:t>采用综合评分法的，</w:t>
      </w:r>
      <w:r>
        <w:rPr>
          <w:rFonts w:hint="eastAsia" w:ascii="仿宋" w:hAnsi="仿宋" w:eastAsia="仿宋" w:cs="仿宋"/>
          <w:kern w:val="0"/>
          <w:highlight w:val="none"/>
          <w:lang w:eastAsia="zh-CN"/>
        </w:rPr>
        <w:t>评审</w:t>
      </w:r>
      <w:r>
        <w:rPr>
          <w:rFonts w:hint="eastAsia" w:ascii="仿宋" w:hAnsi="仿宋" w:eastAsia="仿宋" w:cs="仿宋"/>
          <w:kern w:val="0"/>
          <w:highlight w:val="none"/>
        </w:rPr>
        <w:t>结果按评审后得分由高到低顺序排列。得分相同的，按响应报价由低到高顺序排列。得分且响应报价相同的并列。响应文件满足交易文件全部实质性要求，且按照评审因素的量化指标评审得分</w:t>
      </w:r>
      <w:r>
        <w:rPr>
          <w:rFonts w:hint="eastAsia" w:ascii="仿宋" w:hAnsi="仿宋" w:eastAsia="仿宋" w:cs="仿宋"/>
          <w:kern w:val="0"/>
          <w:highlight w:val="none"/>
          <w:lang w:val="en-US" w:eastAsia="zh-CN"/>
        </w:rPr>
        <w:t>排名前七名</w:t>
      </w:r>
      <w:r>
        <w:rPr>
          <w:rFonts w:hint="eastAsia" w:ascii="仿宋" w:hAnsi="仿宋" w:eastAsia="仿宋" w:cs="仿宋"/>
          <w:kern w:val="0"/>
          <w:highlight w:val="none"/>
        </w:rPr>
        <w:t>的</w:t>
      </w:r>
      <w:r>
        <w:rPr>
          <w:rFonts w:hint="eastAsia" w:ascii="仿宋" w:hAnsi="仿宋" w:eastAsia="仿宋" w:cs="仿宋"/>
          <w:kern w:val="0"/>
          <w:highlight w:val="none"/>
          <w:lang w:val="en-US" w:eastAsia="zh-CN"/>
        </w:rPr>
        <w:t>为</w:t>
      </w:r>
      <w:r>
        <w:rPr>
          <w:rFonts w:hint="eastAsia" w:ascii="仿宋" w:hAnsi="仿宋" w:eastAsia="仿宋" w:cs="仿宋"/>
          <w:kern w:val="0"/>
          <w:highlight w:val="none"/>
        </w:rPr>
        <w:t>成交候选人。</w:t>
      </w:r>
    </w:p>
    <w:p w14:paraId="64735926">
      <w:pPr>
        <w:spacing w:line="360" w:lineRule="auto"/>
        <w:ind w:firstLine="472" w:firstLineChars="196"/>
        <w:rPr>
          <w:rFonts w:hint="eastAsia" w:ascii="仿宋" w:hAnsi="仿宋" w:eastAsia="仿宋" w:cs="仿宋"/>
          <w:kern w:val="0"/>
          <w:sz w:val="24"/>
          <w:highlight w:val="none"/>
        </w:rPr>
      </w:pPr>
      <w:r>
        <w:rPr>
          <w:rFonts w:hint="eastAsia" w:ascii="仿宋" w:hAnsi="仿宋" w:eastAsia="仿宋" w:cs="仿宋"/>
          <w:b/>
          <w:kern w:val="0"/>
          <w:sz w:val="24"/>
          <w:highlight w:val="none"/>
        </w:rPr>
        <w:t>3.6编写</w:t>
      </w:r>
      <w:r>
        <w:rPr>
          <w:rFonts w:hint="eastAsia" w:ascii="仿宋" w:hAnsi="仿宋" w:eastAsia="仿宋" w:cs="仿宋"/>
          <w:b/>
          <w:kern w:val="0"/>
          <w:sz w:val="24"/>
          <w:highlight w:val="none"/>
          <w:lang w:eastAsia="zh-CN"/>
        </w:rPr>
        <w:t>评审</w:t>
      </w:r>
      <w:r>
        <w:rPr>
          <w:rFonts w:hint="eastAsia" w:ascii="仿宋" w:hAnsi="仿宋" w:eastAsia="仿宋" w:cs="仿宋"/>
          <w:b/>
          <w:kern w:val="0"/>
          <w:sz w:val="24"/>
          <w:highlight w:val="none"/>
        </w:rPr>
        <w:t>报告。</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委员会根据全体</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成员签字的原始</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记录和</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结果编写</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报告。</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委员会成员对需要共同认定的事项存在争议的，应当按照少数服从多数的原则作出结论。持不同意见的</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委员会成员应当在</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报告上签署不同意见及理由，否则视为同意</w:t>
      </w:r>
      <w:r>
        <w:rPr>
          <w:rFonts w:hint="eastAsia" w:ascii="仿宋" w:hAnsi="仿宋" w:eastAsia="仿宋" w:cs="仿宋"/>
          <w:kern w:val="0"/>
          <w:sz w:val="24"/>
          <w:highlight w:val="none"/>
          <w:lang w:eastAsia="zh-CN"/>
        </w:rPr>
        <w:t>评审</w:t>
      </w:r>
      <w:r>
        <w:rPr>
          <w:rFonts w:hint="eastAsia" w:ascii="仿宋" w:hAnsi="仿宋" w:eastAsia="仿宋" w:cs="仿宋"/>
          <w:kern w:val="0"/>
          <w:sz w:val="24"/>
          <w:highlight w:val="none"/>
        </w:rPr>
        <w:t>报告。</w:t>
      </w:r>
    </w:p>
    <w:p w14:paraId="0AA72B82">
      <w:pPr>
        <w:spacing w:line="360" w:lineRule="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四、</w:t>
      </w:r>
      <w:r>
        <w:rPr>
          <w:rFonts w:hint="eastAsia" w:ascii="仿宋" w:hAnsi="仿宋" w:eastAsia="仿宋" w:cs="仿宋"/>
          <w:b/>
          <w:sz w:val="36"/>
          <w:szCs w:val="36"/>
          <w:highlight w:val="none"/>
          <w:lang w:eastAsia="zh-CN"/>
        </w:rPr>
        <w:t>评审</w:t>
      </w:r>
      <w:r>
        <w:rPr>
          <w:rFonts w:hint="eastAsia" w:ascii="仿宋" w:hAnsi="仿宋" w:eastAsia="仿宋" w:cs="仿宋"/>
          <w:b/>
          <w:sz w:val="36"/>
          <w:szCs w:val="36"/>
          <w:highlight w:val="none"/>
        </w:rPr>
        <w:t>中的其他事项</w:t>
      </w:r>
    </w:p>
    <w:p w14:paraId="27738499">
      <w:pPr>
        <w:pStyle w:val="136"/>
        <w:spacing w:before="0"/>
        <w:ind w:firstLine="472" w:firstLineChars="196"/>
        <w:rPr>
          <w:rFonts w:hint="eastAsia" w:ascii="仿宋" w:hAnsi="仿宋" w:eastAsia="仿宋" w:cs="仿宋"/>
          <w:kern w:val="0"/>
          <w:szCs w:val="24"/>
          <w:highlight w:val="none"/>
        </w:rPr>
      </w:pPr>
      <w:r>
        <w:rPr>
          <w:rFonts w:hint="eastAsia" w:ascii="仿宋" w:hAnsi="仿宋" w:eastAsia="仿宋" w:cs="仿宋"/>
          <w:b/>
          <w:kern w:val="0"/>
          <w:szCs w:val="24"/>
          <w:highlight w:val="none"/>
        </w:rPr>
        <w:t>4.1响应人澄清、说明或者补正。</w:t>
      </w:r>
      <w:r>
        <w:rPr>
          <w:rFonts w:hint="eastAsia" w:ascii="仿宋" w:hAnsi="仿宋" w:eastAsia="仿宋" w:cs="仿宋"/>
          <w:kern w:val="0"/>
          <w:szCs w:val="24"/>
          <w:highlight w:val="none"/>
        </w:rPr>
        <w:t>对于响应文件中含义不明确、同类问题表述不一致或者有明显文字和计算错误的内容需要响应人作出必要的澄清、说明或者补正的，</w:t>
      </w:r>
      <w:r>
        <w:rPr>
          <w:rFonts w:hint="eastAsia" w:ascii="仿宋" w:hAnsi="仿宋" w:eastAsia="仿宋" w:cs="仿宋"/>
          <w:kern w:val="0"/>
          <w:szCs w:val="24"/>
          <w:highlight w:val="none"/>
          <w:lang w:eastAsia="zh-CN"/>
        </w:rPr>
        <w:t>评审</w:t>
      </w:r>
      <w:r>
        <w:rPr>
          <w:rFonts w:hint="eastAsia" w:ascii="仿宋" w:hAnsi="仿宋" w:eastAsia="仿宋" w:cs="仿宋"/>
          <w:kern w:val="0"/>
          <w:szCs w:val="24"/>
          <w:highlight w:val="none"/>
        </w:rPr>
        <w:t>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16434A38">
      <w:pPr>
        <w:pStyle w:val="24"/>
        <w:spacing w:line="360" w:lineRule="auto"/>
        <w:ind w:left="954" w:leftChars="226" w:hanging="479" w:firstLineChars="0"/>
        <w:rPr>
          <w:rFonts w:hint="eastAsia" w:ascii="仿宋" w:hAnsi="仿宋" w:eastAsia="仿宋" w:cs="仿宋"/>
          <w:szCs w:val="21"/>
          <w:highlight w:val="none"/>
        </w:rPr>
      </w:pPr>
      <w:r>
        <w:rPr>
          <w:rFonts w:hint="eastAsia" w:ascii="仿宋" w:hAnsi="仿宋" w:eastAsia="仿宋" w:cs="仿宋"/>
          <w:b/>
          <w:kern w:val="0"/>
          <w:highlight w:val="none"/>
        </w:rPr>
        <w:t>4.2</w:t>
      </w:r>
      <w:r>
        <w:rPr>
          <w:rFonts w:hint="eastAsia" w:ascii="仿宋" w:hAnsi="仿宋" w:eastAsia="仿宋" w:cs="仿宋"/>
          <w:b/>
          <w:kern w:val="0"/>
          <w:highlight w:val="none"/>
          <w:lang w:eastAsia="zh-CN"/>
        </w:rPr>
        <w:t>响应</w:t>
      </w:r>
      <w:r>
        <w:rPr>
          <w:rFonts w:hint="eastAsia" w:ascii="仿宋" w:hAnsi="仿宋" w:eastAsia="仿宋" w:cs="仿宋"/>
          <w:b/>
          <w:kern w:val="0"/>
          <w:highlight w:val="none"/>
        </w:rPr>
        <w:t>无效。</w:t>
      </w:r>
      <w:r>
        <w:rPr>
          <w:rFonts w:hint="eastAsia" w:ascii="仿宋" w:hAnsi="仿宋" w:eastAsia="仿宋" w:cs="仿宋"/>
          <w:szCs w:val="21"/>
          <w:highlight w:val="none"/>
        </w:rPr>
        <w:t>有下列情形之一的，交易无效：</w:t>
      </w:r>
    </w:p>
    <w:p w14:paraId="07A0B55B">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4.2.1响应人不具备交易文件中规定的资格要求的（响应人未提供有效的资格文件的，视为响应人不具备交易文件中规定的资格要求）；</w:t>
      </w:r>
    </w:p>
    <w:p w14:paraId="359B1894">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4.2.2响应文件未按照交易文件要求签署、盖章的；</w:t>
      </w:r>
    </w:p>
    <w:p w14:paraId="44D5C45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4.2.3响应文件含有交易发起人不能接受的附加条件的；</w:t>
      </w:r>
    </w:p>
    <w:p w14:paraId="76B8D94A">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4.2.4响应文件中承诺的交易有效期少于交易文件中载明的交易有效期的；</w:t>
      </w:r>
    </w:p>
    <w:p w14:paraId="622EBC5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4.2.5响应文件出现不是唯一的、有选择性响应报价的;</w:t>
      </w:r>
    </w:p>
    <w:p w14:paraId="3FBD39A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4.2.6响应报价超过交易文件中规定的预算金额或者最高限价的;</w:t>
      </w:r>
    </w:p>
    <w:p w14:paraId="6B756256">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75FFE5B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4.2.8响应人对根据修正原则修正后的报价不确认的；</w:t>
      </w:r>
    </w:p>
    <w:p w14:paraId="26B50600">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4.2.9响应人提供虚假材料</w:t>
      </w:r>
      <w:r>
        <w:rPr>
          <w:rFonts w:hint="eastAsia" w:ascii="仿宋" w:hAnsi="仿宋" w:eastAsia="仿宋" w:cs="仿宋"/>
          <w:kern w:val="0"/>
          <w:sz w:val="24"/>
          <w:highlight w:val="none"/>
          <w:lang w:eastAsia="zh-CN"/>
        </w:rPr>
        <w:t>响应</w:t>
      </w:r>
      <w:r>
        <w:rPr>
          <w:rFonts w:hint="eastAsia" w:ascii="仿宋" w:hAnsi="仿宋" w:eastAsia="仿宋" w:cs="仿宋"/>
          <w:kern w:val="0"/>
          <w:sz w:val="24"/>
          <w:highlight w:val="none"/>
        </w:rPr>
        <w:t>的；</w:t>
      </w:r>
    </w:p>
    <w:p w14:paraId="450526B9">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4.2.10响应人有恶意串通、妨碍其他响应人的竞争行为、损害交易发起人或者其他响应人的合法权益情形的；</w:t>
      </w:r>
    </w:p>
    <w:p w14:paraId="28288BFD">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4.2.11响应人仅提交备份响应文件，未在电子交易平台传输递交响应文件的，交易无效；</w:t>
      </w:r>
    </w:p>
    <w:p w14:paraId="09963CC9">
      <w:pPr>
        <w:spacing w:line="360" w:lineRule="auto"/>
        <w:ind w:firstLine="480" w:firstLineChars="200"/>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4.2.12 响应文件不满足交易文件的其它实质性要求的；</w:t>
      </w:r>
    </w:p>
    <w:p w14:paraId="0D668911">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4.2.13法律、法规、规章（适用本市的）及省级以上规范性文件（适用本市的）规定的其他无效情形。</w:t>
      </w:r>
    </w:p>
    <w:p w14:paraId="5536CFDE">
      <w:pPr>
        <w:pStyle w:val="24"/>
        <w:snapToGrid w:val="0"/>
        <w:spacing w:line="360" w:lineRule="auto"/>
        <w:ind w:firstLine="472" w:firstLineChars="196"/>
        <w:rPr>
          <w:rFonts w:hint="eastAsia"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在交易过程中，出现下列情形之一的，应予废标：</w:t>
      </w:r>
    </w:p>
    <w:p w14:paraId="1E32E9BE">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5.1符合专业条件的供应商或者对交易文件作实质响应的供应商不足</w:t>
      </w:r>
      <w:r>
        <w:rPr>
          <w:rFonts w:hint="eastAsia" w:ascii="仿宋" w:hAnsi="仿宋" w:eastAsia="仿宋" w:cs="仿宋"/>
          <w:highlight w:val="none"/>
          <w:lang w:val="en-US" w:eastAsia="zh-CN"/>
        </w:rPr>
        <w:t>9</w:t>
      </w:r>
      <w:r>
        <w:rPr>
          <w:rFonts w:hint="eastAsia" w:ascii="仿宋" w:hAnsi="仿宋" w:eastAsia="仿宋" w:cs="仿宋"/>
          <w:highlight w:val="none"/>
        </w:rPr>
        <w:t>家的；</w:t>
      </w:r>
    </w:p>
    <w:p w14:paraId="3BC66A94">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5.2出现影响交易活动公正的违法、违</w:t>
      </w:r>
      <w:bookmarkStart w:id="385" w:name="_GoBack"/>
      <w:bookmarkEnd w:id="385"/>
      <w:r>
        <w:rPr>
          <w:rFonts w:hint="eastAsia" w:ascii="仿宋" w:hAnsi="仿宋" w:eastAsia="仿宋" w:cs="仿宋"/>
          <w:highlight w:val="none"/>
        </w:rPr>
        <w:t>规行为的；</w:t>
      </w:r>
    </w:p>
    <w:p w14:paraId="64951B56">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5.3响应人的报价均超过了预算金额，交易发起人不能支付的；</w:t>
      </w:r>
    </w:p>
    <w:p w14:paraId="1D0FED7A">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5.4因重大变故，任务取消的。</w:t>
      </w:r>
    </w:p>
    <w:p w14:paraId="38A1DF00">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废标后，代理机构应当将废标理由通知所有响应人。</w:t>
      </w:r>
    </w:p>
    <w:p w14:paraId="3DBEFA01">
      <w:pPr>
        <w:pStyle w:val="24"/>
        <w:snapToGrid w:val="0"/>
        <w:spacing w:line="360" w:lineRule="auto"/>
        <w:ind w:firstLine="482"/>
        <w:rPr>
          <w:rFonts w:hint="eastAsia" w:ascii="仿宋" w:hAnsi="仿宋" w:eastAsia="仿宋" w:cs="仿宋"/>
          <w:highlight w:val="none"/>
        </w:rPr>
      </w:pPr>
      <w:r>
        <w:rPr>
          <w:rFonts w:hint="eastAsia" w:ascii="仿宋" w:hAnsi="仿宋" w:eastAsia="仿宋" w:cs="仿宋"/>
          <w:b/>
          <w:highlight w:val="none"/>
        </w:rPr>
        <w:t>6.修改交易文件，重新组织交易活动。</w:t>
      </w:r>
      <w:r>
        <w:rPr>
          <w:rFonts w:hint="eastAsia" w:ascii="仿宋" w:hAnsi="仿宋" w:eastAsia="仿宋" w:cs="仿宋"/>
          <w:highlight w:val="none"/>
          <w:lang w:eastAsia="zh-CN"/>
        </w:rPr>
        <w:t>评审</w:t>
      </w:r>
      <w:r>
        <w:rPr>
          <w:rFonts w:hint="eastAsia" w:ascii="仿宋" w:hAnsi="仿宋" w:eastAsia="仿宋" w:cs="仿宋"/>
          <w:highlight w:val="none"/>
        </w:rPr>
        <w:t>委员会发现交易文件存在歧义、重大缺陷导致</w:t>
      </w:r>
      <w:r>
        <w:rPr>
          <w:rFonts w:hint="eastAsia" w:ascii="仿宋" w:hAnsi="仿宋" w:eastAsia="仿宋" w:cs="仿宋"/>
          <w:highlight w:val="none"/>
          <w:lang w:eastAsia="zh-CN"/>
        </w:rPr>
        <w:t>评审</w:t>
      </w:r>
      <w:r>
        <w:rPr>
          <w:rFonts w:hint="eastAsia" w:ascii="仿宋" w:hAnsi="仿宋" w:eastAsia="仿宋" w:cs="仿宋"/>
          <w:highlight w:val="none"/>
        </w:rPr>
        <w:t>工作无法进行，或者交易文件内容违反国家有关强制性规定的，将停止</w:t>
      </w:r>
      <w:r>
        <w:rPr>
          <w:rFonts w:hint="eastAsia" w:ascii="仿宋" w:hAnsi="仿宋" w:eastAsia="仿宋" w:cs="仿宋"/>
          <w:highlight w:val="none"/>
          <w:lang w:eastAsia="zh-CN"/>
        </w:rPr>
        <w:t>评审</w:t>
      </w:r>
      <w:r>
        <w:rPr>
          <w:rFonts w:hint="eastAsia" w:ascii="仿宋" w:hAnsi="仿宋" w:eastAsia="仿宋" w:cs="仿宋"/>
          <w:highlight w:val="none"/>
        </w:rPr>
        <w:t>工作，并与交易发起人、代理机构沟通并作书面记录。交易发起人、代理机构确认后，将修改交易文件，重新组织交易活动。</w:t>
      </w:r>
    </w:p>
    <w:p w14:paraId="30C80A48">
      <w:pPr>
        <w:pStyle w:val="24"/>
        <w:snapToGrid w:val="0"/>
        <w:spacing w:line="360" w:lineRule="auto"/>
        <w:ind w:firstLine="482"/>
        <w:rPr>
          <w:rFonts w:hint="eastAsia" w:ascii="仿宋" w:hAnsi="仿宋" w:eastAsia="仿宋" w:cs="仿宋"/>
          <w:highlight w:val="none"/>
        </w:rPr>
      </w:pPr>
      <w:r>
        <w:rPr>
          <w:rFonts w:hint="eastAsia" w:ascii="仿宋" w:hAnsi="仿宋" w:eastAsia="仿宋" w:cs="仿宋"/>
          <w:b/>
          <w:kern w:val="0"/>
          <w:highlight w:val="none"/>
        </w:rPr>
        <w:t>7.重新开展交易。</w:t>
      </w:r>
      <w:r>
        <w:rPr>
          <w:rFonts w:hint="eastAsia" w:ascii="仿宋" w:hAnsi="仿宋" w:eastAsia="仿宋" w:cs="仿宋"/>
          <w:highlight w:val="none"/>
        </w:rPr>
        <w:t>影响或者可能影响成交、成交结果的，依照下列规定处理：</w:t>
      </w:r>
    </w:p>
    <w:p w14:paraId="060AC933">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7.1未确定成交或者成交人的，终止本次交易活动，重新开展交易活动。</w:t>
      </w:r>
    </w:p>
    <w:p w14:paraId="4B735DCC">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7.2已确定成交或者成交人但尚未签订书面合同的，成交或者成交结果无效，从合格的成交或者成交候选人中另行确定成交或者成交人；没有合格的成交或者成交候选人的，重新开展交易活动。</w:t>
      </w:r>
    </w:p>
    <w:p w14:paraId="010A5BDA">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7.3书面合同已签订但尚未履行的，撤销合同，从合格的成交或者成交候选人中另行确定成交或者成交人；没有合格的成交或者成交候选人的，重新开展交易活动。</w:t>
      </w:r>
    </w:p>
    <w:p w14:paraId="7B4FB9E0">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7.4书面合同已经履行，给交易发起人、供应商造成损失的，由责任人承担赔偿责任。</w:t>
      </w:r>
    </w:p>
    <w:p w14:paraId="7720BB0F">
      <w:pPr>
        <w:pStyle w:val="24"/>
        <w:snapToGrid w:val="0"/>
        <w:spacing w:line="360" w:lineRule="auto"/>
        <w:rPr>
          <w:rFonts w:hint="eastAsia" w:ascii="仿宋" w:hAnsi="仿宋" w:eastAsia="仿宋" w:cs="仿宋"/>
          <w:highlight w:val="none"/>
        </w:rPr>
      </w:pPr>
      <w:r>
        <w:rPr>
          <w:rFonts w:hint="eastAsia" w:ascii="仿宋" w:hAnsi="仿宋" w:eastAsia="仿宋" w:cs="仿宋"/>
          <w:highlight w:val="none"/>
        </w:rPr>
        <w:t>7.5交易当事人有其他违反政府采购法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的行为，经改正后仍然影响或者可能影响成交、成交结果或者依法被认定为成交、成交无效的，依照7.1-7.4规定处理。</w:t>
      </w:r>
    </w:p>
    <w:p w14:paraId="56BA5276">
      <w:pPr>
        <w:spacing w:line="240" w:lineRule="auto"/>
        <w:ind w:left="0" w:leftChars="0" w:firstLine="0" w:firstLineChars="0"/>
        <w:jc w:val="left"/>
        <w:outlineLvl w:val="9"/>
        <w:rPr>
          <w:rFonts w:hint="eastAsia" w:ascii="仿宋" w:hAnsi="仿宋" w:eastAsia="仿宋" w:cs="仿宋"/>
          <w:b/>
          <w:sz w:val="36"/>
          <w:szCs w:val="36"/>
          <w:highlight w:val="none"/>
        </w:rPr>
      </w:pPr>
      <w:r>
        <w:rPr>
          <w:rFonts w:hint="eastAsia" w:ascii="仿宋" w:hAnsi="仿宋" w:eastAsia="仿宋" w:cs="仿宋"/>
          <w:highlight w:val="none"/>
        </w:rPr>
        <w:t xml:space="preserve"> </w:t>
      </w:r>
      <w:r>
        <w:rPr>
          <w:rFonts w:hint="eastAsia" w:ascii="仿宋" w:hAnsi="仿宋" w:eastAsia="仿宋" w:cs="仿宋"/>
          <w:b/>
          <w:sz w:val="36"/>
          <w:szCs w:val="36"/>
          <w:highlight w:val="none"/>
        </w:rPr>
        <w:br w:type="page"/>
      </w:r>
    </w:p>
    <w:p w14:paraId="4D2B4378">
      <w:pPr>
        <w:spacing w:line="360" w:lineRule="auto"/>
        <w:ind w:left="0" w:leftChars="0" w:firstLine="0" w:firstLineChars="0"/>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4242ED2D">
      <w:pPr>
        <w:pStyle w:val="5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（略）具体以实际签订的合同为准</w:t>
      </w:r>
    </w:p>
    <w:p w14:paraId="66F88076">
      <w:pPr>
        <w:rPr>
          <w:rFonts w:hint="eastAsia" w:ascii="仿宋" w:hAnsi="仿宋" w:eastAsia="仿宋" w:cs="仿宋"/>
          <w:highlight w:val="none"/>
        </w:rPr>
      </w:pPr>
    </w:p>
    <w:p w14:paraId="115FB33C">
      <w:pPr>
        <w:spacing w:line="360" w:lineRule="auto"/>
        <w:ind w:left="720" w:firstLine="723" w:firstLineChars="200"/>
        <w:outlineLvl w:val="0"/>
        <w:rPr>
          <w:rFonts w:hint="eastAsia" w:ascii="仿宋" w:hAnsi="仿宋" w:eastAsia="仿宋" w:cs="仿宋"/>
          <w:b/>
          <w:sz w:val="36"/>
          <w:szCs w:val="20"/>
          <w:highlight w:val="none"/>
        </w:rPr>
      </w:pPr>
    </w:p>
    <w:p w14:paraId="214BC33E">
      <w:pPr>
        <w:spacing w:line="360" w:lineRule="auto"/>
        <w:ind w:left="720" w:firstLine="723" w:firstLineChars="200"/>
        <w:outlineLvl w:val="0"/>
        <w:rPr>
          <w:rFonts w:hint="eastAsia" w:ascii="仿宋" w:hAnsi="仿宋" w:eastAsia="仿宋" w:cs="仿宋"/>
          <w:b/>
          <w:sz w:val="36"/>
          <w:szCs w:val="20"/>
          <w:highlight w:val="none"/>
        </w:rPr>
      </w:pPr>
    </w:p>
    <w:p w14:paraId="5D598EF4">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1CDD1CD7">
      <w:pPr>
        <w:spacing w:line="360" w:lineRule="auto"/>
        <w:ind w:left="720" w:firstLine="723" w:firstLineChars="200"/>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第六部分 应提交的有关格式范例</w:t>
      </w:r>
    </w:p>
    <w:p w14:paraId="555BC3D6">
      <w:pPr>
        <w:spacing w:line="360" w:lineRule="auto"/>
        <w:jc w:val="center"/>
        <w:outlineLvl w:val="0"/>
        <w:rPr>
          <w:rFonts w:hint="eastAsia" w:ascii="仿宋" w:hAnsi="仿宋" w:eastAsia="仿宋" w:cs="仿宋"/>
          <w:b/>
          <w:kern w:val="0"/>
          <w:sz w:val="36"/>
          <w:szCs w:val="36"/>
          <w:highlight w:val="none"/>
        </w:rPr>
      </w:pPr>
    </w:p>
    <w:p w14:paraId="06C19E59">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3D2173D">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635E1609">
      <w:pPr>
        <w:spacing w:line="360" w:lineRule="auto"/>
        <w:jc w:val="center"/>
        <w:outlineLvl w:val="0"/>
        <w:rPr>
          <w:rFonts w:hint="eastAsia" w:ascii="仿宋" w:hAnsi="仿宋" w:eastAsia="仿宋" w:cs="仿宋"/>
          <w:b/>
          <w:kern w:val="0"/>
          <w:sz w:val="36"/>
          <w:szCs w:val="36"/>
          <w:highlight w:val="none"/>
        </w:rPr>
      </w:pPr>
    </w:p>
    <w:p w14:paraId="4C38258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（1）符合参加交易活动应当具备的一般条件的承诺函……………………（页码）</w:t>
      </w:r>
    </w:p>
    <w:p w14:paraId="70CE7E2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（2）本项目的特定资格要求…………………………………………………（页码）</w:t>
      </w:r>
    </w:p>
    <w:p w14:paraId="40D07FDC">
      <w:pPr>
        <w:snapToGrid w:val="0"/>
        <w:spacing w:line="360" w:lineRule="auto"/>
        <w:ind w:firstLine="480" w:firstLineChars="200"/>
        <w:rPr>
          <w:rFonts w:hint="eastAsia" w:ascii="仿宋" w:hAnsi="仿宋" w:eastAsia="仿宋" w:cs="仿宋"/>
          <w:sz w:val="24"/>
          <w:highlight w:val="none"/>
        </w:rPr>
      </w:pPr>
    </w:p>
    <w:p w14:paraId="35E8ACA8">
      <w:pPr>
        <w:spacing w:line="360" w:lineRule="auto"/>
        <w:ind w:firstLine="480" w:firstLineChars="200"/>
        <w:rPr>
          <w:rFonts w:hint="eastAsia" w:ascii="仿宋" w:hAnsi="仿宋" w:eastAsia="仿宋" w:cs="仿宋"/>
          <w:sz w:val="24"/>
          <w:highlight w:val="none"/>
        </w:rPr>
      </w:pPr>
    </w:p>
    <w:p w14:paraId="3163B4AA">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一、符合参加交易活动应当具备的一般条件的承诺函</w:t>
      </w:r>
    </w:p>
    <w:p w14:paraId="53DC572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（交易发起人）、（代理机构）：</w:t>
      </w:r>
    </w:p>
    <w:p w14:paraId="35A1F56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我方参与（项目名称）【项目编号：       】交易活动，郑重承诺：</w:t>
      </w:r>
    </w:p>
    <w:p w14:paraId="6B213854">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（一）具备以下条件：</w:t>
      </w:r>
    </w:p>
    <w:p w14:paraId="2F6DD0B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58F6398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711FA4C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196BC2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78F6016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5、参加交易活动前三年内，在经营活动中没有重大违法记录；</w:t>
      </w:r>
    </w:p>
    <w:p w14:paraId="4D6BEEA1">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74E521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1C07C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0D7096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02A4A02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825C76F">
      <w:pPr>
        <w:snapToGrid w:val="0"/>
        <w:spacing w:line="360" w:lineRule="auto"/>
        <w:ind w:firstLine="480" w:firstLineChars="200"/>
        <w:rPr>
          <w:rFonts w:hint="eastAsia" w:ascii="仿宋" w:hAnsi="仿宋" w:eastAsia="仿宋" w:cs="仿宋"/>
          <w:sz w:val="24"/>
          <w:highlight w:val="none"/>
        </w:rPr>
      </w:pPr>
    </w:p>
    <w:p w14:paraId="0F998D4E">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响应人名称(电子签名)：</w:t>
      </w:r>
    </w:p>
    <w:p w14:paraId="3DAA3C8A">
      <w:pPr>
        <w:snapToGrid w:val="0"/>
        <w:spacing w:line="360" w:lineRule="auto"/>
        <w:jc w:val="righ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24897A0">
      <w:pPr>
        <w:jc w:val="left"/>
        <w:rPr>
          <w:rFonts w:hint="eastAsia" w:ascii="仿宋" w:hAnsi="仿宋" w:eastAsia="仿宋" w:cs="仿宋"/>
          <w:b/>
          <w:kern w:val="0"/>
          <w:sz w:val="32"/>
          <w:szCs w:val="32"/>
          <w:highlight w:val="none"/>
        </w:rPr>
      </w:pPr>
    </w:p>
    <w:p w14:paraId="4F91EFA6">
      <w:pPr>
        <w:spacing w:line="240" w:lineRule="auto"/>
        <w:ind w:right="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6D430D5B">
      <w:pPr>
        <w:spacing w:line="360" w:lineRule="auto"/>
        <w:ind w:right="-94" w:rightChars="0"/>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2AB275E9">
      <w:pPr>
        <w:spacing w:line="360" w:lineRule="auto"/>
        <w:jc w:val="center"/>
        <w:outlineLvl w:val="0"/>
        <w:rPr>
          <w:rFonts w:hint="eastAsia" w:ascii="仿宋" w:hAnsi="仿宋" w:eastAsia="仿宋" w:cs="仿宋"/>
          <w:b/>
          <w:kern w:val="0"/>
          <w:sz w:val="24"/>
          <w:highlight w:val="none"/>
        </w:rPr>
      </w:pPr>
    </w:p>
    <w:p w14:paraId="46FAE7E5">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21C9F810">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（1）响应函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2E76D07D">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14:paraId="6C5799F2">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w:t>
      </w:r>
      <w:r>
        <w:rPr>
          <w:rFonts w:hint="eastAsia" w:ascii="仿宋" w:hAnsi="仿宋" w:eastAsia="仿宋" w:cs="仿宋"/>
          <w:sz w:val="24"/>
          <w:highlight w:val="none"/>
          <w:lang w:eastAsia="zh-CN"/>
        </w:rPr>
        <w:t>评审</w:t>
      </w:r>
      <w:r>
        <w:rPr>
          <w:rFonts w:hint="eastAsia" w:ascii="仿宋" w:hAnsi="仿宋" w:eastAsia="仿宋" w:cs="仿宋"/>
          <w:sz w:val="24"/>
          <w:highlight w:val="none"/>
        </w:rPr>
        <w:t>标准相应的商务技术资料</w:t>
      </w:r>
      <w:r>
        <w:rPr>
          <w:rFonts w:hint="eastAsia" w:ascii="仿宋" w:hAnsi="仿宋" w:eastAsia="仿宋" w:cs="仿宋"/>
          <w:highlight w:val="none"/>
        </w:rPr>
        <w:t>…………………………………………………（页码）</w:t>
      </w:r>
      <w:r>
        <w:rPr>
          <w:rFonts w:hint="eastAsia" w:ascii="仿宋" w:hAnsi="仿宋" w:eastAsia="仿宋" w:cs="仿宋"/>
          <w:sz w:val="24"/>
          <w:highlight w:val="none"/>
        </w:rPr>
        <w:t>（5）商务技术偏离表</w:t>
      </w:r>
      <w:r>
        <w:rPr>
          <w:rFonts w:hint="eastAsia" w:ascii="仿宋" w:hAnsi="仿宋" w:eastAsia="仿宋" w:cs="仿宋"/>
          <w:highlight w:val="none"/>
        </w:rPr>
        <w:t>……………………………………………………………………（页码）</w:t>
      </w:r>
    </w:p>
    <w:p w14:paraId="3AD1FB45">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）供应商廉洁自律承诺书</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23751FD8">
      <w:pPr>
        <w:jc w:val="left"/>
        <w:rPr>
          <w:rFonts w:hint="eastAsia" w:ascii="仿宋" w:hAnsi="仿宋" w:eastAsia="仿宋" w:cs="仿宋"/>
          <w:b/>
          <w:kern w:val="0"/>
          <w:sz w:val="32"/>
          <w:szCs w:val="32"/>
          <w:highlight w:val="none"/>
        </w:rPr>
      </w:pPr>
    </w:p>
    <w:p w14:paraId="391BA0EF">
      <w:pPr>
        <w:snapToGrid/>
        <w:spacing w:line="240" w:lineRule="auto"/>
        <w:jc w:val="left"/>
        <w:outlineLvl w:val="9"/>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4F9C8ED">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p>
    <w:p w14:paraId="2456BD47">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（交易发起人）、（代理机构）：</w:t>
      </w:r>
    </w:p>
    <w:p w14:paraId="6194290D">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我方参加你方组织的（项目名称）【项目编号：     】交易的有关活动，并对此项目进行响应。为此：</w:t>
      </w:r>
    </w:p>
    <w:p w14:paraId="1CA6DD38">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有效期满之前均具有约束力。</w:t>
      </w:r>
    </w:p>
    <w:p w14:paraId="0A525B9B">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2、我方的响应文件包括以下内容：</w:t>
      </w:r>
    </w:p>
    <w:p w14:paraId="769C5A25">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14:paraId="5223B781">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14:paraId="3145A31D">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2.1.2本项目的特定资格要求（如果有）。</w:t>
      </w:r>
    </w:p>
    <w:p w14:paraId="3E6D6608">
      <w:pPr>
        <w:snapToGrid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2商务技术</w:t>
      </w:r>
      <w:r>
        <w:rPr>
          <w:rFonts w:hint="eastAsia" w:ascii="仿宋" w:hAnsi="仿宋" w:eastAsia="仿宋" w:cs="仿宋"/>
          <w:sz w:val="24"/>
          <w:highlight w:val="none"/>
          <w:lang w:val="zh-CN"/>
        </w:rPr>
        <w:t>文件：</w:t>
      </w:r>
    </w:p>
    <w:p w14:paraId="615C8BDF">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2.2.1响应函；</w:t>
      </w:r>
    </w:p>
    <w:p w14:paraId="0E474C63">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13483550">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2.2.3符合性审查资料；</w:t>
      </w:r>
    </w:p>
    <w:p w14:paraId="383FA84C">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2.2.4</w:t>
      </w:r>
      <w:r>
        <w:rPr>
          <w:rFonts w:hint="eastAsia" w:ascii="仿宋" w:hAnsi="仿宋" w:eastAsia="仿宋" w:cs="仿宋"/>
          <w:sz w:val="24"/>
          <w:highlight w:val="none"/>
          <w:lang w:eastAsia="zh-CN"/>
        </w:rPr>
        <w:t>评审</w:t>
      </w:r>
      <w:r>
        <w:rPr>
          <w:rFonts w:hint="eastAsia" w:ascii="仿宋" w:hAnsi="仿宋" w:eastAsia="仿宋" w:cs="仿宋"/>
          <w:sz w:val="24"/>
          <w:highlight w:val="none"/>
        </w:rPr>
        <w:t>标准相应的商务技术资料；</w:t>
      </w:r>
    </w:p>
    <w:p w14:paraId="08F03772">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2.2.5商务技术偏离表；</w:t>
      </w:r>
    </w:p>
    <w:p w14:paraId="3F2E0510">
      <w:pPr>
        <w:snapToGrid w:val="0"/>
        <w:spacing w:line="440" w:lineRule="exact"/>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供应商廉洁自律承诺书；</w:t>
      </w:r>
    </w:p>
    <w:p w14:paraId="03B20024">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5D8DA20">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2.3.1交易一览表（报价表）；</w:t>
      </w:r>
    </w:p>
    <w:p w14:paraId="4EFCEC56">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3、我方承诺除商务技术偏离表列出的偏离外，我方响应交易文件的全部要求。</w:t>
      </w:r>
    </w:p>
    <w:p w14:paraId="7C63A741">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4、如我方成交，我方承诺：</w:t>
      </w:r>
    </w:p>
    <w:p w14:paraId="57D67E62">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4.1在收到成交通知书后，在成交通知书规定的期限内与你方签订合同； </w:t>
      </w:r>
    </w:p>
    <w:p w14:paraId="47CCA80D">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14:paraId="30C28593">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4.3在合同约定的期限内完成合同规定的全部义务。 </w:t>
      </w:r>
    </w:p>
    <w:p w14:paraId="6537AE96">
      <w:pPr>
        <w:snapToGrid w:val="0"/>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C971AD9">
      <w:pPr>
        <w:spacing w:line="44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响应人名称（电子签名）：</w:t>
      </w:r>
    </w:p>
    <w:p w14:paraId="334C66AC">
      <w:pPr>
        <w:spacing w:line="44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6801096A">
      <w:pPr>
        <w:snapToGrid w:val="0"/>
        <w:spacing w:line="440" w:lineRule="exact"/>
        <w:ind w:firstLine="4200" w:firstLineChars="1750"/>
        <w:rPr>
          <w:rFonts w:hint="eastAsia" w:ascii="仿宋" w:hAnsi="仿宋" w:eastAsia="仿宋" w:cs="仿宋"/>
          <w:kern w:val="0"/>
          <w:sz w:val="24"/>
          <w:highlight w:val="none"/>
          <w:u w:val="single"/>
        </w:rPr>
      </w:pPr>
    </w:p>
    <w:p w14:paraId="7BF2110F">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710C18AC">
      <w:pPr>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692EEADC">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7A289B08">
      <w:pPr>
        <w:snapToGrid w:val="0"/>
        <w:spacing w:line="360" w:lineRule="auto"/>
        <w:jc w:val="center"/>
        <w:rPr>
          <w:rFonts w:hint="eastAsia" w:ascii="仿宋" w:hAnsi="仿宋" w:eastAsia="仿宋" w:cs="仿宋"/>
          <w:b/>
          <w:kern w:val="0"/>
          <w:sz w:val="32"/>
          <w:szCs w:val="32"/>
          <w:highlight w:val="none"/>
          <w:lang w:val="zh-CN"/>
        </w:rPr>
      </w:pPr>
    </w:p>
    <w:p w14:paraId="33E690E3">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w:t>
      </w:r>
    </w:p>
    <w:p w14:paraId="1E71087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（交易发起人）、（代理机构）</w:t>
      </w:r>
      <w:r>
        <w:rPr>
          <w:rFonts w:hint="eastAsia" w:ascii="仿宋" w:hAnsi="仿宋" w:eastAsia="仿宋" w:cs="仿宋"/>
          <w:kern w:val="0"/>
          <w:sz w:val="24"/>
          <w:highlight w:val="none"/>
          <w:lang w:val="zh-CN"/>
        </w:rPr>
        <w:t>：</w:t>
      </w:r>
    </w:p>
    <w:p w14:paraId="15EEABCF">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（项目名称）【项目编号：      】</w:t>
      </w:r>
      <w:r>
        <w:rPr>
          <w:rFonts w:hint="eastAsia" w:ascii="仿宋" w:hAnsi="仿宋" w:eastAsia="仿宋" w:cs="仿宋"/>
          <w:kern w:val="0"/>
          <w:sz w:val="24"/>
          <w:highlight w:val="none"/>
        </w:rPr>
        <w:t>交易活动</w:t>
      </w:r>
      <w:r>
        <w:rPr>
          <w:rFonts w:hint="eastAsia" w:ascii="仿宋" w:hAnsi="仿宋" w:eastAsia="仿宋" w:cs="仿宋"/>
          <w:kern w:val="0"/>
          <w:sz w:val="24"/>
          <w:highlight w:val="none"/>
          <w:lang w:val="zh-CN"/>
        </w:rPr>
        <w:t>的一切事项，其法律后果由我方承担。</w:t>
      </w:r>
    </w:p>
    <w:p w14:paraId="168606A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92D12F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421FD12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响应人名称(电子签名)：</w:t>
      </w:r>
    </w:p>
    <w:p w14:paraId="562FED3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20DA5210">
      <w:pPr>
        <w:jc w:val="left"/>
        <w:rPr>
          <w:rFonts w:hint="eastAsia" w:ascii="仿宋" w:hAnsi="仿宋" w:eastAsia="仿宋" w:cs="仿宋"/>
          <w:b/>
          <w:kern w:val="0"/>
          <w:sz w:val="32"/>
          <w:szCs w:val="32"/>
          <w:highlight w:val="none"/>
          <w:lang w:val="zh-CN"/>
        </w:rPr>
      </w:pPr>
    </w:p>
    <w:p w14:paraId="293D9976">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的身份证明（适用于法定代表人、单位负责人或者自然人本人代表响应人参加</w:t>
      </w:r>
      <w:r>
        <w:rPr>
          <w:rFonts w:hint="eastAsia" w:ascii="仿宋" w:hAnsi="仿宋" w:eastAsia="仿宋" w:cs="仿宋"/>
          <w:b/>
          <w:sz w:val="30"/>
          <w:szCs w:val="30"/>
          <w:highlight w:val="none"/>
          <w:lang w:eastAsia="zh-CN"/>
        </w:rPr>
        <w:t>响应</w:t>
      </w:r>
      <w:r>
        <w:rPr>
          <w:rFonts w:hint="eastAsia" w:ascii="仿宋" w:hAnsi="仿宋" w:eastAsia="仿宋" w:cs="仿宋"/>
          <w:b/>
          <w:sz w:val="30"/>
          <w:szCs w:val="30"/>
          <w:highlight w:val="none"/>
        </w:rPr>
        <w:t>）</w:t>
      </w:r>
    </w:p>
    <w:p w14:paraId="5D1B0010">
      <w:pPr>
        <w:pStyle w:val="154"/>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85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33BAD3">
            <w:pPr>
              <w:pStyle w:val="154"/>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0DAD29A3">
            <w:pPr>
              <w:pStyle w:val="154"/>
              <w:adjustRightInd w:val="0"/>
              <w:spacing w:line="360" w:lineRule="auto"/>
              <w:rPr>
                <w:rFonts w:hint="eastAsia" w:ascii="仿宋" w:hAnsi="仿宋" w:eastAsia="仿宋" w:cs="仿宋"/>
                <w:bCs/>
                <w:sz w:val="24"/>
                <w:highlight w:val="none"/>
              </w:rPr>
            </w:pPr>
          </w:p>
        </w:tc>
      </w:tr>
    </w:tbl>
    <w:p w14:paraId="77E7A57C">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响应人名称(电子签名)：</w:t>
      </w:r>
    </w:p>
    <w:p w14:paraId="6F35676A">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45BA455">
      <w:pP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br w:type="page"/>
      </w:r>
    </w:p>
    <w:p w14:paraId="18BEE0CE">
      <w:pPr>
        <w:pStyle w:val="2"/>
        <w:rPr>
          <w:rFonts w:hint="eastAsia"/>
          <w:lang w:val="zh-CN"/>
        </w:rPr>
      </w:pPr>
    </w:p>
    <w:p w14:paraId="7BD22CD8">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三、符合性审查资料</w:t>
      </w:r>
    </w:p>
    <w:tbl>
      <w:tblPr>
        <w:tblStyle w:val="62"/>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0569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316C8C52">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14CE8DFC">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1CE2E946">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6CE6A463">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w:t>
            </w:r>
          </w:p>
          <w:p w14:paraId="5FA8F28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5E77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7F6771B">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48F05188">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响应文件按照交易文件要求签署、盖章。</w:t>
            </w:r>
          </w:p>
        </w:tc>
        <w:tc>
          <w:tcPr>
            <w:tcW w:w="2551" w:type="dxa"/>
            <w:vAlign w:val="center"/>
          </w:tcPr>
          <w:p w14:paraId="49A0AD0B">
            <w:pPr>
              <w:jc w:val="cente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418" w:type="dxa"/>
            <w:vAlign w:val="center"/>
          </w:tcPr>
          <w:p w14:paraId="2B4C7B54">
            <w:pPr>
              <w:jc w:val="center"/>
              <w:rPr>
                <w:rFonts w:hint="eastAsia" w:ascii="仿宋" w:hAnsi="仿宋" w:eastAsia="仿宋" w:cs="仿宋"/>
                <w:sz w:val="24"/>
                <w:highlight w:val="none"/>
              </w:rPr>
            </w:pPr>
            <w:r>
              <w:rPr>
                <w:rFonts w:hint="eastAsia" w:ascii="仿宋" w:hAnsi="仿宋" w:eastAsia="仿宋" w:cs="仿宋"/>
                <w:sz w:val="24"/>
                <w:highlight w:val="none"/>
              </w:rPr>
              <w:t>见响应文件</w:t>
            </w:r>
          </w:p>
          <w:p w14:paraId="22E03EB4">
            <w:pPr>
              <w:jc w:val="cente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192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55FE630">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7EE3F2F4">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响应文件中承诺的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有效期不少于交易文件中载明的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有效期。</w:t>
            </w:r>
          </w:p>
        </w:tc>
        <w:tc>
          <w:tcPr>
            <w:tcW w:w="2551" w:type="dxa"/>
            <w:vAlign w:val="center"/>
          </w:tcPr>
          <w:p w14:paraId="5BE10525">
            <w:pPr>
              <w:jc w:val="center"/>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418" w:type="dxa"/>
            <w:vAlign w:val="center"/>
          </w:tcPr>
          <w:p w14:paraId="3C0108A0">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376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288AA25F">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2037C30E">
            <w:pPr>
              <w:spacing w:line="240" w:lineRule="auto"/>
              <w:jc w:val="center"/>
              <w:rPr>
                <w:rFonts w:hint="eastAsia" w:ascii="仿宋" w:hAnsi="仿宋" w:eastAsia="仿宋" w:cs="仿宋"/>
                <w:sz w:val="24"/>
                <w:highlight w:val="none"/>
              </w:rPr>
            </w:pPr>
            <w:r>
              <w:rPr>
                <w:rFonts w:hint="eastAsia" w:ascii="仿宋" w:hAnsi="仿宋" w:eastAsia="仿宋" w:cs="仿宋"/>
                <w:sz w:val="24"/>
                <w:highlight w:val="none"/>
              </w:rPr>
              <w:t>响应文件满足交易文件的其它实质性要求。</w:t>
            </w:r>
          </w:p>
        </w:tc>
        <w:tc>
          <w:tcPr>
            <w:tcW w:w="2551" w:type="dxa"/>
            <w:vAlign w:val="center"/>
          </w:tcPr>
          <w:p w14:paraId="7243AF18">
            <w:pPr>
              <w:jc w:val="center"/>
              <w:rPr>
                <w:rFonts w:hint="eastAsia" w:ascii="仿宋" w:hAnsi="仿宋" w:eastAsia="仿宋" w:cs="仿宋"/>
                <w:sz w:val="24"/>
                <w:highlight w:val="none"/>
              </w:rPr>
            </w:pPr>
            <w:r>
              <w:rPr>
                <w:rFonts w:hint="eastAsia" w:ascii="仿宋" w:hAnsi="仿宋" w:eastAsia="仿宋" w:cs="仿宋"/>
                <w:kern w:val="0"/>
                <w:sz w:val="24"/>
                <w:highlight w:val="none"/>
              </w:rPr>
              <w:t>交易文件其它实质性要求相应的材料（“▲” 系指实质性要求条款，交易文件无其它实质性要求的，无需提供）</w:t>
            </w:r>
          </w:p>
        </w:tc>
        <w:tc>
          <w:tcPr>
            <w:tcW w:w="1418" w:type="dxa"/>
            <w:vAlign w:val="center"/>
          </w:tcPr>
          <w:p w14:paraId="2D5C34D8">
            <w:pPr>
              <w:jc w:val="center"/>
              <w:rPr>
                <w:rFonts w:hint="eastAsia" w:ascii="仿宋" w:hAnsi="仿宋" w:eastAsia="仿宋" w:cs="仿宋"/>
                <w:highlight w:val="none"/>
              </w:rPr>
            </w:pPr>
            <w:r>
              <w:rPr>
                <w:rFonts w:hint="eastAsia" w:ascii="仿宋" w:hAnsi="仿宋" w:eastAsia="仿宋" w:cs="仿宋"/>
                <w:sz w:val="24"/>
                <w:highlight w:val="none"/>
              </w:rPr>
              <w:t>见响应文件第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208703CF">
      <w:pPr>
        <w:jc w:val="center"/>
        <w:rPr>
          <w:rFonts w:hint="eastAsia" w:ascii="仿宋" w:hAnsi="仿宋" w:eastAsia="仿宋" w:cs="仿宋"/>
          <w:b/>
          <w:kern w:val="0"/>
          <w:sz w:val="32"/>
          <w:szCs w:val="32"/>
          <w:highlight w:val="none"/>
        </w:rPr>
      </w:pPr>
    </w:p>
    <w:p w14:paraId="77EE72B3">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4692C911">
      <w:pPr>
        <w:jc w:val="center"/>
        <w:rPr>
          <w:rFonts w:hint="eastAsia" w:ascii="仿宋" w:hAnsi="仿宋" w:eastAsia="仿宋" w:cs="仿宋"/>
          <w:b/>
          <w:kern w:val="0"/>
          <w:sz w:val="32"/>
          <w:szCs w:val="32"/>
          <w:highlight w:val="none"/>
        </w:rPr>
      </w:pPr>
    </w:p>
    <w:p w14:paraId="63D0F571">
      <w:pPr>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FBE016C">
      <w:pPr>
        <w:jc w:val="center"/>
        <w:rPr>
          <w:rFonts w:hint="eastAsia" w:ascii="仿宋" w:hAnsi="仿宋" w:eastAsia="仿宋" w:cs="仿宋"/>
          <w:highlight w:val="none"/>
        </w:rPr>
      </w:pPr>
      <w:r>
        <w:rPr>
          <w:rFonts w:hint="eastAsia" w:ascii="仿宋" w:hAnsi="仿宋" w:eastAsia="仿宋" w:cs="仿宋"/>
          <w:b/>
          <w:kern w:val="0"/>
          <w:sz w:val="32"/>
          <w:szCs w:val="32"/>
          <w:highlight w:val="none"/>
        </w:rPr>
        <w:t>四、</w:t>
      </w:r>
      <w:r>
        <w:rPr>
          <w:rFonts w:hint="eastAsia" w:ascii="仿宋" w:hAnsi="仿宋" w:eastAsia="仿宋" w:cs="仿宋"/>
          <w:b/>
          <w:kern w:val="0"/>
          <w:sz w:val="32"/>
          <w:szCs w:val="32"/>
          <w:highlight w:val="none"/>
          <w:lang w:eastAsia="zh-CN"/>
        </w:rPr>
        <w:t>评审</w:t>
      </w:r>
      <w:r>
        <w:rPr>
          <w:rFonts w:hint="eastAsia" w:ascii="仿宋" w:hAnsi="仿宋" w:eastAsia="仿宋" w:cs="仿宋"/>
          <w:b/>
          <w:kern w:val="0"/>
          <w:sz w:val="32"/>
          <w:szCs w:val="32"/>
          <w:highlight w:val="none"/>
        </w:rPr>
        <w:t>标准相应的商务技术资料</w:t>
      </w:r>
    </w:p>
    <w:p w14:paraId="48BE482F">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（按交易文件第四部分评审办法前附表中“响应文件中</w:t>
      </w:r>
      <w:r>
        <w:rPr>
          <w:rFonts w:hint="eastAsia" w:ascii="仿宋" w:hAnsi="仿宋" w:eastAsia="仿宋" w:cs="仿宋"/>
          <w:b/>
          <w:sz w:val="24"/>
          <w:highlight w:val="none"/>
          <w:lang w:eastAsia="zh-CN"/>
        </w:rPr>
        <w:t>评审</w:t>
      </w:r>
      <w:r>
        <w:rPr>
          <w:rFonts w:hint="eastAsia" w:ascii="仿宋" w:hAnsi="仿宋" w:eastAsia="仿宋" w:cs="仿宋"/>
          <w:b/>
          <w:sz w:val="24"/>
          <w:highlight w:val="none"/>
        </w:rPr>
        <w:t>标准相应的商务技术资料目录”提供资料。）</w:t>
      </w:r>
    </w:p>
    <w:p w14:paraId="138D0339">
      <w:pPr>
        <w:jc w:val="center"/>
        <w:rPr>
          <w:rFonts w:hint="eastAsia" w:ascii="仿宋" w:hAnsi="仿宋" w:eastAsia="仿宋" w:cs="仿宋"/>
          <w:b/>
          <w:kern w:val="0"/>
          <w:sz w:val="32"/>
          <w:szCs w:val="32"/>
          <w:highlight w:val="none"/>
        </w:rPr>
      </w:pPr>
    </w:p>
    <w:p w14:paraId="23F20EFA">
      <w:pPr>
        <w:jc w:val="center"/>
        <w:rPr>
          <w:rFonts w:hint="eastAsia" w:ascii="仿宋" w:hAnsi="仿宋" w:eastAsia="仿宋" w:cs="仿宋"/>
          <w:b/>
          <w:kern w:val="0"/>
          <w:sz w:val="32"/>
          <w:szCs w:val="32"/>
          <w:highlight w:val="none"/>
        </w:rPr>
      </w:pPr>
    </w:p>
    <w:p w14:paraId="39F6B731">
      <w:pPr>
        <w:jc w:val="center"/>
        <w:rPr>
          <w:rFonts w:hint="eastAsia" w:ascii="仿宋" w:hAnsi="仿宋" w:eastAsia="仿宋" w:cs="仿宋"/>
          <w:b/>
          <w:kern w:val="0"/>
          <w:sz w:val="32"/>
          <w:szCs w:val="32"/>
          <w:highlight w:val="none"/>
        </w:rPr>
      </w:pPr>
    </w:p>
    <w:p w14:paraId="296785E2">
      <w:pPr>
        <w:jc w:val="center"/>
        <w:rPr>
          <w:rFonts w:hint="eastAsia" w:ascii="仿宋" w:hAnsi="仿宋" w:eastAsia="仿宋" w:cs="仿宋"/>
          <w:b/>
          <w:kern w:val="0"/>
          <w:sz w:val="32"/>
          <w:szCs w:val="32"/>
          <w:highlight w:val="none"/>
        </w:rPr>
      </w:pPr>
    </w:p>
    <w:p w14:paraId="36F79074">
      <w:pPr>
        <w:jc w:val="center"/>
        <w:rPr>
          <w:rFonts w:hint="eastAsia" w:ascii="仿宋" w:hAnsi="仿宋" w:eastAsia="仿宋" w:cs="仿宋"/>
          <w:b/>
          <w:kern w:val="0"/>
          <w:sz w:val="32"/>
          <w:szCs w:val="32"/>
          <w:highlight w:val="none"/>
        </w:rPr>
      </w:pPr>
    </w:p>
    <w:p w14:paraId="4A11AE12">
      <w:pPr>
        <w:jc w:val="center"/>
        <w:rPr>
          <w:rFonts w:hint="eastAsia" w:ascii="仿宋" w:hAnsi="仿宋" w:eastAsia="仿宋" w:cs="仿宋"/>
          <w:b/>
          <w:kern w:val="0"/>
          <w:sz w:val="32"/>
          <w:szCs w:val="32"/>
          <w:highlight w:val="none"/>
        </w:rPr>
      </w:pPr>
    </w:p>
    <w:p w14:paraId="554592F7">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五、商务技术偏离表</w:t>
      </w:r>
    </w:p>
    <w:tbl>
      <w:tblPr>
        <w:tblStyle w:val="6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58"/>
        <w:gridCol w:w="3293"/>
        <w:gridCol w:w="1276"/>
      </w:tblGrid>
      <w:tr w14:paraId="7A4C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4D0419DE">
            <w:pPr>
              <w:spacing w:line="24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158" w:type="dxa"/>
            <w:vAlign w:val="center"/>
          </w:tcPr>
          <w:p w14:paraId="59D95272">
            <w:pPr>
              <w:spacing w:line="24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交易文件章节及具体内容</w:t>
            </w:r>
          </w:p>
        </w:tc>
        <w:tc>
          <w:tcPr>
            <w:tcW w:w="3293" w:type="dxa"/>
            <w:vAlign w:val="center"/>
          </w:tcPr>
          <w:p w14:paraId="09512A42">
            <w:pPr>
              <w:spacing w:line="24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vAlign w:val="center"/>
          </w:tcPr>
          <w:p w14:paraId="525E1360">
            <w:pPr>
              <w:spacing w:line="24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0EE6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4531F75B">
            <w:pPr>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158" w:type="dxa"/>
            <w:vAlign w:val="center"/>
          </w:tcPr>
          <w:p w14:paraId="7A2FD256">
            <w:pPr>
              <w:spacing w:line="240" w:lineRule="auto"/>
              <w:jc w:val="center"/>
              <w:rPr>
                <w:rFonts w:hint="eastAsia" w:ascii="仿宋" w:hAnsi="仿宋" w:eastAsia="仿宋" w:cs="仿宋"/>
                <w:b/>
                <w:kern w:val="0"/>
                <w:sz w:val="32"/>
                <w:szCs w:val="32"/>
                <w:highlight w:val="none"/>
              </w:rPr>
            </w:pPr>
          </w:p>
        </w:tc>
        <w:tc>
          <w:tcPr>
            <w:tcW w:w="3293" w:type="dxa"/>
            <w:vAlign w:val="center"/>
          </w:tcPr>
          <w:p w14:paraId="54862F41">
            <w:pPr>
              <w:spacing w:line="240" w:lineRule="auto"/>
              <w:jc w:val="center"/>
              <w:rPr>
                <w:rFonts w:hint="eastAsia" w:ascii="仿宋" w:hAnsi="仿宋" w:eastAsia="仿宋" w:cs="仿宋"/>
                <w:b/>
                <w:kern w:val="0"/>
                <w:sz w:val="32"/>
                <w:szCs w:val="32"/>
                <w:highlight w:val="none"/>
              </w:rPr>
            </w:pPr>
          </w:p>
        </w:tc>
        <w:tc>
          <w:tcPr>
            <w:tcW w:w="1276" w:type="dxa"/>
            <w:vAlign w:val="center"/>
          </w:tcPr>
          <w:p w14:paraId="73E535E1">
            <w:pPr>
              <w:spacing w:line="240" w:lineRule="auto"/>
              <w:jc w:val="center"/>
              <w:rPr>
                <w:rFonts w:hint="eastAsia" w:ascii="仿宋" w:hAnsi="仿宋" w:eastAsia="仿宋" w:cs="仿宋"/>
                <w:b/>
                <w:kern w:val="0"/>
                <w:sz w:val="32"/>
                <w:szCs w:val="32"/>
                <w:highlight w:val="none"/>
              </w:rPr>
            </w:pPr>
          </w:p>
        </w:tc>
      </w:tr>
      <w:tr w14:paraId="06D0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38CC2321">
            <w:pPr>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158" w:type="dxa"/>
            <w:vAlign w:val="center"/>
          </w:tcPr>
          <w:p w14:paraId="4B51CC09">
            <w:pPr>
              <w:spacing w:line="240" w:lineRule="auto"/>
              <w:jc w:val="center"/>
              <w:rPr>
                <w:rFonts w:hint="eastAsia" w:ascii="仿宋" w:hAnsi="仿宋" w:eastAsia="仿宋" w:cs="仿宋"/>
                <w:b/>
                <w:kern w:val="0"/>
                <w:sz w:val="32"/>
                <w:szCs w:val="32"/>
                <w:highlight w:val="none"/>
              </w:rPr>
            </w:pPr>
          </w:p>
        </w:tc>
        <w:tc>
          <w:tcPr>
            <w:tcW w:w="3293" w:type="dxa"/>
            <w:vAlign w:val="center"/>
          </w:tcPr>
          <w:p w14:paraId="1043AA27">
            <w:pPr>
              <w:spacing w:line="240" w:lineRule="auto"/>
              <w:jc w:val="center"/>
              <w:rPr>
                <w:rFonts w:hint="eastAsia" w:ascii="仿宋" w:hAnsi="仿宋" w:eastAsia="仿宋" w:cs="仿宋"/>
                <w:b/>
                <w:kern w:val="0"/>
                <w:sz w:val="32"/>
                <w:szCs w:val="32"/>
                <w:highlight w:val="none"/>
              </w:rPr>
            </w:pPr>
          </w:p>
        </w:tc>
        <w:tc>
          <w:tcPr>
            <w:tcW w:w="1276" w:type="dxa"/>
            <w:vAlign w:val="center"/>
          </w:tcPr>
          <w:p w14:paraId="164E9AE8">
            <w:pPr>
              <w:spacing w:line="240" w:lineRule="auto"/>
              <w:jc w:val="center"/>
              <w:rPr>
                <w:rFonts w:hint="eastAsia" w:ascii="仿宋" w:hAnsi="仿宋" w:eastAsia="仿宋" w:cs="仿宋"/>
                <w:b/>
                <w:kern w:val="0"/>
                <w:sz w:val="32"/>
                <w:szCs w:val="32"/>
                <w:highlight w:val="none"/>
              </w:rPr>
            </w:pPr>
          </w:p>
        </w:tc>
      </w:tr>
      <w:tr w14:paraId="6745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14:paraId="27787129">
            <w:pPr>
              <w:spacing w:line="24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158" w:type="dxa"/>
            <w:vAlign w:val="center"/>
          </w:tcPr>
          <w:p w14:paraId="621A4A7A">
            <w:pPr>
              <w:spacing w:line="240" w:lineRule="auto"/>
              <w:jc w:val="center"/>
              <w:rPr>
                <w:rFonts w:hint="eastAsia" w:ascii="仿宋" w:hAnsi="仿宋" w:eastAsia="仿宋" w:cs="仿宋"/>
                <w:b/>
                <w:kern w:val="0"/>
                <w:sz w:val="32"/>
                <w:szCs w:val="32"/>
                <w:highlight w:val="none"/>
              </w:rPr>
            </w:pPr>
          </w:p>
        </w:tc>
        <w:tc>
          <w:tcPr>
            <w:tcW w:w="3293" w:type="dxa"/>
            <w:vAlign w:val="center"/>
          </w:tcPr>
          <w:p w14:paraId="1A0C34B0">
            <w:pPr>
              <w:spacing w:line="240" w:lineRule="auto"/>
              <w:jc w:val="center"/>
              <w:rPr>
                <w:rFonts w:hint="eastAsia" w:ascii="仿宋" w:hAnsi="仿宋" w:eastAsia="仿宋" w:cs="仿宋"/>
                <w:b/>
                <w:kern w:val="0"/>
                <w:sz w:val="32"/>
                <w:szCs w:val="32"/>
                <w:highlight w:val="none"/>
              </w:rPr>
            </w:pPr>
          </w:p>
        </w:tc>
        <w:tc>
          <w:tcPr>
            <w:tcW w:w="1276" w:type="dxa"/>
            <w:vAlign w:val="center"/>
          </w:tcPr>
          <w:p w14:paraId="665DD614">
            <w:pPr>
              <w:spacing w:line="240" w:lineRule="auto"/>
              <w:jc w:val="center"/>
              <w:rPr>
                <w:rFonts w:hint="eastAsia" w:ascii="仿宋" w:hAnsi="仿宋" w:eastAsia="仿宋" w:cs="仿宋"/>
                <w:b/>
                <w:kern w:val="0"/>
                <w:sz w:val="32"/>
                <w:szCs w:val="32"/>
                <w:highlight w:val="none"/>
              </w:rPr>
            </w:pPr>
          </w:p>
        </w:tc>
      </w:tr>
    </w:tbl>
    <w:p w14:paraId="64DC6661">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响应人保证：除商务技术偏离表列出的偏离外，响应人响应交易文件的全部要求</w:t>
      </w:r>
    </w:p>
    <w:p w14:paraId="1FA55B8D">
      <w:pPr>
        <w:jc w:val="center"/>
        <w:rPr>
          <w:rFonts w:hint="eastAsia" w:ascii="仿宋" w:hAnsi="仿宋" w:eastAsia="仿宋" w:cs="仿宋"/>
          <w:b/>
          <w:kern w:val="0"/>
          <w:sz w:val="32"/>
          <w:szCs w:val="32"/>
          <w:highlight w:val="none"/>
        </w:rPr>
      </w:pPr>
    </w:p>
    <w:p w14:paraId="3E1E8919">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51758109">
      <w:pPr>
        <w:jc w:val="center"/>
        <w:rPr>
          <w:rFonts w:hint="eastAsia" w:ascii="仿宋" w:hAnsi="仿宋" w:eastAsia="仿宋" w:cs="仿宋"/>
          <w:b/>
          <w:kern w:val="0"/>
          <w:sz w:val="32"/>
          <w:szCs w:val="32"/>
          <w:highlight w:val="none"/>
        </w:rPr>
      </w:pPr>
    </w:p>
    <w:p w14:paraId="05DF7DD0">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18ED74B9">
      <w:pPr>
        <w:ind w:left="0" w:leftChars="0" w:firstLine="0" w:firstLineChars="0"/>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rPr>
        <w:t>六</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供应商廉洁自律承诺书</w:t>
      </w:r>
    </w:p>
    <w:p w14:paraId="2591C86C">
      <w:pPr>
        <w:snapToGrid w:val="0"/>
        <w:spacing w:line="360" w:lineRule="auto"/>
        <w:rPr>
          <w:rFonts w:hint="eastAsia" w:ascii="仿宋" w:hAnsi="仿宋" w:eastAsia="仿宋" w:cs="仿宋"/>
          <w:sz w:val="24"/>
          <w:highlight w:val="none"/>
        </w:rPr>
      </w:pPr>
    </w:p>
    <w:p w14:paraId="7EE514D3">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（交易发起人）、（代理机构）</w:t>
      </w:r>
      <w:r>
        <w:rPr>
          <w:rFonts w:hint="eastAsia" w:ascii="仿宋" w:hAnsi="仿宋" w:eastAsia="仿宋" w:cs="仿宋"/>
          <w:kern w:val="0"/>
          <w:sz w:val="24"/>
          <w:highlight w:val="none"/>
          <w:lang w:val="zh-CN"/>
        </w:rPr>
        <w:t>：</w:t>
      </w:r>
    </w:p>
    <w:p w14:paraId="49790D6C">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w:t>
      </w:r>
      <w:r>
        <w:rPr>
          <w:rFonts w:hint="eastAsia" w:ascii="仿宋" w:hAnsi="仿宋" w:eastAsia="仿宋" w:cs="仿宋"/>
          <w:kern w:val="0"/>
          <w:sz w:val="24"/>
          <w:highlight w:val="none"/>
        </w:rPr>
        <w:t>交易</w:t>
      </w:r>
      <w:r>
        <w:rPr>
          <w:rFonts w:hint="eastAsia" w:ascii="仿宋" w:hAnsi="仿宋" w:eastAsia="仿宋" w:cs="仿宋"/>
          <w:kern w:val="0"/>
          <w:sz w:val="24"/>
          <w:highlight w:val="none"/>
          <w:lang w:val="zh-CN"/>
        </w:rPr>
        <w:t>要求参加</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。在这次</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过程中和</w:t>
      </w:r>
      <w:r>
        <w:rPr>
          <w:rFonts w:hint="eastAsia" w:ascii="仿宋" w:hAnsi="仿宋" w:eastAsia="仿宋" w:cs="仿宋"/>
          <w:kern w:val="0"/>
          <w:sz w:val="24"/>
          <w:highlight w:val="none"/>
        </w:rPr>
        <w:t>成交</w:t>
      </w:r>
      <w:r>
        <w:rPr>
          <w:rFonts w:hint="eastAsia" w:ascii="仿宋" w:hAnsi="仿宋" w:eastAsia="仿宋" w:cs="仿宋"/>
          <w:kern w:val="0"/>
          <w:sz w:val="24"/>
          <w:highlight w:val="none"/>
          <w:lang w:val="zh-CN"/>
        </w:rPr>
        <w:t>后，我们将严格遵守国家法律法规要求，并郑重承诺：</w:t>
      </w:r>
    </w:p>
    <w:p w14:paraId="62D7A19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5A87166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79D42B8A">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5C51A8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76CD7C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5B8C3BE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六、严格遵守《中华人民共和国</w:t>
      </w:r>
      <w:r>
        <w:rPr>
          <w:rFonts w:hint="eastAsia" w:ascii="仿宋" w:hAnsi="仿宋" w:eastAsia="仿宋" w:cs="仿宋"/>
          <w:kern w:val="0"/>
          <w:sz w:val="24"/>
          <w:highlight w:val="none"/>
          <w:lang w:val="zh-CN"/>
        </w:rPr>
        <w:t>政府采购法》《中华人民共和国</w:t>
      </w:r>
      <w:r>
        <w:rPr>
          <w:rFonts w:hint="eastAsia" w:ascii="仿宋" w:hAnsi="仿宋" w:eastAsia="仿宋" w:cs="仿宋"/>
          <w:kern w:val="0"/>
          <w:sz w:val="24"/>
          <w:highlight w:val="none"/>
          <w:lang w:val="zh-CN"/>
        </w:rPr>
        <w:t>招标投标法》《中华人民共和国民法典》</w:t>
      </w:r>
      <w:r>
        <w:rPr>
          <w:rFonts w:hint="eastAsia" w:ascii="仿宋" w:hAnsi="仿宋" w:eastAsia="仿宋" w:cs="仿宋"/>
          <w:kern w:val="0"/>
          <w:sz w:val="24"/>
          <w:highlight w:val="none"/>
          <w:lang w:val="zh-CN"/>
        </w:rPr>
        <w:t>等法律法规，诚实守信，合法经营，坚决抵制各种违法违纪行为。</w:t>
      </w:r>
    </w:p>
    <w:p w14:paraId="58A7CA1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如违反上述承诺，你单位</w:t>
      </w:r>
      <w:r>
        <w:rPr>
          <w:rFonts w:hint="eastAsia" w:ascii="仿宋" w:hAnsi="仿宋" w:eastAsia="仿宋" w:cs="仿宋"/>
          <w:kern w:val="0"/>
          <w:sz w:val="24"/>
          <w:highlight w:val="none"/>
          <w:lang w:val="zh-CN"/>
        </w:rPr>
        <w:t>有权立即取消我单位响应</w:t>
      </w:r>
      <w:r>
        <w:rPr>
          <w:rFonts w:hint="eastAsia" w:ascii="仿宋" w:hAnsi="仿宋" w:eastAsia="仿宋" w:cs="仿宋"/>
          <w:kern w:val="0"/>
          <w:sz w:val="24"/>
          <w:highlight w:val="none"/>
          <w:lang w:val="zh-CN"/>
        </w:rPr>
        <w:t>、成交</w:t>
      </w:r>
      <w:r>
        <w:rPr>
          <w:rFonts w:hint="eastAsia" w:ascii="仿宋" w:hAnsi="仿宋" w:eastAsia="仿宋" w:cs="仿宋"/>
          <w:kern w:val="0"/>
          <w:sz w:val="24"/>
          <w:highlight w:val="none"/>
          <w:lang w:val="zh-CN"/>
        </w:rPr>
        <w:t>或在建项目的建设资格，有权拒绝我单位在一定时期内进入你单位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50B95836">
      <w:pPr>
        <w:autoSpaceDE w:val="0"/>
        <w:autoSpaceDN w:val="0"/>
        <w:spacing w:line="360" w:lineRule="auto"/>
        <w:ind w:left="2"/>
        <w:jc w:val="left"/>
        <w:rPr>
          <w:rFonts w:hint="eastAsia" w:ascii="仿宋" w:hAnsi="仿宋" w:eastAsia="仿宋" w:cs="仿宋"/>
          <w:kern w:val="0"/>
          <w:sz w:val="24"/>
          <w:highlight w:val="none"/>
          <w:lang w:val="zh-CN"/>
        </w:rPr>
      </w:pPr>
    </w:p>
    <w:p w14:paraId="30A04D9B">
      <w:pPr>
        <w:autoSpaceDE w:val="0"/>
        <w:autoSpaceDN w:val="0"/>
        <w:spacing w:line="360" w:lineRule="auto"/>
        <w:ind w:left="2"/>
        <w:jc w:val="left"/>
        <w:rPr>
          <w:rFonts w:hint="eastAsia" w:ascii="仿宋" w:hAnsi="仿宋" w:eastAsia="仿宋" w:cs="仿宋"/>
          <w:kern w:val="0"/>
          <w:sz w:val="24"/>
          <w:highlight w:val="none"/>
          <w:lang w:val="zh-CN"/>
        </w:rPr>
      </w:pPr>
    </w:p>
    <w:p w14:paraId="01FF94C4">
      <w:pPr>
        <w:autoSpaceDE w:val="0"/>
        <w:autoSpaceDN w:val="0"/>
        <w:spacing w:line="360" w:lineRule="auto"/>
        <w:ind w:left="2"/>
        <w:jc w:val="left"/>
        <w:rPr>
          <w:rFonts w:hint="eastAsia" w:ascii="仿宋" w:hAnsi="仿宋" w:eastAsia="仿宋" w:cs="仿宋"/>
          <w:kern w:val="0"/>
          <w:sz w:val="24"/>
          <w:highlight w:val="none"/>
          <w:lang w:val="zh-CN"/>
        </w:rPr>
      </w:pPr>
    </w:p>
    <w:p w14:paraId="4E010320">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响应人名称（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w:t>
      </w:r>
    </w:p>
    <w:p w14:paraId="24361A67">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3FE61A3">
      <w:pPr>
        <w:spacing w:line="360" w:lineRule="auto"/>
        <w:jc w:val="center"/>
        <w:rPr>
          <w:rFonts w:hint="eastAsia" w:ascii="仿宋" w:hAnsi="仿宋" w:eastAsia="仿宋" w:cs="仿宋"/>
          <w:b/>
          <w:bCs/>
          <w:sz w:val="24"/>
          <w:highlight w:val="none"/>
        </w:rPr>
      </w:pPr>
    </w:p>
    <w:p w14:paraId="1ACD37FF">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32E4EF55">
      <w:pPr>
        <w:spacing w:line="360" w:lineRule="auto"/>
        <w:jc w:val="center"/>
        <w:rPr>
          <w:rFonts w:hint="eastAsia" w:ascii="仿宋" w:hAnsi="仿宋" w:eastAsia="仿宋" w:cs="仿宋"/>
          <w:b/>
          <w:bCs/>
          <w:sz w:val="24"/>
          <w:highlight w:val="none"/>
        </w:rPr>
        <w:sectPr>
          <w:headerReference r:id="rId4" w:type="first"/>
          <w:footerReference r:id="rId6" w:type="first"/>
          <w:headerReference r:id="rId3" w:type="default"/>
          <w:footerReference r:id="rId5" w:type="default"/>
          <w:pgSz w:w="11906" w:h="16838"/>
          <w:pgMar w:top="1440" w:right="1800" w:bottom="1440" w:left="1800" w:header="894" w:footer="992" w:gutter="0"/>
          <w:cols w:space="0" w:num="1"/>
          <w:titlePg/>
          <w:docGrid w:linePitch="312" w:charSpace="0"/>
        </w:sectPr>
      </w:pPr>
    </w:p>
    <w:p w14:paraId="2213F6D0">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2FF46735">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29A4A996">
      <w:pPr>
        <w:spacing w:line="360" w:lineRule="auto"/>
        <w:jc w:val="center"/>
        <w:outlineLvl w:val="0"/>
        <w:rPr>
          <w:rFonts w:hint="eastAsia" w:ascii="仿宋" w:hAnsi="仿宋" w:eastAsia="仿宋" w:cs="仿宋"/>
          <w:b/>
          <w:kern w:val="0"/>
          <w:sz w:val="36"/>
          <w:szCs w:val="36"/>
          <w:highlight w:val="none"/>
        </w:rPr>
      </w:pPr>
    </w:p>
    <w:p w14:paraId="1C10933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（1）交易一览表（报价表）…………………………………………………（页码）</w:t>
      </w:r>
    </w:p>
    <w:p w14:paraId="0C65A4B0">
      <w:pPr>
        <w:snapToGrid w:val="0"/>
        <w:spacing w:line="360" w:lineRule="auto"/>
        <w:ind w:right="480"/>
        <w:jc w:val="center"/>
        <w:rPr>
          <w:rFonts w:hint="eastAsia" w:ascii="仿宋" w:hAnsi="仿宋" w:eastAsia="仿宋" w:cs="仿宋"/>
          <w:b/>
          <w:color w:val="auto"/>
          <w:kern w:val="0"/>
          <w:sz w:val="32"/>
          <w:szCs w:val="32"/>
          <w:highlight w:val="none"/>
        </w:rPr>
      </w:pPr>
    </w:p>
    <w:p w14:paraId="790291A6">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rtlGutter w:val="0"/>
          <w:docGrid w:linePitch="312" w:charSpace="0"/>
        </w:sectPr>
      </w:pPr>
    </w:p>
    <w:p w14:paraId="2B20FA1E">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val="en-US" w:eastAsia="zh-CN"/>
        </w:rPr>
        <w:t>交易</w:t>
      </w:r>
      <w:r>
        <w:rPr>
          <w:rFonts w:hint="eastAsia" w:ascii="仿宋" w:hAnsi="仿宋" w:eastAsia="仿宋" w:cs="仿宋"/>
          <w:color w:val="auto"/>
          <w:kern w:val="2"/>
          <w:sz w:val="32"/>
          <w:szCs w:val="32"/>
          <w:highlight w:val="none"/>
        </w:rPr>
        <w:t>一览表（报价表）</w:t>
      </w:r>
    </w:p>
    <w:p w14:paraId="33ED89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交易发起人</w:t>
      </w:r>
      <w:r>
        <w:rPr>
          <w:rFonts w:hint="eastAsia" w:ascii="仿宋" w:hAnsi="仿宋" w:eastAsia="仿宋" w:cs="仿宋"/>
          <w:color w:val="auto"/>
          <w:sz w:val="24"/>
          <w:highlight w:val="none"/>
        </w:rPr>
        <w:t>）、（代理机构）</w:t>
      </w:r>
      <w:r>
        <w:rPr>
          <w:rFonts w:hint="eastAsia" w:ascii="仿宋" w:hAnsi="仿宋" w:eastAsia="仿宋" w:cs="仿宋"/>
          <w:color w:val="auto"/>
          <w:kern w:val="0"/>
          <w:sz w:val="24"/>
          <w:highlight w:val="none"/>
          <w:lang w:val="zh-CN"/>
        </w:rPr>
        <w:t>：</w:t>
      </w:r>
    </w:p>
    <w:p w14:paraId="5C5F45B5">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项目</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036D376">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交易</w:t>
      </w:r>
      <w:r>
        <w:rPr>
          <w:rFonts w:hint="eastAsia" w:ascii="仿宋" w:hAnsi="仿宋" w:eastAsia="仿宋" w:cs="仿宋"/>
          <w:b/>
          <w:color w:val="auto"/>
          <w:kern w:val="0"/>
          <w:sz w:val="24"/>
          <w:highlight w:val="none"/>
          <w:lang w:val="zh-CN"/>
        </w:rPr>
        <w:t>一览表（报价表）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650"/>
        <w:gridCol w:w="1888"/>
        <w:gridCol w:w="1769"/>
        <w:gridCol w:w="1769"/>
        <w:gridCol w:w="1769"/>
        <w:gridCol w:w="1770"/>
        <w:gridCol w:w="1790"/>
      </w:tblGrid>
      <w:tr w14:paraId="230B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24" w:type="pct"/>
            <w:tcBorders>
              <w:top w:val="single" w:color="auto" w:sz="4" w:space="0"/>
              <w:left w:val="single" w:color="auto" w:sz="4" w:space="0"/>
              <w:bottom w:val="single" w:color="auto" w:sz="4" w:space="0"/>
              <w:right w:val="single" w:color="auto" w:sz="4" w:space="0"/>
            </w:tcBorders>
            <w:noWrap w:val="0"/>
            <w:vAlign w:val="center"/>
          </w:tcPr>
          <w:p w14:paraId="66F4E043">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F824FFB">
            <w:pPr>
              <w:adjustRightInd/>
              <w:spacing w:line="24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1"/>
                <w:szCs w:val="21"/>
                <w:highlight w:val="none"/>
                <w:lang w:val="en-US" w:eastAsia="zh-CN"/>
              </w:rPr>
              <w:t>名称</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32D78F84">
            <w:pPr>
              <w:adjustRightInd/>
              <w:spacing w:line="24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bCs/>
                <w:color w:val="auto"/>
                <w:sz w:val="21"/>
                <w:szCs w:val="21"/>
                <w:highlight w:val="none"/>
                <w:lang w:val="en-US" w:eastAsia="zh-CN"/>
              </w:rPr>
              <w:t>服务范围</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2DEC0E3D">
            <w:pPr>
              <w:spacing w:line="240" w:lineRule="auto"/>
              <w:jc w:val="center"/>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服务要求</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775615B7">
            <w:pPr>
              <w:spacing w:line="24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服务时间</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4C56DDC7">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服务标准</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798613C5">
            <w:pPr>
              <w:spacing w:line="24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服务人数</w:t>
            </w:r>
          </w:p>
        </w:tc>
        <w:tc>
          <w:tcPr>
            <w:tcW w:w="631" w:type="pct"/>
            <w:tcBorders>
              <w:top w:val="single" w:color="auto" w:sz="4" w:space="0"/>
              <w:left w:val="single" w:color="auto" w:sz="4" w:space="0"/>
              <w:bottom w:val="single" w:color="auto" w:sz="4" w:space="0"/>
              <w:right w:val="single" w:color="auto" w:sz="4" w:space="0"/>
            </w:tcBorders>
            <w:noWrap w:val="0"/>
            <w:vAlign w:val="center"/>
          </w:tcPr>
          <w:p w14:paraId="416A7557">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备注</w:t>
            </w:r>
          </w:p>
        </w:tc>
      </w:tr>
      <w:tr w14:paraId="26F7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4" w:type="pct"/>
            <w:tcBorders>
              <w:top w:val="single" w:color="auto" w:sz="4" w:space="0"/>
              <w:left w:val="single" w:color="auto" w:sz="4" w:space="0"/>
              <w:bottom w:val="single" w:color="auto" w:sz="4" w:space="0"/>
              <w:right w:val="single" w:color="auto" w:sz="4" w:space="0"/>
            </w:tcBorders>
            <w:noWrap w:val="0"/>
            <w:vAlign w:val="center"/>
          </w:tcPr>
          <w:p w14:paraId="64D67C85">
            <w:pPr>
              <w:jc w:val="center"/>
              <w:rPr>
                <w:rFonts w:hint="eastAsia" w:ascii="仿宋" w:hAnsi="仿宋" w:eastAsia="仿宋" w:cs="仿宋"/>
                <w:color w:val="auto"/>
                <w:sz w:val="24"/>
                <w:highlight w:val="none"/>
              </w:rPr>
            </w:pPr>
          </w:p>
        </w:tc>
        <w:tc>
          <w:tcPr>
            <w:tcW w:w="582" w:type="pct"/>
            <w:tcBorders>
              <w:top w:val="single" w:color="auto" w:sz="4" w:space="0"/>
              <w:left w:val="single" w:color="auto" w:sz="4" w:space="0"/>
              <w:right w:val="single" w:color="auto" w:sz="4" w:space="0"/>
            </w:tcBorders>
            <w:noWrap w:val="0"/>
            <w:vAlign w:val="center"/>
          </w:tcPr>
          <w:p w14:paraId="27E0810C">
            <w:pPr>
              <w:jc w:val="center"/>
              <w:rPr>
                <w:rFonts w:hint="eastAsia" w:ascii="仿宋" w:hAnsi="仿宋" w:eastAsia="仿宋" w:cs="仿宋"/>
                <w:kern w:val="2"/>
                <w:sz w:val="21"/>
                <w:szCs w:val="21"/>
                <w:highlight w:val="none"/>
                <w:lang w:val="en-US" w:eastAsia="zh-CN" w:bidi="ar-SA"/>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4F61F47A">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34756410">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0089C143">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A9257D">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2B222577">
            <w:pPr>
              <w:jc w:val="center"/>
              <w:rPr>
                <w:rFonts w:hint="eastAsia" w:ascii="仿宋" w:hAnsi="仿宋" w:eastAsia="仿宋" w:cs="仿宋"/>
                <w:kern w:val="2"/>
                <w:sz w:val="21"/>
                <w:szCs w:val="21"/>
                <w:highlight w:val="none"/>
                <w:lang w:val="en-US" w:eastAsia="zh-CN" w:bidi="ar-SA"/>
              </w:rPr>
            </w:pP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6B1696">
            <w:pPr>
              <w:jc w:val="center"/>
              <w:rPr>
                <w:rFonts w:hint="eastAsia" w:ascii="仿宋" w:hAnsi="仿宋" w:eastAsia="仿宋" w:cs="仿宋"/>
                <w:kern w:val="2"/>
                <w:sz w:val="21"/>
                <w:szCs w:val="21"/>
                <w:highlight w:val="none"/>
                <w:lang w:val="en-US" w:eastAsia="zh-CN" w:bidi="ar-SA"/>
              </w:rPr>
            </w:pPr>
          </w:p>
        </w:tc>
      </w:tr>
      <w:tr w14:paraId="647C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4" w:type="pct"/>
            <w:tcBorders>
              <w:top w:val="single" w:color="auto" w:sz="4" w:space="0"/>
              <w:left w:val="single" w:color="auto" w:sz="4" w:space="0"/>
              <w:bottom w:val="single" w:color="auto" w:sz="4" w:space="0"/>
              <w:right w:val="single" w:color="auto" w:sz="4" w:space="0"/>
            </w:tcBorders>
            <w:noWrap w:val="0"/>
            <w:vAlign w:val="center"/>
          </w:tcPr>
          <w:p w14:paraId="247B8E6D">
            <w:pPr>
              <w:jc w:val="center"/>
              <w:rPr>
                <w:rFonts w:hint="eastAsia" w:ascii="仿宋" w:hAnsi="仿宋" w:eastAsia="仿宋" w:cs="仿宋"/>
                <w:sz w:val="21"/>
                <w:szCs w:val="21"/>
                <w:highlight w:val="none"/>
                <w:lang w:val="en-US" w:eastAsia="zh-CN"/>
              </w:rPr>
            </w:pP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75B254">
            <w:pPr>
              <w:jc w:val="center"/>
              <w:rPr>
                <w:rFonts w:hint="eastAsia" w:ascii="仿宋" w:hAnsi="仿宋" w:eastAsia="仿宋" w:cs="仿宋"/>
                <w:kern w:val="2"/>
                <w:sz w:val="21"/>
                <w:szCs w:val="21"/>
                <w:highlight w:val="none"/>
                <w:vertAlign w:val="baseline"/>
                <w:lang w:val="en-US" w:eastAsia="zh-CN" w:bidi="ar-SA"/>
              </w:rPr>
            </w:pPr>
          </w:p>
        </w:tc>
        <w:tc>
          <w:tcPr>
            <w:tcW w:w="6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DECD3B">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DE75CF5">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2695C2F">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2771514">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3F9DA9B">
            <w:pPr>
              <w:jc w:val="center"/>
              <w:rPr>
                <w:rFonts w:hint="eastAsia" w:ascii="仿宋" w:hAnsi="仿宋" w:eastAsia="仿宋" w:cs="仿宋"/>
                <w:kern w:val="2"/>
                <w:sz w:val="21"/>
                <w:szCs w:val="21"/>
                <w:highlight w:val="none"/>
                <w:lang w:val="en-US" w:eastAsia="zh-CN" w:bidi="ar-SA"/>
              </w:rPr>
            </w:pP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943AFE">
            <w:pPr>
              <w:jc w:val="center"/>
              <w:rPr>
                <w:rFonts w:hint="eastAsia" w:ascii="仿宋" w:hAnsi="仿宋" w:eastAsia="仿宋" w:cs="仿宋"/>
                <w:kern w:val="2"/>
                <w:sz w:val="21"/>
                <w:szCs w:val="21"/>
                <w:highlight w:val="none"/>
                <w:lang w:val="en-US" w:eastAsia="zh-CN" w:bidi="ar-SA"/>
              </w:rPr>
            </w:pPr>
          </w:p>
        </w:tc>
      </w:tr>
      <w:tr w14:paraId="4722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4" w:type="pct"/>
            <w:tcBorders>
              <w:top w:val="single" w:color="auto" w:sz="4" w:space="0"/>
              <w:left w:val="single" w:color="auto" w:sz="4" w:space="0"/>
              <w:bottom w:val="single" w:color="auto" w:sz="4" w:space="0"/>
              <w:right w:val="single" w:color="auto" w:sz="4" w:space="0"/>
            </w:tcBorders>
            <w:noWrap w:val="0"/>
            <w:vAlign w:val="center"/>
          </w:tcPr>
          <w:p w14:paraId="18783CC8">
            <w:pPr>
              <w:jc w:val="center"/>
              <w:rPr>
                <w:rFonts w:hint="eastAsia" w:ascii="仿宋" w:hAnsi="仿宋" w:eastAsia="仿宋" w:cs="仿宋"/>
                <w:sz w:val="21"/>
                <w:szCs w:val="21"/>
                <w:highlight w:val="none"/>
                <w:lang w:val="en-US" w:eastAsia="zh-CN"/>
              </w:rPr>
            </w:pPr>
          </w:p>
        </w:tc>
        <w:tc>
          <w:tcPr>
            <w:tcW w:w="58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B3BF42">
            <w:pPr>
              <w:jc w:val="center"/>
              <w:rPr>
                <w:rFonts w:hint="eastAsia" w:ascii="仿宋" w:hAnsi="仿宋" w:eastAsia="仿宋" w:cs="仿宋"/>
                <w:kern w:val="2"/>
                <w:sz w:val="21"/>
                <w:szCs w:val="21"/>
                <w:highlight w:val="none"/>
                <w:vertAlign w:val="baseline"/>
                <w:lang w:val="en-US" w:eastAsia="zh-CN" w:bidi="ar-SA"/>
              </w:rPr>
            </w:pPr>
          </w:p>
        </w:tc>
        <w:tc>
          <w:tcPr>
            <w:tcW w:w="66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E7CD7">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71ADEBA0">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6F0F398A">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298BF270">
            <w:pPr>
              <w:jc w:val="center"/>
              <w:rPr>
                <w:rFonts w:hint="eastAsia" w:ascii="仿宋" w:hAnsi="仿宋" w:eastAsia="仿宋" w:cs="仿宋"/>
                <w:kern w:val="2"/>
                <w:sz w:val="21"/>
                <w:szCs w:val="21"/>
                <w:highlight w:val="none"/>
                <w:lang w:val="en-US" w:eastAsia="zh-CN" w:bidi="ar-SA"/>
              </w:rPr>
            </w:pPr>
          </w:p>
        </w:tc>
        <w:tc>
          <w:tcPr>
            <w:tcW w:w="624" w:type="pct"/>
            <w:tcBorders>
              <w:top w:val="single" w:color="auto" w:sz="4" w:space="0"/>
              <w:left w:val="single" w:color="auto" w:sz="4" w:space="0"/>
              <w:bottom w:val="single" w:color="auto" w:sz="4" w:space="0"/>
              <w:right w:val="single" w:color="auto" w:sz="4" w:space="0"/>
            </w:tcBorders>
            <w:noWrap w:val="0"/>
            <w:vAlign w:val="center"/>
          </w:tcPr>
          <w:p w14:paraId="31479C8D">
            <w:pPr>
              <w:jc w:val="center"/>
              <w:rPr>
                <w:rFonts w:hint="eastAsia" w:ascii="仿宋" w:hAnsi="仿宋" w:eastAsia="仿宋" w:cs="仿宋"/>
                <w:kern w:val="2"/>
                <w:sz w:val="21"/>
                <w:szCs w:val="21"/>
                <w:highlight w:val="none"/>
                <w:lang w:val="en-US" w:eastAsia="zh-CN" w:bidi="ar-SA"/>
              </w:rPr>
            </w:pPr>
          </w:p>
        </w:tc>
        <w:tc>
          <w:tcPr>
            <w:tcW w:w="6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C1B155">
            <w:pPr>
              <w:jc w:val="left"/>
              <w:rPr>
                <w:rFonts w:hint="eastAsia" w:ascii="仿宋" w:hAnsi="仿宋" w:eastAsia="仿宋" w:cs="仿宋"/>
                <w:kern w:val="2"/>
                <w:sz w:val="21"/>
                <w:szCs w:val="21"/>
                <w:highlight w:val="none"/>
                <w:lang w:val="en-US" w:eastAsia="zh-CN" w:bidi="ar-SA"/>
              </w:rPr>
            </w:pPr>
          </w:p>
        </w:tc>
      </w:tr>
      <w:tr w14:paraId="5F7D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14:paraId="38F95378">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报价（小写）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3793" w:type="pct"/>
            <w:gridSpan w:val="6"/>
            <w:tcBorders>
              <w:top w:val="single" w:color="auto" w:sz="4" w:space="0"/>
              <w:left w:val="single" w:color="auto" w:sz="4" w:space="0"/>
              <w:bottom w:val="single" w:color="auto" w:sz="4" w:space="0"/>
              <w:right w:val="single" w:color="auto" w:sz="4" w:space="0"/>
            </w:tcBorders>
            <w:noWrap w:val="0"/>
            <w:vAlign w:val="center"/>
          </w:tcPr>
          <w:p w14:paraId="5268BA30">
            <w:pPr>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按交易文件要求执行（本项目乐采云报价折扣率填写为99.99%）</w:t>
            </w:r>
          </w:p>
        </w:tc>
      </w:tr>
      <w:tr w14:paraId="11CC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06" w:type="pct"/>
            <w:gridSpan w:val="2"/>
            <w:tcBorders>
              <w:top w:val="single" w:color="auto" w:sz="4" w:space="0"/>
              <w:left w:val="single" w:color="auto" w:sz="4" w:space="0"/>
              <w:bottom w:val="single" w:color="auto" w:sz="4" w:space="0"/>
              <w:right w:val="single" w:color="auto" w:sz="4" w:space="0"/>
            </w:tcBorders>
            <w:noWrap w:val="0"/>
            <w:vAlign w:val="center"/>
          </w:tcPr>
          <w:p w14:paraId="57DB74C2">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报价（大写）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p>
        </w:tc>
        <w:tc>
          <w:tcPr>
            <w:tcW w:w="3793" w:type="pct"/>
            <w:gridSpan w:val="6"/>
            <w:tcBorders>
              <w:top w:val="single" w:color="auto" w:sz="4" w:space="0"/>
              <w:left w:val="single" w:color="auto" w:sz="4" w:space="0"/>
              <w:bottom w:val="single" w:color="auto" w:sz="4" w:space="0"/>
              <w:right w:val="single" w:color="auto" w:sz="4" w:space="0"/>
            </w:tcBorders>
            <w:noWrap w:val="0"/>
            <w:vAlign w:val="center"/>
          </w:tcPr>
          <w:p w14:paraId="45D9AF9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按交易文件要求执行（本项目乐采云报价折扣率填写为99.99%）</w:t>
            </w:r>
          </w:p>
        </w:tc>
      </w:tr>
    </w:tbl>
    <w:p w14:paraId="2741A6A2">
      <w:pPr>
        <w:pStyle w:val="23"/>
        <w:rPr>
          <w:rFonts w:hint="eastAsia" w:ascii="仿宋" w:hAnsi="仿宋" w:eastAsia="仿宋" w:cs="仿宋"/>
          <w:highlight w:val="none"/>
          <w:lang w:val="zh-CN"/>
        </w:rPr>
      </w:pPr>
    </w:p>
    <w:p w14:paraId="5D3E737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1CB5E4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响应人</w:t>
      </w:r>
      <w:r>
        <w:rPr>
          <w:rFonts w:hint="eastAsia" w:ascii="仿宋" w:hAnsi="仿宋" w:eastAsia="仿宋" w:cs="仿宋"/>
          <w:color w:val="auto"/>
          <w:kern w:val="0"/>
          <w:sz w:val="24"/>
          <w:highlight w:val="none"/>
          <w:lang w:val="zh-CN"/>
        </w:rPr>
        <w:t>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文件含有</w:t>
      </w:r>
      <w:r>
        <w:rPr>
          <w:rFonts w:hint="eastAsia" w:ascii="仿宋" w:hAnsi="仿宋" w:eastAsia="仿宋" w:cs="仿宋"/>
          <w:b/>
          <w:color w:val="auto"/>
          <w:sz w:val="24"/>
          <w:highlight w:val="none"/>
          <w:lang w:val="en-US" w:eastAsia="zh-CN"/>
        </w:rPr>
        <w:t>交易发起人</w:t>
      </w:r>
      <w:r>
        <w:rPr>
          <w:rFonts w:hint="eastAsia" w:ascii="仿宋" w:hAnsi="仿宋" w:eastAsia="仿宋" w:cs="仿宋"/>
          <w:b/>
          <w:color w:val="auto"/>
          <w:sz w:val="24"/>
          <w:highlight w:val="none"/>
        </w:rPr>
        <w:t>不能接受的附加条件，</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无效</w:t>
      </w:r>
      <w:r>
        <w:rPr>
          <w:rFonts w:hint="eastAsia" w:ascii="仿宋" w:hAnsi="仿宋" w:eastAsia="仿宋" w:cs="仿宋"/>
          <w:b/>
          <w:color w:val="auto"/>
          <w:kern w:val="0"/>
          <w:sz w:val="24"/>
          <w:highlight w:val="none"/>
          <w:lang w:val="zh-CN"/>
        </w:rPr>
        <w:t>；</w:t>
      </w:r>
    </w:p>
    <w:p w14:paraId="0BC5C18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sz w:val="24"/>
          <w:highlight w:val="none"/>
          <w:lang w:val="en-US" w:eastAsia="zh-CN"/>
        </w:rPr>
        <w:t>交易发起人</w:t>
      </w:r>
      <w:r>
        <w:rPr>
          <w:rFonts w:hint="eastAsia" w:ascii="仿宋" w:hAnsi="仿宋" w:eastAsia="仿宋" w:cs="仿宋"/>
          <w:b/>
          <w:color w:val="auto"/>
          <w:kern w:val="0"/>
          <w:sz w:val="24"/>
          <w:highlight w:val="none"/>
          <w:lang w:val="zh-CN"/>
        </w:rPr>
        <w:t>将以合同形式有偿取得货物或服务，不接受</w:t>
      </w:r>
      <w:r>
        <w:rPr>
          <w:rFonts w:hint="eastAsia" w:ascii="仿宋" w:hAnsi="仿宋" w:eastAsia="仿宋" w:cs="仿宋"/>
          <w:b/>
          <w:color w:val="auto"/>
          <w:kern w:val="0"/>
          <w:sz w:val="24"/>
          <w:highlight w:val="none"/>
          <w:lang w:val="en-US" w:eastAsia="zh-CN"/>
        </w:rPr>
        <w:t>响应人</w:t>
      </w:r>
      <w:r>
        <w:rPr>
          <w:rFonts w:hint="eastAsia" w:ascii="仿宋" w:hAnsi="仿宋" w:eastAsia="仿宋" w:cs="仿宋"/>
          <w:b/>
          <w:color w:val="auto"/>
          <w:kern w:val="0"/>
          <w:sz w:val="24"/>
          <w:highlight w:val="none"/>
          <w:lang w:val="zh-CN"/>
        </w:rPr>
        <w:t>给予的赠品、回扣或者与</w:t>
      </w:r>
      <w:r>
        <w:rPr>
          <w:rFonts w:hint="eastAsia" w:ascii="仿宋" w:hAnsi="仿宋" w:eastAsia="仿宋" w:cs="仿宋"/>
          <w:b/>
          <w:color w:val="auto"/>
          <w:kern w:val="0"/>
          <w:sz w:val="24"/>
          <w:highlight w:val="none"/>
          <w:lang w:val="en-US" w:eastAsia="zh-CN"/>
        </w:rPr>
        <w:t>交易</w:t>
      </w:r>
      <w:r>
        <w:rPr>
          <w:rFonts w:hint="eastAsia" w:ascii="仿宋" w:hAnsi="仿宋" w:eastAsia="仿宋" w:cs="仿宋"/>
          <w:b/>
          <w:color w:val="auto"/>
          <w:kern w:val="0"/>
          <w:sz w:val="24"/>
          <w:highlight w:val="none"/>
          <w:lang w:val="zh-CN"/>
        </w:rPr>
        <w:t>无关的其他商品、服务；</w:t>
      </w:r>
      <w:r>
        <w:rPr>
          <w:rFonts w:hint="eastAsia" w:ascii="仿宋" w:hAnsi="仿宋" w:eastAsia="仿宋" w:cs="仿宋"/>
          <w:b/>
          <w:color w:val="auto"/>
          <w:kern w:val="0"/>
          <w:sz w:val="24"/>
          <w:highlight w:val="none"/>
          <w:lang w:val="en-US" w:eastAsia="zh-CN"/>
        </w:rPr>
        <w:t>交易</w:t>
      </w:r>
      <w:r>
        <w:rPr>
          <w:rFonts w:hint="eastAsia" w:ascii="仿宋" w:hAnsi="仿宋" w:eastAsia="仿宋" w:cs="仿宋"/>
          <w:b/>
          <w:color w:val="auto"/>
          <w:kern w:val="0"/>
          <w:sz w:val="24"/>
          <w:highlight w:val="none"/>
          <w:lang w:val="zh-CN"/>
        </w:rPr>
        <w:t>内容未包含在《</w:t>
      </w:r>
      <w:r>
        <w:rPr>
          <w:rFonts w:hint="eastAsia" w:ascii="仿宋" w:hAnsi="仿宋" w:eastAsia="仿宋" w:cs="仿宋"/>
          <w:b/>
          <w:color w:val="auto"/>
          <w:kern w:val="0"/>
          <w:sz w:val="24"/>
          <w:highlight w:val="none"/>
          <w:lang w:val="en-US" w:eastAsia="zh-CN"/>
        </w:rPr>
        <w:t>交易</w:t>
      </w:r>
      <w:r>
        <w:rPr>
          <w:rFonts w:hint="eastAsia" w:ascii="仿宋" w:hAnsi="仿宋" w:eastAsia="仿宋" w:cs="仿宋"/>
          <w:b/>
          <w:color w:val="auto"/>
          <w:kern w:val="0"/>
          <w:sz w:val="24"/>
          <w:highlight w:val="none"/>
          <w:lang w:val="zh-CN"/>
        </w:rPr>
        <w:t>一览表（报价表）》名称栏中，</w:t>
      </w:r>
      <w:r>
        <w:rPr>
          <w:rFonts w:hint="eastAsia" w:ascii="仿宋" w:hAnsi="仿宋" w:eastAsia="仿宋" w:cs="仿宋"/>
          <w:b/>
          <w:color w:val="auto"/>
          <w:kern w:val="0"/>
          <w:sz w:val="24"/>
          <w:highlight w:val="none"/>
          <w:lang w:val="en-US" w:eastAsia="zh-CN"/>
        </w:rPr>
        <w:t>响应人</w:t>
      </w:r>
      <w:r>
        <w:rPr>
          <w:rFonts w:hint="eastAsia" w:ascii="仿宋" w:hAnsi="仿宋" w:eastAsia="仿宋" w:cs="仿宋"/>
          <w:b/>
          <w:color w:val="auto"/>
          <w:kern w:val="0"/>
          <w:sz w:val="24"/>
          <w:highlight w:val="none"/>
          <w:lang w:val="zh-CN"/>
        </w:rPr>
        <w:t>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文件含有</w:t>
      </w:r>
      <w:r>
        <w:rPr>
          <w:rFonts w:hint="eastAsia" w:ascii="仿宋" w:hAnsi="仿宋" w:eastAsia="仿宋" w:cs="仿宋"/>
          <w:b/>
          <w:color w:val="auto"/>
          <w:sz w:val="24"/>
          <w:highlight w:val="none"/>
          <w:lang w:val="en-US" w:eastAsia="zh-CN"/>
        </w:rPr>
        <w:t>交易发起人</w:t>
      </w:r>
      <w:r>
        <w:rPr>
          <w:rFonts w:hint="eastAsia" w:ascii="仿宋" w:hAnsi="仿宋" w:eastAsia="仿宋" w:cs="仿宋"/>
          <w:b/>
          <w:color w:val="auto"/>
          <w:sz w:val="24"/>
          <w:highlight w:val="none"/>
        </w:rPr>
        <w:t>不能接受的附加条件的，</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无效。</w:t>
      </w:r>
    </w:p>
    <w:p w14:paraId="496FD17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3、特别提示：代理机构将对项目名称和项目编号，</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供应商名称、地址和</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金额，主要中标标的名称、服务范围、服务要求、服务时间、服务标准等予以公示。</w:t>
      </w:r>
    </w:p>
    <w:p w14:paraId="336BA463">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D16906A">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800" w:right="1440" w:bottom="1800" w:left="1440" w:header="454" w:footer="992" w:gutter="0"/>
          <w:pgBorders>
            <w:top w:val="none" w:sz="0" w:space="0"/>
            <w:left w:val="none" w:sz="0" w:space="0"/>
            <w:bottom w:val="none" w:sz="0" w:space="0"/>
            <w:right w:val="none" w:sz="0" w:space="0"/>
          </w:pgBorders>
          <w:cols w:space="0" w:num="1"/>
          <w:titlePg/>
          <w:rtlGutter w:val="0"/>
          <w:docGrid w:linePitch="312" w:charSpace="0"/>
        </w:sectPr>
      </w:pPr>
    </w:p>
    <w:p w14:paraId="6D832203">
      <w:pPr>
        <w:autoSpaceDE w:val="0"/>
        <w:autoSpaceDN w:val="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附件1</w:t>
      </w:r>
    </w:p>
    <w:p w14:paraId="01B5CC23">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14:paraId="18819658">
      <w:pPr>
        <w:spacing w:line="360" w:lineRule="auto"/>
        <w:rPr>
          <w:rFonts w:hint="eastAsia" w:ascii="仿宋" w:hAnsi="仿宋" w:eastAsia="仿宋" w:cs="仿宋"/>
          <w:sz w:val="24"/>
          <w:highlight w:val="none"/>
          <w:u w:val="single"/>
        </w:rPr>
      </w:pPr>
    </w:p>
    <w:p w14:paraId="2D791FDF">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（交易发起人）、（代理机构）：</w:t>
      </w:r>
    </w:p>
    <w:p w14:paraId="37C7ED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你方组织的（项目名称）【项目编号：   】</w:t>
      </w:r>
      <w:r>
        <w:rPr>
          <w:rFonts w:hint="eastAsia" w:ascii="仿宋" w:hAnsi="仿宋" w:eastAsia="仿宋" w:cs="仿宋"/>
          <w:bCs/>
          <w:sz w:val="24"/>
          <w:highlight w:val="none"/>
        </w:rPr>
        <w:t>交易活动中作如下说明：</w:t>
      </w:r>
      <w:r>
        <w:rPr>
          <w:rFonts w:hint="eastAsia" w:ascii="仿宋" w:hAnsi="仿宋" w:eastAsia="仿宋" w:cs="仿宋"/>
          <w:sz w:val="24"/>
          <w:highlight w:val="none"/>
        </w:rPr>
        <w:t>我方所使用的“XX专用章”与法定名称章具有同等的法律效力，对使用“XX专用章”的行为予以完全承认，并愿意承担相应责任。</w:t>
      </w:r>
    </w:p>
    <w:p w14:paraId="5D98E7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13604075">
      <w:pPr>
        <w:spacing w:line="360" w:lineRule="auto"/>
        <w:ind w:firstLine="494"/>
        <w:rPr>
          <w:rFonts w:hint="eastAsia" w:ascii="仿宋" w:hAnsi="仿宋" w:eastAsia="仿宋" w:cs="仿宋"/>
          <w:sz w:val="24"/>
          <w:highlight w:val="none"/>
        </w:rPr>
      </w:pPr>
    </w:p>
    <w:p w14:paraId="3A35CFEA">
      <w:pPr>
        <w:spacing w:line="360" w:lineRule="auto"/>
        <w:ind w:firstLine="494"/>
        <w:rPr>
          <w:rFonts w:hint="eastAsia" w:ascii="仿宋" w:hAnsi="仿宋" w:eastAsia="仿宋" w:cs="仿宋"/>
          <w:sz w:val="24"/>
          <w:highlight w:val="none"/>
        </w:rPr>
      </w:pPr>
    </w:p>
    <w:p w14:paraId="57F4DFBB">
      <w:pPr>
        <w:spacing w:line="360" w:lineRule="auto"/>
        <w:ind w:firstLine="494"/>
        <w:rPr>
          <w:rFonts w:hint="eastAsia" w:ascii="仿宋" w:hAnsi="仿宋" w:eastAsia="仿宋" w:cs="仿宋"/>
          <w:sz w:val="24"/>
          <w:highlight w:val="none"/>
        </w:rPr>
      </w:pPr>
    </w:p>
    <w:p w14:paraId="4DF73B8D">
      <w:pPr>
        <w:spacing w:line="360" w:lineRule="auto"/>
        <w:ind w:firstLine="494"/>
        <w:rPr>
          <w:rFonts w:hint="eastAsia" w:ascii="仿宋" w:hAnsi="仿宋" w:eastAsia="仿宋" w:cs="仿宋"/>
          <w:sz w:val="24"/>
          <w:highlight w:val="none"/>
        </w:rPr>
      </w:pPr>
    </w:p>
    <w:p w14:paraId="7D7E6797">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响应人（法定名称章）：</w:t>
      </w:r>
    </w:p>
    <w:p w14:paraId="583E867C">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76A1A389">
      <w:pPr>
        <w:rPr>
          <w:rFonts w:hint="eastAsia" w:ascii="仿宋" w:hAnsi="仿宋" w:eastAsia="仿宋" w:cs="仿宋"/>
          <w:sz w:val="24"/>
          <w:highlight w:val="none"/>
        </w:rPr>
      </w:pPr>
      <w:r>
        <w:rPr>
          <w:rFonts w:hint="eastAsia" w:ascii="仿宋" w:hAnsi="仿宋" w:eastAsia="仿宋" w:cs="仿宋"/>
          <w:b/>
          <w:bCs/>
          <w:sz w:val="24"/>
          <w:highlight w:val="none"/>
        </w:rPr>
        <w:t>附：</w:t>
      </w:r>
    </w:p>
    <w:p w14:paraId="23419730">
      <w:pPr>
        <w:spacing w:line="360" w:lineRule="auto"/>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响应人法定名称章（印模）                响应人“XX专用章”（印模）</w:t>
      </w:r>
    </w:p>
    <w:p w14:paraId="0E5E8BB7">
      <w:pPr>
        <w:autoSpaceDE w:val="0"/>
        <w:autoSpaceDN w:val="0"/>
        <w:jc w:val="center"/>
        <w:rPr>
          <w:rFonts w:hint="eastAsia" w:ascii="仿宋" w:hAnsi="仿宋" w:eastAsia="仿宋" w:cs="仿宋"/>
          <w:b/>
          <w:spacing w:val="6"/>
          <w:sz w:val="32"/>
          <w:szCs w:val="32"/>
          <w:highlight w:val="none"/>
        </w:rPr>
      </w:pPr>
    </w:p>
    <w:p w14:paraId="322D2133">
      <w:pPr>
        <w:autoSpaceDE w:val="0"/>
        <w:autoSpaceDN w:val="0"/>
        <w:jc w:val="center"/>
        <w:rPr>
          <w:rFonts w:hint="eastAsia" w:ascii="仿宋" w:hAnsi="仿宋" w:eastAsia="仿宋" w:cs="仿宋"/>
          <w:b/>
          <w:spacing w:val="6"/>
          <w:sz w:val="32"/>
          <w:szCs w:val="32"/>
          <w:highlight w:val="none"/>
        </w:rPr>
      </w:pPr>
    </w:p>
    <w:p w14:paraId="666CEB21">
      <w:pPr>
        <w:autoSpaceDE w:val="0"/>
        <w:autoSpaceDN w:val="0"/>
        <w:jc w:val="center"/>
        <w:rPr>
          <w:rFonts w:hint="eastAsia" w:ascii="仿宋" w:hAnsi="仿宋" w:eastAsia="仿宋" w:cs="仿宋"/>
          <w:b/>
          <w:spacing w:val="6"/>
          <w:sz w:val="32"/>
          <w:szCs w:val="32"/>
          <w:highlight w:val="none"/>
        </w:rPr>
      </w:pPr>
    </w:p>
    <w:p w14:paraId="7C8D31E3">
      <w:pPr>
        <w:autoSpaceDE w:val="0"/>
        <w:autoSpaceDN w:val="0"/>
        <w:jc w:val="center"/>
        <w:rPr>
          <w:rFonts w:hint="eastAsia" w:ascii="仿宋" w:hAnsi="仿宋" w:eastAsia="仿宋" w:cs="仿宋"/>
          <w:b/>
          <w:spacing w:val="6"/>
          <w:sz w:val="32"/>
          <w:szCs w:val="32"/>
          <w:highlight w:val="none"/>
        </w:rPr>
      </w:pPr>
    </w:p>
    <w:p w14:paraId="1F392B3B">
      <w:pPr>
        <w:autoSpaceDE w:val="0"/>
        <w:autoSpaceDN w:val="0"/>
        <w:jc w:val="center"/>
        <w:rPr>
          <w:rFonts w:hint="eastAsia" w:ascii="仿宋" w:hAnsi="仿宋" w:eastAsia="仿宋" w:cs="仿宋"/>
          <w:b/>
          <w:spacing w:val="6"/>
          <w:sz w:val="32"/>
          <w:szCs w:val="32"/>
          <w:highlight w:val="none"/>
        </w:rPr>
      </w:pPr>
    </w:p>
    <w:p w14:paraId="71DD3CA3">
      <w:pPr>
        <w:autoSpaceDE w:val="0"/>
        <w:autoSpaceDN w:val="0"/>
        <w:jc w:val="center"/>
        <w:rPr>
          <w:rFonts w:hint="eastAsia" w:ascii="仿宋" w:hAnsi="仿宋" w:eastAsia="仿宋" w:cs="仿宋"/>
          <w:b/>
          <w:spacing w:val="6"/>
          <w:sz w:val="32"/>
          <w:szCs w:val="32"/>
          <w:highlight w:val="none"/>
        </w:rPr>
      </w:pPr>
    </w:p>
    <w:p w14:paraId="3EA09C9C">
      <w:pPr>
        <w:autoSpaceDE w:val="0"/>
        <w:autoSpaceDN w:val="0"/>
        <w:jc w:val="center"/>
        <w:rPr>
          <w:rFonts w:hint="eastAsia" w:ascii="仿宋" w:hAnsi="仿宋" w:eastAsia="仿宋" w:cs="仿宋"/>
          <w:b/>
          <w:spacing w:val="6"/>
          <w:sz w:val="32"/>
          <w:szCs w:val="32"/>
          <w:highlight w:val="none"/>
        </w:rPr>
      </w:pPr>
    </w:p>
    <w:p w14:paraId="3B8BAEB1">
      <w:pPr>
        <w:autoSpaceDE w:val="0"/>
        <w:autoSpaceDN w:val="0"/>
        <w:jc w:val="center"/>
        <w:rPr>
          <w:rFonts w:hint="eastAsia" w:ascii="仿宋" w:hAnsi="仿宋" w:eastAsia="仿宋" w:cs="仿宋"/>
          <w:b/>
          <w:spacing w:val="6"/>
          <w:sz w:val="32"/>
          <w:szCs w:val="32"/>
          <w:highlight w:val="none"/>
        </w:rPr>
      </w:pPr>
    </w:p>
    <w:p w14:paraId="3476676F">
      <w:pPr>
        <w:autoSpaceDE w:val="0"/>
        <w:autoSpaceDN w:val="0"/>
        <w:jc w:val="center"/>
        <w:rPr>
          <w:rFonts w:hint="eastAsia" w:ascii="仿宋" w:hAnsi="仿宋" w:eastAsia="仿宋" w:cs="仿宋"/>
          <w:b/>
          <w:spacing w:val="6"/>
          <w:sz w:val="32"/>
          <w:szCs w:val="32"/>
          <w:highlight w:val="none"/>
        </w:rPr>
      </w:pPr>
    </w:p>
    <w:p w14:paraId="69D7F7D0">
      <w:pPr>
        <w:autoSpaceDE w:val="0"/>
        <w:autoSpaceDN w:val="0"/>
        <w:jc w:val="center"/>
        <w:rPr>
          <w:rFonts w:hint="eastAsia" w:ascii="仿宋" w:hAnsi="仿宋" w:eastAsia="仿宋" w:cs="仿宋"/>
          <w:b/>
          <w:spacing w:val="6"/>
          <w:sz w:val="32"/>
          <w:szCs w:val="32"/>
          <w:highlight w:val="none"/>
        </w:rPr>
      </w:pPr>
    </w:p>
    <w:p w14:paraId="3CC2F619">
      <w:pPr>
        <w:pStyle w:val="2"/>
        <w:rPr>
          <w:rFonts w:hint="eastAsia" w:ascii="仿宋" w:hAnsi="仿宋" w:eastAsia="仿宋" w:cs="仿宋"/>
          <w:spacing w:val="6"/>
          <w:highlight w:val="none"/>
        </w:rPr>
      </w:pPr>
    </w:p>
    <w:p w14:paraId="4E36FFFF">
      <w:pPr>
        <w:rPr>
          <w:rFonts w:hint="eastAsia" w:ascii="仿宋" w:hAnsi="仿宋" w:eastAsia="仿宋" w:cs="仿宋"/>
          <w:b/>
          <w:spacing w:val="6"/>
          <w:sz w:val="32"/>
          <w:szCs w:val="32"/>
          <w:highlight w:val="none"/>
        </w:rPr>
      </w:pPr>
    </w:p>
    <w:p w14:paraId="5E61FE33">
      <w:pPr>
        <w:spacing w:line="24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AA7C5AF">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w:t>
      </w:r>
      <w:r>
        <w:rPr>
          <w:rFonts w:hint="eastAsia" w:ascii="仿宋" w:hAnsi="仿宋" w:eastAsia="仿宋" w:cs="仿宋"/>
          <w:b/>
          <w:spacing w:val="6"/>
          <w:sz w:val="32"/>
          <w:szCs w:val="32"/>
          <w:highlight w:val="none"/>
          <w:lang w:val="zh-CN"/>
        </w:rPr>
        <w:t>异议</w:t>
      </w:r>
      <w:r>
        <w:rPr>
          <w:rFonts w:hint="eastAsia" w:ascii="仿宋" w:hAnsi="仿宋" w:eastAsia="仿宋" w:cs="仿宋"/>
          <w:b/>
          <w:spacing w:val="6"/>
          <w:sz w:val="32"/>
          <w:szCs w:val="32"/>
          <w:highlight w:val="none"/>
        </w:rPr>
        <w:t>函范本及制作说明</w:t>
      </w:r>
    </w:p>
    <w:p w14:paraId="02EB8734">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异议函范本</w:t>
      </w:r>
    </w:p>
    <w:p w14:paraId="15DFCA9F">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一、异议响应人基本信息</w:t>
      </w:r>
    </w:p>
    <w:p w14:paraId="3B520ABB">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异议响应人：</w:t>
      </w:r>
      <w:r>
        <w:rPr>
          <w:rFonts w:hint="eastAsia" w:ascii="仿宋" w:hAnsi="仿宋" w:eastAsia="仿宋" w:cs="仿宋"/>
          <w:sz w:val="24"/>
          <w:highlight w:val="none"/>
          <w:u w:val="dotted"/>
        </w:rPr>
        <w:t xml:space="preserve">                                        </w:t>
      </w:r>
    </w:p>
    <w:p w14:paraId="0A9DB3CF">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85C86B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179DE0E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15986E8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C186B7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82F3431">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二、异议项目基本情况</w:t>
      </w:r>
    </w:p>
    <w:p w14:paraId="6CF76DD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异议项目的名称：</w:t>
      </w:r>
      <w:r>
        <w:rPr>
          <w:rFonts w:hint="eastAsia" w:ascii="仿宋" w:hAnsi="仿宋" w:eastAsia="仿宋" w:cs="仿宋"/>
          <w:sz w:val="24"/>
          <w:highlight w:val="none"/>
          <w:u w:val="dotted"/>
        </w:rPr>
        <w:t xml:space="preserve">                                      </w:t>
      </w:r>
    </w:p>
    <w:p w14:paraId="7463A9A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异议项目的编号：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52EECA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交易发起人名称：</w:t>
      </w:r>
      <w:r>
        <w:rPr>
          <w:rFonts w:hint="eastAsia" w:ascii="仿宋" w:hAnsi="仿宋" w:eastAsia="仿宋" w:cs="仿宋"/>
          <w:sz w:val="24"/>
          <w:highlight w:val="none"/>
          <w:u w:val="dotted"/>
        </w:rPr>
        <w:t xml:space="preserve">                                         </w:t>
      </w:r>
    </w:p>
    <w:p w14:paraId="5A57D74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公开竞争文件获取日期：</w:t>
      </w:r>
      <w:r>
        <w:rPr>
          <w:rFonts w:hint="eastAsia" w:ascii="仿宋" w:hAnsi="仿宋" w:eastAsia="仿宋" w:cs="仿宋"/>
          <w:sz w:val="24"/>
          <w:highlight w:val="none"/>
          <w:u w:val="dotted"/>
        </w:rPr>
        <w:t xml:space="preserve">                                           </w:t>
      </w:r>
    </w:p>
    <w:p w14:paraId="2A27280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三、异议事项具体内容</w:t>
      </w:r>
    </w:p>
    <w:p w14:paraId="6F065CE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异议事项1：</w:t>
      </w:r>
      <w:r>
        <w:rPr>
          <w:rFonts w:hint="eastAsia" w:ascii="仿宋" w:hAnsi="仿宋" w:eastAsia="仿宋" w:cs="仿宋"/>
          <w:sz w:val="24"/>
          <w:highlight w:val="none"/>
          <w:u w:val="dotted"/>
        </w:rPr>
        <w:t xml:space="preserve">                                         </w:t>
      </w:r>
    </w:p>
    <w:p w14:paraId="7424D79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B8030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6BB0B28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02415A2">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685DE4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异议事项2</w:t>
      </w:r>
    </w:p>
    <w:p w14:paraId="2F36ADE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176931A9">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四、与异议事项相关的异议请求</w:t>
      </w:r>
    </w:p>
    <w:p w14:paraId="2FE5DA14">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2500A1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9108D1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734A52BB">
      <w:pPr>
        <w:spacing w:line="360" w:lineRule="auto"/>
        <w:jc w:val="center"/>
        <w:rPr>
          <w:rFonts w:hint="eastAsia" w:ascii="仿宋" w:hAnsi="仿宋" w:eastAsia="仿宋" w:cs="仿宋"/>
          <w:b/>
          <w:bCs/>
          <w:sz w:val="24"/>
          <w:highlight w:val="none"/>
        </w:rPr>
      </w:pPr>
    </w:p>
    <w:p w14:paraId="7A54876D">
      <w:pPr>
        <w:spacing w:line="360" w:lineRule="auto"/>
        <w:rPr>
          <w:rFonts w:hint="eastAsia" w:ascii="仿宋" w:hAnsi="仿宋" w:eastAsia="仿宋" w:cs="仿宋"/>
          <w:b/>
          <w:sz w:val="24"/>
          <w:highlight w:val="none"/>
        </w:rPr>
      </w:pPr>
    </w:p>
    <w:p w14:paraId="238313B2">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异议函制作说明：</w:t>
      </w:r>
    </w:p>
    <w:p w14:paraId="342DC42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1.响应人提出异议时，应提交异议函和必要的证明材料。</w:t>
      </w:r>
    </w:p>
    <w:p w14:paraId="2A38311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2.异议响应人若委托代理人进行异议的，异议函应按要求列明“授权代表”的有关内容，并在附件中提交由异议</w:t>
      </w:r>
      <w:r>
        <w:rPr>
          <w:rFonts w:hint="eastAsia" w:ascii="仿宋" w:hAnsi="仿宋" w:eastAsia="仿宋" w:cs="仿宋"/>
          <w:kern w:val="0"/>
          <w:sz w:val="24"/>
          <w:highlight w:val="none"/>
        </w:rPr>
        <w:t>响应人签署的授权委托书。授权委托书应载明代理人的姓名或者名称、代理事项、具体权限、期限和相关事项。</w:t>
      </w:r>
    </w:p>
    <w:p w14:paraId="4DF4AF97">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3.异议响应人若对项目的某一分包进行异议，异议函中应列明具体分包号。</w:t>
      </w:r>
    </w:p>
    <w:p w14:paraId="141B8CE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4.异议函的异议事项应具体、明确，并有必要的事实依据和法律依据。</w:t>
      </w:r>
    </w:p>
    <w:p w14:paraId="65FEDF2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5.异议函的异议请求应与异议事项相关。</w:t>
      </w:r>
    </w:p>
    <w:p w14:paraId="0F8A5DD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6.异议响应人为自然人的，异议函应由本人签字；异议响应人为法人或者其他组织的，异议函应由法定代表人、主要负责人，或者其授权代表签字或者盖章，并加盖公章。</w:t>
      </w:r>
    </w:p>
    <w:p w14:paraId="7DAADAB2">
      <w:pPr>
        <w:spacing w:line="24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2239FFC">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3D1DD6EC">
      <w:pPr>
        <w:spacing w:line="360" w:lineRule="auto"/>
        <w:jc w:val="center"/>
        <w:rPr>
          <w:rFonts w:hint="eastAsia" w:ascii="仿宋" w:hAnsi="仿宋" w:eastAsia="仿宋" w:cs="仿宋"/>
          <w:b/>
          <w:sz w:val="24"/>
          <w:highlight w:val="none"/>
        </w:rPr>
      </w:pPr>
    </w:p>
    <w:p w14:paraId="08E06833">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661E1C1F">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1E4433B5">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5F7B8EE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DC8E546">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3617BF0">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F86588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319A1F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1EF8E9E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4DB29A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8EBE2B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0566FB2">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7E18ED3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5C8C245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相关响应人：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E6B4FB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65FA3F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9D21EC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DA68E0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交易名称：</w:t>
      </w:r>
      <w:r>
        <w:rPr>
          <w:rFonts w:hint="eastAsia" w:ascii="仿宋" w:hAnsi="仿宋" w:eastAsia="仿宋" w:cs="仿宋"/>
          <w:sz w:val="24"/>
          <w:highlight w:val="none"/>
          <w:u w:val="dotted"/>
        </w:rPr>
        <w:t xml:space="preserve">                                        </w:t>
      </w:r>
    </w:p>
    <w:p w14:paraId="3DE8390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交易编号：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D4E4D53">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交易发起人名称：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DD2DEB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14385F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公开竞争文件公告: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0EA0D1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成交结果公告: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C35CD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三、异议基本情况</w:t>
      </w:r>
    </w:p>
    <w:p w14:paraId="345B2158">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提出异议，异议事项为：</w:t>
      </w:r>
      <w:r>
        <w:rPr>
          <w:rFonts w:hint="eastAsia" w:ascii="仿宋" w:hAnsi="仿宋" w:eastAsia="仿宋" w:cs="仿宋"/>
          <w:sz w:val="24"/>
          <w:highlight w:val="none"/>
          <w:u w:val="dotted"/>
        </w:rPr>
        <w:t xml:space="preserve">                                </w:t>
      </w:r>
    </w:p>
    <w:p w14:paraId="18ADB62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822385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交易发起人/代理机构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日,就异议事项作出了答复/没有在法定期限内作出答复。</w:t>
      </w:r>
    </w:p>
    <w:p w14:paraId="18F189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BB2F67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37367651">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018A87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9C860E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A10FCC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6F86212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0C90D0E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4A0AEF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CE83BE1">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7D980B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6540773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99F2AA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0A2B969">
      <w:pPr>
        <w:spacing w:line="360" w:lineRule="auto"/>
        <w:rPr>
          <w:rFonts w:hint="eastAsia" w:ascii="仿宋" w:hAnsi="仿宋" w:eastAsia="仿宋" w:cs="仿宋"/>
          <w:b/>
          <w:sz w:val="24"/>
          <w:highlight w:val="none"/>
        </w:rPr>
      </w:pPr>
    </w:p>
    <w:p w14:paraId="3232D97E">
      <w:pPr>
        <w:spacing w:line="360" w:lineRule="auto"/>
        <w:rPr>
          <w:rFonts w:hint="eastAsia" w:ascii="仿宋" w:hAnsi="仿宋" w:eastAsia="仿宋" w:cs="仿宋"/>
          <w:b/>
          <w:sz w:val="24"/>
          <w:highlight w:val="none"/>
        </w:rPr>
      </w:pPr>
    </w:p>
    <w:p w14:paraId="0F2C7BC4">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4594D29">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1.投诉人提起投诉时，应当提交投诉书和必要的证明材料，并按照被投诉人和与投诉事项有关的响应人数量提供投诉书副本。</w:t>
      </w:r>
    </w:p>
    <w:p w14:paraId="16AD7A34">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2AE320A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915B9D2">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4.投诉书应简要列明异议事项，异议函、异议答复等作为附件材料提供。</w:t>
      </w:r>
    </w:p>
    <w:p w14:paraId="55C0D24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B16C608">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4950DACD">
      <w:pPr>
        <w:widowControl/>
        <w:spacing w:line="360" w:lineRule="auto"/>
        <w:ind w:firstLine="0" w:firstLineChars="0"/>
        <w:jc w:val="left"/>
        <w:rPr>
          <w:rFonts w:hint="eastAsia" w:ascii="仿宋" w:hAnsi="仿宋" w:eastAsia="仿宋" w:cs="仿宋"/>
          <w:color w:val="auto"/>
          <w:highlight w:val="none"/>
          <w:shd w:val="clear" w:color="auto" w:fill="auto"/>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bookmarkEnd w:id="13"/>
    </w:p>
    <w:sectPr>
      <w:headerReference r:id="rId12" w:type="first"/>
      <w:footerReference r:id="rId14" w:type="first"/>
      <w:headerReference r:id="rId11" w:type="default"/>
      <w:footerReference r:id="rId13" w:type="default"/>
      <w:pgSz w:w="11906" w:h="16838"/>
      <w:pgMar w:top="1440" w:right="1800" w:bottom="1440" w:left="1800" w:header="454"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07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B5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14:paraId="64867DF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A6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EC05EE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040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C14C8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39C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EAF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81" w:name="_Toc91899912"/>
    <w:bookmarkStart w:id="382" w:name="_Toc131845147"/>
    <w:bookmarkStart w:id="383" w:name="_Toc36110187"/>
    <w:bookmarkStart w:id="384" w:name="_Toc164085800"/>
    <w:r>
      <w:rPr>
        <w:rFonts w:hint="eastAsia" w:ascii="仿宋_GB2312" w:eastAsia="仿宋_GB2312"/>
        <w:kern w:val="0"/>
        <w:szCs w:val="21"/>
      </w:rPr>
      <w:t xml:space="preserve"> 页</w:t>
    </w:r>
    <w:bookmarkEnd w:id="381"/>
    <w:bookmarkEnd w:id="382"/>
    <w:bookmarkEnd w:id="383"/>
    <w:bookmarkEnd w:id="38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10596">
    <w:pPr>
      <w:pStyle w:val="40"/>
      <w:widowControl/>
      <w:pBdr>
        <w:bottom w:val="single" w:color="auto" w:sz="6" w:space="4"/>
      </w:pBdr>
      <w:adjustRightInd/>
      <w:jc w:val="right"/>
      <w:rPr>
        <w:rFonts w:ascii="仿宋_GB2312" w:eastAsia="仿宋_GB2312"/>
        <w:b/>
        <w:i/>
        <w:sz w:val="18"/>
        <w:szCs w:val="18"/>
        <w:u w:val="single"/>
      </w:rPr>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7751">
    <w:pPr>
      <w:pStyle w:val="40"/>
      <w:widowControl/>
      <w:pBdr>
        <w:bottom w:val="single" w:color="auto" w:sz="6" w:space="4"/>
      </w:pBdr>
      <w:adjustRightInd/>
      <w:snapToGrid/>
      <w:jc w:val="right"/>
      <w:rPr>
        <w:rFonts w:hint="eastAsia" w:ascii="仿宋" w:hAnsi="仿宋" w:eastAsia="仿宋" w:cs="仿宋"/>
      </w:rPr>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723D">
    <w:pPr>
      <w:pStyle w:val="40"/>
      <w:widowControl/>
      <w:pBdr>
        <w:bottom w:val="single" w:color="auto" w:sz="6" w:space="4"/>
      </w:pBdr>
      <w:adjustRightInd/>
      <w:jc w:val="right"/>
      <w:rPr>
        <w:rFonts w:ascii="仿宋_GB2312" w:eastAsia="仿宋_GB2312"/>
        <w:b/>
        <w:i/>
        <w:sz w:val="18"/>
        <w:u w:val="single"/>
      </w:rPr>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C299">
    <w:pPr>
      <w:pStyle w:val="40"/>
      <w:widowControl/>
      <w:pBdr>
        <w:bottom w:val="single" w:color="auto" w:sz="6" w:space="4"/>
      </w:pBdr>
      <w:adjustRightInd/>
      <w:jc w:val="right"/>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A7A37">
    <w:pPr>
      <w:pStyle w:val="40"/>
      <w:widowControl/>
      <w:pBdr>
        <w:bottom w:val="single" w:color="auto" w:sz="6" w:space="4"/>
      </w:pBdr>
      <w:adjustRightInd/>
      <w:jc w:val="right"/>
      <w:rPr>
        <w:rFonts w:ascii="仿宋_GB2312"/>
        <w:b/>
        <w:i/>
        <w:iCs/>
        <w:u w:val="single"/>
      </w:rPr>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6D29">
    <w:pPr>
      <w:pStyle w:val="40"/>
      <w:widowControl/>
      <w:pBdr>
        <w:bottom w:val="single" w:color="auto" w:sz="6" w:space="4"/>
      </w:pBdr>
      <w:adjustRightInd/>
      <w:jc w:val="right"/>
    </w:pPr>
    <w:r>
      <w:rPr>
        <w:rFonts w:hint="eastAsia" w:ascii="仿宋" w:hAnsi="仿宋" w:eastAsia="仿宋" w:cs="仿宋"/>
      </w:rPr>
      <w:t>萧山区非政府采购公开</w:t>
    </w:r>
    <w:r>
      <w:rPr>
        <w:rFonts w:hint="eastAsia" w:ascii="仿宋" w:hAnsi="仿宋" w:eastAsia="仿宋" w:cs="仿宋"/>
        <w:lang w:val="en-US" w:eastAsia="zh-CN"/>
      </w:rPr>
      <w:t>交易</w:t>
    </w:r>
    <w:r>
      <w:rPr>
        <w:rFonts w:hint="eastAsia" w:ascii="仿宋" w:hAnsi="仿宋" w:eastAsia="仿宋" w:cs="仿宋"/>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1847"/>
    <w:multiLevelType w:val="singleLevel"/>
    <w:tmpl w:val="59BB1847"/>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NhZjkxOWIyODczY2IzYTYzZmNkOTc5ZTUwOTIifQ=="/>
  </w:docVars>
  <w:rsids>
    <w:rsidRoot w:val="00172A27"/>
    <w:rsid w:val="00000451"/>
    <w:rsid w:val="0000108B"/>
    <w:rsid w:val="0000133D"/>
    <w:rsid w:val="00001509"/>
    <w:rsid w:val="00001F80"/>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3"/>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F9"/>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2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9F6"/>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E8"/>
    <w:rsid w:val="005857F7"/>
    <w:rsid w:val="005865E9"/>
    <w:rsid w:val="005868FD"/>
    <w:rsid w:val="00587D7B"/>
    <w:rsid w:val="005904DB"/>
    <w:rsid w:val="005905ED"/>
    <w:rsid w:val="00590D11"/>
    <w:rsid w:val="00591BA6"/>
    <w:rsid w:val="00592825"/>
    <w:rsid w:val="00593A6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F73"/>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ECE"/>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2CE"/>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072"/>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6D"/>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66D"/>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636"/>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15B"/>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25F"/>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94748"/>
    <w:rsid w:val="017E3C87"/>
    <w:rsid w:val="019F7441"/>
    <w:rsid w:val="01B37585"/>
    <w:rsid w:val="01CF492C"/>
    <w:rsid w:val="01D42C61"/>
    <w:rsid w:val="01D55165"/>
    <w:rsid w:val="01DF6BF8"/>
    <w:rsid w:val="01EC2C57"/>
    <w:rsid w:val="01F27D15"/>
    <w:rsid w:val="01FE151B"/>
    <w:rsid w:val="02053A01"/>
    <w:rsid w:val="021F6B64"/>
    <w:rsid w:val="025D4496"/>
    <w:rsid w:val="025F0711"/>
    <w:rsid w:val="026B2E25"/>
    <w:rsid w:val="026E1568"/>
    <w:rsid w:val="02824D4D"/>
    <w:rsid w:val="02DC4B10"/>
    <w:rsid w:val="02DD76CE"/>
    <w:rsid w:val="02F36323"/>
    <w:rsid w:val="02F5619C"/>
    <w:rsid w:val="0326446A"/>
    <w:rsid w:val="032D5555"/>
    <w:rsid w:val="036634D2"/>
    <w:rsid w:val="03DD35E4"/>
    <w:rsid w:val="04076900"/>
    <w:rsid w:val="041A5A3B"/>
    <w:rsid w:val="042311BA"/>
    <w:rsid w:val="042B157A"/>
    <w:rsid w:val="042C3555"/>
    <w:rsid w:val="048F763B"/>
    <w:rsid w:val="049F330E"/>
    <w:rsid w:val="04AA775C"/>
    <w:rsid w:val="04AF1889"/>
    <w:rsid w:val="04F66F48"/>
    <w:rsid w:val="051E28A6"/>
    <w:rsid w:val="05251E14"/>
    <w:rsid w:val="05502552"/>
    <w:rsid w:val="05507636"/>
    <w:rsid w:val="05770BD6"/>
    <w:rsid w:val="05823ECB"/>
    <w:rsid w:val="0591221D"/>
    <w:rsid w:val="05A16594"/>
    <w:rsid w:val="05A7762D"/>
    <w:rsid w:val="05C04DC2"/>
    <w:rsid w:val="060E5941"/>
    <w:rsid w:val="06110FAF"/>
    <w:rsid w:val="06493CA7"/>
    <w:rsid w:val="06535B23"/>
    <w:rsid w:val="065A6178"/>
    <w:rsid w:val="066F1CF3"/>
    <w:rsid w:val="06930BB8"/>
    <w:rsid w:val="06B368F4"/>
    <w:rsid w:val="07245D42"/>
    <w:rsid w:val="07264C62"/>
    <w:rsid w:val="07470549"/>
    <w:rsid w:val="07574B8E"/>
    <w:rsid w:val="0779354C"/>
    <w:rsid w:val="07BB67DE"/>
    <w:rsid w:val="07D8218A"/>
    <w:rsid w:val="08061376"/>
    <w:rsid w:val="0822080A"/>
    <w:rsid w:val="08337AC1"/>
    <w:rsid w:val="08452D77"/>
    <w:rsid w:val="086401F8"/>
    <w:rsid w:val="08751CAA"/>
    <w:rsid w:val="087E4C40"/>
    <w:rsid w:val="08995AE7"/>
    <w:rsid w:val="08A871D0"/>
    <w:rsid w:val="08BD20E2"/>
    <w:rsid w:val="08D66AD6"/>
    <w:rsid w:val="08DA33A3"/>
    <w:rsid w:val="08E80F13"/>
    <w:rsid w:val="09335624"/>
    <w:rsid w:val="0944690F"/>
    <w:rsid w:val="09535675"/>
    <w:rsid w:val="095F057D"/>
    <w:rsid w:val="09642282"/>
    <w:rsid w:val="09733572"/>
    <w:rsid w:val="09770E3A"/>
    <w:rsid w:val="09772C16"/>
    <w:rsid w:val="098353B5"/>
    <w:rsid w:val="09A92330"/>
    <w:rsid w:val="09B06B87"/>
    <w:rsid w:val="09C13146"/>
    <w:rsid w:val="09C258C4"/>
    <w:rsid w:val="09E04166"/>
    <w:rsid w:val="0A1C0718"/>
    <w:rsid w:val="0A36668E"/>
    <w:rsid w:val="0A3E7710"/>
    <w:rsid w:val="0A5B7E63"/>
    <w:rsid w:val="0A9734D2"/>
    <w:rsid w:val="0A9E7CD6"/>
    <w:rsid w:val="0AA374A5"/>
    <w:rsid w:val="0AA82882"/>
    <w:rsid w:val="0AAB7649"/>
    <w:rsid w:val="0ABC5606"/>
    <w:rsid w:val="0ADA0C28"/>
    <w:rsid w:val="0AFF70F2"/>
    <w:rsid w:val="0B077F8D"/>
    <w:rsid w:val="0B30404E"/>
    <w:rsid w:val="0B3F0628"/>
    <w:rsid w:val="0B4C6C14"/>
    <w:rsid w:val="0B4F0F96"/>
    <w:rsid w:val="0B631A88"/>
    <w:rsid w:val="0B683D45"/>
    <w:rsid w:val="0B7F3F11"/>
    <w:rsid w:val="0B884417"/>
    <w:rsid w:val="0B8D51C0"/>
    <w:rsid w:val="0BF6188C"/>
    <w:rsid w:val="0BF73C91"/>
    <w:rsid w:val="0C170175"/>
    <w:rsid w:val="0C571A41"/>
    <w:rsid w:val="0C5C1171"/>
    <w:rsid w:val="0C5E1CBC"/>
    <w:rsid w:val="0C615B50"/>
    <w:rsid w:val="0C8445DA"/>
    <w:rsid w:val="0C87121B"/>
    <w:rsid w:val="0CC007F7"/>
    <w:rsid w:val="0CC617AC"/>
    <w:rsid w:val="0CD10466"/>
    <w:rsid w:val="0CFE707A"/>
    <w:rsid w:val="0D063BDA"/>
    <w:rsid w:val="0D08375F"/>
    <w:rsid w:val="0D116EA1"/>
    <w:rsid w:val="0D184CFB"/>
    <w:rsid w:val="0D4A7419"/>
    <w:rsid w:val="0D532B58"/>
    <w:rsid w:val="0D827401"/>
    <w:rsid w:val="0D84094E"/>
    <w:rsid w:val="0D8A00E9"/>
    <w:rsid w:val="0D8D589E"/>
    <w:rsid w:val="0DA01C73"/>
    <w:rsid w:val="0DD63300"/>
    <w:rsid w:val="0DF50604"/>
    <w:rsid w:val="0DF65BEA"/>
    <w:rsid w:val="0DF702FE"/>
    <w:rsid w:val="0E060E51"/>
    <w:rsid w:val="0E2E4156"/>
    <w:rsid w:val="0E320E7D"/>
    <w:rsid w:val="0E3853AF"/>
    <w:rsid w:val="0E5604B2"/>
    <w:rsid w:val="0E6D5D79"/>
    <w:rsid w:val="0E9D0089"/>
    <w:rsid w:val="0EB803EE"/>
    <w:rsid w:val="0EEE7441"/>
    <w:rsid w:val="0EF94D4B"/>
    <w:rsid w:val="0F18017D"/>
    <w:rsid w:val="0F4958DC"/>
    <w:rsid w:val="0F515DF7"/>
    <w:rsid w:val="0F596BA8"/>
    <w:rsid w:val="0F5E2954"/>
    <w:rsid w:val="0F6248D2"/>
    <w:rsid w:val="0F657015"/>
    <w:rsid w:val="0F693536"/>
    <w:rsid w:val="0F7B0511"/>
    <w:rsid w:val="0F7B76D9"/>
    <w:rsid w:val="0F805218"/>
    <w:rsid w:val="0F816ACD"/>
    <w:rsid w:val="0F9832DB"/>
    <w:rsid w:val="0FBF3FD2"/>
    <w:rsid w:val="0FBF7FF3"/>
    <w:rsid w:val="0FCA08AF"/>
    <w:rsid w:val="0FEF3009"/>
    <w:rsid w:val="0FFD1894"/>
    <w:rsid w:val="105B0B5E"/>
    <w:rsid w:val="10646583"/>
    <w:rsid w:val="107D4B15"/>
    <w:rsid w:val="10831A6E"/>
    <w:rsid w:val="108A3C80"/>
    <w:rsid w:val="10C26171"/>
    <w:rsid w:val="10F33360"/>
    <w:rsid w:val="10FC16EA"/>
    <w:rsid w:val="110F1D40"/>
    <w:rsid w:val="11266F33"/>
    <w:rsid w:val="112E0021"/>
    <w:rsid w:val="118963A1"/>
    <w:rsid w:val="11A47455"/>
    <w:rsid w:val="11C6522A"/>
    <w:rsid w:val="11E104CC"/>
    <w:rsid w:val="11E20309"/>
    <w:rsid w:val="12255233"/>
    <w:rsid w:val="123F2C43"/>
    <w:rsid w:val="12530213"/>
    <w:rsid w:val="127723A9"/>
    <w:rsid w:val="12862074"/>
    <w:rsid w:val="12883966"/>
    <w:rsid w:val="129C79F1"/>
    <w:rsid w:val="129E45B4"/>
    <w:rsid w:val="12D21374"/>
    <w:rsid w:val="12D81596"/>
    <w:rsid w:val="13072A44"/>
    <w:rsid w:val="131A1B7F"/>
    <w:rsid w:val="1338272D"/>
    <w:rsid w:val="135F4BE2"/>
    <w:rsid w:val="139B1A0A"/>
    <w:rsid w:val="139D25C7"/>
    <w:rsid w:val="13BF3CE4"/>
    <w:rsid w:val="13D84274"/>
    <w:rsid w:val="13FA6DC8"/>
    <w:rsid w:val="140A766B"/>
    <w:rsid w:val="141008D8"/>
    <w:rsid w:val="14125FE6"/>
    <w:rsid w:val="141554C8"/>
    <w:rsid w:val="14500381"/>
    <w:rsid w:val="146D271E"/>
    <w:rsid w:val="14982588"/>
    <w:rsid w:val="149A5AD9"/>
    <w:rsid w:val="14A7619D"/>
    <w:rsid w:val="14D71FD4"/>
    <w:rsid w:val="150536C3"/>
    <w:rsid w:val="150C1963"/>
    <w:rsid w:val="151447A0"/>
    <w:rsid w:val="15325C06"/>
    <w:rsid w:val="15396473"/>
    <w:rsid w:val="154A6454"/>
    <w:rsid w:val="15762120"/>
    <w:rsid w:val="15BB37EB"/>
    <w:rsid w:val="15FE7705"/>
    <w:rsid w:val="163C3060"/>
    <w:rsid w:val="167A1613"/>
    <w:rsid w:val="16A8729C"/>
    <w:rsid w:val="16B33777"/>
    <w:rsid w:val="16BC70A7"/>
    <w:rsid w:val="16C6339E"/>
    <w:rsid w:val="16FE2244"/>
    <w:rsid w:val="17297264"/>
    <w:rsid w:val="172F2D79"/>
    <w:rsid w:val="173348D1"/>
    <w:rsid w:val="1744435A"/>
    <w:rsid w:val="17557BEF"/>
    <w:rsid w:val="179A3448"/>
    <w:rsid w:val="17BD3EAD"/>
    <w:rsid w:val="17D349C1"/>
    <w:rsid w:val="17FC7D0E"/>
    <w:rsid w:val="1830729E"/>
    <w:rsid w:val="1870062C"/>
    <w:rsid w:val="18817102"/>
    <w:rsid w:val="18830A15"/>
    <w:rsid w:val="18852B28"/>
    <w:rsid w:val="188B5321"/>
    <w:rsid w:val="18CB1415"/>
    <w:rsid w:val="19442580"/>
    <w:rsid w:val="198C4BEE"/>
    <w:rsid w:val="19932372"/>
    <w:rsid w:val="19A20DD5"/>
    <w:rsid w:val="19AE03F1"/>
    <w:rsid w:val="1A071A03"/>
    <w:rsid w:val="1A1776DC"/>
    <w:rsid w:val="1A1F16AE"/>
    <w:rsid w:val="1A3B5C77"/>
    <w:rsid w:val="1A9142BD"/>
    <w:rsid w:val="1A984BAD"/>
    <w:rsid w:val="1AB8220E"/>
    <w:rsid w:val="1AE4166C"/>
    <w:rsid w:val="1AF06CFB"/>
    <w:rsid w:val="1AF11B8D"/>
    <w:rsid w:val="1B067919"/>
    <w:rsid w:val="1B11359C"/>
    <w:rsid w:val="1B236B66"/>
    <w:rsid w:val="1B2A271F"/>
    <w:rsid w:val="1B530544"/>
    <w:rsid w:val="1B713184"/>
    <w:rsid w:val="1B7D5B5D"/>
    <w:rsid w:val="1BA209CF"/>
    <w:rsid w:val="1BB4777D"/>
    <w:rsid w:val="1BD75AB8"/>
    <w:rsid w:val="1BE22A26"/>
    <w:rsid w:val="1C0459C2"/>
    <w:rsid w:val="1C1B3B4A"/>
    <w:rsid w:val="1C287CC6"/>
    <w:rsid w:val="1C88086E"/>
    <w:rsid w:val="1D15273E"/>
    <w:rsid w:val="1D266CE1"/>
    <w:rsid w:val="1D3963AF"/>
    <w:rsid w:val="1D6A673C"/>
    <w:rsid w:val="1D7C2114"/>
    <w:rsid w:val="1D7F73F8"/>
    <w:rsid w:val="1D9247AE"/>
    <w:rsid w:val="1DB567EC"/>
    <w:rsid w:val="1DF51A98"/>
    <w:rsid w:val="1E3D060F"/>
    <w:rsid w:val="1E3F7D2E"/>
    <w:rsid w:val="1E4134E4"/>
    <w:rsid w:val="1E5062B3"/>
    <w:rsid w:val="1E523514"/>
    <w:rsid w:val="1E714A66"/>
    <w:rsid w:val="1E802593"/>
    <w:rsid w:val="1E8B6156"/>
    <w:rsid w:val="1EA703CC"/>
    <w:rsid w:val="1EB7330C"/>
    <w:rsid w:val="1EFB52BB"/>
    <w:rsid w:val="1F0A0FF3"/>
    <w:rsid w:val="1F402CC0"/>
    <w:rsid w:val="1F5771FF"/>
    <w:rsid w:val="1F8359DC"/>
    <w:rsid w:val="1FE868A9"/>
    <w:rsid w:val="20034907"/>
    <w:rsid w:val="20173E4B"/>
    <w:rsid w:val="204E48BC"/>
    <w:rsid w:val="20707D82"/>
    <w:rsid w:val="208921B3"/>
    <w:rsid w:val="20973DEB"/>
    <w:rsid w:val="209E403D"/>
    <w:rsid w:val="20B26522"/>
    <w:rsid w:val="20B44310"/>
    <w:rsid w:val="211116EB"/>
    <w:rsid w:val="212E7E27"/>
    <w:rsid w:val="216133FC"/>
    <w:rsid w:val="219C33EC"/>
    <w:rsid w:val="21D56769"/>
    <w:rsid w:val="21DB47CF"/>
    <w:rsid w:val="21E52EF3"/>
    <w:rsid w:val="21FB5D7B"/>
    <w:rsid w:val="220B1C3D"/>
    <w:rsid w:val="221D1D20"/>
    <w:rsid w:val="2224392B"/>
    <w:rsid w:val="22334A87"/>
    <w:rsid w:val="227D6E81"/>
    <w:rsid w:val="2298203B"/>
    <w:rsid w:val="22BE6801"/>
    <w:rsid w:val="22F80156"/>
    <w:rsid w:val="233500BF"/>
    <w:rsid w:val="23377FF7"/>
    <w:rsid w:val="233F60BE"/>
    <w:rsid w:val="236A69A1"/>
    <w:rsid w:val="236B425F"/>
    <w:rsid w:val="237204DC"/>
    <w:rsid w:val="23836192"/>
    <w:rsid w:val="23901F29"/>
    <w:rsid w:val="239C0061"/>
    <w:rsid w:val="23B908A4"/>
    <w:rsid w:val="23BA5D74"/>
    <w:rsid w:val="23E95BEF"/>
    <w:rsid w:val="23FD0064"/>
    <w:rsid w:val="241440B3"/>
    <w:rsid w:val="245375B0"/>
    <w:rsid w:val="24642C0A"/>
    <w:rsid w:val="249307DC"/>
    <w:rsid w:val="24B22173"/>
    <w:rsid w:val="24B95AD9"/>
    <w:rsid w:val="24BE24DA"/>
    <w:rsid w:val="24CF5825"/>
    <w:rsid w:val="24D663E6"/>
    <w:rsid w:val="24D77F2B"/>
    <w:rsid w:val="250C1FD0"/>
    <w:rsid w:val="2513430F"/>
    <w:rsid w:val="252B3039"/>
    <w:rsid w:val="256F62AF"/>
    <w:rsid w:val="258B00E2"/>
    <w:rsid w:val="258B38C4"/>
    <w:rsid w:val="258B7398"/>
    <w:rsid w:val="25A917A6"/>
    <w:rsid w:val="25B11AAD"/>
    <w:rsid w:val="25BE27CC"/>
    <w:rsid w:val="25F74A5C"/>
    <w:rsid w:val="260F5C6D"/>
    <w:rsid w:val="26191733"/>
    <w:rsid w:val="2628662C"/>
    <w:rsid w:val="262D45DE"/>
    <w:rsid w:val="26871DC8"/>
    <w:rsid w:val="26973254"/>
    <w:rsid w:val="26A53EF9"/>
    <w:rsid w:val="26A94201"/>
    <w:rsid w:val="26AC274F"/>
    <w:rsid w:val="26DC5FB6"/>
    <w:rsid w:val="26E263E8"/>
    <w:rsid w:val="26FB67A0"/>
    <w:rsid w:val="270278E7"/>
    <w:rsid w:val="27044A29"/>
    <w:rsid w:val="27113244"/>
    <w:rsid w:val="271D34C8"/>
    <w:rsid w:val="2731247A"/>
    <w:rsid w:val="276142BF"/>
    <w:rsid w:val="27783712"/>
    <w:rsid w:val="27907362"/>
    <w:rsid w:val="28333E1D"/>
    <w:rsid w:val="28444EE3"/>
    <w:rsid w:val="28454BD6"/>
    <w:rsid w:val="28455253"/>
    <w:rsid w:val="28551971"/>
    <w:rsid w:val="285B1C53"/>
    <w:rsid w:val="28707677"/>
    <w:rsid w:val="288C0DA8"/>
    <w:rsid w:val="289F5BB8"/>
    <w:rsid w:val="289F7086"/>
    <w:rsid w:val="28C32028"/>
    <w:rsid w:val="28CC490F"/>
    <w:rsid w:val="28DE40AA"/>
    <w:rsid w:val="29345E77"/>
    <w:rsid w:val="294C65AD"/>
    <w:rsid w:val="297A7E50"/>
    <w:rsid w:val="29806583"/>
    <w:rsid w:val="298B3C4C"/>
    <w:rsid w:val="29BB1E01"/>
    <w:rsid w:val="29C8213C"/>
    <w:rsid w:val="29D846A7"/>
    <w:rsid w:val="29F26D24"/>
    <w:rsid w:val="2A15033F"/>
    <w:rsid w:val="2A1662C1"/>
    <w:rsid w:val="2A1C7367"/>
    <w:rsid w:val="2A2815FA"/>
    <w:rsid w:val="2A501356"/>
    <w:rsid w:val="2A5C2650"/>
    <w:rsid w:val="2A6D6092"/>
    <w:rsid w:val="2A700215"/>
    <w:rsid w:val="2A7D76B4"/>
    <w:rsid w:val="2A9903AD"/>
    <w:rsid w:val="2AAF03E9"/>
    <w:rsid w:val="2ABD1E1C"/>
    <w:rsid w:val="2B437463"/>
    <w:rsid w:val="2B7807EE"/>
    <w:rsid w:val="2BA50BF7"/>
    <w:rsid w:val="2BBF00EC"/>
    <w:rsid w:val="2BC37CFD"/>
    <w:rsid w:val="2BD5237F"/>
    <w:rsid w:val="2BE536CE"/>
    <w:rsid w:val="2BE758D9"/>
    <w:rsid w:val="2C09049E"/>
    <w:rsid w:val="2C0A653C"/>
    <w:rsid w:val="2C191F85"/>
    <w:rsid w:val="2C2422F5"/>
    <w:rsid w:val="2CA736CC"/>
    <w:rsid w:val="2CB76CC5"/>
    <w:rsid w:val="2CC87E1E"/>
    <w:rsid w:val="2CE82D6F"/>
    <w:rsid w:val="2D2D28E7"/>
    <w:rsid w:val="2D343236"/>
    <w:rsid w:val="2D676B3E"/>
    <w:rsid w:val="2DD15014"/>
    <w:rsid w:val="2DF72DE4"/>
    <w:rsid w:val="2E0220AF"/>
    <w:rsid w:val="2E1432A5"/>
    <w:rsid w:val="2E4B082A"/>
    <w:rsid w:val="2E5D4E86"/>
    <w:rsid w:val="2E5D790B"/>
    <w:rsid w:val="2E9A3C18"/>
    <w:rsid w:val="2EBB0FEE"/>
    <w:rsid w:val="2EC63002"/>
    <w:rsid w:val="2ECC40A6"/>
    <w:rsid w:val="2ED70254"/>
    <w:rsid w:val="2F0A6B38"/>
    <w:rsid w:val="2F335571"/>
    <w:rsid w:val="2F946CCB"/>
    <w:rsid w:val="2FD25781"/>
    <w:rsid w:val="2FFD7934"/>
    <w:rsid w:val="30070078"/>
    <w:rsid w:val="30446AC1"/>
    <w:rsid w:val="30733ACD"/>
    <w:rsid w:val="308C3862"/>
    <w:rsid w:val="309379D8"/>
    <w:rsid w:val="309E089A"/>
    <w:rsid w:val="30A270F7"/>
    <w:rsid w:val="30C45E24"/>
    <w:rsid w:val="30DF1478"/>
    <w:rsid w:val="30E36FEE"/>
    <w:rsid w:val="30EC586F"/>
    <w:rsid w:val="30F47343"/>
    <w:rsid w:val="317875A6"/>
    <w:rsid w:val="31862BDB"/>
    <w:rsid w:val="319C6071"/>
    <w:rsid w:val="31AC537E"/>
    <w:rsid w:val="31DE7F64"/>
    <w:rsid w:val="31E3679B"/>
    <w:rsid w:val="31E72B5C"/>
    <w:rsid w:val="31E732FD"/>
    <w:rsid w:val="322E1639"/>
    <w:rsid w:val="322E358F"/>
    <w:rsid w:val="3240643F"/>
    <w:rsid w:val="32517576"/>
    <w:rsid w:val="32A64673"/>
    <w:rsid w:val="32BE5C2C"/>
    <w:rsid w:val="32FB6478"/>
    <w:rsid w:val="33071C81"/>
    <w:rsid w:val="33263B3F"/>
    <w:rsid w:val="336963EB"/>
    <w:rsid w:val="33816EEB"/>
    <w:rsid w:val="339733AC"/>
    <w:rsid w:val="339C6C85"/>
    <w:rsid w:val="33EB55CD"/>
    <w:rsid w:val="33EC4C02"/>
    <w:rsid w:val="340D2360"/>
    <w:rsid w:val="340F4D1A"/>
    <w:rsid w:val="341037F9"/>
    <w:rsid w:val="3410665D"/>
    <w:rsid w:val="34211214"/>
    <w:rsid w:val="342E63AB"/>
    <w:rsid w:val="34950E68"/>
    <w:rsid w:val="34986E94"/>
    <w:rsid w:val="34AF62C9"/>
    <w:rsid w:val="34CB4388"/>
    <w:rsid w:val="34D13F10"/>
    <w:rsid w:val="34FA6E12"/>
    <w:rsid w:val="354D7158"/>
    <w:rsid w:val="357B13E4"/>
    <w:rsid w:val="358D5588"/>
    <w:rsid w:val="35963C8E"/>
    <w:rsid w:val="35A62617"/>
    <w:rsid w:val="361D3AC6"/>
    <w:rsid w:val="36320DCE"/>
    <w:rsid w:val="363A3B40"/>
    <w:rsid w:val="363F253B"/>
    <w:rsid w:val="36472818"/>
    <w:rsid w:val="364D2056"/>
    <w:rsid w:val="365302AE"/>
    <w:rsid w:val="36607A0A"/>
    <w:rsid w:val="366E227C"/>
    <w:rsid w:val="366F2E0D"/>
    <w:rsid w:val="367B6A5C"/>
    <w:rsid w:val="36853990"/>
    <w:rsid w:val="36A74ADA"/>
    <w:rsid w:val="36AD60D5"/>
    <w:rsid w:val="36B224F9"/>
    <w:rsid w:val="36EC0CC9"/>
    <w:rsid w:val="36F4212A"/>
    <w:rsid w:val="372757B8"/>
    <w:rsid w:val="372C1443"/>
    <w:rsid w:val="372D45F3"/>
    <w:rsid w:val="373F410B"/>
    <w:rsid w:val="376314EA"/>
    <w:rsid w:val="37A86829"/>
    <w:rsid w:val="37EE7094"/>
    <w:rsid w:val="380F3D50"/>
    <w:rsid w:val="38296C89"/>
    <w:rsid w:val="383002EB"/>
    <w:rsid w:val="38334FD2"/>
    <w:rsid w:val="38586797"/>
    <w:rsid w:val="386664AD"/>
    <w:rsid w:val="389353CF"/>
    <w:rsid w:val="38BC0149"/>
    <w:rsid w:val="38D87D1C"/>
    <w:rsid w:val="38DB1179"/>
    <w:rsid w:val="39202E82"/>
    <w:rsid w:val="39636459"/>
    <w:rsid w:val="396B7F6C"/>
    <w:rsid w:val="39B417A9"/>
    <w:rsid w:val="39FC5695"/>
    <w:rsid w:val="3A006D8E"/>
    <w:rsid w:val="3A3651E5"/>
    <w:rsid w:val="3A5C3E85"/>
    <w:rsid w:val="3A744481"/>
    <w:rsid w:val="3A8C7BEF"/>
    <w:rsid w:val="3A906246"/>
    <w:rsid w:val="3B0F14A8"/>
    <w:rsid w:val="3B181276"/>
    <w:rsid w:val="3B2349B7"/>
    <w:rsid w:val="3B616CFF"/>
    <w:rsid w:val="3B6259F6"/>
    <w:rsid w:val="3B890298"/>
    <w:rsid w:val="3B976654"/>
    <w:rsid w:val="3BC01EFC"/>
    <w:rsid w:val="3BCA786A"/>
    <w:rsid w:val="3BCD547B"/>
    <w:rsid w:val="3BCE2DD3"/>
    <w:rsid w:val="3BD31E2F"/>
    <w:rsid w:val="3BF15831"/>
    <w:rsid w:val="3C105946"/>
    <w:rsid w:val="3C161AF5"/>
    <w:rsid w:val="3C44267A"/>
    <w:rsid w:val="3C471448"/>
    <w:rsid w:val="3C5F759A"/>
    <w:rsid w:val="3C6C525A"/>
    <w:rsid w:val="3C8A61A4"/>
    <w:rsid w:val="3CCE23CB"/>
    <w:rsid w:val="3CD17D17"/>
    <w:rsid w:val="3CFA6E3D"/>
    <w:rsid w:val="3D3C7F39"/>
    <w:rsid w:val="3D440F09"/>
    <w:rsid w:val="3D4504A0"/>
    <w:rsid w:val="3D764DDC"/>
    <w:rsid w:val="3D8734BB"/>
    <w:rsid w:val="3D9A11D4"/>
    <w:rsid w:val="3DA16D89"/>
    <w:rsid w:val="3DA364BE"/>
    <w:rsid w:val="3DE041CB"/>
    <w:rsid w:val="3E0D48F6"/>
    <w:rsid w:val="3E1868B4"/>
    <w:rsid w:val="3E377251"/>
    <w:rsid w:val="3E42664B"/>
    <w:rsid w:val="3E470969"/>
    <w:rsid w:val="3E5A7334"/>
    <w:rsid w:val="3E796F0F"/>
    <w:rsid w:val="3E7B5D6B"/>
    <w:rsid w:val="3E843E66"/>
    <w:rsid w:val="3E8F51FE"/>
    <w:rsid w:val="3E926F87"/>
    <w:rsid w:val="3E9854BD"/>
    <w:rsid w:val="3E9A59DE"/>
    <w:rsid w:val="3EAF4836"/>
    <w:rsid w:val="3EC33DFA"/>
    <w:rsid w:val="3EDC277D"/>
    <w:rsid w:val="3F0423A1"/>
    <w:rsid w:val="3F060E16"/>
    <w:rsid w:val="3F1D1096"/>
    <w:rsid w:val="3F2B39CC"/>
    <w:rsid w:val="3F2F0234"/>
    <w:rsid w:val="3F3B76DC"/>
    <w:rsid w:val="3F5B473B"/>
    <w:rsid w:val="3F6363FE"/>
    <w:rsid w:val="3F756B8F"/>
    <w:rsid w:val="3F95482B"/>
    <w:rsid w:val="3FD3724B"/>
    <w:rsid w:val="4019356B"/>
    <w:rsid w:val="40592157"/>
    <w:rsid w:val="406E1CAE"/>
    <w:rsid w:val="408A1F32"/>
    <w:rsid w:val="408E68F7"/>
    <w:rsid w:val="40A0133A"/>
    <w:rsid w:val="40B7336D"/>
    <w:rsid w:val="40C31A53"/>
    <w:rsid w:val="40DB1441"/>
    <w:rsid w:val="40FF545D"/>
    <w:rsid w:val="410067C8"/>
    <w:rsid w:val="41626E44"/>
    <w:rsid w:val="416C6465"/>
    <w:rsid w:val="418F0D2A"/>
    <w:rsid w:val="41A06BDB"/>
    <w:rsid w:val="41D01505"/>
    <w:rsid w:val="41D04E9E"/>
    <w:rsid w:val="422A46BF"/>
    <w:rsid w:val="42470286"/>
    <w:rsid w:val="42474939"/>
    <w:rsid w:val="42497F67"/>
    <w:rsid w:val="424C3C57"/>
    <w:rsid w:val="425B7C9B"/>
    <w:rsid w:val="42613FF3"/>
    <w:rsid w:val="42660D96"/>
    <w:rsid w:val="428667D2"/>
    <w:rsid w:val="429A4C67"/>
    <w:rsid w:val="42BE0955"/>
    <w:rsid w:val="42CD1CE0"/>
    <w:rsid w:val="42E1381E"/>
    <w:rsid w:val="42EB3628"/>
    <w:rsid w:val="42ED6459"/>
    <w:rsid w:val="42F34DB7"/>
    <w:rsid w:val="42FE58DD"/>
    <w:rsid w:val="43174B3D"/>
    <w:rsid w:val="433562C0"/>
    <w:rsid w:val="434B790E"/>
    <w:rsid w:val="4360274F"/>
    <w:rsid w:val="43977AB6"/>
    <w:rsid w:val="43A304A3"/>
    <w:rsid w:val="43A3342B"/>
    <w:rsid w:val="43A94B74"/>
    <w:rsid w:val="43B00260"/>
    <w:rsid w:val="43C77C27"/>
    <w:rsid w:val="43CA31EC"/>
    <w:rsid w:val="43D03661"/>
    <w:rsid w:val="43D65968"/>
    <w:rsid w:val="43DE09EE"/>
    <w:rsid w:val="43F32678"/>
    <w:rsid w:val="44002FAD"/>
    <w:rsid w:val="4430589B"/>
    <w:rsid w:val="449101DD"/>
    <w:rsid w:val="449D00C3"/>
    <w:rsid w:val="44A23EFE"/>
    <w:rsid w:val="44DE1391"/>
    <w:rsid w:val="44DF50FE"/>
    <w:rsid w:val="44F1776B"/>
    <w:rsid w:val="451B225C"/>
    <w:rsid w:val="452410C9"/>
    <w:rsid w:val="45242627"/>
    <w:rsid w:val="45317DFB"/>
    <w:rsid w:val="456D3CE4"/>
    <w:rsid w:val="4579042C"/>
    <w:rsid w:val="457F0571"/>
    <w:rsid w:val="45851176"/>
    <w:rsid w:val="45C63B94"/>
    <w:rsid w:val="45F41170"/>
    <w:rsid w:val="460E7DA5"/>
    <w:rsid w:val="461A7B61"/>
    <w:rsid w:val="46422483"/>
    <w:rsid w:val="464C1B22"/>
    <w:rsid w:val="4659254A"/>
    <w:rsid w:val="465B0637"/>
    <w:rsid w:val="465E3F0D"/>
    <w:rsid w:val="466A16E6"/>
    <w:rsid w:val="46893F2B"/>
    <w:rsid w:val="469B143E"/>
    <w:rsid w:val="46C4686E"/>
    <w:rsid w:val="471E5F12"/>
    <w:rsid w:val="477B778F"/>
    <w:rsid w:val="478203EC"/>
    <w:rsid w:val="47A3636C"/>
    <w:rsid w:val="47B025FA"/>
    <w:rsid w:val="47EA49E2"/>
    <w:rsid w:val="47FF4632"/>
    <w:rsid w:val="4803505C"/>
    <w:rsid w:val="4809698F"/>
    <w:rsid w:val="480F17B8"/>
    <w:rsid w:val="4811697D"/>
    <w:rsid w:val="487A3E25"/>
    <w:rsid w:val="488B5503"/>
    <w:rsid w:val="488E040A"/>
    <w:rsid w:val="488F3A94"/>
    <w:rsid w:val="48937E21"/>
    <w:rsid w:val="489A0361"/>
    <w:rsid w:val="48B94FF3"/>
    <w:rsid w:val="48C83D4E"/>
    <w:rsid w:val="48E37AAB"/>
    <w:rsid w:val="48FD4B4C"/>
    <w:rsid w:val="490A68E0"/>
    <w:rsid w:val="491055FE"/>
    <w:rsid w:val="491C7B76"/>
    <w:rsid w:val="49363A5F"/>
    <w:rsid w:val="495F2F05"/>
    <w:rsid w:val="495F5B3E"/>
    <w:rsid w:val="496F77D7"/>
    <w:rsid w:val="497654FD"/>
    <w:rsid w:val="49B64211"/>
    <w:rsid w:val="49F6167F"/>
    <w:rsid w:val="4A064FA0"/>
    <w:rsid w:val="4A16615C"/>
    <w:rsid w:val="4A4424D7"/>
    <w:rsid w:val="4A59700E"/>
    <w:rsid w:val="4A5F7802"/>
    <w:rsid w:val="4AB82D0F"/>
    <w:rsid w:val="4AEB7664"/>
    <w:rsid w:val="4AFD7C19"/>
    <w:rsid w:val="4B0567D1"/>
    <w:rsid w:val="4B236AAE"/>
    <w:rsid w:val="4B386DCB"/>
    <w:rsid w:val="4B4F40B6"/>
    <w:rsid w:val="4B707271"/>
    <w:rsid w:val="4B931B5E"/>
    <w:rsid w:val="4B9739F7"/>
    <w:rsid w:val="4BB679E9"/>
    <w:rsid w:val="4BBF49F8"/>
    <w:rsid w:val="4BED6871"/>
    <w:rsid w:val="4BEE2503"/>
    <w:rsid w:val="4BF63543"/>
    <w:rsid w:val="4C1214FC"/>
    <w:rsid w:val="4C245A30"/>
    <w:rsid w:val="4C676029"/>
    <w:rsid w:val="4CB6685F"/>
    <w:rsid w:val="4CBB45C2"/>
    <w:rsid w:val="4CC367FE"/>
    <w:rsid w:val="4D077F3C"/>
    <w:rsid w:val="4D123355"/>
    <w:rsid w:val="4D227280"/>
    <w:rsid w:val="4D2A3B31"/>
    <w:rsid w:val="4D312C52"/>
    <w:rsid w:val="4D370468"/>
    <w:rsid w:val="4D471EA0"/>
    <w:rsid w:val="4D4817B2"/>
    <w:rsid w:val="4D905305"/>
    <w:rsid w:val="4D9645E0"/>
    <w:rsid w:val="4D964A72"/>
    <w:rsid w:val="4D9C1254"/>
    <w:rsid w:val="4DD37775"/>
    <w:rsid w:val="4E187674"/>
    <w:rsid w:val="4E793892"/>
    <w:rsid w:val="4E800872"/>
    <w:rsid w:val="4EA2737D"/>
    <w:rsid w:val="4EC569ED"/>
    <w:rsid w:val="4ED50EA1"/>
    <w:rsid w:val="4EEC050C"/>
    <w:rsid w:val="4EFD5EBB"/>
    <w:rsid w:val="4F104EC3"/>
    <w:rsid w:val="4F47354A"/>
    <w:rsid w:val="4F7B6625"/>
    <w:rsid w:val="4F911C54"/>
    <w:rsid w:val="4FC450D1"/>
    <w:rsid w:val="4FE11F77"/>
    <w:rsid w:val="4FE625E0"/>
    <w:rsid w:val="4FF116B2"/>
    <w:rsid w:val="5021480F"/>
    <w:rsid w:val="50854823"/>
    <w:rsid w:val="50855E90"/>
    <w:rsid w:val="50962ECB"/>
    <w:rsid w:val="509F4E0D"/>
    <w:rsid w:val="50A42E38"/>
    <w:rsid w:val="50A4577F"/>
    <w:rsid w:val="50B73D1F"/>
    <w:rsid w:val="50BD5BC9"/>
    <w:rsid w:val="50C11EEE"/>
    <w:rsid w:val="50E97CFC"/>
    <w:rsid w:val="50FA4028"/>
    <w:rsid w:val="50FA771A"/>
    <w:rsid w:val="510A1B6B"/>
    <w:rsid w:val="510D65B7"/>
    <w:rsid w:val="511157AB"/>
    <w:rsid w:val="513568F3"/>
    <w:rsid w:val="5142540C"/>
    <w:rsid w:val="516B56B8"/>
    <w:rsid w:val="518832C8"/>
    <w:rsid w:val="51A0432A"/>
    <w:rsid w:val="51A86090"/>
    <w:rsid w:val="51B7396D"/>
    <w:rsid w:val="522E4CC3"/>
    <w:rsid w:val="5244713B"/>
    <w:rsid w:val="525E5A5D"/>
    <w:rsid w:val="525E6849"/>
    <w:rsid w:val="52615633"/>
    <w:rsid w:val="52977FD4"/>
    <w:rsid w:val="529A2CE3"/>
    <w:rsid w:val="52A25790"/>
    <w:rsid w:val="52A96B6F"/>
    <w:rsid w:val="52B45975"/>
    <w:rsid w:val="52C90667"/>
    <w:rsid w:val="52D94AA4"/>
    <w:rsid w:val="52EA3A62"/>
    <w:rsid w:val="52F50BB8"/>
    <w:rsid w:val="52F57ED7"/>
    <w:rsid w:val="53097272"/>
    <w:rsid w:val="531456AC"/>
    <w:rsid w:val="5323383B"/>
    <w:rsid w:val="53544462"/>
    <w:rsid w:val="5397158E"/>
    <w:rsid w:val="53C03DB3"/>
    <w:rsid w:val="54013861"/>
    <w:rsid w:val="54217F3A"/>
    <w:rsid w:val="54487265"/>
    <w:rsid w:val="544D6070"/>
    <w:rsid w:val="54605E1E"/>
    <w:rsid w:val="54B3506A"/>
    <w:rsid w:val="54CA0D16"/>
    <w:rsid w:val="54DD4057"/>
    <w:rsid w:val="54E7490F"/>
    <w:rsid w:val="55061018"/>
    <w:rsid w:val="550764A4"/>
    <w:rsid w:val="550B2BF6"/>
    <w:rsid w:val="55214EB5"/>
    <w:rsid w:val="552C666B"/>
    <w:rsid w:val="55355AE1"/>
    <w:rsid w:val="55364EFD"/>
    <w:rsid w:val="555262E3"/>
    <w:rsid w:val="555D4828"/>
    <w:rsid w:val="557A4C8B"/>
    <w:rsid w:val="558931E1"/>
    <w:rsid w:val="55923347"/>
    <w:rsid w:val="55925180"/>
    <w:rsid w:val="55983B1B"/>
    <w:rsid w:val="55A8376B"/>
    <w:rsid w:val="55DC29B6"/>
    <w:rsid w:val="55DD4241"/>
    <w:rsid w:val="566B6D1E"/>
    <w:rsid w:val="569E129D"/>
    <w:rsid w:val="56A03015"/>
    <w:rsid w:val="56B52BD2"/>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17D4A"/>
    <w:rsid w:val="57D675AB"/>
    <w:rsid w:val="57D95FDD"/>
    <w:rsid w:val="57E87CD3"/>
    <w:rsid w:val="57EF7F5F"/>
    <w:rsid w:val="58917D2F"/>
    <w:rsid w:val="5894085C"/>
    <w:rsid w:val="58AE4F0C"/>
    <w:rsid w:val="58B043A4"/>
    <w:rsid w:val="58B85899"/>
    <w:rsid w:val="58C22DDC"/>
    <w:rsid w:val="58E363A9"/>
    <w:rsid w:val="59384C23"/>
    <w:rsid w:val="595E1678"/>
    <w:rsid w:val="596D5BD4"/>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414E3"/>
    <w:rsid w:val="5AD63A24"/>
    <w:rsid w:val="5AE623A0"/>
    <w:rsid w:val="5B2E1A1D"/>
    <w:rsid w:val="5B5A4B3C"/>
    <w:rsid w:val="5B843A1C"/>
    <w:rsid w:val="5B873E3F"/>
    <w:rsid w:val="5B975782"/>
    <w:rsid w:val="5BCB4DF7"/>
    <w:rsid w:val="5C02690E"/>
    <w:rsid w:val="5C196DA7"/>
    <w:rsid w:val="5C2A048C"/>
    <w:rsid w:val="5C6C6A0C"/>
    <w:rsid w:val="5C80234E"/>
    <w:rsid w:val="5C8A680C"/>
    <w:rsid w:val="5CB8145B"/>
    <w:rsid w:val="5CC17D3E"/>
    <w:rsid w:val="5CC71449"/>
    <w:rsid w:val="5CF03E0A"/>
    <w:rsid w:val="5D0C4701"/>
    <w:rsid w:val="5D0F0395"/>
    <w:rsid w:val="5D221076"/>
    <w:rsid w:val="5D397964"/>
    <w:rsid w:val="5D472AE9"/>
    <w:rsid w:val="5D5A391C"/>
    <w:rsid w:val="5D5F10C0"/>
    <w:rsid w:val="5D83700A"/>
    <w:rsid w:val="5D891B7B"/>
    <w:rsid w:val="5D92680F"/>
    <w:rsid w:val="5DAD3649"/>
    <w:rsid w:val="5DAD38EE"/>
    <w:rsid w:val="5E006862"/>
    <w:rsid w:val="5E0207B9"/>
    <w:rsid w:val="5E1834A1"/>
    <w:rsid w:val="5E197CFB"/>
    <w:rsid w:val="5E1D27A4"/>
    <w:rsid w:val="5E261785"/>
    <w:rsid w:val="5E34357A"/>
    <w:rsid w:val="5E4A7017"/>
    <w:rsid w:val="5E552BBA"/>
    <w:rsid w:val="5E611C10"/>
    <w:rsid w:val="5E7A0F3F"/>
    <w:rsid w:val="5E9D7B9C"/>
    <w:rsid w:val="5EE12032"/>
    <w:rsid w:val="5EFC7377"/>
    <w:rsid w:val="5F0116AB"/>
    <w:rsid w:val="5F012A1A"/>
    <w:rsid w:val="5F06174D"/>
    <w:rsid w:val="5F3A3602"/>
    <w:rsid w:val="5F45733B"/>
    <w:rsid w:val="5F6277C6"/>
    <w:rsid w:val="5F6D0B1D"/>
    <w:rsid w:val="5F8D0B82"/>
    <w:rsid w:val="5FA228C7"/>
    <w:rsid w:val="5FCC5339"/>
    <w:rsid w:val="5FE34A5B"/>
    <w:rsid w:val="5FFE1E36"/>
    <w:rsid w:val="60232584"/>
    <w:rsid w:val="605864BB"/>
    <w:rsid w:val="607330CE"/>
    <w:rsid w:val="60825176"/>
    <w:rsid w:val="609F2AC4"/>
    <w:rsid w:val="60FA2EE8"/>
    <w:rsid w:val="61054A27"/>
    <w:rsid w:val="610A52BC"/>
    <w:rsid w:val="6110496E"/>
    <w:rsid w:val="611D2366"/>
    <w:rsid w:val="61421856"/>
    <w:rsid w:val="61475B62"/>
    <w:rsid w:val="61505981"/>
    <w:rsid w:val="615227C4"/>
    <w:rsid w:val="61654E3F"/>
    <w:rsid w:val="6182292A"/>
    <w:rsid w:val="619F7F92"/>
    <w:rsid w:val="61F94C26"/>
    <w:rsid w:val="62000E56"/>
    <w:rsid w:val="62244584"/>
    <w:rsid w:val="624F3E49"/>
    <w:rsid w:val="62630468"/>
    <w:rsid w:val="62632286"/>
    <w:rsid w:val="62885958"/>
    <w:rsid w:val="62F40B65"/>
    <w:rsid w:val="62FC2CFE"/>
    <w:rsid w:val="63024505"/>
    <w:rsid w:val="635B1DB5"/>
    <w:rsid w:val="63711FED"/>
    <w:rsid w:val="63880DDC"/>
    <w:rsid w:val="638D750D"/>
    <w:rsid w:val="63AC6CC0"/>
    <w:rsid w:val="63B31505"/>
    <w:rsid w:val="63C652E8"/>
    <w:rsid w:val="63E34801"/>
    <w:rsid w:val="64055776"/>
    <w:rsid w:val="640743D5"/>
    <w:rsid w:val="64240056"/>
    <w:rsid w:val="64281C7B"/>
    <w:rsid w:val="643E143A"/>
    <w:rsid w:val="648B6EEF"/>
    <w:rsid w:val="64970BAF"/>
    <w:rsid w:val="64C158BF"/>
    <w:rsid w:val="64CE2EAA"/>
    <w:rsid w:val="64E409E7"/>
    <w:rsid w:val="653C3090"/>
    <w:rsid w:val="656942F9"/>
    <w:rsid w:val="65854376"/>
    <w:rsid w:val="658767BE"/>
    <w:rsid w:val="65892531"/>
    <w:rsid w:val="66195831"/>
    <w:rsid w:val="662E75B1"/>
    <w:rsid w:val="6631436E"/>
    <w:rsid w:val="66342C2E"/>
    <w:rsid w:val="663E784C"/>
    <w:rsid w:val="66551A38"/>
    <w:rsid w:val="66771F04"/>
    <w:rsid w:val="668B6A45"/>
    <w:rsid w:val="66A6332B"/>
    <w:rsid w:val="66AF45D1"/>
    <w:rsid w:val="66E14363"/>
    <w:rsid w:val="66EC7EAB"/>
    <w:rsid w:val="672F3F24"/>
    <w:rsid w:val="673E055F"/>
    <w:rsid w:val="673E1CC6"/>
    <w:rsid w:val="6740233F"/>
    <w:rsid w:val="67464458"/>
    <w:rsid w:val="67551CE3"/>
    <w:rsid w:val="67904B6F"/>
    <w:rsid w:val="67A22552"/>
    <w:rsid w:val="67B22DCC"/>
    <w:rsid w:val="67BE71AA"/>
    <w:rsid w:val="67D90273"/>
    <w:rsid w:val="67DE5875"/>
    <w:rsid w:val="67E55852"/>
    <w:rsid w:val="67EB1AB4"/>
    <w:rsid w:val="67FA1285"/>
    <w:rsid w:val="68551F4F"/>
    <w:rsid w:val="687C10C9"/>
    <w:rsid w:val="68840C16"/>
    <w:rsid w:val="68876EFB"/>
    <w:rsid w:val="68884654"/>
    <w:rsid w:val="688C181F"/>
    <w:rsid w:val="689F444F"/>
    <w:rsid w:val="68B308CB"/>
    <w:rsid w:val="68B96DBB"/>
    <w:rsid w:val="68CA2805"/>
    <w:rsid w:val="68D64166"/>
    <w:rsid w:val="68E937A3"/>
    <w:rsid w:val="68FC7232"/>
    <w:rsid w:val="69361D64"/>
    <w:rsid w:val="693E15D3"/>
    <w:rsid w:val="69627681"/>
    <w:rsid w:val="6977531D"/>
    <w:rsid w:val="69B90AD3"/>
    <w:rsid w:val="69CC2BFF"/>
    <w:rsid w:val="69FD55B8"/>
    <w:rsid w:val="6A0B1C62"/>
    <w:rsid w:val="6A2406C8"/>
    <w:rsid w:val="6A537007"/>
    <w:rsid w:val="6A7A0D56"/>
    <w:rsid w:val="6A836436"/>
    <w:rsid w:val="6A8413AD"/>
    <w:rsid w:val="6A8F2B46"/>
    <w:rsid w:val="6AB20BBB"/>
    <w:rsid w:val="6ADE0BD1"/>
    <w:rsid w:val="6AE96859"/>
    <w:rsid w:val="6AFA38B3"/>
    <w:rsid w:val="6B147746"/>
    <w:rsid w:val="6B24787C"/>
    <w:rsid w:val="6B573233"/>
    <w:rsid w:val="6B5B6274"/>
    <w:rsid w:val="6B935D53"/>
    <w:rsid w:val="6C196F71"/>
    <w:rsid w:val="6C226FCB"/>
    <w:rsid w:val="6C31226F"/>
    <w:rsid w:val="6C5052FB"/>
    <w:rsid w:val="6C552F0B"/>
    <w:rsid w:val="6C8C67B7"/>
    <w:rsid w:val="6C9D744C"/>
    <w:rsid w:val="6CD76DA0"/>
    <w:rsid w:val="6CE91FA8"/>
    <w:rsid w:val="6CFE67A8"/>
    <w:rsid w:val="6D1270C1"/>
    <w:rsid w:val="6D167928"/>
    <w:rsid w:val="6D26299B"/>
    <w:rsid w:val="6D4772EC"/>
    <w:rsid w:val="6D5910ED"/>
    <w:rsid w:val="6D9078AF"/>
    <w:rsid w:val="6DA31F02"/>
    <w:rsid w:val="6DAA3FEF"/>
    <w:rsid w:val="6DC0172B"/>
    <w:rsid w:val="6DCB690C"/>
    <w:rsid w:val="6DD00892"/>
    <w:rsid w:val="6DD41A5B"/>
    <w:rsid w:val="6DEF3D2D"/>
    <w:rsid w:val="6DF43C2E"/>
    <w:rsid w:val="6DF51CA3"/>
    <w:rsid w:val="6E8335BD"/>
    <w:rsid w:val="6E8E12EF"/>
    <w:rsid w:val="6E972936"/>
    <w:rsid w:val="6E974DA9"/>
    <w:rsid w:val="6E9C4FAB"/>
    <w:rsid w:val="6ED446C5"/>
    <w:rsid w:val="6F2A20D9"/>
    <w:rsid w:val="6F2A7D94"/>
    <w:rsid w:val="6F8331F1"/>
    <w:rsid w:val="6FAE1A09"/>
    <w:rsid w:val="6FD75BF8"/>
    <w:rsid w:val="7014458C"/>
    <w:rsid w:val="701A785F"/>
    <w:rsid w:val="70425B83"/>
    <w:rsid w:val="707723D0"/>
    <w:rsid w:val="708F6F20"/>
    <w:rsid w:val="70ED7614"/>
    <w:rsid w:val="70F5661B"/>
    <w:rsid w:val="70FF1FF8"/>
    <w:rsid w:val="71360107"/>
    <w:rsid w:val="713B688E"/>
    <w:rsid w:val="71753085"/>
    <w:rsid w:val="71B209B6"/>
    <w:rsid w:val="71D43752"/>
    <w:rsid w:val="71F1796A"/>
    <w:rsid w:val="720F2513"/>
    <w:rsid w:val="72154626"/>
    <w:rsid w:val="72262B5D"/>
    <w:rsid w:val="72283FF7"/>
    <w:rsid w:val="722E7212"/>
    <w:rsid w:val="723A0474"/>
    <w:rsid w:val="725923E4"/>
    <w:rsid w:val="7268597C"/>
    <w:rsid w:val="72864BF7"/>
    <w:rsid w:val="729023FC"/>
    <w:rsid w:val="729545DB"/>
    <w:rsid w:val="731A04F4"/>
    <w:rsid w:val="732A24B8"/>
    <w:rsid w:val="738C55E6"/>
    <w:rsid w:val="73C0646E"/>
    <w:rsid w:val="742222F5"/>
    <w:rsid w:val="74476126"/>
    <w:rsid w:val="74582108"/>
    <w:rsid w:val="74706664"/>
    <w:rsid w:val="747F3682"/>
    <w:rsid w:val="749C4185"/>
    <w:rsid w:val="74A8288F"/>
    <w:rsid w:val="75067759"/>
    <w:rsid w:val="750A3562"/>
    <w:rsid w:val="752E6DCD"/>
    <w:rsid w:val="7551380D"/>
    <w:rsid w:val="75524956"/>
    <w:rsid w:val="755D20FC"/>
    <w:rsid w:val="75600BE5"/>
    <w:rsid w:val="7564475C"/>
    <w:rsid w:val="757D1624"/>
    <w:rsid w:val="7583797F"/>
    <w:rsid w:val="75BE5D72"/>
    <w:rsid w:val="75D20F1D"/>
    <w:rsid w:val="75DA2C18"/>
    <w:rsid w:val="75E97204"/>
    <w:rsid w:val="75F54412"/>
    <w:rsid w:val="761D08E0"/>
    <w:rsid w:val="765D347C"/>
    <w:rsid w:val="76826699"/>
    <w:rsid w:val="76C87133"/>
    <w:rsid w:val="76CD08D5"/>
    <w:rsid w:val="76DB4B92"/>
    <w:rsid w:val="77052AA4"/>
    <w:rsid w:val="77136511"/>
    <w:rsid w:val="77340A39"/>
    <w:rsid w:val="77351FD0"/>
    <w:rsid w:val="77472422"/>
    <w:rsid w:val="777F31F2"/>
    <w:rsid w:val="77C17FC5"/>
    <w:rsid w:val="77D1700D"/>
    <w:rsid w:val="77EC04CC"/>
    <w:rsid w:val="78775729"/>
    <w:rsid w:val="78A42DB0"/>
    <w:rsid w:val="78A656AB"/>
    <w:rsid w:val="78B2245C"/>
    <w:rsid w:val="78E172CC"/>
    <w:rsid w:val="78EA1D1F"/>
    <w:rsid w:val="7904172F"/>
    <w:rsid w:val="790F7E27"/>
    <w:rsid w:val="792A231A"/>
    <w:rsid w:val="79316829"/>
    <w:rsid w:val="794D2FAD"/>
    <w:rsid w:val="797E66A9"/>
    <w:rsid w:val="79962EE9"/>
    <w:rsid w:val="799D5A89"/>
    <w:rsid w:val="79A97383"/>
    <w:rsid w:val="79E27E8B"/>
    <w:rsid w:val="79F850CE"/>
    <w:rsid w:val="79FD443C"/>
    <w:rsid w:val="7A1D1975"/>
    <w:rsid w:val="7A2142E0"/>
    <w:rsid w:val="7A3E5150"/>
    <w:rsid w:val="7A4670D6"/>
    <w:rsid w:val="7A534B63"/>
    <w:rsid w:val="7A615382"/>
    <w:rsid w:val="7A67303B"/>
    <w:rsid w:val="7AAB1D04"/>
    <w:rsid w:val="7ABA4368"/>
    <w:rsid w:val="7AD05746"/>
    <w:rsid w:val="7B0F10EF"/>
    <w:rsid w:val="7B237C3C"/>
    <w:rsid w:val="7B257FFD"/>
    <w:rsid w:val="7B2F3497"/>
    <w:rsid w:val="7B33083B"/>
    <w:rsid w:val="7B343476"/>
    <w:rsid w:val="7B5137BB"/>
    <w:rsid w:val="7B573F14"/>
    <w:rsid w:val="7B5A2978"/>
    <w:rsid w:val="7B5A7E4C"/>
    <w:rsid w:val="7B667AF9"/>
    <w:rsid w:val="7B7468F8"/>
    <w:rsid w:val="7BBB4863"/>
    <w:rsid w:val="7BEE0103"/>
    <w:rsid w:val="7C0A0FE4"/>
    <w:rsid w:val="7C127041"/>
    <w:rsid w:val="7C2428D0"/>
    <w:rsid w:val="7C254906"/>
    <w:rsid w:val="7C324652"/>
    <w:rsid w:val="7C5240F6"/>
    <w:rsid w:val="7C590818"/>
    <w:rsid w:val="7C7C10F6"/>
    <w:rsid w:val="7C806050"/>
    <w:rsid w:val="7C853BEA"/>
    <w:rsid w:val="7C881368"/>
    <w:rsid w:val="7CE27788"/>
    <w:rsid w:val="7CE456E0"/>
    <w:rsid w:val="7D0357E5"/>
    <w:rsid w:val="7D0C32F1"/>
    <w:rsid w:val="7D0F408D"/>
    <w:rsid w:val="7D1E1A23"/>
    <w:rsid w:val="7D491C6C"/>
    <w:rsid w:val="7D5429C0"/>
    <w:rsid w:val="7D6E6D43"/>
    <w:rsid w:val="7D7069D2"/>
    <w:rsid w:val="7D901775"/>
    <w:rsid w:val="7DB57A34"/>
    <w:rsid w:val="7DE60973"/>
    <w:rsid w:val="7DEF0916"/>
    <w:rsid w:val="7DFB0F0F"/>
    <w:rsid w:val="7E1E5218"/>
    <w:rsid w:val="7E9A4E1F"/>
    <w:rsid w:val="7EA7723A"/>
    <w:rsid w:val="7EE97F06"/>
    <w:rsid w:val="7EF56FBB"/>
    <w:rsid w:val="7F062761"/>
    <w:rsid w:val="7F0768EB"/>
    <w:rsid w:val="7F143BEC"/>
    <w:rsid w:val="7F351160"/>
    <w:rsid w:val="7F3858D1"/>
    <w:rsid w:val="7F473ED3"/>
    <w:rsid w:val="7F611005"/>
    <w:rsid w:val="7F715AF2"/>
    <w:rsid w:val="7F886E69"/>
    <w:rsid w:val="7FE52ABE"/>
    <w:rsid w:val="7FF24A7E"/>
    <w:rsid w:val="7FFE18E1"/>
    <w:rsid w:val="987E5AF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1"/>
    <w:qFormat/>
    <w:uiPriority w:val="0"/>
    <w:rPr>
      <w:b/>
      <w:bCs/>
    </w:rPr>
  </w:style>
  <w:style w:type="paragraph" w:styleId="60">
    <w:name w:val="Body Text First Indent"/>
    <w:basedOn w:val="23"/>
    <w:next w:val="61"/>
    <w:link w:val="324"/>
    <w:qFormat/>
    <w:uiPriority w:val="0"/>
    <w:pPr>
      <w:ind w:firstLine="420"/>
    </w:pPr>
    <w:rPr>
      <w:rFonts w:hAnsi="Calibri" w:cs="Times New Roman"/>
      <w:snapToGrid/>
      <w:szCs w:val="20"/>
    </w:rPr>
  </w:style>
  <w:style w:type="paragraph" w:styleId="61">
    <w:name w:val="Body Text First Indent 2"/>
    <w:basedOn w:val="24"/>
    <w:next w:val="60"/>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xl53"/>
    <w:basedOn w:val="1"/>
    <w:next w:val="1"/>
    <w:qFormat/>
    <w:uiPriority w:val="0"/>
    <w:pPr>
      <w:spacing w:before="280" w:after="280" w:line="100" w:lineRule="exact"/>
      <w:jc w:val="center"/>
    </w:pPr>
    <w:rPr>
      <w:b/>
      <w:sz w:val="20"/>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PlainText"/>
    <w:basedOn w:val="1"/>
    <w:qFormat/>
    <w:uiPriority w:val="0"/>
    <w:pPr>
      <w:textAlignment w:val="baseline"/>
    </w:pPr>
    <w:rPr>
      <w:rFonts w:ascii="宋体" w:hAnsi="Courier New"/>
      <w:szCs w:val="20"/>
    </w:rPr>
  </w:style>
  <w:style w:type="paragraph" w:customStyle="1"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basedOn w:val="69"/>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69"/>
    <w:qFormat/>
    <w:uiPriority w:val="0"/>
    <w:rPr>
      <w:rFonts w:hint="eastAsia" w:ascii="仿宋_GB2312" w:eastAsia="仿宋_GB2312" w:cs="仿宋_GB2312"/>
      <w:color w:val="000000"/>
      <w:sz w:val="22"/>
      <w:szCs w:val="22"/>
      <w:u w:val="none"/>
    </w:rPr>
  </w:style>
  <w:style w:type="character" w:customStyle="1" w:styleId="152">
    <w:name w:val="标题 6 字符"/>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2"/>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5"/>
    <w:qFormat/>
    <w:uiPriority w:val="0"/>
    <w:rPr>
      <w:rFonts w:ascii="宋体"/>
      <w:kern w:val="2"/>
      <w:sz w:val="24"/>
      <w:szCs w:val="21"/>
      <w:lang w:val="zh-CN"/>
    </w:rPr>
  </w:style>
  <w:style w:type="character" w:customStyle="1" w:styleId="187">
    <w:name w:val="标题 9 字符"/>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basedOn w:val="69"/>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4"/>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basedOn w:val="69"/>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basedOn w:val="69"/>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69"/>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basedOn w:val="69"/>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0"/>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69"/>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80"/>
    <w:qFormat/>
    <w:uiPriority w:val="0"/>
    <w:pPr>
      <w:spacing w:before="312" w:beforeLines="100"/>
      <w:jc w:val="left"/>
    </w:p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6"/>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6"/>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31.1.1标题 333rd levelBOD 0Bold HeadCTH3H31Heading ...1"/>
    <w:basedOn w:val="4"/>
    <w:qFormat/>
    <w:uiPriority w:val="0"/>
    <w:pPr>
      <w:spacing w:before="0" w:after="0"/>
      <w:ind w:firstLine="0"/>
    </w:pPr>
    <w:rPr>
      <w:rFonts w:hAnsi="宋体" w:cs="宋体"/>
      <w:sz w:val="24"/>
    </w:rPr>
  </w:style>
  <w:style w:type="table" w:customStyle="1" w:styleId="965">
    <w:name w:val="Table Normal"/>
    <w:unhideWhenUsed/>
    <w:qFormat/>
    <w:uiPriority w:val="0"/>
    <w:tblPr>
      <w:tblCellMar>
        <w:top w:w="0" w:type="dxa"/>
        <w:left w:w="0" w:type="dxa"/>
        <w:bottom w:w="0" w:type="dxa"/>
        <w:right w:w="0" w:type="dxa"/>
      </w:tblCellMar>
    </w:tblPr>
  </w:style>
  <w:style w:type="paragraph" w:customStyle="1" w:styleId="966">
    <w:name w:val="纯文本3"/>
    <w:basedOn w:val="967"/>
    <w:qFormat/>
    <w:uiPriority w:val="0"/>
    <w:pPr>
      <w:widowControl/>
      <w:jc w:val="left"/>
    </w:pPr>
    <w:rPr>
      <w:rFonts w:ascii="宋体" w:hAnsi="Courier New"/>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正文_0"/>
    <w:qFormat/>
    <w:uiPriority w:val="0"/>
    <w:rPr>
      <w:rFonts w:ascii="Times New Roman" w:hAnsi="Times New Roman" w:eastAsia="宋体" w:cs="Times New Roman"/>
      <w:sz w:val="21"/>
      <w:szCs w:val="22"/>
      <w:lang w:val="en-US" w:eastAsia="zh-CN" w:bidi="ar-SA"/>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paragraph" w:customStyle="1" w:styleId="970">
    <w:name w:val="msolistparagraph"/>
    <w:basedOn w:val="1"/>
    <w:qFormat/>
    <w:uiPriority w:val="99"/>
    <w:pPr>
      <w:ind w:firstLine="420" w:firstLineChars="200"/>
    </w:p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49</Pages>
  <Words>6955</Words>
  <Characters>7744</Characters>
  <Lines>269</Lines>
  <Paragraphs>75</Paragraphs>
  <TotalTime>50</TotalTime>
  <ScaleCrop>false</ScaleCrop>
  <LinksUpToDate>false</LinksUpToDate>
  <CharactersWithSpaces>7814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华耀代理</cp:lastModifiedBy>
  <cp:lastPrinted>2023-07-04T02:55:00Z</cp:lastPrinted>
  <dcterms:modified xsi:type="dcterms:W3CDTF">2025-07-01T08:34:04Z</dcterms:modified>
  <dc:title>杭州市市民卡扩大发卡工程</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DAFCACE0A5DB41FBA60882A94B0E504D_13</vt:lpwstr>
  </property>
  <property fmtid="{D5CDD505-2E9C-101B-9397-08002B2CF9AE}" pid="5" name="commondata">
    <vt:lpwstr>eyJoZGlkIjoiNDk0OGU2YzAzOGE5M2FiNmVhNTU3OTE5ODEzNzM3ZDIifQ==</vt:lpwstr>
  </property>
  <property fmtid="{D5CDD505-2E9C-101B-9397-08002B2CF9AE}" pid="6" name="KSOTemplateDocerSaveRecord">
    <vt:lpwstr>eyJoZGlkIjoiYTgwNDZiMmYyYzE4NDY3OTYwYWY1MGI1MDBkNTU1YWMiLCJ1c2VySWQiOiI0MzM2NzUzMzQifQ==</vt:lpwstr>
  </property>
</Properties>
</file>