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397D3">
      <w:pPr>
        <w:jc w:val="center"/>
        <w:rPr>
          <w:rFonts w:hint="eastAsia" w:ascii="仿宋" w:hAnsi="仿宋" w:eastAsia="仿宋" w:cs="仿宋"/>
          <w:color w:val="auto"/>
          <w:sz w:val="36"/>
          <w:highlight w:val="none"/>
        </w:rPr>
      </w:pPr>
    </w:p>
    <w:p w14:paraId="5A333C12">
      <w:pPr>
        <w:spacing w:line="360" w:lineRule="auto"/>
        <w:jc w:val="center"/>
        <w:rPr>
          <w:rFonts w:hint="eastAsia" w:ascii="仿宋" w:hAnsi="仿宋" w:eastAsia="仿宋" w:cs="仿宋"/>
          <w:b/>
          <w:bCs/>
          <w:color w:val="auto"/>
          <w:sz w:val="48"/>
          <w:szCs w:val="48"/>
          <w:highlight w:val="none"/>
          <w:lang w:eastAsia="zh-CN"/>
        </w:rPr>
      </w:pPr>
      <w:r>
        <w:rPr>
          <w:rFonts w:hint="eastAsia" w:cs="仿宋"/>
          <w:b/>
          <w:bCs/>
          <w:color w:val="auto"/>
          <w:sz w:val="48"/>
          <w:szCs w:val="48"/>
          <w:highlight w:val="none"/>
          <w:lang w:eastAsia="zh-CN"/>
        </w:rPr>
        <w:t>南城未来社区党群服务中心、邻里中心运营服务采购项目</w:t>
      </w:r>
    </w:p>
    <w:p w14:paraId="0BCD2600">
      <w:pPr>
        <w:jc w:val="center"/>
        <w:rPr>
          <w:rFonts w:hint="eastAsia" w:ascii="仿宋" w:hAnsi="仿宋" w:eastAsia="仿宋" w:cs="仿宋"/>
          <w:color w:val="auto"/>
          <w:sz w:val="96"/>
          <w:szCs w:val="96"/>
          <w:highlight w:val="none"/>
        </w:rPr>
      </w:pPr>
    </w:p>
    <w:p w14:paraId="4B98D783">
      <w:pPr>
        <w:jc w:val="center"/>
        <w:rPr>
          <w:rFonts w:hint="eastAsia" w:ascii="仿宋" w:hAnsi="仿宋" w:eastAsia="仿宋" w:cs="仿宋"/>
          <w:color w:val="auto"/>
          <w:sz w:val="96"/>
          <w:szCs w:val="96"/>
          <w:highlight w:val="none"/>
          <w:lang w:eastAsia="zh-CN"/>
        </w:rPr>
      </w:pPr>
      <w:r>
        <w:rPr>
          <w:rFonts w:hint="eastAsia" w:ascii="仿宋" w:hAnsi="仿宋" w:eastAsia="仿宋" w:cs="仿宋"/>
          <w:color w:val="auto"/>
          <w:sz w:val="96"/>
          <w:szCs w:val="96"/>
          <w:highlight w:val="none"/>
          <w:lang w:eastAsia="zh-CN"/>
        </w:rPr>
        <w:t>交易文件</w:t>
      </w:r>
    </w:p>
    <w:p w14:paraId="4723B853">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（电子</w:t>
      </w:r>
      <w:r>
        <w:rPr>
          <w:rFonts w:hint="eastAsia" w:ascii="仿宋" w:hAnsi="仿宋" w:eastAsia="仿宋" w:cs="仿宋"/>
          <w:color w:val="auto"/>
          <w:sz w:val="40"/>
          <w:highlight w:val="none"/>
          <w:lang w:val="en-US" w:eastAsia="zh-CN"/>
        </w:rPr>
        <w:t>交易</w:t>
      </w:r>
      <w:r>
        <w:rPr>
          <w:rFonts w:hint="eastAsia" w:ascii="仿宋" w:hAnsi="仿宋" w:eastAsia="仿宋" w:cs="仿宋"/>
          <w:color w:val="auto"/>
          <w:sz w:val="40"/>
          <w:highlight w:val="none"/>
        </w:rPr>
        <w:t>）</w:t>
      </w:r>
    </w:p>
    <w:p w14:paraId="7553DB83">
      <w:pPr>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编号:SQFC2025009</w:t>
      </w:r>
    </w:p>
    <w:p w14:paraId="49742BED">
      <w:pPr>
        <w:jc w:val="center"/>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114300" distR="114300">
            <wp:extent cx="1539240" cy="1920875"/>
            <wp:effectExtent l="0" t="0" r="381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lum bright="6000"/>
                    </a:blip>
                    <a:stretch>
                      <a:fillRect/>
                    </a:stretch>
                  </pic:blipFill>
                  <pic:spPr>
                    <a:xfrm>
                      <a:off x="0" y="0"/>
                      <a:ext cx="1539240" cy="1920875"/>
                    </a:xfrm>
                    <a:prstGeom prst="rect">
                      <a:avLst/>
                    </a:prstGeom>
                    <a:noFill/>
                    <a:ln>
                      <a:noFill/>
                    </a:ln>
                  </pic:spPr>
                </pic:pic>
              </a:graphicData>
            </a:graphic>
          </wp:inline>
        </w:drawing>
      </w:r>
    </w:p>
    <w:p w14:paraId="677FC4B0">
      <w:pPr>
        <w:jc w:val="center"/>
        <w:rPr>
          <w:rFonts w:hint="eastAsia" w:ascii="仿宋" w:hAnsi="仿宋" w:eastAsia="仿宋" w:cs="仿宋"/>
          <w:color w:val="auto"/>
          <w:highlight w:val="none"/>
        </w:rPr>
      </w:pPr>
    </w:p>
    <w:p w14:paraId="5FA1B252">
      <w:pPr>
        <w:ind w:right="-120" w:rightChars="-50"/>
        <w:jc w:val="center"/>
        <w:rPr>
          <w:rFonts w:hint="eastAsia" w:ascii="仿宋" w:hAnsi="仿宋" w:eastAsia="仿宋" w:cs="仿宋"/>
          <w:color w:val="auto"/>
          <w:sz w:val="36"/>
          <w:highlight w:val="none"/>
          <w:lang w:eastAsia="zh-CN"/>
        </w:rPr>
      </w:pPr>
      <w:r>
        <w:rPr>
          <w:rFonts w:hint="eastAsia" w:cs="仿宋"/>
          <w:color w:val="auto"/>
          <w:sz w:val="36"/>
          <w:highlight w:val="none"/>
          <w:lang w:eastAsia="zh-CN"/>
        </w:rPr>
        <w:t>浙江省杭州市萧山区所前镇南城社区居民委员会</w:t>
      </w:r>
    </w:p>
    <w:p w14:paraId="062CD202">
      <w:pPr>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浙江华耀建设咨询有限公司</w:t>
      </w:r>
    </w:p>
    <w:p w14:paraId="7DDB41E3">
      <w:pPr>
        <w:jc w:val="center"/>
        <w:rPr>
          <w:rFonts w:hint="eastAsia" w:ascii="仿宋" w:hAnsi="仿宋" w:eastAsia="仿宋" w:cs="仿宋"/>
          <w:color w:val="auto"/>
          <w:highlight w:val="none"/>
        </w:rPr>
      </w:pPr>
      <w:r>
        <w:rPr>
          <w:rFonts w:hint="eastAsia" w:ascii="仿宋" w:hAnsi="仿宋" w:eastAsia="仿宋" w:cs="仿宋"/>
          <w:bCs/>
          <w:color w:val="auto"/>
          <w:sz w:val="32"/>
          <w:szCs w:val="32"/>
          <w:highlight w:val="none"/>
        </w:rPr>
        <w:t>二〇二</w:t>
      </w:r>
      <w:r>
        <w:rPr>
          <w:rFonts w:hint="eastAsia" w:cs="仿宋"/>
          <w:bCs/>
          <w:color w:val="auto"/>
          <w:sz w:val="32"/>
          <w:szCs w:val="32"/>
          <w:highlight w:val="none"/>
          <w:lang w:val="en-US" w:eastAsia="zh-CN"/>
        </w:rPr>
        <w:t>五</w:t>
      </w:r>
      <w:r>
        <w:rPr>
          <w:rFonts w:hint="eastAsia" w:ascii="仿宋" w:hAnsi="仿宋" w:eastAsia="仿宋" w:cs="仿宋"/>
          <w:color w:val="auto"/>
          <w:sz w:val="36"/>
          <w:highlight w:val="none"/>
        </w:rPr>
        <w:t>年</w:t>
      </w:r>
      <w:r>
        <w:rPr>
          <w:rFonts w:hint="eastAsia" w:cs="仿宋"/>
          <w:color w:val="auto"/>
          <w:sz w:val="36"/>
          <w:highlight w:val="none"/>
          <w:lang w:val="en-US" w:eastAsia="zh-CN"/>
        </w:rPr>
        <w:t>七</w:t>
      </w:r>
      <w:r>
        <w:rPr>
          <w:rFonts w:hint="eastAsia" w:ascii="仿宋" w:hAnsi="仿宋" w:eastAsia="仿宋" w:cs="仿宋"/>
          <w:color w:val="auto"/>
          <w:sz w:val="36"/>
          <w:highlight w:val="none"/>
        </w:rPr>
        <w:t>月</w:t>
      </w:r>
    </w:p>
    <w:p w14:paraId="1AACD2D5">
      <w:pPr>
        <w:spacing w:line="276" w:lineRule="auto"/>
        <w:rPr>
          <w:rFonts w:hint="eastAsia" w:ascii="仿宋" w:hAnsi="仿宋" w:eastAsia="仿宋" w:cs="仿宋"/>
          <w:b/>
          <w:smallCaps/>
          <w:color w:val="auto"/>
          <w:spacing w:val="5"/>
          <w:sz w:val="36"/>
          <w:szCs w:val="36"/>
          <w:highlight w:val="none"/>
        </w:rPr>
      </w:pPr>
      <w:r>
        <w:rPr>
          <w:rFonts w:hint="eastAsia" w:ascii="仿宋" w:hAnsi="仿宋" w:eastAsia="仿宋" w:cs="仿宋"/>
          <w:color w:val="auto"/>
          <w:highlight w:val="none"/>
        </w:rPr>
        <w:br w:type="page"/>
      </w:r>
    </w:p>
    <w:p w14:paraId="124BD231">
      <w:pPr>
        <w:pStyle w:val="5"/>
        <w:rPr>
          <w:rFonts w:hint="eastAsia" w:ascii="仿宋" w:hAnsi="仿宋" w:eastAsia="仿宋" w:cs="仿宋"/>
          <w:color w:val="auto"/>
          <w:highlight w:val="none"/>
        </w:rPr>
      </w:pPr>
      <w:r>
        <w:rPr>
          <w:rFonts w:hint="eastAsia" w:ascii="仿宋" w:hAnsi="仿宋" w:eastAsia="仿宋" w:cs="仿宋"/>
          <w:color w:val="auto"/>
          <w:highlight w:val="none"/>
        </w:rPr>
        <w:t>目  录</w:t>
      </w:r>
    </w:p>
    <w:p w14:paraId="262C025B">
      <w:pPr>
        <w:rPr>
          <w:rFonts w:hint="eastAsia" w:ascii="仿宋" w:hAnsi="仿宋" w:eastAsia="仿宋" w:cs="仿宋"/>
          <w:color w:val="auto"/>
          <w:highlight w:val="none"/>
        </w:rPr>
      </w:pPr>
    </w:p>
    <w:p w14:paraId="43FDD2C1">
      <w:pPr>
        <w:rPr>
          <w:rFonts w:hint="eastAsia" w:ascii="仿宋" w:hAnsi="仿宋" w:eastAsia="仿宋" w:cs="仿宋"/>
          <w:color w:val="auto"/>
          <w:highlight w:val="none"/>
        </w:rPr>
      </w:pPr>
    </w:p>
    <w:p w14:paraId="5C8915C9">
      <w:pPr>
        <w:rPr>
          <w:rFonts w:hint="eastAsia" w:ascii="仿宋" w:hAnsi="仿宋" w:eastAsia="仿宋" w:cs="仿宋"/>
          <w:color w:val="auto"/>
          <w:sz w:val="32"/>
          <w:highlight w:val="none"/>
          <w:lang w:eastAsia="zh-CN"/>
        </w:rPr>
      </w:pPr>
      <w:r>
        <w:rPr>
          <w:rFonts w:hint="eastAsia" w:ascii="仿宋" w:hAnsi="仿宋" w:eastAsia="仿宋" w:cs="仿宋"/>
          <w:color w:val="auto"/>
          <w:sz w:val="32"/>
          <w:highlight w:val="none"/>
        </w:rPr>
        <w:t xml:space="preserve">第一部分      </w:t>
      </w:r>
      <w:r>
        <w:rPr>
          <w:rFonts w:hint="eastAsia" w:ascii="仿宋" w:hAnsi="仿宋" w:eastAsia="仿宋" w:cs="仿宋"/>
          <w:color w:val="auto"/>
          <w:sz w:val="32"/>
          <w:highlight w:val="none"/>
          <w:lang w:eastAsia="zh-CN"/>
        </w:rPr>
        <w:t>交易公告</w:t>
      </w:r>
    </w:p>
    <w:p w14:paraId="500B7586">
      <w:pPr>
        <w:rPr>
          <w:rFonts w:hint="eastAsia" w:ascii="仿宋" w:hAnsi="仿宋" w:eastAsia="仿宋" w:cs="仿宋"/>
          <w:color w:val="auto"/>
          <w:sz w:val="32"/>
          <w:highlight w:val="none"/>
        </w:rPr>
      </w:pPr>
      <w:r>
        <w:rPr>
          <w:rFonts w:hint="eastAsia" w:ascii="仿宋" w:hAnsi="仿宋" w:eastAsia="仿宋" w:cs="仿宋"/>
          <w:color w:val="auto"/>
          <w:sz w:val="32"/>
          <w:highlight w:val="none"/>
        </w:rPr>
        <w:t xml:space="preserve">第二部分      </w:t>
      </w:r>
      <w:r>
        <w:rPr>
          <w:rFonts w:hint="eastAsia" w:ascii="仿宋" w:hAnsi="仿宋" w:eastAsia="仿宋" w:cs="仿宋"/>
          <w:color w:val="auto"/>
          <w:sz w:val="32"/>
          <w:highlight w:val="none"/>
          <w:lang w:eastAsia="zh-CN"/>
        </w:rPr>
        <w:t>响应人</w:t>
      </w:r>
      <w:r>
        <w:rPr>
          <w:rFonts w:hint="eastAsia" w:ascii="仿宋" w:hAnsi="仿宋" w:eastAsia="仿宋" w:cs="仿宋"/>
          <w:color w:val="auto"/>
          <w:sz w:val="32"/>
          <w:highlight w:val="none"/>
        </w:rPr>
        <w:t>须知</w:t>
      </w:r>
    </w:p>
    <w:p w14:paraId="5A57D568">
      <w:pPr>
        <w:rPr>
          <w:rFonts w:hint="eastAsia" w:ascii="仿宋" w:hAnsi="仿宋" w:eastAsia="仿宋" w:cs="仿宋"/>
          <w:color w:val="auto"/>
          <w:sz w:val="32"/>
          <w:highlight w:val="none"/>
          <w:lang w:eastAsia="zh-CN"/>
        </w:rPr>
      </w:pPr>
      <w:r>
        <w:rPr>
          <w:rFonts w:hint="eastAsia" w:ascii="仿宋" w:hAnsi="仿宋" w:eastAsia="仿宋" w:cs="仿宋"/>
          <w:color w:val="auto"/>
          <w:sz w:val="32"/>
          <w:highlight w:val="none"/>
        </w:rPr>
        <w:t xml:space="preserve">第三部分      </w:t>
      </w:r>
      <w:r>
        <w:rPr>
          <w:rFonts w:hint="eastAsia" w:ascii="仿宋" w:hAnsi="仿宋" w:eastAsia="仿宋" w:cs="仿宋"/>
          <w:color w:val="auto"/>
          <w:sz w:val="32"/>
          <w:highlight w:val="none"/>
          <w:lang w:eastAsia="zh-CN"/>
        </w:rPr>
        <w:t>交易需求</w:t>
      </w:r>
    </w:p>
    <w:p w14:paraId="2D78FF32">
      <w:pPr>
        <w:rPr>
          <w:rFonts w:hint="eastAsia" w:ascii="仿宋" w:hAnsi="仿宋" w:eastAsia="仿宋" w:cs="仿宋"/>
          <w:color w:val="auto"/>
          <w:sz w:val="32"/>
          <w:highlight w:val="none"/>
        </w:rPr>
      </w:pPr>
      <w:r>
        <w:rPr>
          <w:rFonts w:hint="eastAsia" w:ascii="仿宋" w:hAnsi="仿宋" w:eastAsia="仿宋" w:cs="仿宋"/>
          <w:color w:val="auto"/>
          <w:sz w:val="32"/>
          <w:highlight w:val="none"/>
        </w:rPr>
        <w:t xml:space="preserve">第四部分      </w:t>
      </w:r>
      <w:r>
        <w:rPr>
          <w:rFonts w:hint="eastAsia" w:ascii="仿宋" w:hAnsi="仿宋" w:eastAsia="仿宋" w:cs="仿宋"/>
          <w:color w:val="auto"/>
          <w:sz w:val="32"/>
          <w:highlight w:val="none"/>
          <w:lang w:eastAsia="zh-CN"/>
        </w:rPr>
        <w:t>评审</w:t>
      </w:r>
      <w:r>
        <w:rPr>
          <w:rFonts w:hint="eastAsia" w:ascii="仿宋" w:hAnsi="仿宋" w:eastAsia="仿宋" w:cs="仿宋"/>
          <w:color w:val="auto"/>
          <w:sz w:val="32"/>
          <w:highlight w:val="none"/>
        </w:rPr>
        <w:t>办法</w:t>
      </w:r>
    </w:p>
    <w:p w14:paraId="212947BA">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第五部分      拟签订的合同文本</w:t>
      </w:r>
    </w:p>
    <w:p w14:paraId="2F40AAD6">
      <w:pPr>
        <w:rPr>
          <w:rFonts w:hint="eastAsia" w:ascii="仿宋" w:hAnsi="仿宋" w:eastAsia="仿宋" w:cs="仿宋"/>
          <w:color w:val="auto"/>
          <w:sz w:val="32"/>
          <w:highlight w:val="none"/>
        </w:rPr>
      </w:pPr>
      <w:r>
        <w:rPr>
          <w:rFonts w:hint="eastAsia" w:ascii="仿宋" w:hAnsi="仿宋" w:eastAsia="仿宋" w:cs="仿宋"/>
          <w:color w:val="auto"/>
          <w:sz w:val="32"/>
          <w:highlight w:val="none"/>
        </w:rPr>
        <w:t>第六部分      应提交的有关格式范例</w:t>
      </w:r>
    </w:p>
    <w:p w14:paraId="1B6B2318">
      <w:pPr>
        <w:spacing w:line="276" w:lineRule="auto"/>
        <w:rPr>
          <w:rFonts w:hint="eastAsia" w:ascii="仿宋" w:hAnsi="仿宋" w:eastAsia="仿宋" w:cs="仿宋"/>
          <w:color w:val="auto"/>
          <w:sz w:val="32"/>
          <w:highlight w:val="none"/>
        </w:rPr>
      </w:pPr>
    </w:p>
    <w:p w14:paraId="0AB56FE9">
      <w:pPr>
        <w:spacing w:line="276" w:lineRule="auto"/>
        <w:rPr>
          <w:rFonts w:hint="eastAsia" w:ascii="仿宋" w:hAnsi="仿宋" w:eastAsia="仿宋" w:cs="仿宋"/>
          <w:b/>
          <w:smallCaps/>
          <w:color w:val="auto"/>
          <w:spacing w:val="5"/>
          <w:sz w:val="36"/>
          <w:szCs w:val="36"/>
          <w:highlight w:val="none"/>
        </w:rPr>
      </w:pPr>
      <w:r>
        <w:rPr>
          <w:rFonts w:hint="eastAsia" w:ascii="仿宋" w:hAnsi="仿宋" w:eastAsia="仿宋" w:cs="仿宋"/>
          <w:color w:val="auto"/>
          <w:highlight w:val="none"/>
        </w:rPr>
        <w:br w:type="page"/>
      </w:r>
    </w:p>
    <w:p w14:paraId="50DF3B59">
      <w:pPr>
        <w:pStyle w:val="5"/>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第一部分 </w:t>
      </w:r>
      <w:r>
        <w:rPr>
          <w:rFonts w:hint="eastAsia" w:ascii="仿宋" w:hAnsi="仿宋" w:eastAsia="仿宋" w:cs="仿宋"/>
          <w:color w:val="auto"/>
          <w:highlight w:val="none"/>
          <w:lang w:eastAsia="zh-CN"/>
        </w:rPr>
        <w:t>交易公告</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EE5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522" w:type="dxa"/>
          </w:tcPr>
          <w:p w14:paraId="11B0F110">
            <w:pPr>
              <w:spacing w:after="0"/>
              <w:rPr>
                <w:rFonts w:hint="eastAsia" w:ascii="仿宋" w:hAnsi="仿宋" w:eastAsia="仿宋" w:cs="仿宋"/>
                <w:color w:val="auto"/>
                <w:highlight w:val="none"/>
              </w:rPr>
            </w:pPr>
            <w:r>
              <w:rPr>
                <w:rFonts w:hint="eastAsia" w:ascii="仿宋" w:hAnsi="仿宋" w:eastAsia="仿宋" w:cs="仿宋"/>
                <w:color w:val="auto"/>
                <w:highlight w:val="none"/>
              </w:rPr>
              <w:t>项目概况</w:t>
            </w:r>
          </w:p>
          <w:p w14:paraId="179DE638">
            <w:pPr>
              <w:spacing w:after="0"/>
              <w:rPr>
                <w:rFonts w:hint="eastAsia" w:ascii="仿宋" w:hAnsi="仿宋" w:eastAsia="仿宋" w:cs="仿宋"/>
                <w:color w:val="auto"/>
                <w:highlight w:val="none"/>
              </w:rPr>
            </w:pPr>
            <w:r>
              <w:rPr>
                <w:rFonts w:hint="eastAsia" w:cs="仿宋"/>
                <w:color w:val="auto"/>
                <w:highlight w:val="none"/>
                <w:u w:val="single"/>
                <w:lang w:eastAsia="zh-CN"/>
              </w:rPr>
              <w:t>南城未来社区党群服务中心、邻里中心运营服务采购项目</w:t>
            </w:r>
            <w:r>
              <w:rPr>
                <w:rFonts w:hint="eastAsia" w:cs="仿宋"/>
                <w:color w:val="auto"/>
                <w:highlight w:val="none"/>
                <w:lang w:eastAsia="zh-CN"/>
              </w:rPr>
              <w:t>交易</w:t>
            </w:r>
            <w:r>
              <w:rPr>
                <w:rFonts w:hint="eastAsia" w:ascii="仿宋" w:hAnsi="仿宋" w:eastAsia="仿宋" w:cs="仿宋"/>
                <w:color w:val="auto"/>
                <w:highlight w:val="none"/>
              </w:rPr>
              <w:t>项目的潜在</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应在乐采云平台（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38"/>
                <w:rFonts w:hint="eastAsia" w:ascii="仿宋" w:hAnsi="仿宋" w:eastAsia="仿宋" w:cs="仿宋"/>
                <w:color w:val="auto"/>
                <w:kern w:val="2"/>
                <w:sz w:val="24"/>
                <w:szCs w:val="24"/>
                <w:highlight w:val="none"/>
              </w:rPr>
              <w:t>https://www.lecaiyun.com/）获取（下载）</w:t>
            </w:r>
            <w:r>
              <w:rPr>
                <w:rFonts w:hint="eastAsia" w:ascii="仿宋" w:hAnsi="仿宋" w:eastAsia="仿宋" w:cs="仿宋"/>
                <w:color w:val="auto"/>
                <w:highlight w:val="none"/>
                <w:lang w:eastAsia="zh-CN"/>
              </w:rPr>
              <w:t>交易文件</w:t>
            </w:r>
            <w:r>
              <w:rPr>
                <w:rStyle w:val="38"/>
                <w:rFonts w:hint="eastAsia" w:ascii="仿宋" w:hAnsi="仿宋" w:eastAsia="仿宋" w:cs="仿宋"/>
                <w:color w:val="auto"/>
                <w:kern w:val="2"/>
                <w:sz w:val="24"/>
                <w:szCs w:val="24"/>
                <w:highlight w:val="none"/>
              </w:rPr>
              <w:t>，并于</w:t>
            </w:r>
            <w:r>
              <w:rPr>
                <w:rFonts w:hint="eastAsia" w:cs="仿宋"/>
                <w:color w:val="auto"/>
                <w:highlight w:val="none"/>
                <w:u w:val="single"/>
                <w:lang w:eastAsia="zh-CN"/>
              </w:rPr>
              <w:t>2025年</w:t>
            </w:r>
            <w:r>
              <w:rPr>
                <w:rFonts w:hint="eastAsia" w:cs="仿宋"/>
                <w:color w:val="auto"/>
                <w:highlight w:val="none"/>
                <w:u w:val="single"/>
                <w:lang w:val="en-US" w:eastAsia="zh-CN"/>
              </w:rPr>
              <w:t>7</w:t>
            </w:r>
            <w:r>
              <w:rPr>
                <w:rFonts w:hint="eastAsia" w:cs="仿宋"/>
                <w:color w:val="auto"/>
                <w:highlight w:val="none"/>
                <w:u w:val="single"/>
                <w:lang w:eastAsia="zh-CN"/>
              </w:rPr>
              <w:t>月</w:t>
            </w:r>
            <w:r>
              <w:rPr>
                <w:rFonts w:hint="eastAsia" w:cs="仿宋"/>
                <w:color w:val="auto"/>
                <w:highlight w:val="none"/>
                <w:u w:val="single"/>
                <w:lang w:val="en-US" w:eastAsia="zh-CN"/>
              </w:rPr>
              <w:t>17</w:t>
            </w:r>
            <w:r>
              <w:rPr>
                <w:rFonts w:hint="eastAsia" w:cs="仿宋"/>
                <w:color w:val="auto"/>
                <w:highlight w:val="none"/>
                <w:u w:val="single"/>
                <w:lang w:eastAsia="zh-CN"/>
              </w:rPr>
              <w:t>日</w:t>
            </w:r>
            <w:r>
              <w:rPr>
                <w:rFonts w:hint="eastAsia"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cs="仿宋"/>
                <w:color w:val="auto"/>
                <w:highlight w:val="none"/>
                <w:u w:val="single"/>
                <w:lang w:val="en-US" w:eastAsia="zh-CN"/>
              </w:rPr>
              <w:t>0</w:t>
            </w:r>
            <w:r>
              <w:rPr>
                <w:rFonts w:hint="eastAsia" w:ascii="仿宋" w:hAnsi="仿宋" w:eastAsia="仿宋" w:cs="仿宋"/>
                <w:color w:val="auto"/>
                <w:highlight w:val="none"/>
                <w:u w:val="single"/>
              </w:rPr>
              <w:t>0分</w:t>
            </w:r>
            <w:r>
              <w:rPr>
                <w:rFonts w:hint="eastAsia" w:ascii="仿宋" w:hAnsi="仿宋" w:eastAsia="仿宋" w:cs="仿宋"/>
                <w:bCs/>
                <w:color w:val="auto"/>
                <w:highlight w:val="none"/>
                <w:u w:val="single"/>
              </w:rPr>
              <w:t>00秒</w:t>
            </w:r>
            <w:r>
              <w:rPr>
                <w:rFonts w:hint="eastAsia" w:ascii="仿宋" w:hAnsi="仿宋" w:eastAsia="仿宋" w:cs="仿宋"/>
                <w:bCs/>
                <w:color w:val="auto"/>
                <w:highlight w:val="none"/>
                <w:u w:val="single"/>
              </w:rPr>
              <w:fldChar w:fldCharType="end"/>
            </w:r>
            <w:r>
              <w:rPr>
                <w:rFonts w:hint="eastAsia" w:ascii="仿宋" w:hAnsi="仿宋" w:eastAsia="仿宋" w:cs="仿宋"/>
                <w:bCs/>
                <w:color w:val="auto"/>
                <w:highlight w:val="none"/>
              </w:rPr>
              <w:t>（北京时间）前</w:t>
            </w:r>
            <w:r>
              <w:rPr>
                <w:rFonts w:hint="eastAsia" w:ascii="仿宋" w:hAnsi="仿宋" w:eastAsia="仿宋" w:cs="仿宋"/>
                <w:color w:val="auto"/>
                <w:highlight w:val="none"/>
              </w:rPr>
              <w:t>递交（上传）</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p>
        </w:tc>
      </w:tr>
    </w:tbl>
    <w:p w14:paraId="121C2482">
      <w:pPr>
        <w:snapToGrid w:val="0"/>
        <w:spacing w:after="0"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一、项目基本情况</w:t>
      </w:r>
    </w:p>
    <w:p w14:paraId="71358D9C">
      <w:pPr>
        <w:snapToGrid w:val="0"/>
        <w:spacing w:after="0"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项目编号：</w:t>
      </w:r>
      <w:r>
        <w:rPr>
          <w:rFonts w:hint="eastAsia" w:cs="仿宋"/>
          <w:color w:val="auto"/>
          <w:highlight w:val="none"/>
          <w:lang w:val="en-US" w:eastAsia="zh-CN"/>
        </w:rPr>
        <w:t>SQFC2025009</w:t>
      </w:r>
    </w:p>
    <w:p w14:paraId="60C495CD">
      <w:pPr>
        <w:snapToGrid w:val="0"/>
        <w:spacing w:after="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cs="仿宋"/>
          <w:color w:val="auto"/>
          <w:highlight w:val="none"/>
          <w:lang w:eastAsia="zh-CN"/>
        </w:rPr>
        <w:t>南城未来社区党群服务中心、邻里中心运营服务采购项目</w:t>
      </w:r>
    </w:p>
    <w:p w14:paraId="360B4C4F">
      <w:pPr>
        <w:snapToGrid w:val="0"/>
        <w:spacing w:after="0"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预算金额（元）：</w:t>
      </w:r>
      <w:r>
        <w:rPr>
          <w:rFonts w:hint="eastAsia" w:cs="仿宋"/>
          <w:bCs/>
          <w:color w:val="auto"/>
          <w:highlight w:val="none"/>
          <w:lang w:val="en-US" w:eastAsia="zh-CN"/>
        </w:rPr>
        <w:t>360000</w:t>
      </w:r>
    </w:p>
    <w:p w14:paraId="5221BFCB">
      <w:pPr>
        <w:snapToGrid w:val="0"/>
        <w:spacing w:after="0"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最高限价（元）：</w:t>
      </w:r>
      <w:r>
        <w:rPr>
          <w:rFonts w:hint="eastAsia" w:cs="仿宋"/>
          <w:color w:val="auto"/>
          <w:highlight w:val="none"/>
          <w:lang w:val="en-US" w:eastAsia="zh-CN"/>
        </w:rPr>
        <w:t>360000</w:t>
      </w:r>
    </w:p>
    <w:p w14:paraId="32D06A2E">
      <w:pPr>
        <w:snapToGrid w:val="0"/>
        <w:spacing w:after="0" w:line="360" w:lineRule="auto"/>
        <w:rPr>
          <w:rFonts w:hint="eastAsia" w:cs="仿宋"/>
          <w:bCs/>
          <w:snapToGrid/>
          <w:color w:val="auto"/>
          <w:kern w:val="2"/>
          <w:sz w:val="24"/>
          <w:szCs w:val="24"/>
          <w:highlight w:val="none"/>
          <w:lang w:eastAsia="zh-CN"/>
        </w:rPr>
      </w:pPr>
      <w:r>
        <w:rPr>
          <w:rFonts w:hint="eastAsia" w:ascii="仿宋" w:hAnsi="仿宋" w:eastAsia="仿宋" w:cs="仿宋"/>
          <w:color w:val="auto"/>
          <w:highlight w:val="none"/>
          <w:lang w:eastAsia="zh-CN"/>
        </w:rPr>
        <w:t>交易需求</w:t>
      </w:r>
      <w:r>
        <w:rPr>
          <w:rFonts w:hint="eastAsia" w:ascii="仿宋" w:hAnsi="仿宋" w:eastAsia="仿宋" w:cs="仿宋"/>
          <w:color w:val="auto"/>
          <w:highlight w:val="none"/>
        </w:rPr>
        <w:t>：</w:t>
      </w:r>
      <w:r>
        <w:rPr>
          <w:rFonts w:hint="eastAsia" w:cs="仿宋"/>
          <w:bCs/>
          <w:snapToGrid/>
          <w:color w:val="auto"/>
          <w:kern w:val="2"/>
          <w:sz w:val="24"/>
          <w:szCs w:val="24"/>
          <w:highlight w:val="none"/>
          <w:lang w:eastAsia="zh-CN"/>
        </w:rPr>
        <w:t>南城未来社区党群服务中心、邻里中心运营服务采购项目</w:t>
      </w:r>
      <w:r>
        <w:rPr>
          <w:rFonts w:hint="eastAsia" w:ascii="仿宋" w:hAnsi="仿宋" w:eastAsia="仿宋" w:cs="仿宋"/>
          <w:bCs/>
          <w:snapToGrid/>
          <w:color w:val="auto"/>
          <w:kern w:val="2"/>
          <w:sz w:val="24"/>
          <w:szCs w:val="24"/>
          <w:highlight w:val="none"/>
          <w:lang w:eastAsia="zh-CN"/>
        </w:rPr>
        <w:t>；</w:t>
      </w:r>
    </w:p>
    <w:p w14:paraId="2CDC7216">
      <w:pPr>
        <w:snapToGrid w:val="0"/>
        <w:spacing w:after="0" w:line="360" w:lineRule="auto"/>
        <w:rPr>
          <w:rFonts w:hint="eastAsia" w:ascii="仿宋" w:hAnsi="仿宋" w:eastAsia="仿宋" w:cs="仿宋"/>
          <w:color w:val="auto"/>
          <w:highlight w:val="none"/>
        </w:rPr>
      </w:pP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snapToGrid/>
          <w:color w:val="auto"/>
          <w:kern w:val="2"/>
          <w:sz w:val="24"/>
          <w:szCs w:val="24"/>
          <w:highlight w:val="none"/>
        </w:rPr>
        <w:t>具体以</w:t>
      </w:r>
      <w:r>
        <w:rPr>
          <w:rFonts w:hint="eastAsia" w:ascii="仿宋" w:hAnsi="仿宋" w:eastAsia="仿宋" w:cs="仿宋"/>
          <w:snapToGrid/>
          <w:color w:val="auto"/>
          <w:kern w:val="2"/>
          <w:sz w:val="24"/>
          <w:szCs w:val="24"/>
          <w:highlight w:val="none"/>
          <w:lang w:eastAsia="zh-CN"/>
        </w:rPr>
        <w:t>交易文件</w:t>
      </w:r>
      <w:r>
        <w:rPr>
          <w:rFonts w:hint="eastAsia" w:ascii="仿宋" w:hAnsi="仿宋" w:eastAsia="仿宋" w:cs="仿宋"/>
          <w:snapToGrid/>
          <w:color w:val="auto"/>
          <w:kern w:val="2"/>
          <w:sz w:val="24"/>
          <w:szCs w:val="24"/>
          <w:highlight w:val="none"/>
        </w:rPr>
        <w:t>第三部分</w:t>
      </w:r>
      <w:r>
        <w:rPr>
          <w:rFonts w:hint="eastAsia" w:ascii="仿宋" w:hAnsi="仿宋" w:eastAsia="仿宋" w:cs="仿宋"/>
          <w:snapToGrid/>
          <w:color w:val="auto"/>
          <w:kern w:val="2"/>
          <w:sz w:val="24"/>
          <w:szCs w:val="24"/>
          <w:highlight w:val="none"/>
          <w:lang w:eastAsia="zh-CN"/>
        </w:rPr>
        <w:t>交易需求</w:t>
      </w:r>
      <w:r>
        <w:rPr>
          <w:rFonts w:hint="eastAsia" w:ascii="仿宋" w:hAnsi="仿宋" w:eastAsia="仿宋" w:cs="仿宋"/>
          <w:snapToGrid/>
          <w:color w:val="auto"/>
          <w:kern w:val="2"/>
          <w:sz w:val="24"/>
          <w:szCs w:val="24"/>
          <w:highlight w:val="none"/>
        </w:rPr>
        <w:t>为准。</w:t>
      </w:r>
    </w:p>
    <w:p w14:paraId="2DB742E0">
      <w:pPr>
        <w:snapToGrid w:val="0"/>
        <w:spacing w:after="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合同履约期限：</w:t>
      </w:r>
      <w:r>
        <w:rPr>
          <w:rFonts w:hint="eastAsia" w:ascii="仿宋" w:hAnsi="仿宋" w:eastAsia="仿宋" w:cs="仿宋"/>
          <w:bCs/>
          <w:color w:val="auto"/>
          <w:highlight w:val="none"/>
        </w:rPr>
        <w:t>详见</w:t>
      </w:r>
      <w:r>
        <w:rPr>
          <w:rFonts w:hint="eastAsia" w:ascii="仿宋" w:hAnsi="仿宋" w:eastAsia="仿宋" w:cs="仿宋"/>
          <w:bCs/>
          <w:color w:val="auto"/>
          <w:highlight w:val="none"/>
          <w:lang w:eastAsia="zh-CN"/>
        </w:rPr>
        <w:t>交易文件交易需求</w:t>
      </w:r>
    </w:p>
    <w:p w14:paraId="75DDCE67">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本项目接受</w:t>
      </w:r>
      <w:r>
        <w:rPr>
          <w:rFonts w:hint="eastAsia" w:ascii="仿宋" w:hAnsi="仿宋" w:eastAsia="仿宋" w:cs="仿宋"/>
          <w:color w:val="auto"/>
          <w:highlight w:val="none"/>
          <w:lang w:eastAsia="zh-CN"/>
        </w:rPr>
        <w:t>联合体响应</w:t>
      </w:r>
      <w:r>
        <w:rPr>
          <w:rFonts w:hint="eastAsia" w:ascii="仿宋" w:hAnsi="仿宋" w:eastAsia="仿宋" w:cs="仿宋"/>
          <w:color w:val="auto"/>
          <w:highlight w:val="none"/>
        </w:rPr>
        <w:t>：否。</w:t>
      </w:r>
    </w:p>
    <w:p w14:paraId="60088F4E">
      <w:pPr>
        <w:snapToGrid w:val="0"/>
        <w:spacing w:after="0" w:line="360" w:lineRule="auto"/>
        <w:rPr>
          <w:rFonts w:hint="eastAsia" w:ascii="仿宋" w:hAnsi="仿宋" w:eastAsia="仿宋" w:cs="仿宋"/>
          <w:color w:val="auto"/>
          <w:highlight w:val="none"/>
        </w:rPr>
      </w:pPr>
      <w:r>
        <w:rPr>
          <w:rFonts w:hint="eastAsia" w:ascii="仿宋" w:hAnsi="仿宋" w:eastAsia="仿宋" w:cs="仿宋"/>
          <w:b/>
          <w:color w:val="auto"/>
          <w:highlight w:val="none"/>
        </w:rPr>
        <w:t>二、申请人的资格要求</w:t>
      </w:r>
      <w:r>
        <w:rPr>
          <w:rFonts w:hint="eastAsia" w:ascii="仿宋" w:hAnsi="仿宋" w:eastAsia="仿宋" w:cs="仿宋"/>
          <w:color w:val="auto"/>
          <w:highlight w:val="none"/>
        </w:rPr>
        <w:t>：</w:t>
      </w:r>
    </w:p>
    <w:p w14:paraId="69B50BC2">
      <w:pPr>
        <w:snapToGrid w:val="0"/>
        <w:spacing w:after="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highlight w:val="none"/>
        </w:rPr>
        <w:t>1.</w:t>
      </w:r>
      <w:r>
        <w:rPr>
          <w:rFonts w:hint="eastAsia" w:ascii="仿宋" w:hAnsi="仿宋" w:eastAsia="仿宋" w:cs="仿宋"/>
          <w:color w:val="auto"/>
          <w:sz w:val="24"/>
          <w:szCs w:val="24"/>
          <w:highlight w:val="none"/>
          <w:lang w:val="en-US" w:eastAsia="zh-CN"/>
        </w:rPr>
        <w:t>具有独立承担民事责任的能力；</w:t>
      </w:r>
    </w:p>
    <w:p w14:paraId="0452D471">
      <w:pPr>
        <w:snapToGrid w:val="0"/>
        <w:spacing w:after="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2.具有良好的商业信誉和健全的财务会计制度；</w:t>
      </w:r>
    </w:p>
    <w:p w14:paraId="4DA530C0">
      <w:pPr>
        <w:snapToGrid w:val="0"/>
        <w:spacing w:after="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3.具有履行合同所必需的设备和专业技术能力；</w:t>
      </w:r>
    </w:p>
    <w:p w14:paraId="2D36D55C">
      <w:pPr>
        <w:snapToGrid w:val="0"/>
        <w:spacing w:after="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4.有依法缴纳税收和社会保障资金的良好记录；</w:t>
      </w:r>
    </w:p>
    <w:p w14:paraId="5022C0C2">
      <w:pPr>
        <w:snapToGrid w:val="0"/>
        <w:spacing w:after="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5.参加交易活动前三年内在经营活动中没有重大违法记录；</w:t>
      </w:r>
    </w:p>
    <w:p w14:paraId="6B8BBB1F">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6.法律、行政法规规定的其他条件</w:t>
      </w:r>
      <w:r>
        <w:rPr>
          <w:rFonts w:hint="eastAsia" w:ascii="仿宋" w:hAnsi="仿宋" w:eastAsia="仿宋" w:cs="仿宋"/>
          <w:color w:val="auto"/>
          <w:highlight w:val="none"/>
        </w:rPr>
        <w:t>；</w:t>
      </w:r>
    </w:p>
    <w:p w14:paraId="4BE9867F">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.本项目的特定资格要求：</w:t>
      </w:r>
      <w:r>
        <w:rPr>
          <w:rFonts w:hint="eastAsia" w:cs="仿宋"/>
          <w:color w:val="auto"/>
          <w:highlight w:val="none"/>
          <w:lang w:val="en-US" w:eastAsia="zh-CN"/>
        </w:rPr>
        <w:t>/</w:t>
      </w:r>
      <w:r>
        <w:rPr>
          <w:rFonts w:hint="eastAsia" w:ascii="仿宋" w:hAnsi="仿宋" w:eastAsia="仿宋" w:cs="仿宋"/>
          <w:color w:val="auto"/>
          <w:kern w:val="2"/>
          <w:sz w:val="24"/>
          <w:highlight w:val="none"/>
        </w:rPr>
        <w:t>。</w:t>
      </w:r>
    </w:p>
    <w:p w14:paraId="2B995F2A">
      <w:pPr>
        <w:snapToGrid w:val="0"/>
        <w:spacing w:after="0"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三、获取</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 xml:space="preserve"> </w:t>
      </w:r>
    </w:p>
    <w:p w14:paraId="4E276979">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时间：/至</w:t>
      </w:r>
      <w:r>
        <w:rPr>
          <w:rFonts w:hint="eastAsia" w:cs="仿宋"/>
          <w:color w:val="auto"/>
          <w:highlight w:val="none"/>
          <w:lang w:eastAsia="zh-CN"/>
        </w:rPr>
        <w:t>2025年</w:t>
      </w:r>
      <w:r>
        <w:rPr>
          <w:rFonts w:hint="eastAsia" w:cs="仿宋"/>
          <w:color w:val="auto"/>
          <w:highlight w:val="none"/>
          <w:lang w:val="en-US" w:eastAsia="zh-CN"/>
        </w:rPr>
        <w:t>7</w:t>
      </w:r>
      <w:r>
        <w:rPr>
          <w:rFonts w:hint="eastAsia" w:cs="仿宋"/>
          <w:color w:val="auto"/>
          <w:highlight w:val="none"/>
          <w:lang w:eastAsia="zh-CN"/>
        </w:rPr>
        <w:t>月</w:t>
      </w:r>
      <w:r>
        <w:rPr>
          <w:rFonts w:hint="eastAsia" w:cs="仿宋"/>
          <w:color w:val="auto"/>
          <w:highlight w:val="none"/>
          <w:lang w:val="en-US" w:eastAsia="zh-CN"/>
        </w:rPr>
        <w:t>17</w:t>
      </w:r>
      <w:r>
        <w:rPr>
          <w:rFonts w:hint="eastAsia" w:cs="仿宋"/>
          <w:color w:val="auto"/>
          <w:highlight w:val="none"/>
          <w:lang w:eastAsia="zh-CN"/>
        </w:rPr>
        <w:t>日</w:t>
      </w:r>
      <w:r>
        <w:rPr>
          <w:rFonts w:hint="eastAsia" w:ascii="仿宋" w:hAnsi="仿宋" w:eastAsia="仿宋" w:cs="仿宋"/>
          <w:color w:val="auto"/>
          <w:highlight w:val="none"/>
          <w:lang w:eastAsia="zh-CN"/>
        </w:rPr>
        <w:t>，每天上午</w:t>
      </w:r>
      <w:r>
        <w:rPr>
          <w:rFonts w:hint="eastAsia" w:ascii="仿宋" w:hAnsi="仿宋" w:eastAsia="仿宋" w:cs="仿宋"/>
          <w:color w:val="auto"/>
          <w:highlight w:val="none"/>
        </w:rPr>
        <w:t>00:00至12:00，下午12:00至23:59（北京时间，线上获取法定节假日均可，线下获取文件法定节假日除外）</w:t>
      </w:r>
    </w:p>
    <w:p w14:paraId="28DE3667">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地点（网址）：乐采云平台（https://www.lecaiyun.com/） </w:t>
      </w:r>
    </w:p>
    <w:p w14:paraId="10B0FB56">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方式：</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登录乐采云平台https://www.lecaiyun.com/在线申请获取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（进入“项目采购”应用，在获取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菜单中选择项目，申请获取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 xml:space="preserve">）。 </w:t>
      </w:r>
    </w:p>
    <w:p w14:paraId="0D15DE6B">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售价（元）：0</w:t>
      </w:r>
    </w:p>
    <w:p w14:paraId="66A55065">
      <w:pPr>
        <w:snapToGrid w:val="0"/>
        <w:spacing w:after="0"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四、提交</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截止时间、</w:t>
      </w:r>
      <w:r>
        <w:rPr>
          <w:rFonts w:hint="eastAsia" w:ascii="仿宋" w:hAnsi="仿宋" w:eastAsia="仿宋" w:cs="仿宋"/>
          <w:b/>
          <w:color w:val="auto"/>
          <w:highlight w:val="none"/>
          <w:lang w:eastAsia="zh-CN"/>
        </w:rPr>
        <w:t>交易时间</w:t>
      </w:r>
      <w:r>
        <w:rPr>
          <w:rFonts w:hint="eastAsia" w:ascii="仿宋" w:hAnsi="仿宋" w:eastAsia="仿宋" w:cs="仿宋"/>
          <w:b/>
          <w:color w:val="auto"/>
          <w:highlight w:val="none"/>
        </w:rPr>
        <w:t>和地点</w:t>
      </w:r>
    </w:p>
    <w:p w14:paraId="1D460AC2">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提交</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截止时间：</w:t>
      </w:r>
      <w:r>
        <w:rPr>
          <w:rFonts w:hint="eastAsia" w:cs="仿宋"/>
          <w:color w:val="auto"/>
          <w:highlight w:val="none"/>
          <w:lang w:eastAsia="zh-CN"/>
        </w:rPr>
        <w:t>2025年</w:t>
      </w:r>
      <w:r>
        <w:rPr>
          <w:rFonts w:hint="eastAsia" w:cs="仿宋"/>
          <w:color w:val="auto"/>
          <w:highlight w:val="none"/>
          <w:lang w:val="en-US" w:eastAsia="zh-CN"/>
        </w:rPr>
        <w:t>7</w:t>
      </w:r>
      <w:r>
        <w:rPr>
          <w:rFonts w:hint="eastAsia" w:cs="仿宋"/>
          <w:color w:val="auto"/>
          <w:highlight w:val="none"/>
          <w:lang w:eastAsia="zh-CN"/>
        </w:rPr>
        <w:t>月</w:t>
      </w:r>
      <w:r>
        <w:rPr>
          <w:rFonts w:hint="eastAsia" w:cs="仿宋"/>
          <w:color w:val="auto"/>
          <w:highlight w:val="none"/>
          <w:lang w:val="en-US" w:eastAsia="zh-CN"/>
        </w:rPr>
        <w:t>17</w:t>
      </w:r>
      <w:r>
        <w:rPr>
          <w:rFonts w:hint="eastAsia" w:cs="仿宋"/>
          <w:color w:val="auto"/>
          <w:highlight w:val="none"/>
          <w:lang w:eastAsia="zh-CN"/>
        </w:rPr>
        <w:t>日</w:t>
      </w:r>
      <w:r>
        <w:rPr>
          <w:rFonts w:hint="eastAsia" w:cs="仿宋"/>
          <w:color w:val="auto"/>
          <w:highlight w:val="none"/>
          <w:lang w:val="en-US" w:eastAsia="zh-CN"/>
        </w:rPr>
        <w:t>14</w:t>
      </w:r>
      <w:r>
        <w:rPr>
          <w:rFonts w:hint="eastAsia" w:ascii="仿宋" w:hAnsi="仿宋" w:eastAsia="仿宋" w:cs="仿宋"/>
          <w:color w:val="auto"/>
          <w:highlight w:val="none"/>
        </w:rPr>
        <w:t>点</w:t>
      </w:r>
      <w:r>
        <w:rPr>
          <w:rFonts w:hint="eastAsia" w:cs="仿宋"/>
          <w:color w:val="auto"/>
          <w:highlight w:val="none"/>
          <w:lang w:val="en-US" w:eastAsia="zh-CN"/>
        </w:rPr>
        <w:t>0</w:t>
      </w:r>
      <w:r>
        <w:rPr>
          <w:rFonts w:hint="eastAsia" w:ascii="仿宋" w:hAnsi="仿宋" w:eastAsia="仿宋" w:cs="仿宋"/>
          <w:color w:val="auto"/>
          <w:highlight w:val="none"/>
        </w:rPr>
        <w:t>0分（北京时间）</w:t>
      </w:r>
    </w:p>
    <w:p w14:paraId="67F153DB">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地点（网址）：乐采云平台（https://www.lecaiyun.com/）</w:t>
      </w:r>
    </w:p>
    <w:p w14:paraId="73BED7A5">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时间：</w:t>
      </w:r>
      <w:r>
        <w:rPr>
          <w:rFonts w:hint="eastAsia" w:cs="仿宋"/>
          <w:color w:val="auto"/>
          <w:highlight w:val="none"/>
          <w:lang w:eastAsia="zh-CN"/>
        </w:rPr>
        <w:t>2025年</w:t>
      </w:r>
      <w:r>
        <w:rPr>
          <w:rFonts w:hint="eastAsia" w:cs="仿宋"/>
          <w:color w:val="auto"/>
          <w:highlight w:val="none"/>
          <w:lang w:val="en-US" w:eastAsia="zh-CN"/>
        </w:rPr>
        <w:t>7</w:t>
      </w:r>
      <w:r>
        <w:rPr>
          <w:rFonts w:hint="eastAsia" w:cs="仿宋"/>
          <w:color w:val="auto"/>
          <w:highlight w:val="none"/>
          <w:lang w:eastAsia="zh-CN"/>
        </w:rPr>
        <w:t>月</w:t>
      </w:r>
      <w:r>
        <w:rPr>
          <w:rFonts w:hint="eastAsia" w:cs="仿宋"/>
          <w:color w:val="auto"/>
          <w:highlight w:val="none"/>
          <w:lang w:val="en-US" w:eastAsia="zh-CN"/>
        </w:rPr>
        <w:t>17</w:t>
      </w:r>
      <w:r>
        <w:rPr>
          <w:rFonts w:hint="eastAsia" w:cs="仿宋"/>
          <w:color w:val="auto"/>
          <w:highlight w:val="none"/>
          <w:lang w:eastAsia="zh-CN"/>
        </w:rPr>
        <w:t>日</w:t>
      </w:r>
      <w:r>
        <w:rPr>
          <w:rFonts w:hint="eastAsia" w:cs="仿宋"/>
          <w:color w:val="auto"/>
          <w:highlight w:val="none"/>
          <w:lang w:val="en-US" w:eastAsia="zh-CN"/>
        </w:rPr>
        <w:t>14</w:t>
      </w:r>
      <w:r>
        <w:rPr>
          <w:rFonts w:hint="eastAsia" w:ascii="仿宋" w:hAnsi="仿宋" w:eastAsia="仿宋" w:cs="仿宋"/>
          <w:color w:val="auto"/>
          <w:highlight w:val="none"/>
        </w:rPr>
        <w:t>点</w:t>
      </w:r>
      <w:r>
        <w:rPr>
          <w:rFonts w:hint="eastAsia" w:cs="仿宋"/>
          <w:color w:val="auto"/>
          <w:highlight w:val="none"/>
          <w:lang w:val="en-US" w:eastAsia="zh-CN"/>
        </w:rPr>
        <w:t>0</w:t>
      </w:r>
      <w:r>
        <w:rPr>
          <w:rFonts w:hint="eastAsia" w:ascii="仿宋" w:hAnsi="仿宋" w:eastAsia="仿宋" w:cs="仿宋"/>
          <w:color w:val="auto"/>
          <w:highlight w:val="none"/>
        </w:rPr>
        <w:t>0分（北京时间）</w:t>
      </w:r>
    </w:p>
    <w:p w14:paraId="1446B08F">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地点（网址）：乐采云平台（https://www.lecaiyun.com/）。</w:t>
      </w:r>
    </w:p>
    <w:p w14:paraId="3D19BA19">
      <w:pPr>
        <w:snapToGrid w:val="0"/>
        <w:spacing w:after="0"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 xml:space="preserve">五、公告期限 </w:t>
      </w:r>
    </w:p>
    <w:p w14:paraId="19AB2862">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自本公告发布之日起5个工作日。</w:t>
      </w:r>
    </w:p>
    <w:p w14:paraId="02442BB5">
      <w:pPr>
        <w:snapToGrid w:val="0"/>
        <w:spacing w:after="0"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六、其他补充事宜</w:t>
      </w:r>
    </w:p>
    <w:p w14:paraId="28F01C64">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认为</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使自己的权益受到损害的，可以自获取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之日或者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公告期限届满之日（公告期限届满后获取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的，以公告期限届满之日为准）起7个工作日内，以书面形式向</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和</w:t>
      </w:r>
      <w:r>
        <w:rPr>
          <w:rFonts w:hint="eastAsia" w:ascii="仿宋" w:hAnsi="仿宋" w:eastAsia="仿宋" w:cs="仿宋"/>
          <w:color w:val="auto"/>
          <w:highlight w:val="none"/>
          <w:lang w:eastAsia="zh-CN"/>
        </w:rPr>
        <w:t>交易组织机构</w:t>
      </w:r>
      <w:r>
        <w:rPr>
          <w:rFonts w:hint="eastAsia" w:ascii="仿宋" w:hAnsi="仿宋" w:eastAsia="仿宋" w:cs="仿宋"/>
          <w:color w:val="auto"/>
          <w:highlight w:val="none"/>
        </w:rPr>
        <w:t>提出质疑。质疑</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交易组织机构</w:t>
      </w:r>
      <w:r>
        <w:rPr>
          <w:rFonts w:hint="eastAsia" w:ascii="仿宋" w:hAnsi="仿宋" w:eastAsia="仿宋" w:cs="仿宋"/>
          <w:color w:val="auto"/>
          <w:highlight w:val="none"/>
        </w:rPr>
        <w:t>的答复不满意或者</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交易组织机构</w:t>
      </w:r>
      <w:r>
        <w:rPr>
          <w:rFonts w:hint="eastAsia" w:ascii="仿宋" w:hAnsi="仿宋" w:eastAsia="仿宋" w:cs="仿宋"/>
          <w:color w:val="auto"/>
          <w:highlight w:val="none"/>
        </w:rPr>
        <w:t>未在规定的时间内作出答复的，可以在答复期满后十五个工作日内向</w:t>
      </w:r>
      <w:r>
        <w:rPr>
          <w:rFonts w:hint="eastAsia" w:ascii="仿宋" w:hAnsi="仿宋" w:eastAsia="仿宋" w:cs="仿宋"/>
          <w:color w:val="auto"/>
          <w:highlight w:val="none"/>
          <w:lang w:eastAsia="zh-CN"/>
        </w:rPr>
        <w:t>基层监督机构部门</w:t>
      </w:r>
      <w:r>
        <w:rPr>
          <w:rFonts w:hint="eastAsia" w:ascii="仿宋" w:hAnsi="仿宋" w:eastAsia="仿宋" w:cs="仿宋"/>
          <w:color w:val="auto"/>
          <w:highlight w:val="none"/>
        </w:rPr>
        <w:t>投诉。</w:t>
      </w:r>
    </w:p>
    <w:p w14:paraId="532BEA48">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2.其他事项：电子</w:t>
      </w:r>
      <w:r>
        <w:rPr>
          <w:rFonts w:hint="eastAsia" w:cs="仿宋"/>
          <w:color w:val="auto"/>
          <w:highlight w:val="none"/>
          <w:lang w:eastAsia="zh-CN"/>
        </w:rPr>
        <w:t>交易</w:t>
      </w:r>
      <w:r>
        <w:rPr>
          <w:rFonts w:hint="eastAsia" w:ascii="仿宋" w:hAnsi="仿宋" w:eastAsia="仿宋" w:cs="仿宋"/>
          <w:color w:val="auto"/>
          <w:highlight w:val="none"/>
        </w:rPr>
        <w:t>的说明：①电子</w:t>
      </w:r>
      <w:r>
        <w:rPr>
          <w:rFonts w:hint="eastAsia" w:cs="仿宋"/>
          <w:color w:val="auto"/>
          <w:highlight w:val="none"/>
          <w:lang w:eastAsia="zh-CN"/>
        </w:rPr>
        <w:t>交易</w:t>
      </w:r>
      <w:r>
        <w:rPr>
          <w:rFonts w:hint="eastAsia" w:ascii="仿宋" w:hAnsi="仿宋" w:eastAsia="仿宋" w:cs="仿宋"/>
          <w:color w:val="auto"/>
          <w:highlight w:val="none"/>
        </w:rPr>
        <w:t>：本项目以数据电文形式，依托“政府采购云平台（www.zcygov.cn）”进行</w:t>
      </w:r>
      <w:r>
        <w:rPr>
          <w:rFonts w:hint="eastAsia" w:cs="仿宋"/>
          <w:color w:val="auto"/>
          <w:highlight w:val="none"/>
          <w:lang w:eastAsia="zh-CN"/>
        </w:rPr>
        <w:t>交易</w:t>
      </w:r>
      <w:r>
        <w:rPr>
          <w:rFonts w:hint="eastAsia" w:ascii="仿宋" w:hAnsi="仿宋" w:eastAsia="仿宋" w:cs="仿宋"/>
          <w:color w:val="auto"/>
          <w:highlight w:val="none"/>
        </w:rPr>
        <w:t>活动，不接受纸质</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；②</w:t>
      </w:r>
      <w:r>
        <w:rPr>
          <w:rFonts w:hint="eastAsia" w:cs="仿宋"/>
          <w:color w:val="auto"/>
          <w:highlight w:val="none"/>
          <w:lang w:val="en-US" w:eastAsia="zh-CN"/>
        </w:rPr>
        <w:t>响应</w:t>
      </w:r>
      <w:r>
        <w:rPr>
          <w:rFonts w:hint="eastAsia" w:ascii="仿宋" w:hAnsi="仿宋" w:eastAsia="仿宋" w:cs="仿宋"/>
          <w:color w:val="auto"/>
          <w:highlight w:val="none"/>
        </w:rPr>
        <w:t>准备：注册账号--点击“商家入驻”，进行</w:t>
      </w:r>
      <w:r>
        <w:rPr>
          <w:rFonts w:hint="eastAsia" w:ascii="仿宋" w:hAnsi="仿宋" w:eastAsia="仿宋" w:cs="仿宋"/>
          <w:color w:val="auto"/>
          <w:highlight w:val="none"/>
          <w:lang w:eastAsia="zh-CN"/>
        </w:rPr>
        <w:t>交易响应人</w:t>
      </w:r>
      <w:r>
        <w:rPr>
          <w:rFonts w:hint="eastAsia" w:ascii="仿宋" w:hAnsi="仿宋" w:eastAsia="仿宋" w:cs="仿宋"/>
          <w:color w:val="auto"/>
          <w:highlight w:val="none"/>
        </w:rPr>
        <w:t>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的获取：使用账号登录或者使用CA登录乐采云平台；进入“项目采购”应用，在获取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菜单中选择项目，获取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；④</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的制作：在“政采云电子交易客户端”中完成“填写基本信息”、“导入</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”、“标书关联”、“标书检查”、“电子签名”、“生成电子标书”等操作；⑤</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将依托乐采云平台完成本项目的电子交易活动，平台不接受未按上述方式获取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进行投标活动； ⑥对未按上述方式获取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对该文件提出的质疑，</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w:t>
      </w:r>
      <w:r>
        <w:rPr>
          <w:rFonts w:hint="eastAsia" w:ascii="仿宋" w:hAnsi="仿宋" w:eastAsia="仿宋" w:cs="仿宋"/>
          <w:color w:val="auto"/>
          <w:highlight w:val="none"/>
          <w:lang w:eastAsia="zh-CN"/>
        </w:rPr>
        <w:t>交易组织机构</w:t>
      </w:r>
      <w:r>
        <w:rPr>
          <w:rFonts w:hint="eastAsia" w:ascii="仿宋" w:hAnsi="仿宋" w:eastAsia="仿宋" w:cs="仿宋"/>
          <w:color w:val="auto"/>
          <w:highlight w:val="none"/>
        </w:rPr>
        <w:t>将不予处理；⑦不提供</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纸质版；⑧</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的传输递交：</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在</w:t>
      </w:r>
      <w:r>
        <w:rPr>
          <w:rFonts w:hint="eastAsia" w:ascii="仿宋" w:hAnsi="仿宋" w:eastAsia="仿宋" w:cs="仿宋"/>
          <w:color w:val="auto"/>
          <w:highlight w:val="none"/>
          <w:lang w:eastAsia="zh-CN"/>
        </w:rPr>
        <w:t>响应截止</w:t>
      </w:r>
      <w:r>
        <w:rPr>
          <w:rFonts w:hint="eastAsia" w:ascii="仿宋" w:hAnsi="仿宋" w:eastAsia="仿宋" w:cs="仿宋"/>
          <w:color w:val="auto"/>
          <w:highlight w:val="none"/>
        </w:rPr>
        <w:t>时间前将加密的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上传至政府采购云平台，还可以在</w:t>
      </w:r>
      <w:r>
        <w:rPr>
          <w:rFonts w:hint="eastAsia" w:ascii="仿宋" w:hAnsi="仿宋" w:eastAsia="仿宋" w:cs="仿宋"/>
          <w:color w:val="auto"/>
          <w:highlight w:val="none"/>
          <w:lang w:eastAsia="zh-CN"/>
        </w:rPr>
        <w:t>响应截止</w:t>
      </w:r>
      <w:r>
        <w:rPr>
          <w:rFonts w:hint="eastAsia" w:ascii="仿宋" w:hAnsi="仿宋" w:eastAsia="仿宋" w:cs="仿宋"/>
          <w:color w:val="auto"/>
          <w:highlight w:val="none"/>
        </w:rPr>
        <w:t>时间前直接提交或者以邮政快递方式递交备份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1份。备份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的制作、存储、密封详见</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第二部分第15点—“备份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”；⑨</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的解密：</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按照平台提示和</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的规定在半小时内完成在线解密。通过“政府采购云平台”上传递交的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无法按时解密，</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递交了备份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的，以备份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为依据，否则视为</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撤回。通过“政府采购云平台”上传递交的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已按时解密的，备份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自动失效。</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仅提交备份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，未在电子交易平台传输递交</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；⑩具体操作指南：详见乐采云平台“服务中心-帮助文档-项目采购-操作流程-电子招投标-政府采购项目电子交易管理操作指南-</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w:t>
      </w:r>
    </w:p>
    <w:p w14:paraId="512255BA">
      <w:pPr>
        <w:snapToGrid w:val="0"/>
        <w:spacing w:after="0"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七、对本次</w:t>
      </w:r>
      <w:r>
        <w:rPr>
          <w:rFonts w:hint="eastAsia" w:ascii="仿宋" w:hAnsi="仿宋" w:eastAsia="仿宋" w:cs="仿宋"/>
          <w:b/>
          <w:color w:val="auto"/>
          <w:highlight w:val="none"/>
          <w:lang w:val="en-US" w:eastAsia="zh-CN"/>
        </w:rPr>
        <w:t>交易</w:t>
      </w:r>
      <w:r>
        <w:rPr>
          <w:rFonts w:hint="eastAsia" w:ascii="仿宋" w:hAnsi="仿宋" w:eastAsia="仿宋" w:cs="仿宋"/>
          <w:b/>
          <w:color w:val="auto"/>
          <w:highlight w:val="none"/>
        </w:rPr>
        <w:t>提出询问、质疑、投诉，请按以下方式联系</w:t>
      </w:r>
    </w:p>
    <w:p w14:paraId="7FF50E78">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信息</w:t>
      </w:r>
    </w:p>
    <w:p w14:paraId="358B7E6B">
      <w:pPr>
        <w:snapToGrid w:val="0"/>
        <w:spacing w:after="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名称：</w:t>
      </w:r>
      <w:r>
        <w:rPr>
          <w:rFonts w:hint="eastAsia" w:cs="仿宋"/>
          <w:color w:val="auto"/>
          <w:szCs w:val="28"/>
          <w:highlight w:val="none"/>
          <w:lang w:eastAsia="zh-CN"/>
        </w:rPr>
        <w:t>浙江省杭州市萧山区所前镇南城社区居民委员会</w:t>
      </w:r>
    </w:p>
    <w:p w14:paraId="4C294BD2">
      <w:pPr>
        <w:snapToGrid w:val="0"/>
        <w:spacing w:after="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地址：</w:t>
      </w:r>
      <w:r>
        <w:rPr>
          <w:rFonts w:hint="eastAsia" w:ascii="仿宋" w:hAnsi="仿宋" w:eastAsia="仿宋" w:cs="仿宋"/>
          <w:b w:val="0"/>
          <w:bCs w:val="0"/>
          <w:color w:val="auto"/>
          <w:sz w:val="24"/>
          <w:szCs w:val="28"/>
          <w:highlight w:val="none"/>
          <w:lang w:eastAsia="zh-CN"/>
        </w:rPr>
        <w:t>萧山区所前镇南城社区</w:t>
      </w:r>
    </w:p>
    <w:p w14:paraId="455B3F2F">
      <w:pPr>
        <w:snapToGrid w:val="0"/>
        <w:spacing w:after="0"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项目联系人（询问）：</w:t>
      </w:r>
      <w:r>
        <w:rPr>
          <w:rFonts w:hint="eastAsia" w:ascii="仿宋" w:hAnsi="仿宋" w:eastAsia="仿宋" w:cs="仿宋"/>
          <w:b w:val="0"/>
          <w:bCs w:val="0"/>
          <w:color w:val="auto"/>
          <w:sz w:val="24"/>
          <w:szCs w:val="28"/>
          <w:highlight w:val="none"/>
        </w:rPr>
        <w:t>童婷慧</w:t>
      </w:r>
    </w:p>
    <w:p w14:paraId="5355CBE2">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项目联系方式（询问）：</w:t>
      </w:r>
      <w:r>
        <w:rPr>
          <w:rFonts w:hint="eastAsia" w:ascii="仿宋" w:hAnsi="仿宋" w:eastAsia="仿宋" w:cs="仿宋"/>
          <w:b w:val="0"/>
          <w:bCs w:val="0"/>
          <w:color w:val="auto"/>
          <w:sz w:val="24"/>
          <w:szCs w:val="28"/>
          <w:highlight w:val="none"/>
          <w:lang w:val="en-US" w:eastAsia="zh-CN"/>
        </w:rPr>
        <w:t>0571-82760625</w:t>
      </w:r>
    </w:p>
    <w:p w14:paraId="597ECB08">
      <w:pPr>
        <w:snapToGrid w:val="0"/>
        <w:spacing w:after="0" w:line="360" w:lineRule="auto"/>
        <w:rPr>
          <w:rFonts w:hint="eastAsia" w:ascii="仿宋" w:hAnsi="仿宋" w:eastAsia="仿宋" w:cs="仿宋"/>
          <w:color w:val="auto"/>
          <w:highlight w:val="none"/>
        </w:rPr>
      </w:pPr>
      <w:bookmarkStart w:id="0" w:name="_Toc28359009"/>
      <w:bookmarkStart w:id="1" w:name="_Toc28359086"/>
      <w:r>
        <w:rPr>
          <w:rFonts w:hint="eastAsia" w:ascii="仿宋" w:hAnsi="仿宋" w:eastAsia="仿宋" w:cs="仿宋"/>
          <w:color w:val="auto"/>
          <w:highlight w:val="none"/>
        </w:rPr>
        <w:t>2.</w:t>
      </w:r>
      <w:r>
        <w:rPr>
          <w:rFonts w:hint="eastAsia" w:ascii="仿宋" w:hAnsi="仿宋" w:eastAsia="仿宋" w:cs="仿宋"/>
          <w:color w:val="auto"/>
          <w:highlight w:val="none"/>
          <w:lang w:eastAsia="zh-CN"/>
        </w:rPr>
        <w:t>交易组织机构</w:t>
      </w:r>
      <w:r>
        <w:rPr>
          <w:rFonts w:hint="eastAsia" w:ascii="仿宋" w:hAnsi="仿宋" w:eastAsia="仿宋" w:cs="仿宋"/>
          <w:color w:val="auto"/>
          <w:highlight w:val="none"/>
        </w:rPr>
        <w:t>信息</w:t>
      </w:r>
      <w:bookmarkEnd w:id="0"/>
      <w:bookmarkEnd w:id="1"/>
    </w:p>
    <w:p w14:paraId="19287739">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名称：</w:t>
      </w:r>
      <w:r>
        <w:rPr>
          <w:rFonts w:hint="eastAsia" w:ascii="仿宋" w:hAnsi="仿宋" w:eastAsia="仿宋" w:cs="仿宋"/>
          <w:color w:val="auto"/>
          <w:szCs w:val="28"/>
          <w:highlight w:val="none"/>
        </w:rPr>
        <w:t>浙江华耀建设咨询有限公司</w:t>
      </w:r>
    </w:p>
    <w:p w14:paraId="1D8CE5CB">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地址：杭州市萧山区金城路1068号水务大厦B座1002室</w:t>
      </w:r>
    </w:p>
    <w:p w14:paraId="5C653632">
      <w:pPr>
        <w:snapToGrid w:val="0"/>
        <w:spacing w:after="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项目联系人（询问）：</w:t>
      </w:r>
      <w:r>
        <w:rPr>
          <w:rFonts w:hint="eastAsia" w:cs="仿宋"/>
          <w:color w:val="auto"/>
          <w:szCs w:val="28"/>
          <w:highlight w:val="none"/>
          <w:lang w:val="en-US" w:eastAsia="zh-CN"/>
        </w:rPr>
        <w:t>瞿孙杰</w:t>
      </w:r>
    </w:p>
    <w:p w14:paraId="565DEC70">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项目联系方式（询问）：</w:t>
      </w:r>
      <w:r>
        <w:rPr>
          <w:rFonts w:hint="eastAsia" w:ascii="仿宋" w:hAnsi="仿宋" w:eastAsia="仿宋" w:cs="仿宋"/>
          <w:color w:val="auto"/>
          <w:szCs w:val="28"/>
          <w:highlight w:val="none"/>
        </w:rPr>
        <w:t>0571-82753589</w:t>
      </w:r>
    </w:p>
    <w:p w14:paraId="5FB539C9">
      <w:pPr>
        <w:snapToGrid w:val="0"/>
        <w:spacing w:after="0"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质疑联系人：</w:t>
      </w:r>
      <w:r>
        <w:rPr>
          <w:rFonts w:hint="eastAsia" w:cs="仿宋"/>
          <w:color w:val="auto"/>
          <w:highlight w:val="none"/>
          <w:lang w:val="en-US" w:eastAsia="zh-CN"/>
        </w:rPr>
        <w:t>韩金轩</w:t>
      </w:r>
    </w:p>
    <w:p w14:paraId="61054034">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质疑联系方式：（电话）</w:t>
      </w:r>
      <w:r>
        <w:rPr>
          <w:rFonts w:hint="eastAsia" w:ascii="仿宋" w:hAnsi="仿宋" w:eastAsia="仿宋" w:cs="仿宋"/>
          <w:color w:val="auto"/>
          <w:szCs w:val="28"/>
          <w:highlight w:val="none"/>
        </w:rPr>
        <w:t>0571-82753589</w:t>
      </w:r>
    </w:p>
    <w:p w14:paraId="769E3044">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若对项目电子交易系统操作有疑问，可登录政采云，点击右侧咨询小采，获取采小蜜智能服务管家帮助，或拨打政采云服务热线400-881-7190获取热线服务帮助。</w:t>
      </w:r>
    </w:p>
    <w:p w14:paraId="7B797AB0">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CA问题联系电话（人工）：汇信CA 400-888-4636；天谷CA 400-087-8198。</w:t>
      </w:r>
      <w:r>
        <w:rPr>
          <w:rFonts w:hint="eastAsia" w:ascii="仿宋" w:hAnsi="仿宋" w:eastAsia="仿宋" w:cs="仿宋"/>
          <w:color w:val="auto"/>
          <w:highlight w:val="none"/>
        </w:rPr>
        <w:br w:type="page"/>
      </w:r>
    </w:p>
    <w:p w14:paraId="46ADA82B">
      <w:pPr>
        <w:pStyle w:val="5"/>
        <w:rPr>
          <w:rFonts w:hint="eastAsia" w:ascii="仿宋" w:hAnsi="仿宋" w:eastAsia="仿宋" w:cs="仿宋"/>
          <w:color w:val="auto"/>
          <w:highlight w:val="none"/>
        </w:rPr>
      </w:pPr>
      <w:r>
        <w:rPr>
          <w:rFonts w:hint="eastAsia" w:ascii="仿宋" w:hAnsi="仿宋" w:eastAsia="仿宋" w:cs="仿宋"/>
          <w:color w:val="auto"/>
          <w:highlight w:val="none"/>
        </w:rPr>
        <w:t xml:space="preserve">第二部分 </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须知</w:t>
      </w:r>
    </w:p>
    <w:p w14:paraId="26394BCC">
      <w:pPr>
        <w:pStyle w:val="6"/>
        <w:rPr>
          <w:rFonts w:hint="eastAsia" w:ascii="仿宋" w:hAnsi="仿宋" w:eastAsia="仿宋" w:cs="仿宋"/>
          <w:color w:val="auto"/>
          <w:highlight w:val="none"/>
        </w:rPr>
      </w:pPr>
      <w:r>
        <w:rPr>
          <w:rFonts w:hint="eastAsia" w:ascii="仿宋" w:hAnsi="仿宋" w:eastAsia="仿宋" w:cs="仿宋"/>
          <w:color w:val="auto"/>
          <w:highlight w:val="none"/>
        </w:rPr>
        <w:t>前附表</w:t>
      </w:r>
    </w:p>
    <w:tbl>
      <w:tblPr>
        <w:tblStyle w:val="34"/>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977"/>
        <w:gridCol w:w="6693"/>
      </w:tblGrid>
      <w:tr w14:paraId="7849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5" w:type="pct"/>
            <w:vAlign w:val="center"/>
          </w:tcPr>
          <w:p w14:paraId="504B4AD5">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068" w:type="pct"/>
            <w:vAlign w:val="center"/>
          </w:tcPr>
          <w:p w14:paraId="79E01080">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事项</w:t>
            </w:r>
          </w:p>
        </w:tc>
        <w:tc>
          <w:tcPr>
            <w:tcW w:w="3616" w:type="pct"/>
            <w:vAlign w:val="center"/>
          </w:tcPr>
          <w:p w14:paraId="07E3C270">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本项目特别规定</w:t>
            </w:r>
          </w:p>
        </w:tc>
      </w:tr>
      <w:tr w14:paraId="50B8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5" w:type="pct"/>
            <w:vAlign w:val="center"/>
          </w:tcPr>
          <w:p w14:paraId="5CE2F8E7">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068" w:type="pct"/>
            <w:vAlign w:val="center"/>
          </w:tcPr>
          <w:p w14:paraId="5AD9BB97">
            <w:pPr>
              <w:spacing w:after="0"/>
              <w:rPr>
                <w:rFonts w:hint="eastAsia" w:ascii="仿宋" w:hAnsi="仿宋" w:eastAsia="仿宋" w:cs="仿宋"/>
                <w:color w:val="auto"/>
                <w:highlight w:val="none"/>
              </w:rPr>
            </w:pPr>
            <w:r>
              <w:rPr>
                <w:rFonts w:hint="eastAsia" w:ascii="仿宋" w:hAnsi="仿宋" w:eastAsia="仿宋" w:cs="仿宋"/>
                <w:b/>
                <w:color w:val="auto"/>
                <w:highlight w:val="none"/>
              </w:rPr>
              <w:t>项目属性</w:t>
            </w:r>
          </w:p>
        </w:tc>
        <w:tc>
          <w:tcPr>
            <w:tcW w:w="3616" w:type="pct"/>
            <w:vAlign w:val="center"/>
          </w:tcPr>
          <w:p w14:paraId="14BC4A89">
            <w:pPr>
              <w:spacing w:after="0"/>
              <w:rPr>
                <w:rFonts w:hint="eastAsia" w:ascii="仿宋" w:hAnsi="仿宋" w:eastAsia="仿宋" w:cs="仿宋"/>
                <w:color w:val="auto"/>
                <w:highlight w:val="none"/>
              </w:rPr>
            </w:pPr>
            <w:r>
              <w:rPr>
                <w:rFonts w:hint="eastAsia" w:ascii="仿宋" w:hAnsi="仿宋" w:eastAsia="仿宋" w:cs="仿宋"/>
                <w:color w:val="auto"/>
                <w:highlight w:val="none"/>
              </w:rPr>
              <w:t>(√)A</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类。</w:t>
            </w:r>
          </w:p>
        </w:tc>
      </w:tr>
      <w:tr w14:paraId="5633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5" w:type="pct"/>
            <w:vAlign w:val="center"/>
          </w:tcPr>
          <w:p w14:paraId="50C40C2A">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068" w:type="pct"/>
            <w:vAlign w:val="center"/>
          </w:tcPr>
          <w:p w14:paraId="61DC567C">
            <w:pPr>
              <w:spacing w:after="0"/>
              <w:rPr>
                <w:rFonts w:hint="eastAsia" w:ascii="仿宋" w:hAnsi="仿宋" w:eastAsia="仿宋" w:cs="仿宋"/>
                <w:color w:val="auto"/>
                <w:highlight w:val="none"/>
              </w:rPr>
            </w:pPr>
            <w:r>
              <w:rPr>
                <w:rFonts w:hint="eastAsia" w:cs="仿宋"/>
                <w:b/>
                <w:color w:val="auto"/>
                <w:highlight w:val="none"/>
                <w:lang w:eastAsia="zh-CN"/>
              </w:rPr>
              <w:t>交易</w:t>
            </w:r>
            <w:r>
              <w:rPr>
                <w:rFonts w:hint="eastAsia" w:ascii="仿宋" w:hAnsi="仿宋" w:eastAsia="仿宋" w:cs="仿宋"/>
                <w:b/>
                <w:color w:val="auto"/>
                <w:highlight w:val="none"/>
              </w:rPr>
              <w:t>标的对应的中小企业划分标准所属行业</w:t>
            </w:r>
          </w:p>
        </w:tc>
        <w:tc>
          <w:tcPr>
            <w:tcW w:w="3616" w:type="pct"/>
            <w:vAlign w:val="center"/>
          </w:tcPr>
          <w:p w14:paraId="2C1F43E6">
            <w:pPr>
              <w:spacing w:after="0"/>
              <w:rPr>
                <w:rFonts w:hint="eastAsia" w:ascii="仿宋" w:hAnsi="仿宋" w:eastAsia="仿宋" w:cs="仿宋"/>
                <w:color w:val="auto"/>
                <w:highlight w:val="none"/>
              </w:rPr>
            </w:pPr>
            <w:r>
              <w:rPr>
                <w:rFonts w:hint="eastAsia" w:ascii="仿宋" w:hAnsi="仿宋" w:eastAsia="仿宋" w:cs="仿宋"/>
                <w:color w:val="auto"/>
                <w:highlight w:val="none"/>
              </w:rPr>
              <w:t>/</w:t>
            </w:r>
          </w:p>
        </w:tc>
      </w:tr>
      <w:tr w14:paraId="4DBC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5" w:type="pct"/>
            <w:vAlign w:val="center"/>
          </w:tcPr>
          <w:p w14:paraId="62BE3EE2">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068" w:type="pct"/>
            <w:vAlign w:val="center"/>
          </w:tcPr>
          <w:p w14:paraId="4A35C19B">
            <w:pPr>
              <w:spacing w:after="0"/>
              <w:rPr>
                <w:rFonts w:hint="eastAsia" w:ascii="仿宋" w:hAnsi="仿宋" w:eastAsia="仿宋" w:cs="仿宋"/>
                <w:color w:val="auto"/>
                <w:highlight w:val="none"/>
              </w:rPr>
            </w:pPr>
            <w:r>
              <w:rPr>
                <w:rFonts w:hint="eastAsia" w:ascii="仿宋" w:hAnsi="仿宋" w:eastAsia="仿宋" w:cs="仿宋"/>
                <w:b/>
                <w:color w:val="auto"/>
                <w:highlight w:val="none"/>
              </w:rPr>
              <w:t>是否允许</w:t>
            </w:r>
            <w:r>
              <w:rPr>
                <w:rFonts w:hint="eastAsia" w:cs="仿宋"/>
                <w:b/>
                <w:color w:val="auto"/>
                <w:highlight w:val="none"/>
                <w:lang w:eastAsia="zh-CN"/>
              </w:rPr>
              <w:t>交易</w:t>
            </w:r>
            <w:r>
              <w:rPr>
                <w:rFonts w:hint="eastAsia" w:ascii="仿宋" w:hAnsi="仿宋" w:eastAsia="仿宋" w:cs="仿宋"/>
                <w:b/>
                <w:color w:val="auto"/>
                <w:highlight w:val="none"/>
              </w:rPr>
              <w:t>进口产品</w:t>
            </w:r>
          </w:p>
        </w:tc>
        <w:tc>
          <w:tcPr>
            <w:tcW w:w="3616" w:type="pct"/>
            <w:vAlign w:val="center"/>
          </w:tcPr>
          <w:p w14:paraId="219CE57F">
            <w:pPr>
              <w:spacing w:after="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sz w:val="24"/>
                <w:szCs w:val="32"/>
                <w:highlight w:val="none"/>
              </w:rPr>
              <w:t>本项目不允许</w:t>
            </w:r>
            <w:r>
              <w:rPr>
                <w:rFonts w:hint="eastAsia" w:cs="仿宋"/>
                <w:color w:val="auto"/>
                <w:sz w:val="24"/>
                <w:szCs w:val="32"/>
                <w:highlight w:val="none"/>
                <w:lang w:eastAsia="zh-CN"/>
              </w:rPr>
              <w:t>交易</w:t>
            </w:r>
            <w:r>
              <w:rPr>
                <w:rFonts w:hint="eastAsia" w:ascii="仿宋" w:hAnsi="仿宋" w:eastAsia="仿宋" w:cs="仿宋"/>
                <w:color w:val="auto"/>
                <w:sz w:val="24"/>
                <w:szCs w:val="32"/>
                <w:highlight w:val="none"/>
              </w:rPr>
              <w:t>进口产品</w:t>
            </w:r>
          </w:p>
        </w:tc>
      </w:tr>
      <w:tr w14:paraId="3BB1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5" w:type="pct"/>
            <w:vAlign w:val="center"/>
          </w:tcPr>
          <w:p w14:paraId="3713D21A">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068" w:type="pct"/>
            <w:vAlign w:val="center"/>
          </w:tcPr>
          <w:p w14:paraId="46712C47">
            <w:pPr>
              <w:spacing w:after="0"/>
              <w:rPr>
                <w:rFonts w:hint="eastAsia" w:ascii="仿宋" w:hAnsi="仿宋" w:eastAsia="仿宋" w:cs="仿宋"/>
                <w:color w:val="auto"/>
                <w:highlight w:val="none"/>
              </w:rPr>
            </w:pPr>
            <w:r>
              <w:rPr>
                <w:rFonts w:hint="eastAsia" w:ascii="仿宋" w:hAnsi="仿宋" w:eastAsia="仿宋" w:cs="仿宋"/>
                <w:b/>
                <w:color w:val="auto"/>
                <w:highlight w:val="none"/>
              </w:rPr>
              <w:t>分包</w:t>
            </w:r>
          </w:p>
        </w:tc>
        <w:tc>
          <w:tcPr>
            <w:tcW w:w="3616" w:type="pct"/>
            <w:vAlign w:val="center"/>
          </w:tcPr>
          <w:p w14:paraId="20E38180">
            <w:pPr>
              <w:spacing w:after="0"/>
              <w:rPr>
                <w:rFonts w:hint="eastAsia" w:ascii="仿宋" w:hAnsi="仿宋" w:eastAsia="仿宋" w:cs="仿宋"/>
                <w:color w:val="auto"/>
                <w:highlight w:val="none"/>
              </w:rPr>
            </w:pPr>
            <w:r>
              <w:rPr>
                <w:rFonts w:hint="eastAsia" w:ascii="仿宋" w:hAnsi="仿宋" w:eastAsia="仿宋" w:cs="仿宋"/>
                <w:color w:val="auto"/>
                <w:highlight w:val="none"/>
              </w:rPr>
              <w:t>(√)B不同意分包。</w:t>
            </w:r>
          </w:p>
        </w:tc>
      </w:tr>
      <w:tr w14:paraId="4D78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5" w:type="pct"/>
            <w:vAlign w:val="center"/>
          </w:tcPr>
          <w:p w14:paraId="08885784">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068" w:type="pct"/>
            <w:vAlign w:val="center"/>
          </w:tcPr>
          <w:p w14:paraId="30924566">
            <w:pPr>
              <w:spacing w:after="0"/>
              <w:rPr>
                <w:rFonts w:hint="eastAsia" w:ascii="仿宋" w:hAnsi="仿宋" w:eastAsia="仿宋" w:cs="仿宋"/>
                <w:color w:val="auto"/>
                <w:highlight w:val="none"/>
              </w:rPr>
            </w:pPr>
            <w:r>
              <w:rPr>
                <w:rFonts w:hint="eastAsia" w:ascii="仿宋" w:hAnsi="仿宋" w:eastAsia="仿宋" w:cs="仿宋"/>
                <w:b/>
                <w:color w:val="auto"/>
                <w:highlight w:val="none"/>
                <w:lang w:eastAsia="zh-CN"/>
              </w:rPr>
              <w:t>交易前</w:t>
            </w:r>
            <w:r>
              <w:rPr>
                <w:rFonts w:hint="eastAsia" w:ascii="仿宋" w:hAnsi="仿宋" w:eastAsia="仿宋" w:cs="仿宋"/>
                <w:b/>
                <w:color w:val="auto"/>
                <w:highlight w:val="none"/>
              </w:rPr>
              <w:t>答疑会或现场考察</w:t>
            </w:r>
          </w:p>
        </w:tc>
        <w:tc>
          <w:tcPr>
            <w:tcW w:w="3616" w:type="pct"/>
            <w:vAlign w:val="center"/>
          </w:tcPr>
          <w:p w14:paraId="463CA106">
            <w:pPr>
              <w:spacing w:after="0"/>
              <w:rPr>
                <w:rFonts w:hint="eastAsia" w:ascii="仿宋" w:hAnsi="仿宋" w:eastAsia="仿宋" w:cs="仿宋"/>
                <w:color w:val="auto"/>
                <w:highlight w:val="none"/>
              </w:rPr>
            </w:pPr>
            <w:r>
              <w:rPr>
                <w:rFonts w:hint="eastAsia" w:ascii="仿宋" w:hAnsi="仿宋" w:eastAsia="仿宋" w:cs="仿宋"/>
                <w:color w:val="auto"/>
                <w:highlight w:val="none"/>
              </w:rPr>
              <w:t>(√)A不组织。</w:t>
            </w:r>
          </w:p>
        </w:tc>
      </w:tr>
      <w:tr w14:paraId="218F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5" w:type="pct"/>
            <w:vAlign w:val="center"/>
          </w:tcPr>
          <w:p w14:paraId="43C829D7">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068" w:type="pct"/>
            <w:vAlign w:val="center"/>
          </w:tcPr>
          <w:p w14:paraId="35F3CF11">
            <w:pPr>
              <w:spacing w:after="0"/>
              <w:rPr>
                <w:rFonts w:hint="eastAsia" w:ascii="仿宋" w:hAnsi="仿宋" w:eastAsia="仿宋" w:cs="仿宋"/>
                <w:color w:val="auto"/>
                <w:highlight w:val="none"/>
              </w:rPr>
            </w:pPr>
            <w:r>
              <w:rPr>
                <w:rFonts w:hint="eastAsia" w:ascii="仿宋" w:hAnsi="仿宋" w:eastAsia="仿宋" w:cs="仿宋"/>
                <w:b/>
                <w:color w:val="auto"/>
                <w:highlight w:val="none"/>
              </w:rPr>
              <w:t>样品提供</w:t>
            </w:r>
          </w:p>
        </w:tc>
        <w:tc>
          <w:tcPr>
            <w:tcW w:w="3616" w:type="pct"/>
            <w:vAlign w:val="center"/>
          </w:tcPr>
          <w:p w14:paraId="7F6415CB">
            <w:pPr>
              <w:spacing w:after="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Cs/>
                <w:color w:val="auto"/>
                <w:highlight w:val="none"/>
              </w:rPr>
              <w:t>A不要求提供。</w:t>
            </w:r>
          </w:p>
        </w:tc>
      </w:tr>
      <w:tr w14:paraId="7235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5" w:type="pct"/>
            <w:vAlign w:val="center"/>
          </w:tcPr>
          <w:p w14:paraId="65600272">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068" w:type="pct"/>
            <w:vAlign w:val="center"/>
          </w:tcPr>
          <w:p w14:paraId="1E9459B8">
            <w:pPr>
              <w:spacing w:after="0"/>
              <w:rPr>
                <w:rFonts w:hint="eastAsia" w:ascii="仿宋" w:hAnsi="仿宋" w:eastAsia="仿宋" w:cs="仿宋"/>
                <w:color w:val="auto"/>
                <w:highlight w:val="none"/>
              </w:rPr>
            </w:pPr>
            <w:r>
              <w:rPr>
                <w:rFonts w:hint="eastAsia" w:ascii="仿宋" w:hAnsi="仿宋" w:eastAsia="仿宋" w:cs="仿宋"/>
                <w:b/>
                <w:color w:val="auto"/>
                <w:highlight w:val="none"/>
              </w:rPr>
              <w:t>方案讲解演示</w:t>
            </w:r>
          </w:p>
        </w:tc>
        <w:tc>
          <w:tcPr>
            <w:tcW w:w="3616" w:type="pct"/>
            <w:vAlign w:val="center"/>
          </w:tcPr>
          <w:p w14:paraId="681370C1">
            <w:pPr>
              <w:spacing w:after="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cs="仿宋"/>
                <w:bCs/>
                <w:color w:val="auto"/>
                <w:highlight w:val="none"/>
                <w:lang w:val="en-US" w:eastAsia="zh-CN"/>
              </w:rPr>
              <w:t>B</w:t>
            </w:r>
            <w:r>
              <w:rPr>
                <w:rFonts w:hint="eastAsia" w:ascii="仿宋" w:hAnsi="仿宋" w:eastAsia="仿宋" w:cs="仿宋"/>
                <w:bCs/>
                <w:color w:val="auto"/>
                <w:highlight w:val="none"/>
              </w:rPr>
              <w:t>要求。</w:t>
            </w:r>
          </w:p>
        </w:tc>
      </w:tr>
      <w:tr w14:paraId="57FB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5" w:type="pct"/>
            <w:vAlign w:val="center"/>
          </w:tcPr>
          <w:p w14:paraId="1931AA13">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068" w:type="pct"/>
            <w:vAlign w:val="center"/>
          </w:tcPr>
          <w:p w14:paraId="21B54F86">
            <w:pPr>
              <w:spacing w:after="0"/>
              <w:rPr>
                <w:rFonts w:hint="eastAsia" w:ascii="仿宋" w:hAnsi="仿宋" w:eastAsia="仿宋" w:cs="仿宋"/>
                <w:color w:val="auto"/>
                <w:highlight w:val="none"/>
              </w:rPr>
            </w:pPr>
            <w:r>
              <w:rPr>
                <w:rFonts w:hint="eastAsia" w:ascii="仿宋" w:hAnsi="仿宋" w:eastAsia="仿宋" w:cs="仿宋"/>
                <w:b/>
                <w:color w:val="auto"/>
                <w:highlight w:val="none"/>
                <w:lang w:eastAsia="zh-CN"/>
              </w:rPr>
              <w:t>响应人</w:t>
            </w:r>
            <w:r>
              <w:rPr>
                <w:rFonts w:hint="eastAsia" w:ascii="仿宋" w:hAnsi="仿宋" w:eastAsia="仿宋" w:cs="仿宋"/>
                <w:b/>
                <w:color w:val="auto"/>
                <w:highlight w:val="none"/>
              </w:rPr>
              <w:t>应当提供的资格、资信证明文件</w:t>
            </w:r>
          </w:p>
        </w:tc>
        <w:tc>
          <w:tcPr>
            <w:tcW w:w="3616" w:type="pct"/>
            <w:vAlign w:val="center"/>
          </w:tcPr>
          <w:p w14:paraId="517DE99D">
            <w:pPr>
              <w:spacing w:after="0"/>
              <w:rPr>
                <w:rFonts w:hint="eastAsia" w:ascii="仿宋" w:hAnsi="仿宋" w:eastAsia="仿宋" w:cs="仿宋"/>
                <w:color w:val="auto"/>
                <w:highlight w:val="none"/>
              </w:rPr>
            </w:pPr>
            <w:r>
              <w:rPr>
                <w:rFonts w:hint="eastAsia" w:ascii="仿宋" w:hAnsi="仿宋" w:eastAsia="仿宋" w:cs="仿宋"/>
                <w:color w:val="auto"/>
                <w:highlight w:val="none"/>
              </w:rPr>
              <w:t>（1）资格证明文件：见</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第二部分11.1。</w:t>
            </w:r>
          </w:p>
          <w:p w14:paraId="7D8CA6C0">
            <w:pPr>
              <w:spacing w:after="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响应人未提供有效的资格证明文件的，视为响应人不具备交易文件中规定的资格要求，响应无效。</w:t>
            </w:r>
          </w:p>
          <w:p w14:paraId="7EDE6C68">
            <w:pPr>
              <w:spacing w:after="0"/>
              <w:rPr>
                <w:rFonts w:hint="eastAsia" w:ascii="仿宋" w:hAnsi="仿宋" w:eastAsia="仿宋" w:cs="仿宋"/>
                <w:color w:val="auto"/>
                <w:highlight w:val="none"/>
              </w:rPr>
            </w:pPr>
            <w:r>
              <w:rPr>
                <w:rFonts w:hint="eastAsia" w:ascii="仿宋" w:hAnsi="仿宋" w:eastAsia="仿宋" w:cs="仿宋"/>
                <w:color w:val="auto"/>
                <w:highlight w:val="none"/>
              </w:rPr>
              <w:t>（2）资信证明文件：根据</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第四部分</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标准提供。</w:t>
            </w:r>
          </w:p>
        </w:tc>
      </w:tr>
      <w:tr w14:paraId="5DFE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5" w:type="pct"/>
            <w:vAlign w:val="center"/>
          </w:tcPr>
          <w:p w14:paraId="307ECD4E">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068" w:type="pct"/>
            <w:vAlign w:val="center"/>
          </w:tcPr>
          <w:p w14:paraId="03F2D5AC">
            <w:pPr>
              <w:spacing w:after="0"/>
              <w:rPr>
                <w:rFonts w:hint="eastAsia" w:ascii="仿宋" w:hAnsi="仿宋" w:eastAsia="仿宋" w:cs="仿宋"/>
                <w:color w:val="auto"/>
                <w:highlight w:val="none"/>
              </w:rPr>
            </w:pPr>
            <w:r>
              <w:rPr>
                <w:rFonts w:hint="eastAsia" w:ascii="仿宋" w:hAnsi="仿宋" w:eastAsia="仿宋" w:cs="仿宋"/>
                <w:b/>
                <w:color w:val="auto"/>
                <w:highlight w:val="none"/>
              </w:rPr>
              <w:t>报价要求</w:t>
            </w:r>
          </w:p>
        </w:tc>
        <w:tc>
          <w:tcPr>
            <w:tcW w:w="3616" w:type="pct"/>
            <w:vAlign w:val="center"/>
          </w:tcPr>
          <w:p w14:paraId="5549EA8B">
            <w:pPr>
              <w:spacing w:after="0"/>
              <w:ind w:firstLine="480" w:firstLineChars="200"/>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有关本项目实施所需的所有费用（含税费）均计入报价。</w:t>
            </w:r>
            <w:r>
              <w:rPr>
                <w:rFonts w:hint="eastAsia" w:ascii="仿宋" w:hAnsi="仿宋" w:eastAsia="仿宋" w:cs="仿宋"/>
                <w:bCs/>
                <w:color w:val="auto"/>
                <w:highlight w:val="none"/>
              </w:rPr>
              <w:t>交易一览表（报价表）是报价的唯一载体</w:t>
            </w:r>
            <w:r>
              <w:rPr>
                <w:rFonts w:hint="eastAsia" w:ascii="仿宋" w:hAnsi="仿宋" w:eastAsia="仿宋" w:cs="仿宋"/>
                <w:bCs/>
                <w:color w:val="auto"/>
                <w:highlight w:val="none"/>
                <w:lang w:val="zh-CN"/>
              </w:rPr>
              <w:t>。响应文件中价格全部采用人民币报价。交易文件未列明，而响应人认为必需的费用也需列入报价。</w:t>
            </w:r>
          </w:p>
          <w:p w14:paraId="18EF8829">
            <w:pPr>
              <w:spacing w:after="0"/>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响应报价出现下列情形的，响应无效：</w:t>
            </w:r>
          </w:p>
          <w:p w14:paraId="0638A97E">
            <w:pPr>
              <w:spacing w:after="0"/>
              <w:ind w:firstLine="480" w:firstLineChars="200"/>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响应文件出现不是唯一的、有选择性响应报价的；</w:t>
            </w:r>
          </w:p>
          <w:p w14:paraId="1077A387">
            <w:pPr>
              <w:spacing w:after="0"/>
              <w:ind w:firstLine="480" w:firstLineChars="200"/>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响应报价超过交易文件中规定的预算金额或者最高限价的;</w:t>
            </w:r>
          </w:p>
          <w:p w14:paraId="5BBF474D">
            <w:pPr>
              <w:spacing w:after="0"/>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报价明显低于其他通过符合性审查</w:t>
            </w:r>
            <w:r>
              <w:rPr>
                <w:rFonts w:hint="eastAsia" w:ascii="仿宋" w:hAnsi="仿宋" w:eastAsia="仿宋" w:cs="仿宋"/>
                <w:bCs/>
                <w:color w:val="auto"/>
                <w:highlight w:val="none"/>
                <w:lang w:eastAsia="zh-CN"/>
              </w:rPr>
              <w:t>响应人</w:t>
            </w:r>
            <w:r>
              <w:rPr>
                <w:rFonts w:hint="eastAsia" w:ascii="仿宋" w:hAnsi="仿宋" w:eastAsia="仿宋" w:cs="仿宋"/>
                <w:bCs/>
                <w:color w:val="auto"/>
                <w:highlight w:val="none"/>
              </w:rPr>
              <w:t>的报价，有可能影响产品质量或者不能诚信履约的，未能按要求提供书面说明或者提交相关证明材料证明其报价合理性的;</w:t>
            </w:r>
          </w:p>
          <w:p w14:paraId="5AB28905">
            <w:pPr>
              <w:spacing w:after="0"/>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eastAsia="zh-CN"/>
              </w:rPr>
              <w:t>响应人</w:t>
            </w:r>
            <w:r>
              <w:rPr>
                <w:rFonts w:hint="eastAsia" w:ascii="仿宋" w:hAnsi="仿宋" w:eastAsia="仿宋" w:cs="仿宋"/>
                <w:bCs/>
                <w:color w:val="auto"/>
                <w:highlight w:val="none"/>
              </w:rPr>
              <w:t>对根据修正原则修正后的报价不确认的。</w:t>
            </w:r>
          </w:p>
          <w:p w14:paraId="3D28F1B0">
            <w:pPr>
              <w:spacing w:after="0"/>
              <w:ind w:firstLine="480" w:firstLineChars="200"/>
              <w:rPr>
                <w:rFonts w:hint="eastAsia" w:ascii="仿宋" w:hAnsi="仿宋" w:eastAsia="仿宋" w:cs="仿宋"/>
                <w:color w:val="auto"/>
                <w:highlight w:val="none"/>
              </w:rPr>
            </w:pPr>
            <w:r>
              <w:rPr>
                <w:rFonts w:hint="eastAsia" w:ascii="仿宋" w:hAnsi="仿宋" w:eastAsia="仿宋" w:cs="仿宋"/>
                <w:bCs/>
                <w:color w:val="auto"/>
                <w:highlight w:val="none"/>
              </w:rPr>
              <w:t>资格文件、商务技术文件与报价文件未分开制作。</w:t>
            </w:r>
          </w:p>
        </w:tc>
      </w:tr>
      <w:tr w14:paraId="04D4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5" w:type="pct"/>
            <w:vAlign w:val="center"/>
          </w:tcPr>
          <w:p w14:paraId="69E50670">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068" w:type="pct"/>
            <w:vAlign w:val="center"/>
          </w:tcPr>
          <w:p w14:paraId="53D2F2FB">
            <w:pPr>
              <w:spacing w:after="0"/>
              <w:rPr>
                <w:rFonts w:hint="eastAsia" w:ascii="仿宋" w:hAnsi="仿宋" w:eastAsia="仿宋" w:cs="仿宋"/>
                <w:color w:val="auto"/>
                <w:highlight w:val="none"/>
                <w:lang w:eastAsia="zh-CN"/>
              </w:rPr>
            </w:pPr>
            <w:r>
              <w:rPr>
                <w:rFonts w:hint="eastAsia" w:ascii="仿宋" w:hAnsi="仿宋" w:eastAsia="仿宋" w:cs="仿宋"/>
                <w:b/>
                <w:color w:val="auto"/>
                <w:highlight w:val="none"/>
              </w:rPr>
              <w:t>备份</w:t>
            </w:r>
            <w:r>
              <w:rPr>
                <w:rFonts w:hint="eastAsia" w:ascii="仿宋" w:hAnsi="仿宋" w:eastAsia="仿宋" w:cs="仿宋"/>
                <w:b/>
                <w:color w:val="auto"/>
                <w:highlight w:val="none"/>
                <w:lang w:eastAsia="zh-CN"/>
              </w:rPr>
              <w:t>响应文件</w:t>
            </w:r>
          </w:p>
        </w:tc>
        <w:tc>
          <w:tcPr>
            <w:tcW w:w="3616" w:type="pct"/>
            <w:vAlign w:val="center"/>
          </w:tcPr>
          <w:p w14:paraId="2E661DCC">
            <w:pPr>
              <w:pStyle w:val="22"/>
              <w:ind w:left="960" w:hanging="960" w:hangingChars="400"/>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备份文件是否收取：不收取</w:t>
            </w:r>
            <w:r>
              <w:rPr>
                <w:rFonts w:hint="eastAsia" w:ascii="仿宋" w:hAnsi="仿宋" w:eastAsia="仿宋" w:cs="仿宋"/>
                <w:color w:val="auto"/>
                <w:sz w:val="24"/>
                <w:szCs w:val="24"/>
                <w:highlight w:val="none"/>
              </w:rPr>
              <w:t>。</w:t>
            </w:r>
          </w:p>
          <w:p w14:paraId="4D4466E1">
            <w:pPr>
              <w:spacing w:after="0"/>
              <w:rPr>
                <w:rFonts w:hint="eastAsia" w:ascii="仿宋" w:hAnsi="仿宋" w:eastAsia="仿宋" w:cs="仿宋"/>
                <w:color w:val="auto"/>
                <w:highlight w:val="none"/>
              </w:rPr>
            </w:pPr>
            <w:r>
              <w:rPr>
                <w:rFonts w:hint="eastAsia" w:ascii="仿宋" w:hAnsi="仿宋" w:eastAsia="仿宋" w:cs="仿宋"/>
                <w:b/>
                <w:color w:val="auto"/>
                <w:highlight w:val="none"/>
                <w:lang w:eastAsia="zh-CN"/>
              </w:rPr>
              <w:t>交易发起人</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交易机构</w:t>
            </w:r>
            <w:r>
              <w:rPr>
                <w:rFonts w:hint="eastAsia" w:ascii="仿宋" w:hAnsi="仿宋" w:eastAsia="仿宋" w:cs="仿宋"/>
                <w:b/>
                <w:color w:val="auto"/>
                <w:highlight w:val="none"/>
              </w:rPr>
              <w:t>不强制或变相强制</w:t>
            </w:r>
            <w:r>
              <w:rPr>
                <w:rFonts w:hint="eastAsia" w:ascii="仿宋" w:hAnsi="仿宋" w:eastAsia="仿宋" w:cs="仿宋"/>
                <w:b/>
                <w:color w:val="auto"/>
                <w:highlight w:val="none"/>
                <w:lang w:eastAsia="zh-CN"/>
              </w:rPr>
              <w:t>响应人</w:t>
            </w:r>
            <w:r>
              <w:rPr>
                <w:rFonts w:hint="eastAsia" w:ascii="仿宋" w:hAnsi="仿宋" w:eastAsia="仿宋" w:cs="仿宋"/>
                <w:b/>
                <w:color w:val="auto"/>
                <w:highlight w:val="none"/>
              </w:rPr>
              <w:t>提交备份文件。提交的备份文件格式无效（.bfbs格式）或其他因</w:t>
            </w:r>
            <w:r>
              <w:rPr>
                <w:rFonts w:hint="eastAsia" w:ascii="仿宋" w:hAnsi="仿宋" w:eastAsia="仿宋" w:cs="仿宋"/>
                <w:b/>
                <w:color w:val="auto"/>
                <w:highlight w:val="none"/>
                <w:lang w:eastAsia="zh-CN"/>
              </w:rPr>
              <w:t>响应人</w:t>
            </w:r>
            <w:r>
              <w:rPr>
                <w:rFonts w:hint="eastAsia" w:ascii="仿宋" w:hAnsi="仿宋" w:eastAsia="仿宋" w:cs="仿宋"/>
                <w:b/>
                <w:color w:val="auto"/>
                <w:highlight w:val="none"/>
              </w:rPr>
              <w:t>自身制作不当导致的无法使用的情况由</w:t>
            </w:r>
            <w:r>
              <w:rPr>
                <w:rFonts w:hint="eastAsia" w:ascii="仿宋" w:hAnsi="仿宋" w:eastAsia="仿宋" w:cs="仿宋"/>
                <w:b/>
                <w:color w:val="auto"/>
                <w:highlight w:val="none"/>
                <w:lang w:eastAsia="zh-CN"/>
              </w:rPr>
              <w:t>响应人</w:t>
            </w:r>
            <w:r>
              <w:rPr>
                <w:rFonts w:hint="eastAsia" w:ascii="仿宋" w:hAnsi="仿宋" w:eastAsia="仿宋" w:cs="仿宋"/>
                <w:b/>
                <w:color w:val="auto"/>
                <w:highlight w:val="none"/>
              </w:rPr>
              <w:t>自行负责。</w:t>
            </w:r>
          </w:p>
        </w:tc>
      </w:tr>
      <w:tr w14:paraId="1791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5" w:type="pct"/>
            <w:vAlign w:val="center"/>
          </w:tcPr>
          <w:p w14:paraId="537B4FC8">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1068" w:type="pct"/>
            <w:vAlign w:val="center"/>
          </w:tcPr>
          <w:p w14:paraId="13B33A73">
            <w:pPr>
              <w:spacing w:after="0"/>
              <w:rPr>
                <w:rFonts w:hint="eastAsia" w:ascii="仿宋" w:hAnsi="仿宋" w:eastAsia="仿宋" w:cs="仿宋"/>
                <w:color w:val="auto"/>
                <w:highlight w:val="none"/>
              </w:rPr>
            </w:pPr>
            <w:r>
              <w:rPr>
                <w:rFonts w:hint="eastAsia" w:ascii="仿宋" w:hAnsi="仿宋" w:eastAsia="仿宋" w:cs="仿宋"/>
                <w:b/>
                <w:color w:val="auto"/>
                <w:highlight w:val="none"/>
                <w:lang w:eastAsia="zh-CN"/>
              </w:rPr>
              <w:t>交易机构</w:t>
            </w:r>
            <w:r>
              <w:rPr>
                <w:rFonts w:hint="eastAsia" w:ascii="仿宋" w:hAnsi="仿宋" w:eastAsia="仿宋" w:cs="仿宋"/>
                <w:b/>
                <w:color w:val="auto"/>
                <w:highlight w:val="none"/>
              </w:rPr>
              <w:t>代理费用</w:t>
            </w:r>
          </w:p>
        </w:tc>
        <w:tc>
          <w:tcPr>
            <w:tcW w:w="3616" w:type="pct"/>
            <w:vAlign w:val="center"/>
          </w:tcPr>
          <w:p w14:paraId="2D3DA2ED">
            <w:pPr>
              <w:spacing w:after="0"/>
              <w:rPr>
                <w:rFonts w:hint="eastAsia" w:ascii="仿宋" w:hAnsi="仿宋" w:eastAsia="仿宋" w:cs="仿宋"/>
                <w:color w:val="auto"/>
                <w:highlight w:val="none"/>
              </w:rPr>
            </w:pPr>
            <w:r>
              <w:rPr>
                <w:rFonts w:hint="eastAsia" w:ascii="仿宋" w:hAnsi="仿宋" w:eastAsia="仿宋" w:cs="仿宋"/>
                <w:snapToGrid w:val="0"/>
                <w:color w:val="auto"/>
                <w:kern w:val="2"/>
                <w:highlight w:val="none"/>
              </w:rPr>
              <w:t>本项目的</w:t>
            </w:r>
            <w:r>
              <w:rPr>
                <w:rFonts w:hint="eastAsia" w:ascii="仿宋" w:hAnsi="仿宋" w:eastAsia="仿宋" w:cs="仿宋"/>
                <w:snapToGrid w:val="0"/>
                <w:color w:val="auto"/>
                <w:kern w:val="2"/>
                <w:highlight w:val="none"/>
                <w:lang w:eastAsia="zh-CN"/>
              </w:rPr>
              <w:t>交易代理费</w:t>
            </w:r>
            <w:r>
              <w:rPr>
                <w:rFonts w:hint="eastAsia" w:ascii="仿宋" w:hAnsi="仿宋" w:eastAsia="仿宋" w:cs="仿宋"/>
                <w:snapToGrid w:val="0"/>
                <w:color w:val="auto"/>
                <w:kern w:val="2"/>
                <w:highlight w:val="none"/>
                <w:lang w:val="en-US" w:eastAsia="zh-CN"/>
              </w:rPr>
              <w:t>及专家评审费由</w:t>
            </w:r>
            <w:r>
              <w:rPr>
                <w:rFonts w:hint="eastAsia" w:cs="仿宋"/>
                <w:snapToGrid w:val="0"/>
                <w:color w:val="auto"/>
                <w:kern w:val="2"/>
                <w:highlight w:val="none"/>
                <w:lang w:val="en-US" w:eastAsia="zh-CN"/>
              </w:rPr>
              <w:t>交易发起人</w:t>
            </w:r>
            <w:r>
              <w:rPr>
                <w:rFonts w:hint="eastAsia" w:ascii="仿宋" w:hAnsi="仿宋" w:eastAsia="仿宋" w:cs="仿宋"/>
                <w:snapToGrid w:val="0"/>
                <w:color w:val="auto"/>
                <w:kern w:val="2"/>
                <w:highlight w:val="none"/>
              </w:rPr>
              <w:t>支付</w:t>
            </w:r>
            <w:r>
              <w:rPr>
                <w:rFonts w:hint="eastAsia" w:ascii="仿宋" w:hAnsi="仿宋" w:eastAsia="仿宋" w:cs="仿宋"/>
                <w:snapToGrid w:val="0"/>
                <w:color w:val="auto"/>
                <w:kern w:val="2"/>
                <w:highlight w:val="none"/>
                <w:lang w:eastAsia="zh-CN"/>
              </w:rPr>
              <w:t>。</w:t>
            </w:r>
          </w:p>
        </w:tc>
      </w:tr>
      <w:tr w14:paraId="07D8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5" w:type="pct"/>
            <w:vAlign w:val="center"/>
          </w:tcPr>
          <w:p w14:paraId="69A617D4">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1068" w:type="pct"/>
            <w:vAlign w:val="center"/>
          </w:tcPr>
          <w:p w14:paraId="0C184A71">
            <w:pPr>
              <w:spacing w:after="0"/>
              <w:rPr>
                <w:rFonts w:hint="eastAsia" w:ascii="仿宋" w:hAnsi="仿宋" w:eastAsia="仿宋" w:cs="仿宋"/>
                <w:color w:val="auto"/>
                <w:highlight w:val="none"/>
              </w:rPr>
            </w:pPr>
            <w:r>
              <w:rPr>
                <w:rFonts w:hint="eastAsia" w:ascii="仿宋" w:hAnsi="仿宋" w:eastAsia="仿宋" w:cs="仿宋"/>
                <w:b/>
                <w:color w:val="auto"/>
                <w:highlight w:val="none"/>
              </w:rPr>
              <w:t>履约保证金</w:t>
            </w:r>
          </w:p>
        </w:tc>
        <w:tc>
          <w:tcPr>
            <w:tcW w:w="3616" w:type="pct"/>
            <w:vAlign w:val="center"/>
          </w:tcPr>
          <w:p w14:paraId="7713B421">
            <w:pPr>
              <w:spacing w:after="0"/>
              <w:rPr>
                <w:rFonts w:hint="eastAsia" w:ascii="仿宋" w:hAnsi="仿宋" w:eastAsia="仿宋" w:cs="仿宋"/>
                <w:color w:val="auto"/>
                <w:highlight w:val="none"/>
              </w:rPr>
            </w:pP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val="en-US" w:eastAsia="zh-CN"/>
              </w:rPr>
              <w:t>不收取</w:t>
            </w:r>
            <w:r>
              <w:rPr>
                <w:rFonts w:hint="eastAsia" w:ascii="仿宋" w:hAnsi="仿宋" w:eastAsia="仿宋" w:cs="仿宋"/>
                <w:color w:val="auto"/>
                <w:sz w:val="24"/>
                <w:szCs w:val="24"/>
                <w:highlight w:val="none"/>
              </w:rPr>
              <w:t>。</w:t>
            </w:r>
          </w:p>
        </w:tc>
      </w:tr>
      <w:tr w14:paraId="5D86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5" w:type="pct"/>
            <w:vAlign w:val="center"/>
          </w:tcPr>
          <w:p w14:paraId="1791162C">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1068" w:type="pct"/>
            <w:vAlign w:val="center"/>
          </w:tcPr>
          <w:p w14:paraId="0255E63F">
            <w:pPr>
              <w:spacing w:after="0"/>
              <w:rPr>
                <w:rFonts w:hint="eastAsia" w:ascii="仿宋" w:hAnsi="仿宋" w:eastAsia="仿宋" w:cs="仿宋"/>
                <w:color w:val="auto"/>
                <w:highlight w:val="none"/>
              </w:rPr>
            </w:pPr>
            <w:r>
              <w:rPr>
                <w:rFonts w:hint="eastAsia" w:ascii="仿宋" w:hAnsi="仿宋" w:eastAsia="仿宋" w:cs="仿宋"/>
                <w:b/>
                <w:color w:val="auto"/>
                <w:highlight w:val="none"/>
              </w:rPr>
              <w:t>资格审查和信用信息审查</w:t>
            </w:r>
          </w:p>
        </w:tc>
        <w:tc>
          <w:tcPr>
            <w:tcW w:w="3616" w:type="pct"/>
            <w:vAlign w:val="center"/>
          </w:tcPr>
          <w:p w14:paraId="5C41874B">
            <w:pPr>
              <w:spacing w:after="0"/>
              <w:rPr>
                <w:rFonts w:hint="eastAsia" w:ascii="仿宋" w:hAnsi="仿宋" w:eastAsia="仿宋" w:cs="仿宋"/>
                <w:color w:val="auto"/>
                <w:highlight w:val="none"/>
              </w:rPr>
            </w:pPr>
            <w:r>
              <w:rPr>
                <w:rFonts w:hint="eastAsia" w:ascii="仿宋" w:hAnsi="仿宋" w:eastAsia="仿宋" w:cs="仿宋"/>
                <w:color w:val="auto"/>
                <w:highlight w:val="none"/>
              </w:rPr>
              <w:t>本项目由</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进行资格文件及信用信息查询。</w:t>
            </w:r>
          </w:p>
        </w:tc>
      </w:tr>
      <w:tr w14:paraId="78E3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5" w:type="pct"/>
            <w:vAlign w:val="center"/>
          </w:tcPr>
          <w:p w14:paraId="42BF0A9F">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1068" w:type="pct"/>
            <w:vAlign w:val="center"/>
          </w:tcPr>
          <w:p w14:paraId="50D93B6C">
            <w:pPr>
              <w:spacing w:after="0"/>
              <w:rPr>
                <w:rFonts w:hint="eastAsia" w:ascii="仿宋" w:hAnsi="仿宋" w:eastAsia="仿宋" w:cs="仿宋"/>
                <w:color w:val="auto"/>
                <w:highlight w:val="none"/>
              </w:rPr>
            </w:pPr>
            <w:r>
              <w:rPr>
                <w:rFonts w:hint="eastAsia" w:ascii="仿宋" w:hAnsi="仿宋" w:eastAsia="仿宋" w:cs="仿宋"/>
                <w:b/>
                <w:color w:val="auto"/>
                <w:highlight w:val="none"/>
              </w:rPr>
              <w:t>质疑接收人及答复</w:t>
            </w:r>
          </w:p>
        </w:tc>
        <w:tc>
          <w:tcPr>
            <w:tcW w:w="3616" w:type="pct"/>
            <w:vAlign w:val="center"/>
          </w:tcPr>
          <w:p w14:paraId="2BC81CF3">
            <w:pPr>
              <w:snapToGrid w:val="0"/>
              <w:spacing w:after="0"/>
              <w:rPr>
                <w:rFonts w:hint="eastAsia" w:ascii="仿宋" w:hAnsi="仿宋" w:eastAsia="仿宋" w:cs="仿宋"/>
                <w:color w:val="auto"/>
                <w:highlight w:val="none"/>
              </w:rPr>
            </w:pP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质疑接收人、联系方式：详见公告</w:t>
            </w:r>
          </w:p>
          <w:p w14:paraId="3D18E4D5">
            <w:pPr>
              <w:snapToGrid w:val="0"/>
              <w:spacing w:after="0"/>
              <w:rPr>
                <w:rFonts w:hint="eastAsia" w:ascii="仿宋" w:hAnsi="仿宋" w:eastAsia="仿宋" w:cs="仿宋"/>
                <w:color w:val="auto"/>
                <w:highlight w:val="none"/>
              </w:rPr>
            </w:pPr>
            <w:r>
              <w:rPr>
                <w:rFonts w:hint="eastAsia" w:ascii="仿宋" w:hAnsi="仿宋" w:eastAsia="仿宋" w:cs="仿宋"/>
                <w:color w:val="auto"/>
                <w:highlight w:val="none"/>
              </w:rPr>
              <w:t>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如对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有疑问，请将书面材料于</w:t>
            </w:r>
            <w:r>
              <w:rPr>
                <w:rFonts w:hint="eastAsia" w:cs="仿宋"/>
                <w:color w:val="auto"/>
                <w:highlight w:val="none"/>
                <w:lang w:eastAsia="zh-CN"/>
              </w:rPr>
              <w:t>2025年</w:t>
            </w:r>
            <w:r>
              <w:rPr>
                <w:rFonts w:hint="eastAsia" w:cs="仿宋"/>
                <w:color w:val="auto"/>
                <w:highlight w:val="none"/>
                <w:lang w:val="en-US" w:eastAsia="zh-CN"/>
              </w:rPr>
              <w:t>7</w:t>
            </w:r>
            <w:r>
              <w:rPr>
                <w:rFonts w:hint="eastAsia" w:cs="仿宋"/>
                <w:color w:val="auto"/>
                <w:highlight w:val="none"/>
                <w:lang w:eastAsia="zh-CN"/>
              </w:rPr>
              <w:t>月</w:t>
            </w:r>
            <w:r>
              <w:rPr>
                <w:rFonts w:hint="eastAsia" w:cs="仿宋"/>
                <w:color w:val="auto"/>
                <w:highlight w:val="none"/>
                <w:lang w:val="en-US" w:eastAsia="zh-CN"/>
              </w:rPr>
              <w:t>12</w:t>
            </w:r>
            <w:r>
              <w:rPr>
                <w:rFonts w:hint="eastAsia" w:cs="仿宋"/>
                <w:color w:val="auto"/>
                <w:highlight w:val="none"/>
                <w:lang w:eastAsia="zh-CN"/>
              </w:rPr>
              <w:t>日</w:t>
            </w:r>
            <w:r>
              <w:rPr>
                <w:rFonts w:hint="eastAsia" w:ascii="仿宋" w:hAnsi="仿宋" w:eastAsia="仿宋" w:cs="仿宋"/>
                <w:color w:val="auto"/>
                <w:highlight w:val="none"/>
              </w:rPr>
              <w:t>16:00前盖章扫描后通过邮箱方式发送至</w:t>
            </w:r>
            <w:r>
              <w:rPr>
                <w:rFonts w:hint="eastAsia" w:ascii="仿宋" w:hAnsi="仿宋" w:eastAsia="仿宋" w:cs="仿宋"/>
                <w:color w:val="auto"/>
                <w:highlight w:val="none"/>
                <w:lang w:eastAsia="zh-CN"/>
              </w:rPr>
              <w:t>交易组织机构</w:t>
            </w:r>
            <w:r>
              <w:rPr>
                <w:rFonts w:hint="eastAsia" w:ascii="仿宋" w:hAnsi="仿宋" w:eastAsia="仿宋" w:cs="仿宋"/>
                <w:color w:val="auto"/>
                <w:highlight w:val="none"/>
              </w:rPr>
              <w:t>，邮箱:</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"mailto:3030580@qq.com" </w:instrText>
            </w:r>
            <w:r>
              <w:rPr>
                <w:rFonts w:hint="eastAsia" w:ascii="仿宋" w:hAnsi="仿宋" w:eastAsia="仿宋" w:cs="仿宋"/>
                <w:color w:val="auto"/>
                <w:highlight w:val="none"/>
              </w:rPr>
              <w:fldChar w:fldCharType="separate"/>
            </w:r>
            <w:r>
              <w:rPr>
                <w:rFonts w:hint="eastAsia" w:cs="仿宋"/>
                <w:color w:val="auto"/>
                <w:highlight w:val="none"/>
                <w:lang w:val="en-US" w:eastAsia="zh-CN"/>
              </w:rPr>
              <w:t>710542827</w:t>
            </w:r>
            <w:r>
              <w:rPr>
                <w:rFonts w:hint="eastAsia" w:ascii="仿宋" w:hAnsi="仿宋" w:eastAsia="仿宋" w:cs="仿宋"/>
                <w:color w:val="auto"/>
                <w:highlight w:val="none"/>
              </w:rPr>
              <w:t>@qq.com</w:t>
            </w:r>
            <w:r>
              <w:rPr>
                <w:rFonts w:hint="eastAsia" w:ascii="仿宋" w:hAnsi="仿宋" w:eastAsia="仿宋" w:cs="仿宋"/>
                <w:color w:val="auto"/>
                <w:highlight w:val="none"/>
              </w:rPr>
              <w:fldChar w:fldCharType="end"/>
            </w:r>
          </w:p>
          <w:p w14:paraId="001382AF">
            <w:pPr>
              <w:snapToGrid w:val="0"/>
              <w:spacing w:after="0"/>
              <w:rPr>
                <w:rFonts w:hint="eastAsia" w:ascii="仿宋" w:hAnsi="仿宋" w:eastAsia="仿宋" w:cs="仿宋"/>
                <w:color w:val="auto"/>
                <w:highlight w:val="none"/>
              </w:rPr>
            </w:pPr>
            <w:r>
              <w:rPr>
                <w:rFonts w:hint="eastAsia" w:ascii="仿宋" w:hAnsi="仿宋" w:eastAsia="仿宋" w:cs="仿宋"/>
                <w:color w:val="auto"/>
                <w:highlight w:val="none"/>
              </w:rPr>
              <w:t>本项目涉及资格条件、</w:t>
            </w:r>
            <w:r>
              <w:rPr>
                <w:rFonts w:hint="eastAsia" w:ascii="仿宋" w:hAnsi="仿宋" w:eastAsia="仿宋" w:cs="仿宋"/>
                <w:color w:val="auto"/>
                <w:highlight w:val="none"/>
                <w:lang w:eastAsia="zh-CN"/>
              </w:rPr>
              <w:t>交易需求</w:t>
            </w:r>
            <w:r>
              <w:rPr>
                <w:rFonts w:hint="eastAsia" w:ascii="仿宋" w:hAnsi="仿宋" w:eastAsia="仿宋" w:cs="仿宋"/>
                <w:color w:val="auto"/>
                <w:highlight w:val="none"/>
              </w:rPr>
              <w:t>、评分办法及</w:t>
            </w:r>
            <w:r>
              <w:rPr>
                <w:rFonts w:hint="eastAsia" w:ascii="仿宋" w:hAnsi="仿宋" w:eastAsia="仿宋" w:cs="仿宋"/>
                <w:color w:val="auto"/>
                <w:highlight w:val="none"/>
                <w:lang w:eastAsia="zh-CN"/>
              </w:rPr>
              <w:t>交易过程</w:t>
            </w:r>
            <w:r>
              <w:rPr>
                <w:rFonts w:hint="eastAsia" w:ascii="仿宋" w:hAnsi="仿宋" w:eastAsia="仿宋" w:cs="仿宋"/>
                <w:color w:val="auto"/>
                <w:highlight w:val="none"/>
              </w:rPr>
              <w:t>中有关现场考察或</w:t>
            </w:r>
            <w:r>
              <w:rPr>
                <w:rFonts w:hint="eastAsia" w:ascii="仿宋" w:hAnsi="仿宋" w:eastAsia="仿宋" w:cs="仿宋"/>
                <w:color w:val="auto"/>
                <w:highlight w:val="none"/>
                <w:lang w:eastAsia="zh-CN"/>
              </w:rPr>
              <w:t>交易前</w:t>
            </w:r>
            <w:r>
              <w:rPr>
                <w:rFonts w:hint="eastAsia" w:ascii="仿宋" w:hAnsi="仿宋" w:eastAsia="仿宋" w:cs="仿宋"/>
                <w:color w:val="auto"/>
                <w:highlight w:val="none"/>
              </w:rPr>
              <w:t>答疑会等事项由</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进行答复。</w:t>
            </w:r>
          </w:p>
          <w:p w14:paraId="023DCC6E">
            <w:pPr>
              <w:spacing w:after="0"/>
              <w:rPr>
                <w:rFonts w:hint="eastAsia" w:ascii="仿宋" w:hAnsi="仿宋" w:eastAsia="仿宋" w:cs="仿宋"/>
                <w:color w:val="auto"/>
                <w:highlight w:val="none"/>
              </w:rPr>
            </w:pPr>
            <w:r>
              <w:rPr>
                <w:rFonts w:hint="eastAsia" w:ascii="仿宋" w:hAnsi="仿宋" w:eastAsia="仿宋" w:cs="仿宋"/>
                <w:color w:val="auto"/>
                <w:highlight w:val="none"/>
              </w:rPr>
              <w:t>涉及流程规范性、组织程序等相关事项，由</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进行答复。</w:t>
            </w:r>
          </w:p>
        </w:tc>
      </w:tr>
      <w:tr w14:paraId="204C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5" w:type="pct"/>
            <w:vAlign w:val="center"/>
          </w:tcPr>
          <w:p w14:paraId="49603DAC">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1068" w:type="pct"/>
            <w:vAlign w:val="center"/>
          </w:tcPr>
          <w:p w14:paraId="4831E3C7">
            <w:pPr>
              <w:spacing w:after="0"/>
              <w:rPr>
                <w:rFonts w:hint="eastAsia" w:ascii="仿宋" w:hAnsi="仿宋" w:eastAsia="仿宋" w:cs="仿宋"/>
                <w:color w:val="auto"/>
                <w:highlight w:val="none"/>
              </w:rPr>
            </w:pPr>
            <w:r>
              <w:rPr>
                <w:rFonts w:hint="eastAsia" w:ascii="仿宋" w:hAnsi="仿宋" w:eastAsia="仿宋" w:cs="仿宋"/>
                <w:b/>
                <w:color w:val="auto"/>
                <w:highlight w:val="none"/>
              </w:rPr>
              <w:t>特别说明</w:t>
            </w:r>
          </w:p>
        </w:tc>
        <w:tc>
          <w:tcPr>
            <w:tcW w:w="3616" w:type="pct"/>
            <w:vAlign w:val="center"/>
          </w:tcPr>
          <w:p w14:paraId="566604C5">
            <w:pPr>
              <w:spacing w:after="0"/>
              <w:rPr>
                <w:rFonts w:hint="eastAsia" w:ascii="仿宋" w:hAnsi="仿宋" w:eastAsia="仿宋" w:cs="仿宋"/>
                <w:b/>
                <w:color w:val="auto"/>
                <w:highlight w:val="none"/>
              </w:rPr>
            </w:pPr>
            <w:r>
              <w:rPr>
                <w:rFonts w:hint="eastAsia" w:ascii="仿宋" w:hAnsi="仿宋" w:eastAsia="仿宋" w:cs="仿宋"/>
                <w:b/>
                <w:color w:val="auto"/>
                <w:highlight w:val="none"/>
              </w:rPr>
              <w:t>本项目通用总则条款与前附表等专用特别规定有冲突之处，以专用条款（特别规定）为准</w:t>
            </w:r>
          </w:p>
          <w:p w14:paraId="6C29B2FF">
            <w:pPr>
              <w:spacing w:after="0"/>
              <w:rPr>
                <w:rFonts w:hint="eastAsia" w:ascii="仿宋" w:hAnsi="仿宋" w:eastAsia="仿宋" w:cs="仿宋"/>
                <w:b/>
                <w:color w:val="auto"/>
                <w:highlight w:val="none"/>
              </w:rPr>
            </w:pP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单位在</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后提供纸质</w:t>
            </w:r>
            <w:r>
              <w:rPr>
                <w:rFonts w:hint="eastAsia" w:ascii="仿宋" w:hAnsi="仿宋" w:eastAsia="仿宋" w:cs="仿宋"/>
                <w:color w:val="auto"/>
                <w:highlight w:val="none"/>
                <w:lang w:val="en-US" w:eastAsia="zh-CN"/>
              </w:rPr>
              <w:t>响应文件</w:t>
            </w:r>
            <w:r>
              <w:rPr>
                <w:rFonts w:hint="eastAsia" w:ascii="仿宋" w:hAnsi="仿宋" w:eastAsia="仿宋" w:cs="仿宋"/>
                <w:color w:val="auto"/>
                <w:highlight w:val="none"/>
              </w:rPr>
              <w:t>一正</w:t>
            </w:r>
            <w:r>
              <w:rPr>
                <w:rFonts w:hint="eastAsia" w:ascii="仿宋" w:hAnsi="仿宋" w:eastAsia="仿宋" w:cs="仿宋"/>
                <w:color w:val="auto"/>
                <w:highlight w:val="none"/>
                <w:lang w:val="en-US" w:eastAsia="zh-CN"/>
              </w:rPr>
              <w:t>肆</w:t>
            </w:r>
            <w:r>
              <w:rPr>
                <w:rFonts w:hint="eastAsia" w:ascii="仿宋" w:hAnsi="仿宋" w:eastAsia="仿宋" w:cs="仿宋"/>
                <w:color w:val="auto"/>
                <w:highlight w:val="none"/>
              </w:rPr>
              <w:t>副</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需加盖公章</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tc>
      </w:tr>
    </w:tbl>
    <w:p w14:paraId="70A74EB9">
      <w:pPr>
        <w:rPr>
          <w:rFonts w:hint="eastAsia" w:ascii="仿宋" w:hAnsi="仿宋" w:eastAsia="仿宋" w:cs="仿宋"/>
          <w:color w:val="auto"/>
          <w:highlight w:val="none"/>
        </w:rPr>
      </w:pPr>
    </w:p>
    <w:p w14:paraId="561B443F">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9CDAD75">
      <w:pPr>
        <w:pStyle w:val="6"/>
        <w:rPr>
          <w:rFonts w:hint="eastAsia" w:ascii="仿宋" w:hAnsi="仿宋" w:eastAsia="仿宋" w:cs="仿宋"/>
          <w:color w:val="auto"/>
          <w:highlight w:val="none"/>
        </w:rPr>
      </w:pPr>
      <w:r>
        <w:rPr>
          <w:rFonts w:hint="eastAsia" w:ascii="仿宋" w:hAnsi="仿宋" w:eastAsia="仿宋" w:cs="仿宋"/>
          <w:color w:val="auto"/>
          <w:highlight w:val="none"/>
        </w:rPr>
        <w:t>一、总则</w:t>
      </w:r>
    </w:p>
    <w:p w14:paraId="10E7592E">
      <w:pPr>
        <w:pStyle w:val="7"/>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 适用范围</w:t>
      </w:r>
    </w:p>
    <w:p w14:paraId="6ABF1E62">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本</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适用于该项目的</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、资格审查及信用信息查询、</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、定标、合同、验收等行为（法律、法规另有规定的，从其规定）。</w:t>
      </w:r>
    </w:p>
    <w:p w14:paraId="10779471">
      <w:pPr>
        <w:pStyle w:val="7"/>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2.定义</w:t>
      </w:r>
    </w:p>
    <w:p w14:paraId="007FBC0B">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2.1“</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”系指</w:t>
      </w:r>
      <w:r>
        <w:rPr>
          <w:rFonts w:hint="eastAsia" w:ascii="仿宋" w:hAnsi="仿宋" w:eastAsia="仿宋" w:cs="仿宋"/>
          <w:color w:val="auto"/>
          <w:highlight w:val="none"/>
          <w:lang w:eastAsia="zh-CN"/>
        </w:rPr>
        <w:t>交易公告</w:t>
      </w:r>
      <w:r>
        <w:rPr>
          <w:rFonts w:hint="eastAsia" w:ascii="仿宋" w:hAnsi="仿宋" w:eastAsia="仿宋" w:cs="仿宋"/>
          <w:color w:val="auto"/>
          <w:highlight w:val="none"/>
        </w:rPr>
        <w:t>中载明的本项目的</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p>
    <w:p w14:paraId="39D7599B">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”系指</w:t>
      </w:r>
      <w:r>
        <w:rPr>
          <w:rFonts w:hint="eastAsia" w:ascii="仿宋" w:hAnsi="仿宋" w:eastAsia="仿宋" w:cs="仿宋"/>
          <w:color w:val="auto"/>
          <w:highlight w:val="none"/>
          <w:lang w:eastAsia="zh-CN"/>
        </w:rPr>
        <w:t>交易公告</w:t>
      </w:r>
      <w:r>
        <w:rPr>
          <w:rFonts w:hint="eastAsia" w:ascii="仿宋" w:hAnsi="仿宋" w:eastAsia="仿宋" w:cs="仿宋"/>
          <w:color w:val="auto"/>
          <w:highlight w:val="none"/>
        </w:rPr>
        <w:t>中载明的本项目的</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w:t>
      </w:r>
    </w:p>
    <w:p w14:paraId="7ACEAA5E">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2.3“</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”系指是指响应、参加</w:t>
      </w:r>
      <w:r>
        <w:rPr>
          <w:rFonts w:hint="eastAsia" w:ascii="仿宋" w:hAnsi="仿宋" w:eastAsia="仿宋" w:cs="仿宋"/>
          <w:color w:val="auto"/>
          <w:highlight w:val="none"/>
          <w:lang w:val="en-US" w:eastAsia="zh-CN"/>
        </w:rPr>
        <w:t>交易</w:t>
      </w:r>
      <w:r>
        <w:rPr>
          <w:rFonts w:hint="eastAsia" w:ascii="仿宋" w:hAnsi="仿宋" w:eastAsia="仿宋" w:cs="仿宋"/>
          <w:color w:val="auto"/>
          <w:highlight w:val="none"/>
        </w:rPr>
        <w:t>竞争的法人、其他组织或者自然人。</w:t>
      </w:r>
    </w:p>
    <w:p w14:paraId="7C3AEC7C">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2.4“负责人”系指法人企业的法定负责人，或其他组织为法律、行政法规规定代表单位行使职权的主要负责人，或自然人本人。</w:t>
      </w:r>
    </w:p>
    <w:p w14:paraId="55F85E62">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2.5“电子签名”系指数据电文中以电子形式所含、所附用于识别签名人身份并表明签名人认可其中内容的数据，</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电子签名指</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电子公章；“公章”系指单位法定名称章。因特殊原因需要使用冠以法定名称的业务专用章的，</w:t>
      </w:r>
      <w:r>
        <w:rPr>
          <w:rFonts w:hint="eastAsia" w:ascii="仿宋" w:hAnsi="仿宋" w:eastAsia="仿宋" w:cs="仿宋"/>
          <w:color w:val="auto"/>
          <w:highlight w:val="none"/>
          <w:lang w:eastAsia="zh-CN"/>
        </w:rPr>
        <w:t>响应时</w:t>
      </w:r>
      <w:r>
        <w:rPr>
          <w:rFonts w:hint="eastAsia" w:ascii="仿宋" w:hAnsi="仿宋" w:eastAsia="仿宋" w:cs="仿宋"/>
          <w:color w:val="auto"/>
          <w:highlight w:val="none"/>
        </w:rPr>
        <w:t>须提供《业务专用章使用说明函》（附件4）。</w:t>
      </w:r>
    </w:p>
    <w:p w14:paraId="1B0D7AF8">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2.6“电子交易平台”是指本项目</w:t>
      </w:r>
      <w:r>
        <w:rPr>
          <w:rFonts w:hint="eastAsia" w:ascii="仿宋" w:hAnsi="仿宋" w:eastAsia="仿宋" w:cs="仿宋"/>
          <w:color w:val="auto"/>
          <w:highlight w:val="none"/>
          <w:lang w:eastAsia="zh-CN"/>
        </w:rPr>
        <w:t>交易活动</w:t>
      </w:r>
      <w:r>
        <w:rPr>
          <w:rFonts w:hint="eastAsia" w:ascii="仿宋" w:hAnsi="仿宋" w:eastAsia="仿宋" w:cs="仿宋"/>
          <w:color w:val="auto"/>
          <w:highlight w:val="none"/>
        </w:rPr>
        <w:t>所依托的政府采购云平台（https://www.lecaiyun.com/）。</w:t>
      </w:r>
    </w:p>
    <w:p w14:paraId="642EB81F">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2.7“▲” 系指实质性要求条款，“（√）” 系指适用本项目的要求，“（  ）”系指不适用本项目的要求。</w:t>
      </w:r>
    </w:p>
    <w:p w14:paraId="2AA89645">
      <w:pPr>
        <w:pStyle w:val="7"/>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cs="仿宋"/>
          <w:color w:val="auto"/>
          <w:highlight w:val="none"/>
          <w:lang w:eastAsia="zh-CN"/>
        </w:rPr>
        <w:t>交易</w:t>
      </w:r>
      <w:r>
        <w:rPr>
          <w:rFonts w:hint="eastAsia" w:ascii="仿宋" w:hAnsi="仿宋" w:eastAsia="仿宋" w:cs="仿宋"/>
          <w:color w:val="auto"/>
          <w:highlight w:val="none"/>
        </w:rPr>
        <w:t>项目需要落实的</w:t>
      </w:r>
      <w:r>
        <w:rPr>
          <w:rFonts w:hint="eastAsia" w:cs="仿宋"/>
          <w:color w:val="auto"/>
          <w:highlight w:val="none"/>
          <w:lang w:eastAsia="zh-CN"/>
        </w:rPr>
        <w:t>交易</w:t>
      </w:r>
      <w:r>
        <w:rPr>
          <w:rFonts w:hint="eastAsia" w:ascii="仿宋" w:hAnsi="仿宋" w:eastAsia="仿宋" w:cs="仿宋"/>
          <w:color w:val="auto"/>
          <w:highlight w:val="none"/>
        </w:rPr>
        <w:t>政策</w:t>
      </w:r>
    </w:p>
    <w:p w14:paraId="278E1582">
      <w:pPr>
        <w:pStyle w:val="7"/>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无</w:t>
      </w:r>
    </w:p>
    <w:p w14:paraId="27AF9E63">
      <w:pPr>
        <w:pStyle w:val="7"/>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4.询问、质疑、投诉</w:t>
      </w:r>
    </w:p>
    <w:p w14:paraId="25930094">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4.1</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询问</w:t>
      </w:r>
    </w:p>
    <w:p w14:paraId="6FFC74AA">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交易活动</w:t>
      </w:r>
      <w:r>
        <w:rPr>
          <w:rFonts w:hint="eastAsia" w:ascii="仿宋" w:hAnsi="仿宋" w:eastAsia="仿宋" w:cs="仿宋"/>
          <w:color w:val="auto"/>
          <w:highlight w:val="none"/>
        </w:rPr>
        <w:t>事项有疑问的，可以提出询问，</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交易组织机构</w:t>
      </w:r>
      <w:r>
        <w:rPr>
          <w:rFonts w:hint="eastAsia" w:ascii="仿宋" w:hAnsi="仿宋" w:eastAsia="仿宋" w:cs="仿宋"/>
          <w:color w:val="auto"/>
          <w:highlight w:val="none"/>
        </w:rPr>
        <w:t>应当在3个工作日内对</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依法提出的询问作出答复，但答复的内容不得涉及商业秘密。</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提出的询问超出</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交易组织机构</w:t>
      </w:r>
      <w:r>
        <w:rPr>
          <w:rFonts w:hint="eastAsia" w:ascii="仿宋" w:hAnsi="仿宋" w:eastAsia="仿宋" w:cs="仿宋"/>
          <w:color w:val="auto"/>
          <w:highlight w:val="none"/>
        </w:rPr>
        <w:t>委托授权范围的，</w:t>
      </w:r>
      <w:r>
        <w:rPr>
          <w:rFonts w:hint="eastAsia" w:ascii="仿宋" w:hAnsi="仿宋" w:eastAsia="仿宋" w:cs="仿宋"/>
          <w:color w:val="auto"/>
          <w:highlight w:val="none"/>
          <w:lang w:eastAsia="zh-CN"/>
        </w:rPr>
        <w:t>交易组织机构</w:t>
      </w:r>
      <w:r>
        <w:rPr>
          <w:rFonts w:hint="eastAsia" w:ascii="仿宋" w:hAnsi="仿宋" w:eastAsia="仿宋" w:cs="仿宋"/>
          <w:color w:val="auto"/>
          <w:highlight w:val="none"/>
        </w:rPr>
        <w:t>应当告知</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向</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提出。</w:t>
      </w:r>
    </w:p>
    <w:p w14:paraId="0BCCD3C8">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4.2</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质疑</w:t>
      </w:r>
    </w:p>
    <w:p w14:paraId="475FC17A">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4.2.1提出质疑的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应当是参与所质疑项目</w:t>
      </w:r>
      <w:r>
        <w:rPr>
          <w:rFonts w:hint="eastAsia" w:ascii="仿宋" w:hAnsi="仿宋" w:eastAsia="仿宋" w:cs="仿宋"/>
          <w:color w:val="auto"/>
          <w:highlight w:val="none"/>
          <w:lang w:eastAsia="zh-CN"/>
        </w:rPr>
        <w:t>交易活动</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。潜在</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已依法获取其可质疑的</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的，可以对该文件提出质疑。</w:t>
      </w:r>
    </w:p>
    <w:p w14:paraId="1D840AC8">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4.2.2</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认为</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交易过程</w:t>
      </w:r>
      <w:r>
        <w:rPr>
          <w:rFonts w:hint="eastAsia" w:ascii="仿宋" w:hAnsi="仿宋" w:eastAsia="仿宋" w:cs="仿宋"/>
          <w:color w:val="auto"/>
          <w:highlight w:val="none"/>
        </w:rPr>
        <w:t>和</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结果使自己的权益受到损害的，可以在知道或者应知其权益受到损害之日起七个工作日内，以书面形式向</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提出质疑，否则，</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不予受理：</w:t>
      </w:r>
    </w:p>
    <w:p w14:paraId="3FF7CE01">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4.2.2.1对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提出质疑的，质疑期限为</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获得</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之日或者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公告期限届满之日起计算。</w:t>
      </w:r>
    </w:p>
    <w:p w14:paraId="12EA1F92">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4.2.2.2对</w:t>
      </w:r>
      <w:r>
        <w:rPr>
          <w:rFonts w:hint="eastAsia" w:ascii="仿宋" w:hAnsi="仿宋" w:eastAsia="仿宋" w:cs="仿宋"/>
          <w:color w:val="auto"/>
          <w:highlight w:val="none"/>
          <w:lang w:eastAsia="zh-CN"/>
        </w:rPr>
        <w:t>交易过程</w:t>
      </w:r>
      <w:r>
        <w:rPr>
          <w:rFonts w:hint="eastAsia" w:ascii="仿宋" w:hAnsi="仿宋" w:eastAsia="仿宋" w:cs="仿宋"/>
          <w:color w:val="auto"/>
          <w:highlight w:val="none"/>
        </w:rPr>
        <w:t>提出质疑的，质疑期限为各</w:t>
      </w:r>
      <w:r>
        <w:rPr>
          <w:rFonts w:hint="eastAsia" w:cs="仿宋"/>
          <w:color w:val="auto"/>
          <w:highlight w:val="none"/>
          <w:lang w:eastAsia="zh-CN"/>
        </w:rPr>
        <w:t>交易</w:t>
      </w:r>
      <w:r>
        <w:rPr>
          <w:rFonts w:hint="eastAsia" w:ascii="仿宋" w:hAnsi="仿宋" w:eastAsia="仿宋" w:cs="仿宋"/>
          <w:color w:val="auto"/>
          <w:highlight w:val="none"/>
        </w:rPr>
        <w:t>程序环节结束之日起计算。对同一</w:t>
      </w:r>
      <w:r>
        <w:rPr>
          <w:rFonts w:hint="eastAsia" w:cs="仿宋"/>
          <w:color w:val="auto"/>
          <w:highlight w:val="none"/>
          <w:lang w:eastAsia="zh-CN"/>
        </w:rPr>
        <w:t>交易</w:t>
      </w:r>
      <w:r>
        <w:rPr>
          <w:rFonts w:hint="eastAsia" w:ascii="仿宋" w:hAnsi="仿宋" w:eastAsia="仿宋" w:cs="仿宋"/>
          <w:color w:val="auto"/>
          <w:highlight w:val="none"/>
        </w:rPr>
        <w:t>程序环节的质疑，</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须一次性提出。</w:t>
      </w:r>
    </w:p>
    <w:p w14:paraId="6D14D038">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4.2.2.3对</w:t>
      </w:r>
      <w:r>
        <w:rPr>
          <w:rFonts w:hint="eastAsia" w:ascii="仿宋" w:hAnsi="仿宋" w:eastAsia="仿宋" w:cs="仿宋"/>
          <w:color w:val="auto"/>
          <w:highlight w:val="none"/>
          <w:lang w:eastAsia="zh-CN"/>
        </w:rPr>
        <w:t>交易结果</w:t>
      </w:r>
      <w:r>
        <w:rPr>
          <w:rFonts w:hint="eastAsia" w:ascii="仿宋" w:hAnsi="仿宋" w:eastAsia="仿宋" w:cs="仿宋"/>
          <w:color w:val="auto"/>
          <w:highlight w:val="none"/>
        </w:rPr>
        <w:t>提出质疑的，质疑期限自</w:t>
      </w:r>
      <w:r>
        <w:rPr>
          <w:rFonts w:hint="eastAsia" w:ascii="仿宋" w:hAnsi="仿宋" w:eastAsia="仿宋" w:cs="仿宋"/>
          <w:color w:val="auto"/>
          <w:highlight w:val="none"/>
          <w:lang w:eastAsia="zh-CN"/>
        </w:rPr>
        <w:t>交易结果</w:t>
      </w:r>
      <w:r>
        <w:rPr>
          <w:rFonts w:hint="eastAsia" w:ascii="仿宋" w:hAnsi="仿宋" w:eastAsia="仿宋" w:cs="仿宋"/>
          <w:color w:val="auto"/>
          <w:highlight w:val="none"/>
        </w:rPr>
        <w:t>公告期限届满之日起计算。</w:t>
      </w:r>
    </w:p>
    <w:p w14:paraId="11B1E282">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4.2.3</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提出质疑应当提交质疑函和必要的证明材料。质疑函应当包括下列内容：</w:t>
      </w:r>
    </w:p>
    <w:p w14:paraId="614EE6B4">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4.2.3.1</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的姓名或者名称、地址、邮编、联系人及联系电话；</w:t>
      </w:r>
    </w:p>
    <w:p w14:paraId="35A6A17B">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4.2.3.2质疑项目的名称、编号；</w:t>
      </w:r>
    </w:p>
    <w:p w14:paraId="4913E87D">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4.2.3.3具体、明确的质疑事项和与质疑事项相关的请求；</w:t>
      </w:r>
    </w:p>
    <w:p w14:paraId="389E2EC2">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4.2.3.4事实依据；</w:t>
      </w:r>
    </w:p>
    <w:p w14:paraId="59244B54">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4.2.3.5必要的法律依据；</w:t>
      </w:r>
    </w:p>
    <w:p w14:paraId="2EB85D59">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4.2.3.6提出质疑的日期。</w:t>
      </w:r>
    </w:p>
    <w:p w14:paraId="780636EA">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提交的质疑函需一式三份。</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为自然人的，应当由本人签字；</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为法人或者其他组织的，应当由法定代表人、主要负责人，或者其授权代表签字或者盖章，并加盖公章。</w:t>
      </w:r>
    </w:p>
    <w:p w14:paraId="06990324">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07153900">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4.2.4</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应当在收到</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的书面质疑后七个工作日内作出答复，并以书面形式通知质疑</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和其他与质疑处理结果有利害关系的</w:t>
      </w:r>
      <w:r>
        <w:rPr>
          <w:rFonts w:hint="eastAsia" w:cs="仿宋"/>
          <w:color w:val="auto"/>
          <w:highlight w:val="none"/>
          <w:lang w:eastAsia="zh-CN"/>
        </w:rPr>
        <w:t>交易</w:t>
      </w:r>
      <w:r>
        <w:rPr>
          <w:rFonts w:hint="eastAsia" w:ascii="仿宋" w:hAnsi="仿宋" w:eastAsia="仿宋" w:cs="仿宋"/>
          <w:color w:val="auto"/>
          <w:highlight w:val="none"/>
        </w:rPr>
        <w:t>当事人，但答复的内容不得涉及商业秘密。</w:t>
      </w:r>
    </w:p>
    <w:p w14:paraId="2FEFFD02">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4.2.5询问或者质疑事项可能影响</w:t>
      </w:r>
      <w:r>
        <w:rPr>
          <w:rFonts w:hint="eastAsia" w:ascii="仿宋" w:hAnsi="仿宋" w:eastAsia="仿宋" w:cs="仿宋"/>
          <w:color w:val="auto"/>
          <w:highlight w:val="none"/>
          <w:lang w:eastAsia="zh-CN"/>
        </w:rPr>
        <w:t>交易结果</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应当暂停签订合同，已经签订合同的，应当中止履行合同。</w:t>
      </w:r>
    </w:p>
    <w:p w14:paraId="47CBB848">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投诉</w:t>
      </w:r>
    </w:p>
    <w:p w14:paraId="4E86F0E0">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4.3.1质疑</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的答复不满意或者</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未在规定的时间内作出答复的，可以在答复期满后十五个工作日内向</w:t>
      </w:r>
      <w:r>
        <w:rPr>
          <w:rFonts w:hint="eastAsia" w:ascii="仿宋" w:hAnsi="仿宋" w:eastAsia="仿宋" w:cs="仿宋"/>
          <w:color w:val="auto"/>
          <w:highlight w:val="none"/>
          <w:lang w:eastAsia="zh-CN"/>
        </w:rPr>
        <w:t>基层监督机构部门</w:t>
      </w:r>
      <w:r>
        <w:rPr>
          <w:rFonts w:hint="eastAsia" w:ascii="仿宋" w:hAnsi="仿宋" w:eastAsia="仿宋" w:cs="仿宋"/>
          <w:color w:val="auto"/>
          <w:highlight w:val="none"/>
        </w:rPr>
        <w:t>提出投诉。</w:t>
      </w:r>
    </w:p>
    <w:p w14:paraId="2FFD0757">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4.3.2</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投诉的事项不得超出已质疑事项的范围，基于质疑答复内容提出的投诉事项除外。</w:t>
      </w:r>
    </w:p>
    <w:p w14:paraId="7BDBBC8A">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4.3.3</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投诉应当有明确的请求和必要的证明材料。</w:t>
      </w:r>
    </w:p>
    <w:p w14:paraId="26F0F565">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0A58B43D">
      <w:pPr>
        <w:pStyle w:val="6"/>
        <w:snapToGrid w:val="0"/>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二、</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的构成、澄清、修改</w:t>
      </w:r>
    </w:p>
    <w:p w14:paraId="2A691DB5">
      <w:pPr>
        <w:pStyle w:val="7"/>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的构成</w:t>
      </w:r>
    </w:p>
    <w:p w14:paraId="4FFA2D15">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5.1 </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包括下列文件及附件：</w:t>
      </w:r>
    </w:p>
    <w:p w14:paraId="5EDFBF01">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5.1.1</w:t>
      </w:r>
      <w:r>
        <w:rPr>
          <w:rFonts w:hint="eastAsia" w:ascii="仿宋" w:hAnsi="仿宋" w:eastAsia="仿宋" w:cs="仿宋"/>
          <w:color w:val="auto"/>
          <w:highlight w:val="none"/>
          <w:lang w:eastAsia="zh-CN"/>
        </w:rPr>
        <w:t>交易公告</w:t>
      </w:r>
      <w:r>
        <w:rPr>
          <w:rFonts w:hint="eastAsia" w:ascii="仿宋" w:hAnsi="仿宋" w:eastAsia="仿宋" w:cs="仿宋"/>
          <w:color w:val="auto"/>
          <w:highlight w:val="none"/>
        </w:rPr>
        <w:t>；</w:t>
      </w:r>
    </w:p>
    <w:p w14:paraId="0D151934">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5.1.2</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须知；</w:t>
      </w:r>
    </w:p>
    <w:p w14:paraId="3C4175DE">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5.1.3</w:t>
      </w:r>
      <w:r>
        <w:rPr>
          <w:rFonts w:hint="eastAsia" w:ascii="仿宋" w:hAnsi="仿宋" w:eastAsia="仿宋" w:cs="仿宋"/>
          <w:color w:val="auto"/>
          <w:highlight w:val="none"/>
          <w:lang w:eastAsia="zh-CN"/>
        </w:rPr>
        <w:t>交易需求</w:t>
      </w:r>
      <w:r>
        <w:rPr>
          <w:rFonts w:hint="eastAsia" w:ascii="仿宋" w:hAnsi="仿宋" w:eastAsia="仿宋" w:cs="仿宋"/>
          <w:color w:val="auto"/>
          <w:highlight w:val="none"/>
        </w:rPr>
        <w:t>；</w:t>
      </w:r>
    </w:p>
    <w:p w14:paraId="18629A29">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5.1.4</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办法；</w:t>
      </w:r>
    </w:p>
    <w:p w14:paraId="316B63DD">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5.1.5拟签订的合同文本；</w:t>
      </w:r>
    </w:p>
    <w:p w14:paraId="60F29177">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5.1.6应提交的有关格式范例。</w:t>
      </w:r>
    </w:p>
    <w:p w14:paraId="27435B9B">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5.2与本项目有关的澄清或者修改的内容为</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的组成部分。</w:t>
      </w:r>
    </w:p>
    <w:p w14:paraId="07C4CEDA">
      <w:pPr>
        <w:pStyle w:val="7"/>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6. </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的澄清、修改</w:t>
      </w:r>
    </w:p>
    <w:p w14:paraId="03C5FEC0">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6.1已获取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，若有问题需要澄清，应于</w:t>
      </w:r>
      <w:r>
        <w:rPr>
          <w:rFonts w:hint="eastAsia" w:ascii="仿宋" w:hAnsi="仿宋" w:eastAsia="仿宋" w:cs="仿宋"/>
          <w:color w:val="auto"/>
          <w:highlight w:val="none"/>
          <w:lang w:eastAsia="zh-CN"/>
        </w:rPr>
        <w:t>响应截止</w:t>
      </w:r>
      <w:r>
        <w:rPr>
          <w:rFonts w:hint="eastAsia" w:ascii="仿宋" w:hAnsi="仿宋" w:eastAsia="仿宋" w:cs="仿宋"/>
          <w:color w:val="auto"/>
          <w:highlight w:val="none"/>
        </w:rPr>
        <w:t>时间前，以书面形式向</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提出。</w:t>
      </w:r>
    </w:p>
    <w:p w14:paraId="0FF819CA">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进行澄清或修改的，将同时通过电子交易平台通知已获取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。依法应当公告的，将按规定公告，同时视情况延长</w:t>
      </w:r>
      <w:r>
        <w:rPr>
          <w:rFonts w:hint="eastAsia" w:ascii="仿宋" w:hAnsi="仿宋" w:eastAsia="仿宋" w:cs="仿宋"/>
          <w:color w:val="auto"/>
          <w:highlight w:val="none"/>
          <w:lang w:eastAsia="zh-CN"/>
        </w:rPr>
        <w:t>响应截止</w:t>
      </w:r>
      <w:r>
        <w:rPr>
          <w:rFonts w:hint="eastAsia" w:ascii="仿宋" w:hAnsi="仿宋" w:eastAsia="仿宋" w:cs="仿宋"/>
          <w:color w:val="auto"/>
          <w:highlight w:val="none"/>
        </w:rPr>
        <w:t>时间和</w:t>
      </w:r>
      <w:r>
        <w:rPr>
          <w:rFonts w:hint="eastAsia" w:ascii="仿宋" w:hAnsi="仿宋" w:eastAsia="仿宋" w:cs="仿宋"/>
          <w:color w:val="auto"/>
          <w:highlight w:val="none"/>
          <w:lang w:eastAsia="zh-CN"/>
        </w:rPr>
        <w:t>交易时间</w:t>
      </w:r>
      <w:r>
        <w:rPr>
          <w:rFonts w:hint="eastAsia" w:ascii="仿宋" w:hAnsi="仿宋" w:eastAsia="仿宋" w:cs="仿宋"/>
          <w:color w:val="auto"/>
          <w:highlight w:val="none"/>
        </w:rPr>
        <w:t>。该澄清或者修改的内容为</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的组成部分。</w:t>
      </w:r>
    </w:p>
    <w:p w14:paraId="55AA2F4D">
      <w:pPr>
        <w:pStyle w:val="6"/>
        <w:snapToGrid w:val="0"/>
        <w:spacing w:before="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三、</w:t>
      </w:r>
      <w:r>
        <w:rPr>
          <w:rFonts w:hint="eastAsia" w:cs="仿宋"/>
          <w:color w:val="auto"/>
          <w:highlight w:val="none"/>
          <w:lang w:eastAsia="zh-CN"/>
        </w:rPr>
        <w:t>响应</w:t>
      </w:r>
    </w:p>
    <w:p w14:paraId="66E2958D">
      <w:pPr>
        <w:pStyle w:val="7"/>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7. </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的获取</w:t>
      </w:r>
    </w:p>
    <w:p w14:paraId="451FE8C3">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详见</w:t>
      </w:r>
      <w:r>
        <w:rPr>
          <w:rFonts w:hint="eastAsia" w:ascii="仿宋" w:hAnsi="仿宋" w:eastAsia="仿宋" w:cs="仿宋"/>
          <w:color w:val="auto"/>
          <w:highlight w:val="none"/>
          <w:lang w:eastAsia="zh-CN"/>
        </w:rPr>
        <w:t>交易公告</w:t>
      </w:r>
      <w:r>
        <w:rPr>
          <w:rFonts w:hint="eastAsia" w:ascii="仿宋" w:hAnsi="仿宋" w:eastAsia="仿宋" w:cs="仿宋"/>
          <w:color w:val="auto"/>
          <w:highlight w:val="none"/>
        </w:rPr>
        <w:t>中获取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的时间期限、地点、方式及</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售价。</w:t>
      </w:r>
    </w:p>
    <w:p w14:paraId="36F9F211">
      <w:pPr>
        <w:pStyle w:val="7"/>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color w:val="auto"/>
          <w:highlight w:val="none"/>
          <w:lang w:eastAsia="zh-CN"/>
        </w:rPr>
        <w:t>交易前</w:t>
      </w:r>
      <w:r>
        <w:rPr>
          <w:rFonts w:hint="eastAsia" w:ascii="仿宋" w:hAnsi="仿宋" w:eastAsia="仿宋" w:cs="仿宋"/>
          <w:color w:val="auto"/>
          <w:highlight w:val="none"/>
        </w:rPr>
        <w:t>答疑会或现场考察</w:t>
      </w:r>
    </w:p>
    <w:p w14:paraId="5A3CEB7B">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组织潜在</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现场考察或者召开</w:t>
      </w:r>
      <w:r>
        <w:rPr>
          <w:rFonts w:hint="eastAsia" w:ascii="仿宋" w:hAnsi="仿宋" w:eastAsia="仿宋" w:cs="仿宋"/>
          <w:color w:val="auto"/>
          <w:highlight w:val="none"/>
          <w:lang w:eastAsia="zh-CN"/>
        </w:rPr>
        <w:t>交易前</w:t>
      </w:r>
      <w:r>
        <w:rPr>
          <w:rFonts w:hint="eastAsia" w:ascii="仿宋" w:hAnsi="仿宋" w:eastAsia="仿宋" w:cs="仿宋"/>
          <w:color w:val="auto"/>
          <w:highlight w:val="none"/>
        </w:rPr>
        <w:t>答疑会的，潜在</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按第二部分</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须知前附表的规定参加现场考察或者</w:t>
      </w:r>
      <w:r>
        <w:rPr>
          <w:rFonts w:hint="eastAsia" w:ascii="仿宋" w:hAnsi="仿宋" w:eastAsia="仿宋" w:cs="仿宋"/>
          <w:color w:val="auto"/>
          <w:highlight w:val="none"/>
          <w:lang w:eastAsia="zh-CN"/>
        </w:rPr>
        <w:t>交易前</w:t>
      </w:r>
      <w:r>
        <w:rPr>
          <w:rFonts w:hint="eastAsia" w:ascii="仿宋" w:hAnsi="仿宋" w:eastAsia="仿宋" w:cs="仿宋"/>
          <w:color w:val="auto"/>
          <w:highlight w:val="none"/>
        </w:rPr>
        <w:t>答疑会。</w:t>
      </w:r>
    </w:p>
    <w:p w14:paraId="24B97297">
      <w:pPr>
        <w:pStyle w:val="7"/>
        <w:snapToGrid w:val="0"/>
        <w:spacing w:after="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9.</w:t>
      </w:r>
      <w:r>
        <w:rPr>
          <w:rFonts w:hint="eastAsia" w:ascii="仿宋" w:hAnsi="仿宋" w:eastAsia="仿宋" w:cs="仿宋"/>
          <w:color w:val="auto"/>
          <w:highlight w:val="none"/>
          <w:lang w:eastAsia="zh-CN"/>
        </w:rPr>
        <w:t>响应保证金</w:t>
      </w:r>
    </w:p>
    <w:p w14:paraId="3605EB15">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本项目不需缴纳</w:t>
      </w:r>
      <w:r>
        <w:rPr>
          <w:rFonts w:hint="eastAsia" w:ascii="仿宋" w:hAnsi="仿宋" w:eastAsia="仿宋" w:cs="仿宋"/>
          <w:color w:val="auto"/>
          <w:highlight w:val="none"/>
          <w:lang w:eastAsia="zh-CN"/>
        </w:rPr>
        <w:t>响应保证金</w:t>
      </w:r>
      <w:r>
        <w:rPr>
          <w:rFonts w:hint="eastAsia" w:ascii="仿宋" w:hAnsi="仿宋" w:eastAsia="仿宋" w:cs="仿宋"/>
          <w:color w:val="auto"/>
          <w:highlight w:val="none"/>
        </w:rPr>
        <w:t>。</w:t>
      </w:r>
    </w:p>
    <w:p w14:paraId="2D10577F">
      <w:pPr>
        <w:pStyle w:val="7"/>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10. </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的语言</w:t>
      </w:r>
    </w:p>
    <w:p w14:paraId="765F1184">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及</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与</w:t>
      </w:r>
      <w:r>
        <w:rPr>
          <w:rFonts w:hint="eastAsia" w:cs="仿宋"/>
          <w:color w:val="auto"/>
          <w:highlight w:val="none"/>
          <w:lang w:eastAsia="zh-CN"/>
        </w:rPr>
        <w:t>交易</w:t>
      </w:r>
      <w:r>
        <w:rPr>
          <w:rFonts w:hint="eastAsia" w:ascii="仿宋" w:hAnsi="仿宋" w:eastAsia="仿宋" w:cs="仿宋"/>
          <w:color w:val="auto"/>
          <w:highlight w:val="none"/>
        </w:rPr>
        <w:t>有关的来往通知、函件和文件均应使用中文。</w:t>
      </w:r>
    </w:p>
    <w:p w14:paraId="002D603A">
      <w:pPr>
        <w:pStyle w:val="7"/>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11.</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的组成</w:t>
      </w:r>
    </w:p>
    <w:p w14:paraId="216CCA28">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11.1资格文件：</w:t>
      </w:r>
    </w:p>
    <w:p w14:paraId="601390D9">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11.1.1符合参加</w:t>
      </w:r>
      <w:r>
        <w:rPr>
          <w:rFonts w:hint="eastAsia" w:ascii="仿宋" w:hAnsi="仿宋" w:eastAsia="仿宋" w:cs="仿宋"/>
          <w:color w:val="auto"/>
          <w:highlight w:val="none"/>
          <w:lang w:eastAsia="zh-CN"/>
        </w:rPr>
        <w:t>交易活动</w:t>
      </w:r>
      <w:r>
        <w:rPr>
          <w:rFonts w:hint="eastAsia" w:ascii="仿宋" w:hAnsi="仿宋" w:eastAsia="仿宋" w:cs="仿宋"/>
          <w:color w:val="auto"/>
          <w:highlight w:val="none"/>
        </w:rPr>
        <w:t>应当具备的一般条件的承诺函；</w:t>
      </w:r>
    </w:p>
    <w:p w14:paraId="2D250D14">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11.1.2落实</w:t>
      </w:r>
      <w:r>
        <w:rPr>
          <w:rFonts w:hint="eastAsia" w:cs="仿宋"/>
          <w:color w:val="auto"/>
          <w:highlight w:val="none"/>
          <w:lang w:eastAsia="zh-CN"/>
        </w:rPr>
        <w:t>交易</w:t>
      </w:r>
      <w:r>
        <w:rPr>
          <w:rFonts w:hint="eastAsia" w:ascii="仿宋" w:hAnsi="仿宋" w:eastAsia="仿宋" w:cs="仿宋"/>
          <w:color w:val="auto"/>
          <w:highlight w:val="none"/>
        </w:rPr>
        <w:t>政策需满足的资格要求；</w:t>
      </w:r>
    </w:p>
    <w:p w14:paraId="11E981C1">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11.1.3本项目的特定资格要求。</w:t>
      </w:r>
    </w:p>
    <w:p w14:paraId="6B223FE5">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11.2商务技术文件：</w:t>
      </w:r>
    </w:p>
    <w:p w14:paraId="43060CC0">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11.2.1</w:t>
      </w:r>
      <w:r>
        <w:rPr>
          <w:rFonts w:hint="eastAsia" w:ascii="仿宋" w:hAnsi="仿宋" w:eastAsia="仿宋" w:cs="仿宋"/>
          <w:color w:val="auto"/>
          <w:highlight w:val="none"/>
          <w:lang w:eastAsia="zh-CN"/>
        </w:rPr>
        <w:t>响应函</w:t>
      </w:r>
      <w:r>
        <w:rPr>
          <w:rFonts w:hint="eastAsia" w:ascii="仿宋" w:hAnsi="仿宋" w:eastAsia="仿宋" w:cs="仿宋"/>
          <w:color w:val="auto"/>
          <w:highlight w:val="none"/>
        </w:rPr>
        <w:t>；</w:t>
      </w:r>
    </w:p>
    <w:p w14:paraId="01516C5E">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11.2.2授权委托书或法定代表人（单位负责人、自然人本人）身份证明；</w:t>
      </w:r>
    </w:p>
    <w:p w14:paraId="39FEB0DD">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11.2.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符合性审查资料；</w:t>
      </w:r>
    </w:p>
    <w:p w14:paraId="692C4E06">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11.2.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标准相应的商务技术资料；</w:t>
      </w:r>
    </w:p>
    <w:p w14:paraId="079DD706">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11.2.</w:t>
      </w:r>
      <w:r>
        <w:rPr>
          <w:rFonts w:hint="eastAsia" w:ascii="仿宋" w:hAnsi="仿宋" w:eastAsia="仿宋" w:cs="仿宋"/>
          <w:color w:val="auto"/>
          <w:highlight w:val="none"/>
          <w:lang w:val="en-US" w:eastAsia="zh-CN"/>
        </w:rPr>
        <w:t>5</w:t>
      </w:r>
      <w:r>
        <w:rPr>
          <w:rFonts w:hint="eastAsia" w:cs="仿宋"/>
          <w:color w:val="auto"/>
          <w:highlight w:val="none"/>
          <w:lang w:eastAsia="zh-CN"/>
        </w:rPr>
        <w:t>响应</w:t>
      </w:r>
      <w:r>
        <w:rPr>
          <w:rFonts w:hint="eastAsia" w:ascii="仿宋" w:hAnsi="仿宋" w:eastAsia="仿宋" w:cs="仿宋"/>
          <w:color w:val="auto"/>
          <w:highlight w:val="none"/>
        </w:rPr>
        <w:t>标的清单；</w:t>
      </w:r>
    </w:p>
    <w:p w14:paraId="20D6786E">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11.2.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商务技术偏离表；</w:t>
      </w:r>
    </w:p>
    <w:p w14:paraId="3124E667">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11.2.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交易响应人</w:t>
      </w:r>
      <w:r>
        <w:rPr>
          <w:rFonts w:hint="eastAsia" w:ascii="仿宋" w:hAnsi="仿宋" w:eastAsia="仿宋" w:cs="仿宋"/>
          <w:color w:val="auto"/>
          <w:highlight w:val="none"/>
        </w:rPr>
        <w:t>廉洁自律承诺书；</w:t>
      </w:r>
    </w:p>
    <w:p w14:paraId="61A29EE7">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11.3报价文件：</w:t>
      </w:r>
    </w:p>
    <w:p w14:paraId="48479526">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11.3.1</w:t>
      </w:r>
      <w:r>
        <w:rPr>
          <w:rFonts w:hint="eastAsia" w:ascii="仿宋" w:hAnsi="仿宋" w:eastAsia="仿宋" w:cs="仿宋"/>
          <w:color w:val="auto"/>
          <w:highlight w:val="none"/>
          <w:lang w:eastAsia="zh-CN"/>
        </w:rPr>
        <w:t>交易一览表</w:t>
      </w:r>
      <w:r>
        <w:rPr>
          <w:rFonts w:hint="eastAsia" w:ascii="仿宋" w:hAnsi="仿宋" w:eastAsia="仿宋" w:cs="仿宋"/>
          <w:color w:val="auto"/>
          <w:highlight w:val="none"/>
        </w:rPr>
        <w:t>（报价表）；</w:t>
      </w:r>
    </w:p>
    <w:p w14:paraId="0BE79FFE">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含有</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不能接受的附加条件的，</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5A4ECA03">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提供虚假材料</w:t>
      </w:r>
      <w:r>
        <w:rPr>
          <w:rFonts w:hint="eastAsia" w:cs="仿宋"/>
          <w:color w:val="auto"/>
          <w:highlight w:val="none"/>
          <w:lang w:eastAsia="zh-CN"/>
        </w:rPr>
        <w:t>响应</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0C459B42">
      <w:pPr>
        <w:pStyle w:val="7"/>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12. </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的编制</w:t>
      </w:r>
    </w:p>
    <w:p w14:paraId="57C53CB1">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12.1</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分为资格文件、商务技术文件、报价文件三部分。各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在编制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时请按照</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第六部分规定的格式进行，混乱的编排导致</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被误读或</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委员会查找不到有效文件是</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的风险。</w:t>
      </w:r>
    </w:p>
    <w:p w14:paraId="40D44DEC">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12.2</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进行电子</w:t>
      </w:r>
      <w:r>
        <w:rPr>
          <w:rFonts w:hint="eastAsia" w:cs="仿宋"/>
          <w:color w:val="auto"/>
          <w:highlight w:val="none"/>
          <w:lang w:eastAsia="zh-CN"/>
        </w:rPr>
        <w:t>响应</w:t>
      </w:r>
      <w:r>
        <w:rPr>
          <w:rFonts w:hint="eastAsia" w:ascii="仿宋" w:hAnsi="仿宋" w:eastAsia="仿宋" w:cs="仿宋"/>
          <w:color w:val="auto"/>
          <w:highlight w:val="none"/>
        </w:rPr>
        <w:t>应安装客户端软件—“政采云电子交易客户端”，并按照</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和电子交易平台的要求编制并加密</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未按规定加密的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，电子交易平台将拒收并提示。</w:t>
      </w:r>
    </w:p>
    <w:p w14:paraId="4CA5A67A">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12.3使用“政采云电子交易客户端”需要提前申领CA数字证书，申领流程请自行前往“浙江政府采购网-下载专区-电子交易客户端-CA驱动和申领流程”进行查阅。</w:t>
      </w:r>
    </w:p>
    <w:p w14:paraId="3B63E2DC">
      <w:pPr>
        <w:pStyle w:val="7"/>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13.</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的签署、盖章</w:t>
      </w:r>
    </w:p>
    <w:p w14:paraId="02F7E5A2">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13.1</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按照</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第六部分格式要求进行签署、盖章。▲</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未按照</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要求签署、盖章的，其</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6C81AC30">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应当在</w:t>
      </w:r>
      <w:r>
        <w:rPr>
          <w:rFonts w:hint="eastAsia" w:ascii="仿宋" w:hAnsi="仿宋" w:eastAsia="仿宋" w:cs="仿宋"/>
          <w:color w:val="auto"/>
          <w:highlight w:val="none"/>
          <w:lang w:eastAsia="zh-CN"/>
        </w:rPr>
        <w:t>响应截止</w:t>
      </w:r>
      <w:r>
        <w:rPr>
          <w:rFonts w:hint="eastAsia" w:ascii="仿宋" w:hAnsi="仿宋" w:eastAsia="仿宋" w:cs="仿宋"/>
          <w:color w:val="auto"/>
          <w:highlight w:val="none"/>
        </w:rPr>
        <w:t>时间前完成在“政府采购云平台”的身份认证，确保在电子</w:t>
      </w:r>
      <w:r>
        <w:rPr>
          <w:rFonts w:hint="eastAsia" w:cs="仿宋"/>
          <w:color w:val="auto"/>
          <w:highlight w:val="none"/>
          <w:lang w:eastAsia="zh-CN"/>
        </w:rPr>
        <w:t>响应</w:t>
      </w:r>
      <w:r>
        <w:rPr>
          <w:rFonts w:hint="eastAsia" w:ascii="仿宋" w:hAnsi="仿宋" w:eastAsia="仿宋" w:cs="仿宋"/>
          <w:color w:val="auto"/>
          <w:highlight w:val="none"/>
        </w:rPr>
        <w:t>过程中能够对相关数据电文进行加密和使用电子签名。</w:t>
      </w:r>
    </w:p>
    <w:p w14:paraId="5568A3AB">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13.3</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签署、盖章的要求适用于电子签名。</w:t>
      </w:r>
    </w:p>
    <w:p w14:paraId="2BBFC019">
      <w:pPr>
        <w:pStyle w:val="7"/>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14. </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的提交、补充、修改、撤回</w:t>
      </w:r>
    </w:p>
    <w:p w14:paraId="1B27E809">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14.1 </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应当在</w:t>
      </w:r>
      <w:r>
        <w:rPr>
          <w:rFonts w:hint="eastAsia" w:ascii="仿宋" w:hAnsi="仿宋" w:eastAsia="仿宋" w:cs="仿宋"/>
          <w:color w:val="auto"/>
          <w:highlight w:val="none"/>
          <w:lang w:eastAsia="zh-CN"/>
        </w:rPr>
        <w:t>响应截止</w:t>
      </w:r>
      <w:r>
        <w:rPr>
          <w:rFonts w:hint="eastAsia" w:ascii="仿宋" w:hAnsi="仿宋" w:eastAsia="仿宋" w:cs="仿宋"/>
          <w:color w:val="auto"/>
          <w:highlight w:val="none"/>
        </w:rPr>
        <w:t>时间前完成</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的传输递交，并可以补充、修改或者撤回</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。补充或者修改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的，应当先行撤回原文件，补充、修改后重新传输递交。</w:t>
      </w:r>
      <w:r>
        <w:rPr>
          <w:rFonts w:hint="eastAsia" w:ascii="仿宋" w:hAnsi="仿宋" w:eastAsia="仿宋" w:cs="仿宋"/>
          <w:color w:val="auto"/>
          <w:highlight w:val="none"/>
          <w:lang w:eastAsia="zh-CN"/>
        </w:rPr>
        <w:t>响应截止</w:t>
      </w:r>
      <w:r>
        <w:rPr>
          <w:rFonts w:hint="eastAsia" w:ascii="仿宋" w:hAnsi="仿宋" w:eastAsia="仿宋" w:cs="仿宋"/>
          <w:color w:val="auto"/>
          <w:highlight w:val="none"/>
        </w:rPr>
        <w:t>时间前未完成传输的，视为撤回</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响应截止</w:t>
      </w:r>
      <w:r>
        <w:rPr>
          <w:rFonts w:hint="eastAsia" w:ascii="仿宋" w:hAnsi="仿宋" w:eastAsia="仿宋" w:cs="仿宋"/>
          <w:color w:val="auto"/>
          <w:highlight w:val="none"/>
        </w:rPr>
        <w:t>时间后递交的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，电子交易平台将拒收。</w:t>
      </w:r>
    </w:p>
    <w:p w14:paraId="0468402E">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14.2电子交易平台收到</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，将妥善保存并即时向</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发出确认回执通知。在</w:t>
      </w:r>
      <w:r>
        <w:rPr>
          <w:rFonts w:hint="eastAsia" w:ascii="仿宋" w:hAnsi="仿宋" w:eastAsia="仿宋" w:cs="仿宋"/>
          <w:color w:val="auto"/>
          <w:highlight w:val="none"/>
          <w:lang w:eastAsia="zh-CN"/>
        </w:rPr>
        <w:t>响应截止</w:t>
      </w:r>
      <w:r>
        <w:rPr>
          <w:rFonts w:hint="eastAsia" w:ascii="仿宋" w:hAnsi="仿宋" w:eastAsia="仿宋" w:cs="仿宋"/>
          <w:color w:val="auto"/>
          <w:highlight w:val="none"/>
        </w:rPr>
        <w:t>时间前，除</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补充、修改或者撤回</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外，任何单位和个人不得解密或提取</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p>
    <w:p w14:paraId="2D787DA0">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14.3</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可以视情况延长</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提交的截止时间。在上述情况下，</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与</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以前在</w:t>
      </w:r>
      <w:r>
        <w:rPr>
          <w:rFonts w:hint="eastAsia" w:ascii="仿宋" w:hAnsi="仿宋" w:eastAsia="仿宋" w:cs="仿宋"/>
          <w:color w:val="auto"/>
          <w:highlight w:val="none"/>
          <w:lang w:eastAsia="zh-CN"/>
        </w:rPr>
        <w:t>响应截止</w:t>
      </w:r>
      <w:r>
        <w:rPr>
          <w:rFonts w:hint="eastAsia" w:ascii="仿宋" w:hAnsi="仿宋" w:eastAsia="仿宋" w:cs="仿宋"/>
          <w:color w:val="auto"/>
          <w:highlight w:val="none"/>
        </w:rPr>
        <w:t>期方面的全部权利、责任和义务，将适用于延长至新的</w:t>
      </w:r>
      <w:r>
        <w:rPr>
          <w:rFonts w:hint="eastAsia" w:ascii="仿宋" w:hAnsi="仿宋" w:eastAsia="仿宋" w:cs="仿宋"/>
          <w:color w:val="auto"/>
          <w:highlight w:val="none"/>
          <w:lang w:eastAsia="zh-CN"/>
        </w:rPr>
        <w:t>响应截止</w:t>
      </w:r>
      <w:r>
        <w:rPr>
          <w:rFonts w:hint="eastAsia" w:ascii="仿宋" w:hAnsi="仿宋" w:eastAsia="仿宋" w:cs="仿宋"/>
          <w:color w:val="auto"/>
          <w:highlight w:val="none"/>
        </w:rPr>
        <w:t>期。</w:t>
      </w:r>
    </w:p>
    <w:p w14:paraId="2770BF98">
      <w:pPr>
        <w:pStyle w:val="7"/>
        <w:snapToGrid w:val="0"/>
        <w:spacing w:after="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15.备份</w:t>
      </w:r>
      <w:r>
        <w:rPr>
          <w:rFonts w:hint="eastAsia" w:ascii="仿宋" w:hAnsi="仿宋" w:eastAsia="仿宋" w:cs="仿宋"/>
          <w:color w:val="auto"/>
          <w:highlight w:val="none"/>
          <w:lang w:eastAsia="zh-CN"/>
        </w:rPr>
        <w:t>响应文件</w:t>
      </w:r>
    </w:p>
    <w:p w14:paraId="54F3A0CC">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15.1</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在电子交易平台传输递交</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后，还可以在</w:t>
      </w:r>
      <w:r>
        <w:rPr>
          <w:rFonts w:hint="eastAsia" w:ascii="仿宋" w:hAnsi="仿宋" w:eastAsia="仿宋" w:cs="仿宋"/>
          <w:color w:val="auto"/>
          <w:highlight w:val="none"/>
          <w:lang w:eastAsia="zh-CN"/>
        </w:rPr>
        <w:t>响应截止</w:t>
      </w:r>
      <w:r>
        <w:rPr>
          <w:rFonts w:hint="eastAsia" w:ascii="仿宋" w:hAnsi="仿宋" w:eastAsia="仿宋" w:cs="仿宋"/>
          <w:color w:val="auto"/>
          <w:highlight w:val="none"/>
        </w:rPr>
        <w:t>时间前直接提交或者以邮政快递方式递交备份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1份，但</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不强制或变相强制</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提交备份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p>
    <w:p w14:paraId="6BE3C12D">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15.2备份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须在“政采云投标客户端”制作生成，并储存在DVD光盘中。备份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应当密封包装并在包装上加盖公章并注明</w:t>
      </w:r>
      <w:r>
        <w:rPr>
          <w:rFonts w:hint="eastAsia" w:cs="仿宋"/>
          <w:color w:val="auto"/>
          <w:highlight w:val="none"/>
          <w:lang w:eastAsia="zh-CN"/>
        </w:rPr>
        <w:t>响应</w:t>
      </w: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名称。不符合上述制作、存储、密封规定的备份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将被视为无效或者被拒绝接收。</w:t>
      </w:r>
    </w:p>
    <w:p w14:paraId="6266D6EA">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15.3直接提交备份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应于</w:t>
      </w:r>
      <w:r>
        <w:rPr>
          <w:rFonts w:hint="eastAsia" w:ascii="仿宋" w:hAnsi="仿宋" w:eastAsia="仿宋" w:cs="仿宋"/>
          <w:color w:val="auto"/>
          <w:highlight w:val="none"/>
          <w:lang w:eastAsia="zh-CN"/>
        </w:rPr>
        <w:t>响应截止</w:t>
      </w:r>
      <w:r>
        <w:rPr>
          <w:rFonts w:hint="eastAsia" w:ascii="仿宋" w:hAnsi="仿宋" w:eastAsia="仿宋" w:cs="仿宋"/>
          <w:color w:val="auto"/>
          <w:highlight w:val="none"/>
        </w:rPr>
        <w:t>时间前在</w:t>
      </w:r>
      <w:r>
        <w:rPr>
          <w:rFonts w:hint="eastAsia" w:ascii="仿宋" w:hAnsi="仿宋" w:eastAsia="仿宋" w:cs="仿宋"/>
          <w:color w:val="auto"/>
          <w:highlight w:val="none"/>
          <w:lang w:eastAsia="zh-CN"/>
        </w:rPr>
        <w:t>交易公告</w:t>
      </w:r>
      <w:r>
        <w:rPr>
          <w:rFonts w:hint="eastAsia" w:ascii="仿宋" w:hAnsi="仿宋" w:eastAsia="仿宋" w:cs="仿宋"/>
          <w:color w:val="auto"/>
          <w:highlight w:val="none"/>
        </w:rPr>
        <w:t>中载明的</w:t>
      </w:r>
      <w:r>
        <w:rPr>
          <w:rFonts w:hint="eastAsia" w:cs="仿宋"/>
          <w:color w:val="auto"/>
          <w:highlight w:val="none"/>
          <w:lang w:eastAsia="zh-CN"/>
        </w:rPr>
        <w:t>交易</w:t>
      </w:r>
      <w:r>
        <w:rPr>
          <w:rFonts w:hint="eastAsia" w:ascii="仿宋" w:hAnsi="仿宋" w:eastAsia="仿宋" w:cs="仿宋"/>
          <w:color w:val="auto"/>
          <w:highlight w:val="none"/>
        </w:rPr>
        <w:t>地点将备份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提交给</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将拒绝接受逾期送达的备份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p>
    <w:p w14:paraId="084B5342">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15.4以邮政快递方式递交备份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应先将备份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按要求密封和标记，再进行邮政快递包装后邮寄。备份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须在</w:t>
      </w:r>
      <w:r>
        <w:rPr>
          <w:rFonts w:hint="eastAsia" w:ascii="仿宋" w:hAnsi="仿宋" w:eastAsia="仿宋" w:cs="仿宋"/>
          <w:color w:val="auto"/>
          <w:highlight w:val="none"/>
          <w:lang w:eastAsia="zh-CN"/>
        </w:rPr>
        <w:t>响应截止</w:t>
      </w:r>
      <w:r>
        <w:rPr>
          <w:rFonts w:hint="eastAsia" w:ascii="仿宋" w:hAnsi="仿宋" w:eastAsia="仿宋" w:cs="仿宋"/>
          <w:color w:val="auto"/>
          <w:highlight w:val="none"/>
        </w:rPr>
        <w:t>时间之前送达</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第二部分</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须知前附表规定的备份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送达地点；送达时间以签收人签收时间为准。</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将拒绝接受逾期送达的备份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。邮寄过程中，电子备份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发生泄露、遗失、损坏或延期送达等情况的，由</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自行负责。</w:t>
      </w:r>
    </w:p>
    <w:p w14:paraId="15BAFB85">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15.5</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仅提交备份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，未在电子交易平台传输递交</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70C049F2">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16.</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的无效处理</w:t>
      </w:r>
    </w:p>
    <w:p w14:paraId="2BE82318">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有</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第四部分4.2规定的情形之一的，</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472E07E0">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17.</w:t>
      </w:r>
      <w:r>
        <w:rPr>
          <w:rFonts w:hint="eastAsia" w:cs="仿宋"/>
          <w:color w:val="auto"/>
          <w:highlight w:val="none"/>
          <w:lang w:eastAsia="zh-CN"/>
        </w:rPr>
        <w:t>响应</w:t>
      </w:r>
      <w:r>
        <w:rPr>
          <w:rFonts w:hint="eastAsia" w:ascii="仿宋" w:hAnsi="仿宋" w:eastAsia="仿宋" w:cs="仿宋"/>
          <w:color w:val="auto"/>
          <w:highlight w:val="none"/>
        </w:rPr>
        <w:t>有效期</w:t>
      </w:r>
    </w:p>
    <w:p w14:paraId="6C563A68">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17.1</w:t>
      </w:r>
      <w:r>
        <w:rPr>
          <w:rFonts w:hint="eastAsia" w:cs="仿宋"/>
          <w:color w:val="auto"/>
          <w:highlight w:val="none"/>
          <w:lang w:eastAsia="zh-CN"/>
        </w:rPr>
        <w:t>响应</w:t>
      </w:r>
      <w:r>
        <w:rPr>
          <w:rFonts w:hint="eastAsia" w:ascii="仿宋" w:hAnsi="仿宋" w:eastAsia="仿宋" w:cs="仿宋"/>
          <w:color w:val="auto"/>
          <w:highlight w:val="none"/>
        </w:rPr>
        <w:t>有效期为从提交</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的截止之日起90天。▲</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中承诺的</w:t>
      </w:r>
      <w:r>
        <w:rPr>
          <w:rFonts w:hint="eastAsia" w:cs="仿宋"/>
          <w:color w:val="auto"/>
          <w:highlight w:val="none"/>
          <w:lang w:eastAsia="zh-CN"/>
        </w:rPr>
        <w:t>响应</w:t>
      </w:r>
      <w:r>
        <w:rPr>
          <w:rFonts w:hint="eastAsia" w:ascii="仿宋" w:hAnsi="仿宋" w:eastAsia="仿宋" w:cs="仿宋"/>
          <w:color w:val="auto"/>
          <w:highlight w:val="none"/>
        </w:rPr>
        <w:t>有效期少于</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中载明的</w:t>
      </w:r>
      <w:r>
        <w:rPr>
          <w:rFonts w:hint="eastAsia" w:cs="仿宋"/>
          <w:color w:val="auto"/>
          <w:highlight w:val="none"/>
          <w:lang w:eastAsia="zh-CN"/>
        </w:rPr>
        <w:t>响应</w:t>
      </w:r>
      <w:r>
        <w:rPr>
          <w:rFonts w:hint="eastAsia" w:ascii="仿宋" w:hAnsi="仿宋" w:eastAsia="仿宋" w:cs="仿宋"/>
          <w:color w:val="auto"/>
          <w:highlight w:val="none"/>
        </w:rPr>
        <w:t>有效期的，</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27B44087">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17.2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合格投递后，自</w:t>
      </w:r>
      <w:r>
        <w:rPr>
          <w:rFonts w:hint="eastAsia" w:ascii="仿宋" w:hAnsi="仿宋" w:eastAsia="仿宋" w:cs="仿宋"/>
          <w:color w:val="auto"/>
          <w:highlight w:val="none"/>
          <w:lang w:eastAsia="zh-CN"/>
        </w:rPr>
        <w:t>响应截止</w:t>
      </w:r>
      <w:r>
        <w:rPr>
          <w:rFonts w:hint="eastAsia" w:ascii="仿宋" w:hAnsi="仿宋" w:eastAsia="仿宋" w:cs="仿宋"/>
          <w:color w:val="auto"/>
          <w:highlight w:val="none"/>
        </w:rPr>
        <w:t>日期起，在</w:t>
      </w:r>
      <w:r>
        <w:rPr>
          <w:rFonts w:hint="eastAsia" w:cs="仿宋"/>
          <w:color w:val="auto"/>
          <w:highlight w:val="none"/>
          <w:lang w:eastAsia="zh-CN"/>
        </w:rPr>
        <w:t>响应</w:t>
      </w:r>
      <w:r>
        <w:rPr>
          <w:rFonts w:hint="eastAsia" w:ascii="仿宋" w:hAnsi="仿宋" w:eastAsia="仿宋" w:cs="仿宋"/>
          <w:color w:val="auto"/>
          <w:highlight w:val="none"/>
        </w:rPr>
        <w:t>有效期内有效。</w:t>
      </w:r>
    </w:p>
    <w:p w14:paraId="3DB4C8BB">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17.3在原定</w:t>
      </w:r>
      <w:r>
        <w:rPr>
          <w:rFonts w:hint="eastAsia" w:cs="仿宋"/>
          <w:color w:val="auto"/>
          <w:highlight w:val="none"/>
          <w:lang w:eastAsia="zh-CN"/>
        </w:rPr>
        <w:t>响应</w:t>
      </w:r>
      <w:r>
        <w:rPr>
          <w:rFonts w:hint="eastAsia" w:ascii="仿宋" w:hAnsi="仿宋" w:eastAsia="仿宋" w:cs="仿宋"/>
          <w:color w:val="auto"/>
          <w:highlight w:val="none"/>
        </w:rPr>
        <w:t>有效期满之前，如果出现特殊情况，</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可以以书面形式通知</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延长</w:t>
      </w:r>
      <w:r>
        <w:rPr>
          <w:rFonts w:hint="eastAsia" w:cs="仿宋"/>
          <w:color w:val="auto"/>
          <w:highlight w:val="none"/>
          <w:lang w:eastAsia="zh-CN"/>
        </w:rPr>
        <w:t>响应</w:t>
      </w:r>
      <w:r>
        <w:rPr>
          <w:rFonts w:hint="eastAsia" w:ascii="仿宋" w:hAnsi="仿宋" w:eastAsia="仿宋" w:cs="仿宋"/>
          <w:color w:val="auto"/>
          <w:highlight w:val="none"/>
        </w:rPr>
        <w:t>有效期。</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同意延长的，不得要求或被允许修改其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拒绝延长的，其</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55686F94">
      <w:pPr>
        <w:pStyle w:val="6"/>
        <w:snapToGrid w:val="0"/>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四、</w:t>
      </w:r>
      <w:r>
        <w:rPr>
          <w:rFonts w:hint="eastAsia" w:cs="仿宋"/>
          <w:color w:val="auto"/>
          <w:highlight w:val="none"/>
          <w:lang w:eastAsia="zh-CN"/>
        </w:rPr>
        <w:t>交易</w:t>
      </w:r>
      <w:r>
        <w:rPr>
          <w:rFonts w:hint="eastAsia" w:ascii="仿宋" w:hAnsi="仿宋" w:eastAsia="仿宋" w:cs="仿宋"/>
          <w:color w:val="auto"/>
          <w:highlight w:val="none"/>
        </w:rPr>
        <w:t>、资格审查与信用信息查询</w:t>
      </w:r>
    </w:p>
    <w:p w14:paraId="01806641">
      <w:pPr>
        <w:pStyle w:val="7"/>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18.</w:t>
      </w:r>
      <w:r>
        <w:rPr>
          <w:rFonts w:hint="eastAsia" w:cs="仿宋"/>
          <w:color w:val="auto"/>
          <w:highlight w:val="none"/>
          <w:lang w:eastAsia="zh-CN"/>
        </w:rPr>
        <w:t>交易</w:t>
      </w:r>
      <w:r>
        <w:rPr>
          <w:rFonts w:hint="eastAsia" w:ascii="仿宋" w:hAnsi="仿宋" w:eastAsia="仿宋" w:cs="仿宋"/>
          <w:color w:val="auto"/>
          <w:highlight w:val="none"/>
        </w:rPr>
        <w:t xml:space="preserve"> </w:t>
      </w:r>
    </w:p>
    <w:p w14:paraId="01885016">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18.1</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按照</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规定的时间通过电子交易平台组织</w:t>
      </w:r>
      <w:r>
        <w:rPr>
          <w:rFonts w:hint="eastAsia" w:cs="仿宋"/>
          <w:color w:val="auto"/>
          <w:highlight w:val="none"/>
          <w:lang w:eastAsia="zh-CN"/>
        </w:rPr>
        <w:t>交易</w:t>
      </w:r>
      <w:r>
        <w:rPr>
          <w:rFonts w:hint="eastAsia" w:ascii="仿宋" w:hAnsi="仿宋" w:eastAsia="仿宋" w:cs="仿宋"/>
          <w:color w:val="auto"/>
          <w:highlight w:val="none"/>
        </w:rPr>
        <w:t>，所有</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均应当准时在线参加。</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不足3家的，不得</w:t>
      </w:r>
      <w:r>
        <w:rPr>
          <w:rFonts w:hint="eastAsia" w:cs="仿宋"/>
          <w:color w:val="auto"/>
          <w:highlight w:val="none"/>
          <w:lang w:eastAsia="zh-CN"/>
        </w:rPr>
        <w:t>交易</w:t>
      </w:r>
      <w:r>
        <w:rPr>
          <w:rFonts w:hint="eastAsia" w:ascii="仿宋" w:hAnsi="仿宋" w:eastAsia="仿宋" w:cs="仿宋"/>
          <w:color w:val="auto"/>
          <w:highlight w:val="none"/>
        </w:rPr>
        <w:t>。</w:t>
      </w:r>
    </w:p>
    <w:p w14:paraId="04CA9C76">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18.2</w:t>
      </w:r>
      <w:r>
        <w:rPr>
          <w:rFonts w:hint="eastAsia" w:cs="仿宋"/>
          <w:color w:val="auto"/>
          <w:highlight w:val="none"/>
          <w:lang w:eastAsia="zh-CN"/>
        </w:rPr>
        <w:t>交易</w:t>
      </w:r>
      <w:r>
        <w:rPr>
          <w:rFonts w:hint="eastAsia" w:ascii="仿宋" w:hAnsi="仿宋" w:eastAsia="仿宋" w:cs="仿宋"/>
          <w:color w:val="auto"/>
          <w:highlight w:val="none"/>
        </w:rPr>
        <w:t>时，电子交易平台按</w:t>
      </w:r>
      <w:r>
        <w:rPr>
          <w:rFonts w:hint="eastAsia" w:ascii="仿宋" w:hAnsi="仿宋" w:eastAsia="仿宋" w:cs="仿宋"/>
          <w:color w:val="auto"/>
          <w:highlight w:val="none"/>
          <w:lang w:eastAsia="zh-CN"/>
        </w:rPr>
        <w:t>交易时间</w:t>
      </w:r>
      <w:r>
        <w:rPr>
          <w:rFonts w:hint="eastAsia" w:ascii="仿宋" w:hAnsi="仿宋" w:eastAsia="仿宋" w:cs="仿宋"/>
          <w:color w:val="auto"/>
          <w:highlight w:val="none"/>
        </w:rPr>
        <w:t>自动提取所有</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依托电子交易平台发起开始解密指令，</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按照平台提示和</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的规定在半小时内完成在线解密。</w:t>
      </w:r>
    </w:p>
    <w:p w14:paraId="061FAE33">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18.3</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未按时解密，</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提供了备份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的，以备份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作为依据，否则视为</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撤回。</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已按时解密的，备份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自动失效。</w:t>
      </w:r>
    </w:p>
    <w:p w14:paraId="655C7D6D">
      <w:pPr>
        <w:pStyle w:val="7"/>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19、资格审查</w:t>
      </w:r>
    </w:p>
    <w:p w14:paraId="1FBE66D4">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19.1</w:t>
      </w:r>
      <w:r>
        <w:rPr>
          <w:rFonts w:hint="eastAsia" w:cs="仿宋"/>
          <w:color w:val="auto"/>
          <w:highlight w:val="none"/>
          <w:lang w:eastAsia="zh-CN"/>
        </w:rPr>
        <w:t>交易</w:t>
      </w:r>
      <w:r>
        <w:rPr>
          <w:rFonts w:hint="eastAsia" w:ascii="仿宋" w:hAnsi="仿宋" w:eastAsia="仿宋" w:cs="仿宋"/>
          <w:color w:val="auto"/>
          <w:highlight w:val="none"/>
        </w:rPr>
        <w:t>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将依法对</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的资格进行审查。</w:t>
      </w:r>
    </w:p>
    <w:p w14:paraId="2085867A">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19.2</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依据法律法规和</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的规定，对</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的基本资格条件、特定资格条件进行审查。</w:t>
      </w:r>
    </w:p>
    <w:p w14:paraId="40968636">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19.3</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未按照</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要求提供与基本资格条件、特定资格条件相应的有效资格证明材料的，视为</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不具备</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中规定的资格要求，其</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49E4120A">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19.4对未通过资格审查的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告知其未通过的原因。</w:t>
      </w:r>
    </w:p>
    <w:p w14:paraId="3FCDA112">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19.5合格</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不足3家的，不再</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w:t>
      </w:r>
    </w:p>
    <w:p w14:paraId="16819745">
      <w:pPr>
        <w:pStyle w:val="7"/>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20、信用信息查询</w:t>
      </w:r>
    </w:p>
    <w:p w14:paraId="34D4CB25">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20.1信用信息查询渠道及截止时间：</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将通过“信用中国”网站(www.creditchina.gov.cn)、中国政府采购网(www.ccgp.gov.cn)渠道查询</w:t>
      </w:r>
      <w:r>
        <w:rPr>
          <w:rFonts w:hint="eastAsia" w:ascii="仿宋" w:hAnsi="仿宋" w:eastAsia="仿宋" w:cs="仿宋"/>
          <w:color w:val="auto"/>
          <w:highlight w:val="none"/>
          <w:lang w:eastAsia="zh-CN"/>
        </w:rPr>
        <w:t>响应人响应截止</w:t>
      </w:r>
      <w:r>
        <w:rPr>
          <w:rFonts w:hint="eastAsia" w:ascii="仿宋" w:hAnsi="仿宋" w:eastAsia="仿宋" w:cs="仿宋"/>
          <w:color w:val="auto"/>
          <w:highlight w:val="none"/>
        </w:rPr>
        <w:t>时间当天的信用记录。</w:t>
      </w:r>
    </w:p>
    <w:p w14:paraId="1775838C">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的信用记录、查询结果经确认后将与</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一起存档。</w:t>
      </w:r>
    </w:p>
    <w:p w14:paraId="0B503A5E">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20.3信用信息的使用规则：经查询列入失信被执行人名单、重大税收违法案件当事人名单（税收违法黑名单）、采购严重违法失信行为记录名单的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将被拒绝参与</w:t>
      </w:r>
      <w:r>
        <w:rPr>
          <w:rFonts w:hint="eastAsia" w:ascii="仿宋" w:hAnsi="仿宋" w:eastAsia="仿宋" w:cs="仿宋"/>
          <w:color w:val="auto"/>
          <w:highlight w:val="none"/>
          <w:lang w:eastAsia="zh-CN"/>
        </w:rPr>
        <w:t>交易活动</w:t>
      </w:r>
      <w:r>
        <w:rPr>
          <w:rFonts w:hint="eastAsia" w:ascii="仿宋" w:hAnsi="仿宋" w:eastAsia="仿宋" w:cs="仿宋"/>
          <w:color w:val="auto"/>
          <w:highlight w:val="none"/>
        </w:rPr>
        <w:t>。</w:t>
      </w:r>
    </w:p>
    <w:p w14:paraId="6B482C81">
      <w:pPr>
        <w:pStyle w:val="6"/>
        <w:snapToGrid w:val="0"/>
        <w:spacing w:before="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五、</w:t>
      </w:r>
      <w:r>
        <w:rPr>
          <w:rFonts w:hint="eastAsia" w:ascii="仿宋" w:hAnsi="仿宋" w:eastAsia="仿宋" w:cs="仿宋"/>
          <w:color w:val="auto"/>
          <w:highlight w:val="none"/>
          <w:lang w:eastAsia="zh-CN"/>
        </w:rPr>
        <w:t>评审</w:t>
      </w:r>
    </w:p>
    <w:p w14:paraId="1E58FB82">
      <w:pPr>
        <w:pStyle w:val="7"/>
        <w:snapToGrid w:val="0"/>
        <w:spacing w:after="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21. </w:t>
      </w:r>
      <w:r>
        <w:rPr>
          <w:rFonts w:hint="eastAsia" w:ascii="仿宋" w:hAnsi="仿宋" w:eastAsia="仿宋" w:cs="仿宋"/>
          <w:color w:val="auto"/>
          <w:highlight w:val="none"/>
          <w:lang w:eastAsia="zh-CN"/>
        </w:rPr>
        <w:t>评审</w:t>
      </w:r>
    </w:p>
    <w:p w14:paraId="6E2F6EF6">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委员会将根据</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和有关规定，履行</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工作职责，并按照</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方法及评分标准，全面衡量各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的响应情况。对实质上响应</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，按照评审因素的量化指标排出推荐</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的先后顺序，并按顺序提出授标建议。详见</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第四部分</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办法。</w:t>
      </w:r>
    </w:p>
    <w:p w14:paraId="4E45A020">
      <w:pPr>
        <w:pStyle w:val="6"/>
        <w:snapToGrid w:val="0"/>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六、定标</w:t>
      </w:r>
    </w:p>
    <w:p w14:paraId="1EF8717F">
      <w:pPr>
        <w:pStyle w:val="7"/>
        <w:snapToGrid w:val="0"/>
        <w:spacing w:after="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22. 确定</w:t>
      </w:r>
      <w:r>
        <w:rPr>
          <w:rFonts w:hint="eastAsia" w:ascii="仿宋" w:hAnsi="仿宋" w:eastAsia="仿宋" w:cs="仿宋"/>
          <w:color w:val="auto"/>
          <w:highlight w:val="none"/>
          <w:lang w:eastAsia="zh-CN"/>
        </w:rPr>
        <w:t>成交响应人</w:t>
      </w:r>
    </w:p>
    <w:p w14:paraId="449AC979">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将自收到评审报告之日起5个工作日内通过电子交易平台在评审报告推荐的</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候选人中按顺序确定</w:t>
      </w:r>
      <w:r>
        <w:rPr>
          <w:rFonts w:hint="eastAsia" w:ascii="仿宋" w:hAnsi="仿宋" w:eastAsia="仿宋" w:cs="仿宋"/>
          <w:color w:val="auto"/>
          <w:highlight w:val="none"/>
          <w:lang w:eastAsia="zh-CN"/>
        </w:rPr>
        <w:t>成交响应人</w:t>
      </w:r>
      <w:r>
        <w:rPr>
          <w:rFonts w:hint="eastAsia" w:ascii="仿宋" w:hAnsi="仿宋" w:eastAsia="仿宋" w:cs="仿宋"/>
          <w:color w:val="auto"/>
          <w:highlight w:val="none"/>
        </w:rPr>
        <w:t>。</w:t>
      </w:r>
    </w:p>
    <w:p w14:paraId="2DB0ED73">
      <w:pPr>
        <w:pStyle w:val="7"/>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23. </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通知与</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结果公告</w:t>
      </w:r>
    </w:p>
    <w:p w14:paraId="5F9EE64D">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23.1自</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人确定之日起2个工作日内，</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通过电子交易平台向</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人发出</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通知书，同时编制发布</w:t>
      </w:r>
      <w:r>
        <w:rPr>
          <w:rFonts w:hint="eastAsia" w:ascii="仿宋" w:hAnsi="仿宋" w:eastAsia="仿宋" w:cs="仿宋"/>
          <w:color w:val="auto"/>
          <w:highlight w:val="none"/>
          <w:lang w:eastAsia="zh-CN"/>
        </w:rPr>
        <w:t>交易结果</w:t>
      </w:r>
      <w:r>
        <w:rPr>
          <w:rFonts w:hint="eastAsia" w:ascii="仿宋" w:hAnsi="仿宋" w:eastAsia="仿宋" w:cs="仿宋"/>
          <w:color w:val="auto"/>
          <w:highlight w:val="none"/>
        </w:rPr>
        <w:t>公告。</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也可以以纸质形式进行</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通知。</w:t>
      </w:r>
    </w:p>
    <w:p w14:paraId="575186DD">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23.2</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结果公告内容包括</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及其委托的</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的名称、地址、联系方式，项目名称和项目编号，</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人名称、地址和</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金额，主要</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标的的名称、规格型号、数量、单价、服务要求，</w:t>
      </w:r>
      <w:r>
        <w:rPr>
          <w:rFonts w:hint="eastAsia" w:cs="仿宋"/>
          <w:color w:val="auto"/>
          <w:highlight w:val="none"/>
          <w:lang w:eastAsia="zh-CN"/>
        </w:rPr>
        <w:t>交易</w:t>
      </w:r>
      <w:r>
        <w:rPr>
          <w:rFonts w:hint="eastAsia" w:ascii="仿宋" w:hAnsi="仿宋" w:eastAsia="仿宋" w:cs="仿宋"/>
          <w:color w:val="auto"/>
          <w:highlight w:val="none"/>
        </w:rPr>
        <w:t>记录、</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公告期限等。</w:t>
      </w:r>
    </w:p>
    <w:p w14:paraId="2F936A06">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23.3公告期限为1个工作日。</w:t>
      </w:r>
    </w:p>
    <w:p w14:paraId="0C7E931E">
      <w:pPr>
        <w:pStyle w:val="6"/>
        <w:snapToGrid w:val="0"/>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七、合同授予</w:t>
      </w:r>
    </w:p>
    <w:p w14:paraId="36C62EB2">
      <w:pPr>
        <w:pStyle w:val="7"/>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24.合同主要条款详见第五部分拟签订的合同文本。</w:t>
      </w:r>
    </w:p>
    <w:p w14:paraId="4DA075BF">
      <w:pPr>
        <w:pStyle w:val="7"/>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25.合同的签订</w:t>
      </w:r>
    </w:p>
    <w:p w14:paraId="7AB658A8">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25.1 </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与</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人应当通过电子交易平台在</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通知书发出之日起三十日内，按照</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确定的事项签订</w:t>
      </w:r>
      <w:r>
        <w:rPr>
          <w:rFonts w:hint="eastAsia" w:cs="仿宋"/>
          <w:color w:val="auto"/>
          <w:highlight w:val="none"/>
          <w:lang w:eastAsia="zh-CN"/>
        </w:rPr>
        <w:t>合同</w:t>
      </w:r>
      <w:r>
        <w:rPr>
          <w:rFonts w:hint="eastAsia" w:ascii="仿宋" w:hAnsi="仿宋" w:eastAsia="仿宋" w:cs="仿宋"/>
          <w:color w:val="auto"/>
          <w:highlight w:val="none"/>
        </w:rPr>
        <w:t>。</w:t>
      </w:r>
    </w:p>
    <w:p w14:paraId="7A08869C">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25.2</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人按规定的日期、时间、地点，由法定代表人或其授权代表与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代表签订合同。</w:t>
      </w:r>
    </w:p>
    <w:p w14:paraId="110FF575">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无故拒绝或延期，除按照合同条款处理外，列入不良行为记录一次，并给予通报。</w:t>
      </w:r>
    </w:p>
    <w:p w14:paraId="38F45D20">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25.4</w:t>
      </w:r>
      <w:r>
        <w:rPr>
          <w:rFonts w:hint="eastAsia" w:ascii="仿宋" w:hAnsi="仿宋" w:eastAsia="仿宋" w:cs="仿宋"/>
          <w:color w:val="auto"/>
          <w:highlight w:val="none"/>
          <w:lang w:eastAsia="zh-CN"/>
        </w:rPr>
        <w:t>成交响应人</w:t>
      </w:r>
      <w:r>
        <w:rPr>
          <w:rFonts w:hint="eastAsia" w:ascii="仿宋" w:hAnsi="仿宋" w:eastAsia="仿宋" w:cs="仿宋"/>
          <w:color w:val="auto"/>
          <w:highlight w:val="none"/>
        </w:rPr>
        <w:t>拒绝与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签订合同的，</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可以按照评审报告推荐的</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或者成交候选人名单排序，确定下一候选人为</w:t>
      </w:r>
      <w:r>
        <w:rPr>
          <w:rFonts w:hint="eastAsia" w:ascii="仿宋" w:hAnsi="仿宋" w:eastAsia="仿宋" w:cs="仿宋"/>
          <w:color w:val="auto"/>
          <w:highlight w:val="none"/>
          <w:lang w:eastAsia="zh-CN"/>
        </w:rPr>
        <w:t>成交响应人</w:t>
      </w:r>
      <w:r>
        <w:rPr>
          <w:rFonts w:hint="eastAsia" w:ascii="仿宋" w:hAnsi="仿宋" w:eastAsia="仿宋" w:cs="仿宋"/>
          <w:color w:val="auto"/>
          <w:highlight w:val="none"/>
        </w:rPr>
        <w:t>，也可以重新开展</w:t>
      </w:r>
      <w:r>
        <w:rPr>
          <w:rFonts w:hint="eastAsia" w:ascii="仿宋" w:hAnsi="仿宋" w:eastAsia="仿宋" w:cs="仿宋"/>
          <w:color w:val="auto"/>
          <w:highlight w:val="none"/>
          <w:lang w:eastAsia="zh-CN"/>
        </w:rPr>
        <w:t>交易活动</w:t>
      </w:r>
      <w:r>
        <w:rPr>
          <w:rFonts w:hint="eastAsia" w:ascii="仿宋" w:hAnsi="仿宋" w:eastAsia="仿宋" w:cs="仿宋"/>
          <w:color w:val="auto"/>
          <w:highlight w:val="none"/>
        </w:rPr>
        <w:t>。</w:t>
      </w:r>
    </w:p>
    <w:p w14:paraId="5B44FEFA">
      <w:pPr>
        <w:pStyle w:val="7"/>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26.履约保证金</w:t>
      </w:r>
    </w:p>
    <w:p w14:paraId="36C95B60">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拟签订的合同文本要求</w:t>
      </w:r>
      <w:r>
        <w:rPr>
          <w:rFonts w:hint="eastAsia" w:ascii="仿宋" w:hAnsi="仿宋" w:eastAsia="仿宋" w:cs="仿宋"/>
          <w:color w:val="auto"/>
          <w:highlight w:val="none"/>
          <w:lang w:eastAsia="zh-CN"/>
        </w:rPr>
        <w:t>成交响应人</w:t>
      </w:r>
      <w:r>
        <w:rPr>
          <w:rFonts w:hint="eastAsia" w:ascii="仿宋" w:hAnsi="仿宋" w:eastAsia="仿宋" w:cs="仿宋"/>
          <w:color w:val="auto"/>
          <w:highlight w:val="none"/>
        </w:rPr>
        <w:t>提交履约保证金的，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应当以</w:t>
      </w:r>
      <w:r>
        <w:rPr>
          <w:rFonts w:hint="eastAsia" w:ascii="仿宋" w:hAnsi="仿宋" w:eastAsia="仿宋" w:cs="仿宋"/>
          <w:color w:val="auto"/>
          <w:highlight w:val="none"/>
          <w:lang w:eastAsia="zh-CN"/>
        </w:rPr>
        <w:t>转账</w:t>
      </w:r>
      <w:r>
        <w:rPr>
          <w:rFonts w:hint="eastAsia" w:ascii="仿宋" w:hAnsi="仿宋" w:eastAsia="仿宋" w:cs="仿宋"/>
          <w:color w:val="auto"/>
          <w:highlight w:val="none"/>
        </w:rPr>
        <w:t>形式提交。</w:t>
      </w:r>
      <w:r>
        <w:rPr>
          <w:rFonts w:hint="eastAsia" w:ascii="仿宋" w:hAnsi="仿宋" w:eastAsia="仿宋" w:cs="仿宋"/>
          <w:color w:val="auto"/>
          <w:highlight w:val="none"/>
          <w:lang w:val="en-US" w:eastAsia="zh-CN"/>
        </w:rPr>
        <w:t>合同履约</w:t>
      </w:r>
      <w:r>
        <w:rPr>
          <w:rFonts w:hint="eastAsia" w:ascii="仿宋" w:hAnsi="仿宋" w:eastAsia="仿宋" w:cs="仿宋"/>
          <w:color w:val="auto"/>
          <w:highlight w:val="none"/>
        </w:rPr>
        <w:t>结束后退还。</w:t>
      </w:r>
    </w:p>
    <w:p w14:paraId="1527947B">
      <w:pPr>
        <w:pStyle w:val="6"/>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八、电子交易活动的中止</w:t>
      </w:r>
    </w:p>
    <w:p w14:paraId="6855B99E">
      <w:pPr>
        <w:pStyle w:val="7"/>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27.电子交易活动的中止。</w:t>
      </w:r>
    </w:p>
    <w:p w14:paraId="6E9245BB">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交易过程</w:t>
      </w:r>
      <w:r>
        <w:rPr>
          <w:rFonts w:hint="eastAsia" w:ascii="仿宋" w:hAnsi="仿宋" w:eastAsia="仿宋" w:cs="仿宋"/>
          <w:color w:val="auto"/>
          <w:highlight w:val="none"/>
        </w:rPr>
        <w:t>中出现以下情形，导致电子交易平台无法正常运行，或者无法保证电子交易的公平、公正和安全时，</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可中止电子交易活动：</w:t>
      </w:r>
    </w:p>
    <w:p w14:paraId="10F0E275">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1D0B1380">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67F1C4FD">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64880DAC">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52A2428C">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587DAC47">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28.出现以上情形，不影响</w:t>
      </w:r>
      <w:r>
        <w:rPr>
          <w:rFonts w:hint="eastAsia" w:cs="仿宋"/>
          <w:color w:val="auto"/>
          <w:highlight w:val="none"/>
          <w:lang w:eastAsia="zh-CN"/>
        </w:rPr>
        <w:t>交易</w:t>
      </w:r>
      <w:r>
        <w:rPr>
          <w:rFonts w:hint="eastAsia" w:ascii="仿宋" w:hAnsi="仿宋" w:eastAsia="仿宋" w:cs="仿宋"/>
          <w:color w:val="auto"/>
          <w:highlight w:val="none"/>
        </w:rPr>
        <w:t>公平、公正性的，</w:t>
      </w:r>
      <w:r>
        <w:rPr>
          <w:rFonts w:hint="eastAsia" w:cs="仿宋"/>
          <w:color w:val="auto"/>
          <w:highlight w:val="none"/>
          <w:lang w:eastAsia="zh-CN"/>
        </w:rPr>
        <w:t>交易</w:t>
      </w:r>
      <w:r>
        <w:rPr>
          <w:rFonts w:hint="eastAsia" w:ascii="仿宋" w:hAnsi="仿宋" w:eastAsia="仿宋" w:cs="仿宋"/>
          <w:color w:val="auto"/>
          <w:highlight w:val="none"/>
        </w:rPr>
        <w:t>组织机构可以待上述情形消除后继续组织电子交易活动，也可以决定某些环节以纸质形式进行；影响或可能影响</w:t>
      </w:r>
      <w:r>
        <w:rPr>
          <w:rFonts w:hint="eastAsia" w:cs="仿宋"/>
          <w:color w:val="auto"/>
          <w:highlight w:val="none"/>
          <w:lang w:eastAsia="zh-CN"/>
        </w:rPr>
        <w:t>交易</w:t>
      </w:r>
      <w:r>
        <w:rPr>
          <w:rFonts w:hint="eastAsia" w:ascii="仿宋" w:hAnsi="仿宋" w:eastAsia="仿宋" w:cs="仿宋"/>
          <w:color w:val="auto"/>
          <w:highlight w:val="none"/>
        </w:rPr>
        <w:t>公平、公正性的，应当重新</w:t>
      </w:r>
      <w:r>
        <w:rPr>
          <w:rFonts w:hint="eastAsia" w:cs="仿宋"/>
          <w:color w:val="auto"/>
          <w:highlight w:val="none"/>
          <w:lang w:eastAsia="zh-CN"/>
        </w:rPr>
        <w:t>交易</w:t>
      </w:r>
      <w:r>
        <w:rPr>
          <w:rFonts w:hint="eastAsia" w:ascii="仿宋" w:hAnsi="仿宋" w:eastAsia="仿宋" w:cs="仿宋"/>
          <w:color w:val="auto"/>
          <w:highlight w:val="none"/>
        </w:rPr>
        <w:t>。</w:t>
      </w:r>
    </w:p>
    <w:p w14:paraId="0C665FAD">
      <w:pPr>
        <w:pStyle w:val="6"/>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九、验收</w:t>
      </w:r>
    </w:p>
    <w:p w14:paraId="4B2DE5F4">
      <w:pPr>
        <w:pStyle w:val="7"/>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29.验收</w:t>
      </w:r>
    </w:p>
    <w:p w14:paraId="4C56618B">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29.1</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组织对</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履约的验收。大型或者复杂的</w:t>
      </w:r>
      <w:r>
        <w:rPr>
          <w:rFonts w:hint="eastAsia" w:cs="仿宋"/>
          <w:color w:val="auto"/>
          <w:highlight w:val="none"/>
          <w:lang w:eastAsia="zh-CN"/>
        </w:rPr>
        <w:t>交易</w:t>
      </w:r>
      <w:r>
        <w:rPr>
          <w:rFonts w:hint="eastAsia" w:ascii="仿宋" w:hAnsi="仿宋" w:eastAsia="仿宋" w:cs="仿宋"/>
          <w:color w:val="auto"/>
          <w:highlight w:val="none"/>
        </w:rPr>
        <w:t>项目，应当邀请国家认可的质量检测机构参加验收工作。验收方成员应当在验收书上签字，并承担相应的法律责任。如果发现与合同中要求不符，</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须承担由此发生的一切损失和费用，并接受相应的处理。</w:t>
      </w:r>
    </w:p>
    <w:p w14:paraId="71CE210D">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29.2</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可以邀请参加本项目的其他</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或者第三方机构参与验收。参与验收的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或者第三方机构的意见作为验收书的参考资料一并存档。</w:t>
      </w:r>
    </w:p>
    <w:p w14:paraId="57024BB3">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29.3严格按照</w:t>
      </w:r>
      <w:r>
        <w:rPr>
          <w:rFonts w:hint="eastAsia" w:cs="仿宋"/>
          <w:color w:val="auto"/>
          <w:highlight w:val="none"/>
          <w:lang w:eastAsia="zh-CN"/>
        </w:rPr>
        <w:t>合同</w:t>
      </w:r>
      <w:r>
        <w:rPr>
          <w:rFonts w:hint="eastAsia" w:ascii="仿宋" w:hAnsi="仿宋" w:eastAsia="仿宋" w:cs="仿宋"/>
          <w:color w:val="auto"/>
          <w:highlight w:val="none"/>
        </w:rPr>
        <w:t>开展履约验收。</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成立验收小组，按照</w:t>
      </w:r>
      <w:r>
        <w:rPr>
          <w:rFonts w:hint="eastAsia" w:cs="仿宋"/>
          <w:color w:val="auto"/>
          <w:highlight w:val="none"/>
          <w:lang w:eastAsia="zh-CN"/>
        </w:rPr>
        <w:t>合同</w:t>
      </w:r>
      <w:r>
        <w:rPr>
          <w:rFonts w:hint="eastAsia" w:ascii="仿宋" w:hAnsi="仿宋" w:eastAsia="仿宋" w:cs="仿宋"/>
          <w:color w:val="auto"/>
          <w:highlight w:val="none"/>
        </w:rPr>
        <w:t>的约定对</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履约情况进行验收。验收时，按照</w:t>
      </w:r>
      <w:r>
        <w:rPr>
          <w:rFonts w:hint="eastAsia" w:cs="仿宋"/>
          <w:color w:val="auto"/>
          <w:highlight w:val="none"/>
          <w:lang w:eastAsia="zh-CN"/>
        </w:rPr>
        <w:t>合同</w:t>
      </w:r>
      <w:r>
        <w:rPr>
          <w:rFonts w:hint="eastAsia" w:ascii="仿宋" w:hAnsi="仿宋" w:eastAsia="仿宋" w:cs="仿宋"/>
          <w:color w:val="auto"/>
          <w:highlight w:val="none"/>
        </w:rPr>
        <w:t>的约定对每一项技术、服务、安全标准的履约情况进行确认。验收结束后，应当出具验收书，列明各项标准的验收情况及项目总体评价，由验收双方共同签署。验收结果与</w:t>
      </w:r>
      <w:r>
        <w:rPr>
          <w:rFonts w:hint="eastAsia" w:cs="仿宋"/>
          <w:color w:val="auto"/>
          <w:highlight w:val="none"/>
          <w:lang w:eastAsia="zh-CN"/>
        </w:rPr>
        <w:t>合同</w:t>
      </w:r>
      <w:r>
        <w:rPr>
          <w:rFonts w:hint="eastAsia" w:ascii="仿宋" w:hAnsi="仿宋" w:eastAsia="仿宋" w:cs="仿宋"/>
          <w:color w:val="auto"/>
          <w:highlight w:val="none"/>
        </w:rPr>
        <w:t>约定的资金支付及履约保证金返还条件挂钩。履约验收的各项资料应当存档备查。</w:t>
      </w:r>
    </w:p>
    <w:p w14:paraId="531CDF85">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29.4验收合格的项目，</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将根据</w:t>
      </w:r>
      <w:r>
        <w:rPr>
          <w:rFonts w:hint="eastAsia" w:cs="仿宋"/>
          <w:color w:val="auto"/>
          <w:highlight w:val="none"/>
          <w:lang w:eastAsia="zh-CN"/>
        </w:rPr>
        <w:t>合同</w:t>
      </w:r>
      <w:r>
        <w:rPr>
          <w:rFonts w:hint="eastAsia" w:ascii="仿宋" w:hAnsi="仿宋" w:eastAsia="仿宋" w:cs="仿宋"/>
          <w:color w:val="auto"/>
          <w:highlight w:val="none"/>
        </w:rPr>
        <w:t>的约定及时向</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支付</w:t>
      </w:r>
      <w:r>
        <w:rPr>
          <w:rFonts w:hint="eastAsia" w:cs="仿宋"/>
          <w:color w:val="auto"/>
          <w:highlight w:val="none"/>
          <w:lang w:eastAsia="zh-CN"/>
        </w:rPr>
        <w:t>交易</w:t>
      </w:r>
      <w:r>
        <w:rPr>
          <w:rFonts w:hint="eastAsia" w:ascii="仿宋" w:hAnsi="仿宋" w:eastAsia="仿宋" w:cs="仿宋"/>
          <w:color w:val="auto"/>
          <w:highlight w:val="none"/>
        </w:rPr>
        <w:t>资金、退还履约保证金。验收不合格的项目，</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将依法及时处理。</w:t>
      </w:r>
      <w:r>
        <w:rPr>
          <w:rFonts w:hint="eastAsia" w:cs="仿宋"/>
          <w:color w:val="auto"/>
          <w:highlight w:val="none"/>
          <w:lang w:eastAsia="zh-CN"/>
        </w:rPr>
        <w:t>合同</w:t>
      </w:r>
      <w:r>
        <w:rPr>
          <w:rFonts w:hint="eastAsia" w:ascii="仿宋" w:hAnsi="仿宋" w:eastAsia="仿宋" w:cs="仿宋"/>
          <w:color w:val="auto"/>
          <w:highlight w:val="none"/>
        </w:rPr>
        <w:t>的履行、违约责任和解决争议的方式等适用《中华人民共和国民法典》。</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在履约过程中有</w:t>
      </w:r>
      <w:r>
        <w:rPr>
          <w:rFonts w:hint="eastAsia" w:cs="仿宋"/>
          <w:color w:val="auto"/>
          <w:highlight w:val="none"/>
          <w:lang w:eastAsia="zh-CN"/>
        </w:rPr>
        <w:t>交易</w:t>
      </w:r>
      <w:r>
        <w:rPr>
          <w:rFonts w:hint="eastAsia" w:ascii="仿宋" w:hAnsi="仿宋" w:eastAsia="仿宋" w:cs="仿宋"/>
          <w:color w:val="auto"/>
          <w:highlight w:val="none"/>
        </w:rPr>
        <w:t>法律法规规定的违法违规情形的，</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应当及时报告上级部门。</w:t>
      </w:r>
    </w:p>
    <w:p w14:paraId="64F31131">
      <w:pPr>
        <w:spacing w:after="0" w:line="360" w:lineRule="auto"/>
        <w:rPr>
          <w:rFonts w:hint="eastAsia" w:ascii="仿宋" w:hAnsi="仿宋" w:eastAsia="仿宋" w:cs="仿宋"/>
          <w:color w:val="auto"/>
          <w:highlight w:val="none"/>
        </w:rPr>
      </w:pPr>
    </w:p>
    <w:p w14:paraId="46373B61">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E682355">
      <w:pPr>
        <w:pStyle w:val="5"/>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第三部分   </w:t>
      </w:r>
      <w:r>
        <w:rPr>
          <w:rFonts w:hint="eastAsia" w:ascii="仿宋" w:hAnsi="仿宋" w:eastAsia="仿宋" w:cs="仿宋"/>
          <w:color w:val="auto"/>
          <w:highlight w:val="none"/>
          <w:lang w:eastAsia="zh-CN"/>
        </w:rPr>
        <w:t>交易需求</w:t>
      </w:r>
    </w:p>
    <w:p w14:paraId="38F9947A">
      <w:pPr>
        <w:snapToGrid w:val="0"/>
        <w:rPr>
          <w:rStyle w:val="63"/>
          <w:rFonts w:hint="eastAsia" w:ascii="仿宋" w:hAnsi="仿宋" w:eastAsia="仿宋" w:cs="仿宋"/>
          <w:color w:val="auto"/>
          <w:highlight w:val="none"/>
        </w:rPr>
      </w:pPr>
      <w:r>
        <w:rPr>
          <w:rStyle w:val="63"/>
          <w:rFonts w:hint="eastAsia" w:ascii="仿宋" w:hAnsi="仿宋" w:eastAsia="仿宋" w:cs="仿宋"/>
          <w:color w:val="auto"/>
          <w:highlight w:val="none"/>
        </w:rPr>
        <w:t>属于实质性要求条款的，请用符号“▲”标明，否则属于非实质性要求。</w:t>
      </w:r>
    </w:p>
    <w:p w14:paraId="431A63BA">
      <w:pPr>
        <w:numPr>
          <w:ilvl w:val="0"/>
          <w:numId w:val="1"/>
        </w:numPr>
        <w:spacing w:before="100" w:beforeAutospacing="1" w:after="240"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交易一览表</w:t>
      </w:r>
    </w:p>
    <w:tbl>
      <w:tblPr>
        <w:tblStyle w:val="33"/>
        <w:tblW w:w="8814" w:type="dxa"/>
        <w:jc w:val="center"/>
        <w:tblLayout w:type="fixed"/>
        <w:tblCellMar>
          <w:top w:w="0" w:type="dxa"/>
          <w:left w:w="0" w:type="dxa"/>
          <w:bottom w:w="0" w:type="dxa"/>
          <w:right w:w="0" w:type="dxa"/>
        </w:tblCellMar>
      </w:tblPr>
      <w:tblGrid>
        <w:gridCol w:w="920"/>
        <w:gridCol w:w="3118"/>
        <w:gridCol w:w="1884"/>
        <w:gridCol w:w="1166"/>
        <w:gridCol w:w="938"/>
        <w:gridCol w:w="788"/>
      </w:tblGrid>
      <w:tr w14:paraId="13EB873F">
        <w:tblPrEx>
          <w:tblCellMar>
            <w:top w:w="0" w:type="dxa"/>
            <w:left w:w="0" w:type="dxa"/>
            <w:bottom w:w="0" w:type="dxa"/>
            <w:right w:w="0" w:type="dxa"/>
          </w:tblCellMar>
        </w:tblPrEx>
        <w:trPr>
          <w:cantSplit/>
          <w:trHeight w:val="467" w:hRule="atLeast"/>
          <w:jc w:val="center"/>
        </w:trPr>
        <w:tc>
          <w:tcPr>
            <w:tcW w:w="9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7C910F">
            <w:pPr>
              <w:adjustRightInd w:val="0"/>
              <w:jc w:val="center"/>
              <w:rPr>
                <w:rFonts w:ascii="仿宋" w:hAnsi="仿宋" w:eastAsia="仿宋" w:cs="Times New Roman"/>
                <w:bCs/>
                <w:color w:val="auto"/>
                <w:sz w:val="24"/>
                <w:highlight w:val="none"/>
              </w:rPr>
            </w:pPr>
            <w:r>
              <w:rPr>
                <w:rFonts w:hint="eastAsia" w:ascii="仿宋" w:hAnsi="仿宋" w:eastAsia="仿宋" w:cs="Times New Roman"/>
                <w:bCs/>
                <w:color w:val="auto"/>
                <w:sz w:val="24"/>
                <w:highlight w:val="none"/>
              </w:rPr>
              <w:t>序号</w:t>
            </w:r>
          </w:p>
        </w:tc>
        <w:tc>
          <w:tcPr>
            <w:tcW w:w="311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6F13842">
            <w:pPr>
              <w:adjustRightInd w:val="0"/>
              <w:jc w:val="center"/>
              <w:rPr>
                <w:rFonts w:ascii="仿宋" w:hAnsi="仿宋" w:eastAsia="仿宋" w:cs="Times New Roman"/>
                <w:bCs/>
                <w:color w:val="auto"/>
                <w:sz w:val="24"/>
                <w:highlight w:val="none"/>
              </w:rPr>
            </w:pPr>
            <w:r>
              <w:rPr>
                <w:rFonts w:hint="eastAsia" w:ascii="仿宋" w:hAnsi="仿宋" w:eastAsia="仿宋" w:cs="Times New Roman"/>
                <w:bCs/>
                <w:color w:val="auto"/>
                <w:sz w:val="24"/>
                <w:highlight w:val="none"/>
              </w:rPr>
              <w:t>名称</w:t>
            </w:r>
          </w:p>
        </w:tc>
        <w:tc>
          <w:tcPr>
            <w:tcW w:w="188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DE74617">
            <w:pPr>
              <w:adjustRightInd w:val="0"/>
              <w:jc w:val="center"/>
              <w:rPr>
                <w:rFonts w:ascii="仿宋" w:hAnsi="仿宋" w:eastAsia="仿宋" w:cs="Times New Roman"/>
                <w:bCs/>
                <w:color w:val="auto"/>
                <w:sz w:val="24"/>
                <w:highlight w:val="none"/>
              </w:rPr>
            </w:pPr>
            <w:r>
              <w:rPr>
                <w:rFonts w:hint="eastAsia" w:ascii="仿宋" w:hAnsi="仿宋" w:eastAsia="仿宋" w:cs="Times New Roman"/>
                <w:bCs/>
                <w:color w:val="auto"/>
                <w:sz w:val="24"/>
                <w:highlight w:val="none"/>
              </w:rPr>
              <w:t>规格型号与参数</w:t>
            </w:r>
          </w:p>
        </w:tc>
        <w:tc>
          <w:tcPr>
            <w:tcW w:w="116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9418D1">
            <w:pPr>
              <w:adjustRightInd w:val="0"/>
              <w:jc w:val="center"/>
              <w:rPr>
                <w:rFonts w:ascii="仿宋" w:hAnsi="仿宋" w:eastAsia="仿宋" w:cs="Times New Roman"/>
                <w:bCs/>
                <w:color w:val="auto"/>
                <w:sz w:val="24"/>
                <w:highlight w:val="none"/>
              </w:rPr>
            </w:pPr>
            <w:r>
              <w:rPr>
                <w:rFonts w:hint="eastAsia" w:ascii="仿宋" w:hAnsi="仿宋" w:eastAsia="仿宋" w:cs="Times New Roman"/>
                <w:bCs/>
                <w:color w:val="auto"/>
                <w:sz w:val="24"/>
                <w:highlight w:val="none"/>
              </w:rPr>
              <w:t>单位</w:t>
            </w:r>
          </w:p>
        </w:tc>
        <w:tc>
          <w:tcPr>
            <w:tcW w:w="93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4CF25FF">
            <w:pPr>
              <w:adjustRightInd w:val="0"/>
              <w:jc w:val="center"/>
              <w:rPr>
                <w:rFonts w:ascii="仿宋" w:hAnsi="仿宋" w:eastAsia="仿宋" w:cs="Times New Roman"/>
                <w:bCs/>
                <w:color w:val="auto"/>
                <w:sz w:val="24"/>
                <w:highlight w:val="none"/>
              </w:rPr>
            </w:pPr>
            <w:r>
              <w:rPr>
                <w:rFonts w:hint="eastAsia" w:ascii="仿宋" w:hAnsi="仿宋" w:eastAsia="仿宋" w:cs="Times New Roman"/>
                <w:bCs/>
                <w:color w:val="auto"/>
                <w:sz w:val="24"/>
                <w:highlight w:val="none"/>
              </w:rPr>
              <w:t>数量</w:t>
            </w:r>
          </w:p>
        </w:tc>
        <w:tc>
          <w:tcPr>
            <w:tcW w:w="788" w:type="dxa"/>
            <w:tcBorders>
              <w:top w:val="single" w:color="auto" w:sz="4" w:space="0"/>
              <w:left w:val="nil"/>
              <w:bottom w:val="single" w:color="auto" w:sz="4" w:space="0"/>
              <w:right w:val="single" w:color="auto" w:sz="4" w:space="0"/>
            </w:tcBorders>
            <w:vAlign w:val="center"/>
          </w:tcPr>
          <w:p w14:paraId="5B1E3052">
            <w:pPr>
              <w:adjustRightInd w:val="0"/>
              <w:jc w:val="center"/>
              <w:rPr>
                <w:rFonts w:ascii="仿宋" w:hAnsi="仿宋" w:eastAsia="仿宋" w:cs="Times New Roman"/>
                <w:bCs/>
                <w:color w:val="auto"/>
                <w:sz w:val="24"/>
                <w:highlight w:val="none"/>
              </w:rPr>
            </w:pPr>
            <w:r>
              <w:rPr>
                <w:rFonts w:hint="eastAsia" w:ascii="仿宋" w:hAnsi="仿宋" w:eastAsia="仿宋" w:cs="Times New Roman"/>
                <w:bCs/>
                <w:color w:val="auto"/>
                <w:sz w:val="24"/>
                <w:highlight w:val="none"/>
              </w:rPr>
              <w:t>备注</w:t>
            </w:r>
          </w:p>
        </w:tc>
      </w:tr>
      <w:tr w14:paraId="36FC2AE4">
        <w:tblPrEx>
          <w:tblCellMar>
            <w:top w:w="0" w:type="dxa"/>
            <w:left w:w="0" w:type="dxa"/>
            <w:bottom w:w="0" w:type="dxa"/>
            <w:right w:w="0" w:type="dxa"/>
          </w:tblCellMar>
        </w:tblPrEx>
        <w:trPr>
          <w:cantSplit/>
          <w:trHeight w:val="774" w:hRule="atLeast"/>
          <w:jc w:val="center"/>
        </w:trPr>
        <w:tc>
          <w:tcPr>
            <w:tcW w:w="9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A1B330">
            <w:pPr>
              <w:adjustRightInd w:val="0"/>
              <w:jc w:val="center"/>
              <w:rPr>
                <w:rFonts w:ascii="仿宋" w:hAnsi="仿宋" w:eastAsia="仿宋" w:cs="Times New Roman"/>
                <w:color w:val="auto"/>
                <w:sz w:val="24"/>
                <w:highlight w:val="none"/>
              </w:rPr>
            </w:pPr>
            <w:r>
              <w:rPr>
                <w:rFonts w:hint="eastAsia" w:ascii="仿宋" w:hAnsi="仿宋" w:eastAsia="仿宋" w:cs="Times New Roman"/>
                <w:color w:val="auto"/>
                <w:sz w:val="24"/>
                <w:highlight w:val="none"/>
              </w:rPr>
              <w:t>1</w:t>
            </w:r>
          </w:p>
        </w:tc>
        <w:tc>
          <w:tcPr>
            <w:tcW w:w="311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CFB47DB">
            <w:pPr>
              <w:adjustRightInd w:val="0"/>
              <w:jc w:val="center"/>
              <w:rPr>
                <w:rFonts w:hint="default" w:ascii="仿宋" w:hAnsi="仿宋" w:eastAsia="仿宋" w:cs="Times New Roman"/>
                <w:color w:val="auto"/>
                <w:sz w:val="24"/>
                <w:szCs w:val="28"/>
                <w:highlight w:val="none"/>
                <w:lang w:val="en-US"/>
              </w:rPr>
            </w:pPr>
            <w:r>
              <w:rPr>
                <w:rFonts w:hint="eastAsia" w:cs="仿宋"/>
                <w:color w:val="auto"/>
                <w:highlight w:val="none"/>
                <w:lang w:eastAsia="zh-CN"/>
              </w:rPr>
              <w:t>南城未来社区党群服务中心、邻里中心运营服务采购项目</w:t>
            </w:r>
          </w:p>
        </w:tc>
        <w:tc>
          <w:tcPr>
            <w:tcW w:w="188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0D0D636">
            <w:pPr>
              <w:adjustRightInd w:val="0"/>
              <w:jc w:val="center"/>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详见招标需求</w:t>
            </w:r>
          </w:p>
        </w:tc>
        <w:tc>
          <w:tcPr>
            <w:tcW w:w="116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BBE61F">
            <w:pPr>
              <w:adjustRightInd w:val="0"/>
              <w:jc w:val="center"/>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项</w:t>
            </w:r>
          </w:p>
        </w:tc>
        <w:tc>
          <w:tcPr>
            <w:tcW w:w="93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CC7E253">
            <w:pPr>
              <w:adjustRightInd w:val="0"/>
              <w:jc w:val="center"/>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w:t>
            </w:r>
          </w:p>
        </w:tc>
        <w:tc>
          <w:tcPr>
            <w:tcW w:w="788" w:type="dxa"/>
            <w:tcBorders>
              <w:top w:val="single" w:color="auto" w:sz="4" w:space="0"/>
              <w:left w:val="nil"/>
              <w:bottom w:val="single" w:color="auto" w:sz="4" w:space="0"/>
              <w:right w:val="single" w:color="auto" w:sz="4" w:space="0"/>
            </w:tcBorders>
            <w:vAlign w:val="center"/>
          </w:tcPr>
          <w:p w14:paraId="1B275FF2">
            <w:pPr>
              <w:adjustRightInd w:val="0"/>
              <w:rPr>
                <w:rFonts w:ascii="仿宋" w:hAnsi="仿宋" w:eastAsia="仿宋" w:cs="Times New Roman"/>
                <w:color w:val="auto"/>
                <w:sz w:val="24"/>
                <w:szCs w:val="28"/>
                <w:highlight w:val="none"/>
              </w:rPr>
            </w:pPr>
          </w:p>
        </w:tc>
      </w:tr>
    </w:tbl>
    <w:p w14:paraId="7D26EC74">
      <w:pPr>
        <w:tabs>
          <w:tab w:val="left" w:pos="0"/>
        </w:tabs>
        <w:spacing w:after="80"/>
        <w:jc w:val="center"/>
        <w:rPr>
          <w:rFonts w:hint="eastAsia" w:ascii="仿宋" w:hAnsi="仿宋" w:eastAsia="仿宋" w:cs="仿宋"/>
          <w:color w:val="auto"/>
          <w:highlight w:val="none"/>
        </w:rPr>
      </w:pPr>
    </w:p>
    <w:p w14:paraId="3E012CE5">
      <w:pPr>
        <w:pStyle w:val="7"/>
        <w:rPr>
          <w:rFonts w:hint="eastAsia"/>
        </w:rPr>
      </w:pPr>
    </w:p>
    <w:p w14:paraId="24DF5A3F">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b/>
          <w:color w:val="auto"/>
          <w:sz w:val="32"/>
          <w:highlight w:val="none"/>
        </w:rPr>
        <w:t>二、</w:t>
      </w:r>
      <w:r>
        <w:rPr>
          <w:rFonts w:hint="eastAsia" w:ascii="宋体" w:hAnsi="宋体" w:eastAsia="宋体" w:cs="宋体"/>
          <w:b/>
          <w:color w:val="auto"/>
          <w:kern w:val="2"/>
          <w:sz w:val="28"/>
          <w:szCs w:val="28"/>
          <w:highlight w:val="none"/>
          <w:lang w:val="en-US" w:eastAsia="zh-CN" w:bidi="ar-SA"/>
        </w:rPr>
        <w:t>服务要求</w:t>
      </w:r>
    </w:p>
    <w:p w14:paraId="3CD6E463">
      <w:pPr>
        <w:keepNext w:val="0"/>
        <w:keepLines w:val="0"/>
        <w:pageBreakBefore w:val="0"/>
        <w:kinsoku/>
        <w:wordWrap/>
        <w:overflowPunct/>
        <w:topLinePunct w:val="0"/>
        <w:autoSpaceDE/>
        <w:autoSpaceDN/>
        <w:bidi w:val="0"/>
        <w:snapToGrid/>
        <w:spacing w:after="0" w:line="360" w:lineRule="auto"/>
        <w:textAlignment w:val="auto"/>
        <w:rPr>
          <w:rFonts w:hint="eastAsia" w:ascii="仿宋" w:hAnsi="仿宋" w:eastAsia="仿宋" w:cs="仿宋"/>
          <w:b/>
          <w:bCs/>
          <w:color w:val="auto"/>
          <w:position w:val="-6"/>
          <w:sz w:val="28"/>
          <w:szCs w:val="28"/>
          <w:highlight w:val="none"/>
        </w:rPr>
      </w:pPr>
      <w:r>
        <w:rPr>
          <w:rFonts w:hint="eastAsia" w:ascii="仿宋" w:hAnsi="仿宋" w:eastAsia="仿宋" w:cs="仿宋"/>
          <w:b/>
          <w:bCs/>
          <w:color w:val="auto"/>
          <w:position w:val="-6"/>
          <w:sz w:val="28"/>
          <w:szCs w:val="28"/>
          <w:highlight w:val="none"/>
        </w:rPr>
        <w:t>1.</w:t>
      </w:r>
      <w:r>
        <w:rPr>
          <w:rFonts w:hint="eastAsia" w:cs="仿宋"/>
          <w:b/>
          <w:bCs/>
          <w:color w:val="auto"/>
          <w:position w:val="-6"/>
          <w:sz w:val="28"/>
          <w:szCs w:val="28"/>
          <w:highlight w:val="none"/>
          <w:lang w:val="en-US" w:eastAsia="zh-CN"/>
        </w:rPr>
        <w:t>项目概况</w:t>
      </w:r>
      <w:r>
        <w:rPr>
          <w:rFonts w:hint="eastAsia" w:ascii="仿宋" w:hAnsi="仿宋" w:eastAsia="仿宋" w:cs="仿宋"/>
          <w:b/>
          <w:bCs/>
          <w:color w:val="auto"/>
          <w:position w:val="-6"/>
          <w:sz w:val="28"/>
          <w:szCs w:val="28"/>
          <w:highlight w:val="none"/>
        </w:rPr>
        <w:t>：</w:t>
      </w:r>
    </w:p>
    <w:p w14:paraId="73E7B57F">
      <w:pPr>
        <w:pStyle w:val="22"/>
        <w:keepNext w:val="0"/>
        <w:keepLines w:val="0"/>
        <w:pageBreakBefore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napToGrid/>
          <w:color w:val="auto"/>
          <w:kern w:val="0"/>
          <w:sz w:val="24"/>
          <w:szCs w:val="32"/>
          <w:highlight w:val="none"/>
          <w:lang w:val="en-US" w:eastAsia="zh-CN" w:bidi="ar-SA"/>
        </w:rPr>
      </w:pPr>
      <w:r>
        <w:rPr>
          <w:rFonts w:hint="eastAsia" w:ascii="仿宋" w:hAnsi="仿宋" w:eastAsia="仿宋" w:cs="仿宋"/>
          <w:snapToGrid/>
          <w:color w:val="auto"/>
          <w:kern w:val="0"/>
          <w:sz w:val="24"/>
          <w:szCs w:val="32"/>
          <w:highlight w:val="none"/>
          <w:lang w:val="en-US" w:eastAsia="zh-CN" w:bidi="ar-SA"/>
        </w:rPr>
        <w:t>南城未来社区长效运营以及镇级部分活动、村社联动活动、场馆常态化服务、数字化平台运营等事项，协助做好宣传、亮点创新、梅好共富品牌提升等工作。</w:t>
      </w:r>
    </w:p>
    <w:p w14:paraId="492D5D77">
      <w:pPr>
        <w:keepNext w:val="0"/>
        <w:keepLines w:val="0"/>
        <w:pageBreakBefore w:val="0"/>
        <w:widowControl w:val="0"/>
        <w:numPr>
          <w:ilvl w:val="0"/>
          <w:numId w:val="2"/>
        </w:numPr>
        <w:kinsoku/>
        <w:wordWrap/>
        <w:overflowPunct/>
        <w:topLinePunct w:val="0"/>
        <w:autoSpaceDE/>
        <w:autoSpaceDN/>
        <w:bidi w:val="0"/>
        <w:adjustRightInd/>
        <w:snapToGrid/>
        <w:spacing w:after="100" w:line="360" w:lineRule="auto"/>
        <w:ind w:firstLine="420" w:firstLineChars="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创新品牌梅好共富</w:t>
      </w:r>
    </w:p>
    <w:p w14:paraId="66F48618">
      <w:pPr>
        <w:keepNext w:val="0"/>
        <w:keepLines w:val="0"/>
        <w:pageBreakBefore w:val="0"/>
        <w:widowControl w:val="0"/>
        <w:numPr>
          <w:ilvl w:val="0"/>
          <w:numId w:val="0"/>
        </w:numPr>
        <w:kinsoku/>
        <w:wordWrap/>
        <w:overflowPunct/>
        <w:topLinePunct w:val="0"/>
        <w:autoSpaceDE/>
        <w:autoSpaceDN/>
        <w:bidi w:val="0"/>
        <w:adjustRightInd/>
        <w:snapToGrid/>
        <w:spacing w:after="100" w:line="360" w:lineRule="auto"/>
        <w:ind w:firstLine="480" w:firstLineChars="200"/>
        <w:textAlignment w:val="auto"/>
        <w:rPr>
          <w:rFonts w:hint="eastAsia"/>
          <w:highlight w:val="none"/>
        </w:rPr>
      </w:pPr>
      <w:r>
        <w:rPr>
          <w:rFonts w:hint="eastAsia" w:ascii="仿宋" w:hAnsi="仿宋" w:eastAsia="仿宋" w:cs="仿宋"/>
          <w:color w:val="auto"/>
          <w:sz w:val="24"/>
          <w:szCs w:val="32"/>
          <w:highlight w:val="none"/>
          <w:lang w:val="en-US" w:eastAsia="zh-CN"/>
        </w:rPr>
        <w:t>在“红领通居民端”微信小程序或南城社区阳光南城公众号下，构建一个集多功能于一体的综合性共富应用，计划整合认养果树、政企供需对接、云上活动以及共富宣传等多项功能。应用将提供用户认养果树的机会，让他们亲身体验果树培育的乐趣与成就感，还需设立专门的政企供需对接板块，旨在为企业和政府之间搭建一座资源交流与合作的桥梁。提供品牌项目创新和提升。此外，创新品牌梅好共富，通过云上活动的开展，为用户带来更加丰富多彩的互动体验，用户足不出户便能参与各类精彩纷呈的活动。同时，梅好共富板块还需建设共富宣传板块，通过各种方式，丰富多彩的呈现当地茶果产品。</w:t>
      </w:r>
    </w:p>
    <w:p w14:paraId="3FBAE36F">
      <w:pPr>
        <w:pStyle w:val="106"/>
        <w:ind w:left="0" w:leftChars="0" w:firstLine="0"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 服务内容要求</w:t>
      </w:r>
    </w:p>
    <w:p w14:paraId="2248C9FB">
      <w:pPr>
        <w:keepNext w:val="0"/>
        <w:keepLines w:val="0"/>
        <w:pageBreakBefore w:val="0"/>
        <w:widowControl w:val="0"/>
        <w:kinsoku/>
        <w:wordWrap/>
        <w:overflowPunct/>
        <w:topLinePunct w:val="0"/>
        <w:autoSpaceDE/>
        <w:autoSpaceDN/>
        <w:bidi w:val="0"/>
        <w:adjustRightInd/>
        <w:snapToGrid/>
        <w:spacing w:after="100" w:line="360" w:lineRule="auto"/>
        <w:ind w:firstLine="420" w:firstLineChars="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开展</w:t>
      </w:r>
      <w:r>
        <w:rPr>
          <w:rFonts w:hint="eastAsia" w:ascii="仿宋" w:hAnsi="仿宋" w:eastAsia="仿宋" w:cs="仿宋"/>
          <w:b w:val="0"/>
          <w:bCs w:val="0"/>
          <w:color w:val="auto"/>
          <w:sz w:val="24"/>
          <w:szCs w:val="24"/>
          <w:highlight w:val="none"/>
          <w:lang w:val="en-US" w:eastAsia="zh-CN"/>
        </w:rPr>
        <w:t>党群服务中心、邻里</w:t>
      </w:r>
      <w:r>
        <w:rPr>
          <w:rFonts w:hint="eastAsia" w:ascii="仿宋" w:hAnsi="仿宋" w:eastAsia="仿宋" w:cs="仿宋"/>
          <w:b w:val="0"/>
          <w:bCs w:val="0"/>
          <w:color w:val="auto"/>
          <w:sz w:val="24"/>
          <w:szCs w:val="24"/>
          <w:highlight w:val="none"/>
        </w:rPr>
        <w:t>中心日常管理</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参观接待</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场馆常态化服务</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平台运营</w:t>
      </w:r>
      <w:r>
        <w:rPr>
          <w:rFonts w:hint="eastAsia" w:ascii="仿宋" w:hAnsi="仿宋" w:eastAsia="仿宋" w:cs="仿宋"/>
          <w:b w:val="0"/>
          <w:bCs w:val="0"/>
          <w:color w:val="auto"/>
          <w:sz w:val="24"/>
          <w:szCs w:val="24"/>
          <w:highlight w:val="none"/>
          <w:lang w:eastAsia="zh-CN"/>
        </w:rPr>
        <w:t>等事项，协助做好宣传、</w:t>
      </w:r>
      <w:r>
        <w:rPr>
          <w:rFonts w:hint="eastAsia" w:ascii="仿宋" w:hAnsi="仿宋" w:eastAsia="仿宋" w:cs="仿宋"/>
          <w:b w:val="0"/>
          <w:bCs w:val="0"/>
          <w:color w:val="auto"/>
          <w:sz w:val="24"/>
          <w:szCs w:val="24"/>
          <w:highlight w:val="none"/>
          <w:lang w:val="en-US" w:eastAsia="zh-CN"/>
        </w:rPr>
        <w:t>亮点创新</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品牌</w:t>
      </w:r>
      <w:r>
        <w:rPr>
          <w:rFonts w:hint="eastAsia" w:ascii="仿宋" w:hAnsi="仿宋" w:eastAsia="仿宋" w:cs="仿宋"/>
          <w:b w:val="0"/>
          <w:bCs w:val="0"/>
          <w:color w:val="auto"/>
          <w:sz w:val="24"/>
          <w:szCs w:val="24"/>
          <w:highlight w:val="none"/>
          <w:lang w:val="en-US" w:eastAsia="zh-CN"/>
        </w:rPr>
        <w:t>提升</w:t>
      </w:r>
      <w:r>
        <w:rPr>
          <w:rFonts w:hint="eastAsia" w:ascii="仿宋" w:hAnsi="仿宋" w:eastAsia="仿宋" w:cs="仿宋"/>
          <w:b w:val="0"/>
          <w:bCs w:val="0"/>
          <w:color w:val="auto"/>
          <w:sz w:val="24"/>
          <w:szCs w:val="24"/>
          <w:highlight w:val="none"/>
          <w:lang w:eastAsia="zh-CN"/>
        </w:rPr>
        <w:t>等工作。</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515"/>
        <w:gridCol w:w="1747"/>
        <w:gridCol w:w="4374"/>
      </w:tblGrid>
      <w:tr w14:paraId="331B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70A671F2">
            <w:pPr>
              <w:rPr>
                <w:rFonts w:hint="eastAsia"/>
              </w:rPr>
            </w:pPr>
            <w:r>
              <w:rPr>
                <w:rFonts w:hint="eastAsia"/>
              </w:rPr>
              <w:t>序号</w:t>
            </w:r>
          </w:p>
        </w:tc>
        <w:tc>
          <w:tcPr>
            <w:tcW w:w="1515" w:type="dxa"/>
            <w:vAlign w:val="center"/>
          </w:tcPr>
          <w:p w14:paraId="05B59E89">
            <w:pPr>
              <w:rPr>
                <w:rFonts w:hint="eastAsia"/>
              </w:rPr>
            </w:pPr>
            <w:r>
              <w:rPr>
                <w:rFonts w:hint="eastAsia"/>
              </w:rPr>
              <w:t>服务类别</w:t>
            </w:r>
          </w:p>
        </w:tc>
        <w:tc>
          <w:tcPr>
            <w:tcW w:w="1747" w:type="dxa"/>
            <w:vAlign w:val="center"/>
          </w:tcPr>
          <w:p w14:paraId="66EEA2A4">
            <w:pPr>
              <w:rPr>
                <w:rFonts w:hint="eastAsia"/>
              </w:rPr>
            </w:pPr>
            <w:r>
              <w:rPr>
                <w:rFonts w:hint="eastAsia"/>
              </w:rPr>
              <w:t>子项目</w:t>
            </w:r>
          </w:p>
        </w:tc>
        <w:tc>
          <w:tcPr>
            <w:tcW w:w="4374" w:type="dxa"/>
            <w:vAlign w:val="center"/>
          </w:tcPr>
          <w:p w14:paraId="4B0D7E22">
            <w:pPr>
              <w:rPr>
                <w:rFonts w:hint="eastAsia"/>
              </w:rPr>
            </w:pPr>
            <w:r>
              <w:rPr>
                <w:rFonts w:hint="eastAsia"/>
              </w:rPr>
              <w:t>主要内容</w:t>
            </w:r>
          </w:p>
        </w:tc>
      </w:tr>
      <w:tr w14:paraId="582D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886" w:type="dxa"/>
            <w:vMerge w:val="restart"/>
            <w:vAlign w:val="center"/>
          </w:tcPr>
          <w:p w14:paraId="60FB8B73">
            <w:pPr>
              <w:rPr>
                <w:rFonts w:hint="eastAsia"/>
              </w:rPr>
            </w:pPr>
            <w:r>
              <w:rPr>
                <w:rFonts w:hint="eastAsia"/>
              </w:rPr>
              <w:t>1</w:t>
            </w:r>
          </w:p>
        </w:tc>
        <w:tc>
          <w:tcPr>
            <w:tcW w:w="1515" w:type="dxa"/>
            <w:vMerge w:val="restart"/>
            <w:vAlign w:val="center"/>
          </w:tcPr>
          <w:p w14:paraId="5492E4FF">
            <w:pPr>
              <w:rPr>
                <w:rFonts w:hint="eastAsia"/>
              </w:rPr>
            </w:pPr>
            <w:r>
              <w:rPr>
                <w:rFonts w:hint="eastAsia"/>
              </w:rPr>
              <w:t>场馆运营</w:t>
            </w:r>
          </w:p>
        </w:tc>
        <w:tc>
          <w:tcPr>
            <w:tcW w:w="1747" w:type="dxa"/>
            <w:vAlign w:val="center"/>
          </w:tcPr>
          <w:p w14:paraId="2ED230ED">
            <w:pPr>
              <w:rPr>
                <w:rFonts w:hint="eastAsia"/>
              </w:rPr>
            </w:pPr>
            <w:r>
              <w:rPr>
                <w:rFonts w:hint="eastAsia"/>
              </w:rPr>
              <w:t>日常管理</w:t>
            </w:r>
          </w:p>
        </w:tc>
        <w:tc>
          <w:tcPr>
            <w:tcW w:w="4374" w:type="dxa"/>
            <w:vAlign w:val="center"/>
          </w:tcPr>
          <w:p w14:paraId="0398C13D">
            <w:pPr>
              <w:rPr>
                <w:rFonts w:hint="eastAsia"/>
              </w:rPr>
            </w:pPr>
            <w:r>
              <w:rPr>
                <w:rFonts w:hint="eastAsia"/>
              </w:rPr>
              <w:t>各场馆客流统计；各场馆保洁；配合社区对各场馆的管理要求。</w:t>
            </w:r>
          </w:p>
        </w:tc>
      </w:tr>
      <w:tr w14:paraId="40D9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continue"/>
            <w:vAlign w:val="center"/>
          </w:tcPr>
          <w:p w14:paraId="36661BB4">
            <w:pPr>
              <w:rPr>
                <w:rFonts w:hint="eastAsia"/>
              </w:rPr>
            </w:pPr>
          </w:p>
        </w:tc>
        <w:tc>
          <w:tcPr>
            <w:tcW w:w="1515" w:type="dxa"/>
            <w:vMerge w:val="continue"/>
            <w:vAlign w:val="center"/>
          </w:tcPr>
          <w:p w14:paraId="104093D6">
            <w:pPr>
              <w:rPr>
                <w:rFonts w:hint="eastAsia"/>
              </w:rPr>
            </w:pPr>
          </w:p>
        </w:tc>
        <w:tc>
          <w:tcPr>
            <w:tcW w:w="1747" w:type="dxa"/>
            <w:vAlign w:val="center"/>
          </w:tcPr>
          <w:p w14:paraId="7C8D7AAA">
            <w:pPr>
              <w:rPr>
                <w:rFonts w:hint="eastAsia"/>
              </w:rPr>
            </w:pPr>
            <w:r>
              <w:rPr>
                <w:rFonts w:hint="eastAsia"/>
              </w:rPr>
              <w:t>阵地建设</w:t>
            </w:r>
          </w:p>
        </w:tc>
        <w:tc>
          <w:tcPr>
            <w:tcW w:w="4374" w:type="dxa"/>
            <w:vAlign w:val="center"/>
          </w:tcPr>
          <w:p w14:paraId="1A8B7C8B">
            <w:pPr>
              <w:rPr>
                <w:rFonts w:hint="eastAsia"/>
              </w:rPr>
            </w:pPr>
            <w:r>
              <w:rPr>
                <w:rFonts w:hint="eastAsia"/>
              </w:rPr>
              <w:t>孵化培养社区达人；孵化培养社区社会团体组织。</w:t>
            </w:r>
          </w:p>
        </w:tc>
      </w:tr>
      <w:tr w14:paraId="2B5D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6" w:type="dxa"/>
            <w:vMerge w:val="continue"/>
            <w:vAlign w:val="center"/>
          </w:tcPr>
          <w:p w14:paraId="277BA28D">
            <w:pPr>
              <w:rPr>
                <w:rFonts w:hint="eastAsia"/>
              </w:rPr>
            </w:pPr>
          </w:p>
        </w:tc>
        <w:tc>
          <w:tcPr>
            <w:tcW w:w="1515" w:type="dxa"/>
            <w:vMerge w:val="continue"/>
            <w:vAlign w:val="center"/>
          </w:tcPr>
          <w:p w14:paraId="45AE2CFA">
            <w:pPr>
              <w:rPr>
                <w:rFonts w:hint="eastAsia"/>
              </w:rPr>
            </w:pPr>
          </w:p>
        </w:tc>
        <w:tc>
          <w:tcPr>
            <w:tcW w:w="1747" w:type="dxa"/>
            <w:vAlign w:val="center"/>
          </w:tcPr>
          <w:p w14:paraId="012277CD">
            <w:pPr>
              <w:rPr>
                <w:rFonts w:hint="eastAsia"/>
              </w:rPr>
            </w:pPr>
            <w:r>
              <w:rPr>
                <w:rFonts w:hint="eastAsia"/>
              </w:rPr>
              <w:t>其他要求</w:t>
            </w:r>
          </w:p>
        </w:tc>
        <w:tc>
          <w:tcPr>
            <w:tcW w:w="4374" w:type="dxa"/>
            <w:vAlign w:val="center"/>
          </w:tcPr>
          <w:p w14:paraId="14667E0B">
            <w:pPr>
              <w:rPr>
                <w:rFonts w:hint="eastAsia"/>
              </w:rPr>
            </w:pPr>
            <w:r>
              <w:rPr>
                <w:rFonts w:hint="eastAsia"/>
              </w:rPr>
              <w:t>配合社区新项目创建要求。</w:t>
            </w:r>
          </w:p>
        </w:tc>
      </w:tr>
      <w:tr w14:paraId="2765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14:paraId="5654A7A7">
            <w:pPr>
              <w:rPr>
                <w:rFonts w:hint="eastAsia"/>
              </w:rPr>
            </w:pPr>
            <w:r>
              <w:rPr>
                <w:rFonts w:hint="eastAsia"/>
              </w:rPr>
              <w:t>2</w:t>
            </w:r>
          </w:p>
        </w:tc>
        <w:tc>
          <w:tcPr>
            <w:tcW w:w="1515" w:type="dxa"/>
            <w:vAlign w:val="center"/>
          </w:tcPr>
          <w:p w14:paraId="572ABC3E">
            <w:pPr>
              <w:rPr>
                <w:rFonts w:hint="eastAsia"/>
              </w:rPr>
            </w:pPr>
            <w:r>
              <w:rPr>
                <w:rFonts w:hint="eastAsia"/>
              </w:rPr>
              <w:t>平台运营</w:t>
            </w:r>
          </w:p>
        </w:tc>
        <w:tc>
          <w:tcPr>
            <w:tcW w:w="1747" w:type="dxa"/>
            <w:vAlign w:val="center"/>
          </w:tcPr>
          <w:p w14:paraId="4F154999">
            <w:pPr>
              <w:rPr>
                <w:rFonts w:hint="eastAsia"/>
              </w:rPr>
            </w:pPr>
            <w:r>
              <w:rPr>
                <w:rFonts w:hint="eastAsia"/>
              </w:rPr>
              <w:t>红领通</w:t>
            </w:r>
          </w:p>
          <w:p w14:paraId="39CD0F2D">
            <w:pPr>
              <w:rPr>
                <w:rFonts w:hint="eastAsia"/>
                <w:lang w:eastAsia="zh-CN"/>
              </w:rPr>
            </w:pPr>
            <w:r>
              <w:rPr>
                <w:rFonts w:hint="eastAsia"/>
                <w:lang w:eastAsia="zh-CN"/>
              </w:rPr>
              <w:t>（</w:t>
            </w:r>
            <w:r>
              <w:rPr>
                <w:rFonts w:hint="eastAsia"/>
                <w:lang w:val="en-US" w:eastAsia="zh-CN"/>
              </w:rPr>
              <w:t>含萧星星</w:t>
            </w:r>
            <w:r>
              <w:rPr>
                <w:rFonts w:hint="eastAsia"/>
                <w:lang w:eastAsia="zh-CN"/>
              </w:rPr>
              <w:t>）</w:t>
            </w:r>
          </w:p>
        </w:tc>
        <w:tc>
          <w:tcPr>
            <w:tcW w:w="4374" w:type="dxa"/>
            <w:vAlign w:val="center"/>
          </w:tcPr>
          <w:p w14:paraId="5053943C">
            <w:pPr>
              <w:rPr>
                <w:rFonts w:hint="eastAsia"/>
              </w:rPr>
            </w:pPr>
            <w:r>
              <w:rPr>
                <w:rFonts w:hint="eastAsia"/>
              </w:rPr>
              <w:t>新闻发布；社区居民发布信息审核；活动发布、核销及宣传（含其他运营单位活动）；每月积分兑换（含</w:t>
            </w:r>
            <w:r>
              <w:rPr>
                <w:rFonts w:hint="eastAsia"/>
                <w:lang w:val="en-US" w:eastAsia="zh-CN"/>
              </w:rPr>
              <w:t>物资</w:t>
            </w:r>
            <w:r>
              <w:rPr>
                <w:rFonts w:hint="eastAsia"/>
              </w:rPr>
              <w:t>）；场馆预约、好物共享等板块推广及应用；其他系统板块开发及推广应用；配合未来社区“回头看”数据维护；其他社区对平台的新需求。</w:t>
            </w:r>
          </w:p>
        </w:tc>
      </w:tr>
      <w:tr w14:paraId="4D5C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86" w:type="dxa"/>
            <w:shd w:val="clear" w:color="auto" w:fill="auto"/>
            <w:vAlign w:val="center"/>
          </w:tcPr>
          <w:p w14:paraId="3B9E5C47">
            <w:pPr>
              <w:rPr>
                <w:rFonts w:hint="eastAsia"/>
                <w:highlight w:val="none"/>
                <w:lang w:val="en-US" w:eastAsia="zh-CN"/>
              </w:rPr>
            </w:pPr>
            <w:r>
              <w:rPr>
                <w:rFonts w:hint="eastAsia"/>
                <w:highlight w:val="none"/>
              </w:rPr>
              <w:t>3</w:t>
            </w:r>
          </w:p>
        </w:tc>
        <w:tc>
          <w:tcPr>
            <w:tcW w:w="1515" w:type="dxa"/>
            <w:vAlign w:val="center"/>
          </w:tcPr>
          <w:p w14:paraId="616D4BE8">
            <w:pPr>
              <w:rPr>
                <w:rFonts w:hint="default"/>
                <w:color w:val="auto"/>
                <w:highlight w:val="none"/>
                <w:lang w:val="en-US" w:eastAsia="zh-CN"/>
              </w:rPr>
            </w:pPr>
            <w:r>
              <w:rPr>
                <w:rFonts w:hint="eastAsia"/>
                <w:color w:val="auto"/>
                <w:highlight w:val="none"/>
                <w:lang w:val="en-US" w:eastAsia="zh-CN"/>
              </w:rPr>
              <w:t>系统开发</w:t>
            </w:r>
          </w:p>
        </w:tc>
        <w:tc>
          <w:tcPr>
            <w:tcW w:w="1747" w:type="dxa"/>
            <w:vAlign w:val="center"/>
          </w:tcPr>
          <w:p w14:paraId="0F9ECDD3">
            <w:pPr>
              <w:rPr>
                <w:rFonts w:hint="eastAsia"/>
                <w:color w:val="auto"/>
                <w:highlight w:val="none"/>
                <w:lang w:val="en-US" w:eastAsia="zh-CN"/>
              </w:rPr>
            </w:pPr>
            <w:r>
              <w:rPr>
                <w:rFonts w:hint="eastAsia"/>
                <w:color w:val="auto"/>
                <w:highlight w:val="none"/>
                <w:lang w:val="en-US" w:eastAsia="zh-CN"/>
              </w:rPr>
              <w:t>数字化系统</w:t>
            </w:r>
          </w:p>
        </w:tc>
        <w:tc>
          <w:tcPr>
            <w:tcW w:w="4374" w:type="dxa"/>
            <w:vAlign w:val="center"/>
          </w:tcPr>
          <w:p w14:paraId="3C5DBF18">
            <w:pPr>
              <w:rPr>
                <w:rFonts w:hint="eastAsia"/>
                <w:highlight w:val="none"/>
                <w:lang w:val="en-US" w:eastAsia="zh-CN"/>
              </w:rPr>
            </w:pPr>
            <w:r>
              <w:rPr>
                <w:rFonts w:hint="eastAsia"/>
                <w:highlight w:val="none"/>
                <w:lang w:val="en-US" w:eastAsia="zh-CN"/>
              </w:rPr>
              <w:t>构建全域覆盖、动态感知、高效协同的未来社区治理体系，建设“社区智理一张图”综合管理平台。该平台需以地理信息空间为基底，深度融合社区人、房、事、物、组织等全要素数据资源，实现“一图总览、一网统管”的数字化治理目标。</w:t>
            </w:r>
          </w:p>
        </w:tc>
      </w:tr>
      <w:tr w14:paraId="3F9F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vAlign w:val="center"/>
          </w:tcPr>
          <w:p w14:paraId="55ED68B2">
            <w:pPr>
              <w:rPr>
                <w:rFonts w:hint="eastAsia"/>
                <w:lang w:val="en-US" w:eastAsia="zh-CN"/>
              </w:rPr>
            </w:pPr>
            <w:r>
              <w:rPr>
                <w:rFonts w:hint="eastAsia"/>
                <w:lang w:val="en-US" w:eastAsia="zh-CN"/>
              </w:rPr>
              <w:t>4</w:t>
            </w:r>
          </w:p>
        </w:tc>
        <w:tc>
          <w:tcPr>
            <w:tcW w:w="1515" w:type="dxa"/>
            <w:vMerge w:val="restart"/>
            <w:vAlign w:val="center"/>
          </w:tcPr>
          <w:p w14:paraId="35E7DC58">
            <w:pPr>
              <w:rPr>
                <w:rFonts w:hint="eastAsia"/>
              </w:rPr>
            </w:pPr>
            <w:r>
              <w:rPr>
                <w:rFonts w:hint="eastAsia"/>
              </w:rPr>
              <w:t>特色服务</w:t>
            </w:r>
          </w:p>
        </w:tc>
        <w:tc>
          <w:tcPr>
            <w:tcW w:w="1747" w:type="dxa"/>
            <w:vAlign w:val="center"/>
          </w:tcPr>
          <w:p w14:paraId="1D88A016">
            <w:pPr>
              <w:rPr>
                <w:rFonts w:hint="eastAsia"/>
              </w:rPr>
            </w:pPr>
            <w:r>
              <w:rPr>
                <w:rFonts w:hint="eastAsia"/>
              </w:rPr>
              <w:t>主题活动</w:t>
            </w:r>
          </w:p>
        </w:tc>
        <w:tc>
          <w:tcPr>
            <w:tcW w:w="4374" w:type="dxa"/>
            <w:vAlign w:val="center"/>
          </w:tcPr>
          <w:p w14:paraId="4612A55F">
            <w:pPr>
              <w:rPr>
                <w:rFonts w:hint="eastAsia"/>
                <w:lang w:val="en-US" w:eastAsia="zh-CN"/>
              </w:rPr>
            </w:pPr>
            <w:r>
              <w:rPr>
                <w:rFonts w:hint="eastAsia"/>
              </w:rPr>
              <w:t>结合所前茶果特色，以梅好茶果共富联盟为主题开展特色大型主题活动</w:t>
            </w:r>
            <w:r>
              <w:rPr>
                <w:rFonts w:hint="eastAsia"/>
                <w:lang w:eastAsia="zh-CN"/>
              </w:rPr>
              <w:t>，</w:t>
            </w:r>
            <w:r>
              <w:rPr>
                <w:rFonts w:hint="eastAsia"/>
                <w:lang w:val="en-US" w:eastAsia="zh-CN"/>
              </w:rPr>
              <w:t>承担部分镇级及村社联动活动。</w:t>
            </w:r>
          </w:p>
        </w:tc>
      </w:tr>
      <w:tr w14:paraId="1F77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86" w:type="dxa"/>
            <w:vMerge w:val="continue"/>
            <w:vAlign w:val="center"/>
          </w:tcPr>
          <w:p w14:paraId="10B43F9E">
            <w:pPr>
              <w:rPr>
                <w:rFonts w:hint="eastAsia"/>
              </w:rPr>
            </w:pPr>
          </w:p>
        </w:tc>
        <w:tc>
          <w:tcPr>
            <w:tcW w:w="1515" w:type="dxa"/>
            <w:vMerge w:val="continue"/>
            <w:vAlign w:val="center"/>
          </w:tcPr>
          <w:p w14:paraId="39D22BD6">
            <w:pPr>
              <w:rPr>
                <w:rFonts w:hint="eastAsia"/>
              </w:rPr>
            </w:pPr>
          </w:p>
        </w:tc>
        <w:tc>
          <w:tcPr>
            <w:tcW w:w="1747" w:type="dxa"/>
            <w:vAlign w:val="center"/>
          </w:tcPr>
          <w:p w14:paraId="35CBE5E3">
            <w:pPr>
              <w:rPr>
                <w:rFonts w:hint="eastAsia"/>
              </w:rPr>
            </w:pPr>
            <w:r>
              <w:rPr>
                <w:rFonts w:hint="eastAsia"/>
                <w:lang w:val="en-US" w:eastAsia="zh-CN"/>
              </w:rPr>
              <w:t>线上</w:t>
            </w:r>
            <w:r>
              <w:rPr>
                <w:rFonts w:hint="eastAsia"/>
              </w:rPr>
              <w:t>话题活动</w:t>
            </w:r>
          </w:p>
        </w:tc>
        <w:tc>
          <w:tcPr>
            <w:tcW w:w="4374" w:type="dxa"/>
            <w:vAlign w:val="center"/>
          </w:tcPr>
          <w:p w14:paraId="2759F469">
            <w:pPr>
              <w:rPr>
                <w:rFonts w:hint="eastAsia"/>
              </w:rPr>
            </w:pPr>
            <w:r>
              <w:rPr>
                <w:rFonts w:hint="eastAsia"/>
              </w:rPr>
              <w:t>统筹制定每月话题活动主题策划，并配合社区做好相关工作。</w:t>
            </w:r>
          </w:p>
        </w:tc>
      </w:tr>
      <w:tr w14:paraId="1116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continue"/>
            <w:shd w:val="clear" w:color="auto" w:fill="auto"/>
            <w:vAlign w:val="center"/>
          </w:tcPr>
          <w:p w14:paraId="632A1D2B">
            <w:pPr>
              <w:rPr>
                <w:rFonts w:hint="eastAsia"/>
                <w:lang w:val="en-US" w:eastAsia="zh-CN"/>
              </w:rPr>
            </w:pPr>
          </w:p>
        </w:tc>
        <w:tc>
          <w:tcPr>
            <w:tcW w:w="1515" w:type="dxa"/>
            <w:vMerge w:val="continue"/>
            <w:vAlign w:val="center"/>
          </w:tcPr>
          <w:p w14:paraId="1E039D46">
            <w:pPr>
              <w:rPr>
                <w:rFonts w:hint="eastAsia"/>
              </w:rPr>
            </w:pPr>
          </w:p>
        </w:tc>
        <w:tc>
          <w:tcPr>
            <w:tcW w:w="1747" w:type="dxa"/>
            <w:vAlign w:val="center"/>
          </w:tcPr>
          <w:p w14:paraId="76DA7F4F">
            <w:pPr>
              <w:rPr>
                <w:rFonts w:hint="eastAsia"/>
              </w:rPr>
            </w:pPr>
            <w:r>
              <w:rPr>
                <w:rFonts w:hint="eastAsia"/>
              </w:rPr>
              <w:t>日常活动</w:t>
            </w:r>
          </w:p>
        </w:tc>
        <w:tc>
          <w:tcPr>
            <w:tcW w:w="4374" w:type="dxa"/>
            <w:vAlign w:val="center"/>
          </w:tcPr>
          <w:p w14:paraId="251739EE">
            <w:pPr>
              <w:rPr>
                <w:rFonts w:hint="eastAsia"/>
              </w:rPr>
            </w:pPr>
            <w:r>
              <w:rPr>
                <w:rFonts w:hint="eastAsia"/>
              </w:rPr>
              <w:t>结合社区实情开展每月日常活动；面向社区0-3岁婴幼儿群体，结合社区实情开展每月日常活动。</w:t>
            </w:r>
          </w:p>
        </w:tc>
      </w:tr>
      <w:tr w14:paraId="4AFB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shd w:val="clear" w:color="auto" w:fill="auto"/>
            <w:vAlign w:val="center"/>
          </w:tcPr>
          <w:p w14:paraId="6155BFAA">
            <w:pPr>
              <w:rPr>
                <w:rFonts w:hint="eastAsia"/>
                <w:lang w:val="en-US" w:eastAsia="zh-CN"/>
              </w:rPr>
            </w:pPr>
            <w:r>
              <w:rPr>
                <w:rFonts w:hint="eastAsia"/>
              </w:rPr>
              <w:t>5</w:t>
            </w:r>
          </w:p>
        </w:tc>
        <w:tc>
          <w:tcPr>
            <w:tcW w:w="1515" w:type="dxa"/>
            <w:vAlign w:val="center"/>
          </w:tcPr>
          <w:p w14:paraId="2ACD8303">
            <w:pPr>
              <w:rPr>
                <w:rFonts w:hint="eastAsia"/>
              </w:rPr>
            </w:pPr>
            <w:r>
              <w:rPr>
                <w:rFonts w:hint="eastAsia"/>
              </w:rPr>
              <w:t>整合工作</w:t>
            </w:r>
          </w:p>
        </w:tc>
        <w:tc>
          <w:tcPr>
            <w:tcW w:w="1747" w:type="dxa"/>
            <w:vAlign w:val="center"/>
          </w:tcPr>
          <w:p w14:paraId="7B784F6C">
            <w:pPr>
              <w:rPr>
                <w:rFonts w:hint="eastAsia"/>
              </w:rPr>
            </w:pPr>
            <w:r>
              <w:rPr>
                <w:rFonts w:hint="eastAsia"/>
              </w:rPr>
              <w:t>-</w:t>
            </w:r>
          </w:p>
        </w:tc>
        <w:tc>
          <w:tcPr>
            <w:tcW w:w="4374" w:type="dxa"/>
            <w:vAlign w:val="center"/>
          </w:tcPr>
          <w:p w14:paraId="1C3305B2">
            <w:pPr>
              <w:rPr>
                <w:rFonts w:hint="eastAsia"/>
              </w:rPr>
            </w:pPr>
            <w:r>
              <w:rPr>
                <w:rFonts w:hint="eastAsia"/>
              </w:rPr>
              <w:t>平台数据分析总结；各活动推广及前后宣传（含社区公众号）。</w:t>
            </w:r>
          </w:p>
        </w:tc>
      </w:tr>
      <w:tr w14:paraId="2E83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86" w:type="dxa"/>
            <w:shd w:val="clear" w:color="auto" w:fill="auto"/>
            <w:vAlign w:val="center"/>
          </w:tcPr>
          <w:p w14:paraId="1BED25C7">
            <w:pPr>
              <w:rPr>
                <w:rFonts w:hint="eastAsia"/>
                <w:lang w:val="en-US" w:eastAsia="zh-CN"/>
              </w:rPr>
            </w:pPr>
            <w:r>
              <w:rPr>
                <w:rFonts w:hint="eastAsia"/>
              </w:rPr>
              <w:t>6</w:t>
            </w:r>
          </w:p>
        </w:tc>
        <w:tc>
          <w:tcPr>
            <w:tcW w:w="1515" w:type="dxa"/>
            <w:vAlign w:val="center"/>
          </w:tcPr>
          <w:p w14:paraId="3B9AC3E4">
            <w:pPr>
              <w:rPr>
                <w:rFonts w:hint="eastAsia"/>
              </w:rPr>
            </w:pPr>
            <w:r>
              <w:rPr>
                <w:rFonts w:hint="eastAsia"/>
              </w:rPr>
              <w:t>宣传推广</w:t>
            </w:r>
          </w:p>
        </w:tc>
        <w:tc>
          <w:tcPr>
            <w:tcW w:w="1747" w:type="dxa"/>
            <w:vAlign w:val="center"/>
          </w:tcPr>
          <w:p w14:paraId="21ED7647">
            <w:pPr>
              <w:rPr>
                <w:rFonts w:hint="eastAsia"/>
              </w:rPr>
            </w:pPr>
            <w:r>
              <w:rPr>
                <w:rFonts w:hint="eastAsia"/>
              </w:rPr>
              <w:t>-</w:t>
            </w:r>
          </w:p>
        </w:tc>
        <w:tc>
          <w:tcPr>
            <w:tcW w:w="4374" w:type="dxa"/>
            <w:vAlign w:val="center"/>
          </w:tcPr>
          <w:p w14:paraId="58C26883">
            <w:pPr>
              <w:rPr>
                <w:rFonts w:hint="eastAsia"/>
              </w:rPr>
            </w:pPr>
            <w:r>
              <w:rPr>
                <w:rFonts w:hint="eastAsia"/>
              </w:rPr>
              <w:t>协助社区做好各类活动宣传、品牌推广及区级以上平台宣传推送。</w:t>
            </w:r>
          </w:p>
        </w:tc>
      </w:tr>
      <w:tr w14:paraId="3D66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86" w:type="dxa"/>
            <w:vAlign w:val="center"/>
          </w:tcPr>
          <w:p w14:paraId="1799D31E">
            <w:pPr>
              <w:rPr>
                <w:rFonts w:hint="eastAsia"/>
                <w:lang w:val="en-US" w:eastAsia="zh-CN"/>
              </w:rPr>
            </w:pPr>
            <w:r>
              <w:rPr>
                <w:rFonts w:hint="eastAsia"/>
                <w:lang w:val="en-US" w:eastAsia="zh-CN"/>
              </w:rPr>
              <w:t>7</w:t>
            </w:r>
          </w:p>
        </w:tc>
        <w:tc>
          <w:tcPr>
            <w:tcW w:w="1515" w:type="dxa"/>
            <w:vAlign w:val="center"/>
          </w:tcPr>
          <w:p w14:paraId="549337AB">
            <w:pPr>
              <w:rPr>
                <w:rFonts w:hint="eastAsia"/>
              </w:rPr>
            </w:pPr>
            <w:r>
              <w:rPr>
                <w:rFonts w:hint="eastAsia"/>
              </w:rPr>
              <w:t>创新亮点</w:t>
            </w:r>
          </w:p>
        </w:tc>
        <w:tc>
          <w:tcPr>
            <w:tcW w:w="1747" w:type="dxa"/>
            <w:vAlign w:val="center"/>
          </w:tcPr>
          <w:p w14:paraId="3124E962">
            <w:pPr>
              <w:rPr>
                <w:rFonts w:hint="eastAsia"/>
              </w:rPr>
            </w:pPr>
            <w:r>
              <w:rPr>
                <w:rFonts w:hint="eastAsia"/>
              </w:rPr>
              <w:t>-</w:t>
            </w:r>
          </w:p>
        </w:tc>
        <w:tc>
          <w:tcPr>
            <w:tcW w:w="4374" w:type="dxa"/>
            <w:vAlign w:val="center"/>
          </w:tcPr>
          <w:p w14:paraId="10126924">
            <w:pPr>
              <w:rPr>
                <w:rFonts w:hint="eastAsia"/>
              </w:rPr>
            </w:pPr>
            <w:r>
              <w:rPr>
                <w:rFonts w:hint="eastAsia"/>
              </w:rPr>
              <w:t>能够提供创新服务或特色品牌提升。</w:t>
            </w:r>
          </w:p>
        </w:tc>
      </w:tr>
    </w:tbl>
    <w:p w14:paraId="0371E4FE">
      <w:pPr>
        <w:rPr>
          <w:rFonts w:hint="eastAsia"/>
        </w:rPr>
      </w:pPr>
    </w:p>
    <w:p w14:paraId="311550B2">
      <w:pPr>
        <w:rPr>
          <w:rFonts w:hint="eastAsia" w:eastAsia="仿宋"/>
          <w:lang w:eastAsia="zh-CN"/>
        </w:rPr>
      </w:pPr>
      <w:r>
        <w:rPr>
          <w:rFonts w:hint="eastAsia"/>
        </w:rPr>
        <w:t>项目要求</w:t>
      </w:r>
      <w:r>
        <w:rPr>
          <w:rFonts w:hint="eastAsia"/>
          <w:lang w:eastAsia="zh-CN"/>
        </w:rPr>
        <w:t>：</w:t>
      </w:r>
    </w:p>
    <w:p w14:paraId="125AB1B6">
      <w:pPr>
        <w:keepNext w:val="0"/>
        <w:keepLines w:val="0"/>
        <w:pageBreakBefore w:val="0"/>
        <w:widowControl/>
        <w:kinsoku/>
        <w:wordWrap/>
        <w:overflowPunct/>
        <w:topLinePunct w:val="0"/>
        <w:autoSpaceDE/>
        <w:autoSpaceDN/>
        <w:bidi w:val="0"/>
        <w:adjustRightInd/>
        <w:snapToGrid w:val="0"/>
        <w:spacing w:after="0"/>
        <w:ind w:firstLine="480" w:firstLineChars="200"/>
        <w:textAlignment w:val="auto"/>
        <w:rPr>
          <w:rFonts w:hint="eastAsia"/>
          <w:lang w:val="en-US" w:eastAsia="zh-CN"/>
        </w:rPr>
      </w:pPr>
      <w:r>
        <w:rPr>
          <w:rFonts w:hint="eastAsia"/>
          <w:lang w:val="en-US" w:eastAsia="zh-CN"/>
        </w:rPr>
        <w:t>1、有项目团队管理小组，有明确的工作职责及工作制度；保证项目有序有效开展；</w:t>
      </w:r>
    </w:p>
    <w:p w14:paraId="59CB0EED">
      <w:pPr>
        <w:keepNext w:val="0"/>
        <w:keepLines w:val="0"/>
        <w:pageBreakBefore w:val="0"/>
        <w:widowControl/>
        <w:kinsoku/>
        <w:wordWrap/>
        <w:overflowPunct/>
        <w:topLinePunct w:val="0"/>
        <w:autoSpaceDE/>
        <w:autoSpaceDN/>
        <w:bidi w:val="0"/>
        <w:adjustRightInd/>
        <w:snapToGrid w:val="0"/>
        <w:spacing w:after="0"/>
        <w:ind w:firstLine="482" w:firstLineChars="200"/>
        <w:textAlignment w:val="auto"/>
        <w:rPr>
          <w:rFonts w:hint="eastAsia"/>
          <w:lang w:val="en-US" w:eastAsia="zh-CN"/>
        </w:rPr>
      </w:pPr>
      <w:r>
        <w:rPr>
          <w:rFonts w:hint="eastAsia" w:ascii="仿宋" w:hAnsi="仿宋" w:eastAsia="仿宋" w:cs="仿宋"/>
          <w:b/>
          <w:bCs/>
          <w:color w:val="auto"/>
          <w:kern w:val="2"/>
          <w:sz w:val="24"/>
          <w:highlight w:val="none"/>
          <w:lang w:val="en-US" w:eastAsia="zh-CN"/>
        </w:rPr>
        <w:t>▲</w:t>
      </w:r>
      <w:r>
        <w:rPr>
          <w:rFonts w:hint="eastAsia"/>
          <w:lang w:val="en-US" w:eastAsia="zh-CN"/>
        </w:rPr>
        <w:t>2、</w:t>
      </w:r>
      <w:r>
        <w:rPr>
          <w:rFonts w:hint="eastAsia"/>
        </w:rPr>
        <w:t>项目团队</w:t>
      </w:r>
      <w:r>
        <w:rPr>
          <w:rFonts w:hint="eastAsia"/>
          <w:highlight w:val="none"/>
        </w:rPr>
        <w:t>不少于2人，其中</w:t>
      </w:r>
      <w:r>
        <w:rPr>
          <w:rFonts w:hint="eastAsia"/>
        </w:rPr>
        <w:t>包括项目负责人1人，运营常驻1人，主要负责中心运营、接待、宣传、讲解等；</w:t>
      </w:r>
    </w:p>
    <w:p w14:paraId="08BB93D4">
      <w:pPr>
        <w:keepNext w:val="0"/>
        <w:keepLines w:val="0"/>
        <w:pageBreakBefore w:val="0"/>
        <w:widowControl/>
        <w:kinsoku/>
        <w:wordWrap/>
        <w:overflowPunct/>
        <w:topLinePunct w:val="0"/>
        <w:autoSpaceDE/>
        <w:autoSpaceDN/>
        <w:bidi w:val="0"/>
        <w:adjustRightInd/>
        <w:snapToGrid w:val="0"/>
        <w:spacing w:after="0"/>
        <w:ind w:firstLine="480" w:firstLineChars="200"/>
        <w:textAlignment w:val="auto"/>
        <w:rPr>
          <w:rFonts w:hint="eastAsia"/>
          <w:lang w:val="en-US" w:eastAsia="zh-CN"/>
        </w:rPr>
      </w:pPr>
      <w:r>
        <w:rPr>
          <w:rFonts w:hint="eastAsia"/>
          <w:lang w:val="en-US" w:eastAsia="zh-CN"/>
        </w:rPr>
        <w:t>3、有详细的服务记录。包含每次服务方案，台账建立，服务照片、小视频，服务签到表，服务前后宣等，确保服务工作落到实处。</w:t>
      </w:r>
    </w:p>
    <w:p w14:paraId="10E37B34">
      <w:pPr>
        <w:keepNext w:val="0"/>
        <w:keepLines w:val="0"/>
        <w:pageBreakBefore w:val="0"/>
        <w:widowControl/>
        <w:kinsoku/>
        <w:wordWrap/>
        <w:overflowPunct/>
        <w:topLinePunct w:val="0"/>
        <w:autoSpaceDE/>
        <w:autoSpaceDN/>
        <w:bidi w:val="0"/>
        <w:adjustRightInd/>
        <w:snapToGrid w:val="0"/>
        <w:spacing w:after="0"/>
        <w:ind w:firstLine="480" w:firstLineChars="200"/>
        <w:textAlignment w:val="auto"/>
        <w:rPr>
          <w:rFonts w:hint="eastAsia"/>
          <w:lang w:val="en-US" w:eastAsia="zh-CN"/>
        </w:rPr>
      </w:pPr>
      <w:r>
        <w:rPr>
          <w:rFonts w:hint="eastAsia"/>
          <w:lang w:val="en-US" w:eastAsia="zh-CN"/>
        </w:rPr>
        <w:t>4、入驻团队实行主管负责制，主管向社区负责，由主管负责与社区条线联系人对接，并负责团队落实执行；</w:t>
      </w:r>
    </w:p>
    <w:p w14:paraId="1C2836B5">
      <w:pPr>
        <w:keepNext w:val="0"/>
        <w:keepLines w:val="0"/>
        <w:pageBreakBefore w:val="0"/>
        <w:widowControl/>
        <w:kinsoku/>
        <w:wordWrap/>
        <w:overflowPunct/>
        <w:topLinePunct w:val="0"/>
        <w:autoSpaceDE/>
        <w:autoSpaceDN/>
        <w:bidi w:val="0"/>
        <w:adjustRightInd/>
        <w:snapToGrid w:val="0"/>
        <w:spacing w:after="0"/>
        <w:ind w:firstLine="480" w:firstLineChars="200"/>
        <w:textAlignment w:val="auto"/>
        <w:rPr>
          <w:rFonts w:hint="eastAsia"/>
          <w:lang w:val="en-US" w:eastAsia="zh-CN"/>
        </w:rPr>
      </w:pPr>
      <w:r>
        <w:rPr>
          <w:rFonts w:hint="eastAsia"/>
          <w:lang w:val="en-US" w:eastAsia="zh-CN"/>
        </w:rPr>
        <w:t>5、严格隐私保护制度，工作人员与单位签订保密协议，保护服务对象的隐私；</w:t>
      </w:r>
    </w:p>
    <w:p w14:paraId="39FAC954">
      <w:pPr>
        <w:keepNext w:val="0"/>
        <w:keepLines w:val="0"/>
        <w:pageBreakBefore w:val="0"/>
        <w:widowControl/>
        <w:kinsoku/>
        <w:wordWrap/>
        <w:overflowPunct/>
        <w:topLinePunct w:val="0"/>
        <w:autoSpaceDE/>
        <w:autoSpaceDN/>
        <w:bidi w:val="0"/>
        <w:adjustRightInd/>
        <w:snapToGrid w:val="0"/>
        <w:spacing w:after="0"/>
        <w:ind w:firstLine="480" w:firstLineChars="200"/>
        <w:textAlignment w:val="auto"/>
        <w:rPr>
          <w:rFonts w:hint="eastAsia"/>
          <w:lang w:val="en-US" w:eastAsia="zh-CN"/>
        </w:rPr>
      </w:pPr>
      <w:r>
        <w:rPr>
          <w:rFonts w:hint="eastAsia"/>
          <w:lang w:val="en-US" w:eastAsia="zh-CN"/>
        </w:rPr>
        <w:t>6、项目实施的组织工作方案:工作时间进度表、工作程序或步骤、管理和协方法、活动方案等</w:t>
      </w:r>
    </w:p>
    <w:p w14:paraId="474468AE">
      <w:pPr>
        <w:keepNext w:val="0"/>
        <w:keepLines w:val="0"/>
        <w:pageBreakBefore w:val="0"/>
        <w:widowControl/>
        <w:kinsoku/>
        <w:wordWrap/>
        <w:overflowPunct/>
        <w:topLinePunct w:val="0"/>
        <w:autoSpaceDE/>
        <w:autoSpaceDN/>
        <w:bidi w:val="0"/>
        <w:adjustRightInd/>
        <w:snapToGrid w:val="0"/>
        <w:spacing w:after="0"/>
        <w:ind w:firstLine="480" w:firstLineChars="200"/>
        <w:textAlignment w:val="auto"/>
        <w:rPr>
          <w:rFonts w:hint="eastAsia"/>
        </w:rPr>
      </w:pPr>
      <w:r>
        <w:rPr>
          <w:rFonts w:hint="eastAsia"/>
          <w:lang w:val="en-US" w:eastAsia="zh-CN"/>
        </w:rPr>
        <w:t>7、</w:t>
      </w:r>
      <w:r>
        <w:rPr>
          <w:rFonts w:hint="eastAsia"/>
        </w:rPr>
        <w:t>项目服务时间响应:收到服务通知后2小时内响应服务。</w:t>
      </w:r>
    </w:p>
    <w:p w14:paraId="4A9E42C4">
      <w:pPr>
        <w:pStyle w:val="2"/>
        <w:rPr>
          <w:rFonts w:hint="eastAsia"/>
        </w:rPr>
      </w:pPr>
    </w:p>
    <w:p w14:paraId="5DE48D00">
      <w:pPr>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val="en-US" w:eastAsia="zh-CN"/>
        </w:rPr>
        <w:t>三</w:t>
      </w:r>
      <w:r>
        <w:rPr>
          <w:rFonts w:hint="eastAsia" w:ascii="仿宋" w:hAnsi="仿宋" w:eastAsia="仿宋" w:cs="仿宋"/>
          <w:b/>
          <w:color w:val="auto"/>
          <w:sz w:val="32"/>
          <w:highlight w:val="none"/>
          <w:lang w:eastAsia="zh-CN"/>
        </w:rPr>
        <w:t>、</w:t>
      </w:r>
      <w:r>
        <w:rPr>
          <w:rFonts w:hint="eastAsia" w:ascii="仿宋" w:hAnsi="仿宋" w:eastAsia="仿宋" w:cs="仿宋"/>
          <w:b/>
          <w:color w:val="auto"/>
          <w:sz w:val="32"/>
          <w:highlight w:val="none"/>
        </w:rPr>
        <w:t>商务需求：</w:t>
      </w:r>
    </w:p>
    <w:p w14:paraId="2A1CD212">
      <w:pPr>
        <w:rPr>
          <w:rFonts w:hint="default"/>
          <w:highlight w:val="none"/>
          <w:lang w:val="en-US" w:eastAsia="zh-CN"/>
        </w:rPr>
      </w:pPr>
      <w:bookmarkStart w:id="2" w:name="_Toc89858422"/>
      <w:bookmarkStart w:id="3" w:name="_Toc89714667"/>
      <w:r>
        <w:rPr>
          <w:rFonts w:hint="eastAsia" w:ascii="仿宋" w:hAnsi="仿宋" w:eastAsia="仿宋" w:cs="仿宋"/>
          <w:b/>
          <w:bCs/>
          <w:color w:val="auto"/>
          <w:kern w:val="2"/>
          <w:sz w:val="24"/>
          <w:highlight w:val="none"/>
          <w:lang w:val="en-US" w:eastAsia="zh-CN"/>
        </w:rPr>
        <w:t>▲</w:t>
      </w:r>
      <w:r>
        <w:rPr>
          <w:rFonts w:hint="eastAsia"/>
          <w:highlight w:val="none"/>
          <w:lang w:val="en-US" w:eastAsia="zh-CN"/>
        </w:rPr>
        <w:t>1、 服务期限：</w:t>
      </w:r>
      <w:bookmarkEnd w:id="2"/>
      <w:bookmarkEnd w:id="3"/>
      <w:r>
        <w:rPr>
          <w:rFonts w:hint="eastAsia"/>
          <w:highlight w:val="none"/>
          <w:lang w:val="en-US" w:eastAsia="zh-CN"/>
        </w:rPr>
        <w:t>一年。(具体起止时间以合同签订为准)</w:t>
      </w:r>
    </w:p>
    <w:p w14:paraId="6DF8AE0B">
      <w:pPr>
        <w:rPr>
          <w:rFonts w:hint="eastAsia"/>
          <w:highlight w:val="none"/>
          <w:lang w:val="en-US" w:eastAsia="zh-CN"/>
        </w:rPr>
      </w:pPr>
      <w:bookmarkStart w:id="4" w:name="_Toc89858427"/>
      <w:bookmarkStart w:id="5" w:name="_Toc89714672"/>
      <w:r>
        <w:rPr>
          <w:rFonts w:hint="eastAsia" w:ascii="仿宋" w:hAnsi="仿宋" w:eastAsia="仿宋" w:cs="仿宋"/>
          <w:b/>
          <w:bCs/>
          <w:color w:val="auto"/>
          <w:kern w:val="2"/>
          <w:sz w:val="24"/>
          <w:highlight w:val="none"/>
          <w:lang w:val="en-US" w:eastAsia="zh-CN"/>
        </w:rPr>
        <w:t>▲</w:t>
      </w:r>
      <w:r>
        <w:rPr>
          <w:rFonts w:hint="eastAsia"/>
          <w:highlight w:val="none"/>
          <w:lang w:val="en-US" w:eastAsia="zh-CN"/>
        </w:rPr>
        <w:t>2、 签订合同时间：成交通知书发出后20天内。</w:t>
      </w:r>
      <w:bookmarkEnd w:id="4"/>
      <w:bookmarkEnd w:id="5"/>
    </w:p>
    <w:p w14:paraId="52B7B097">
      <w:pPr>
        <w:rPr>
          <w:rFonts w:hint="eastAsia"/>
          <w:highlight w:val="none"/>
          <w:lang w:val="en-US" w:eastAsia="zh-CN"/>
        </w:rPr>
      </w:pPr>
      <w:r>
        <w:rPr>
          <w:rFonts w:hint="eastAsia" w:ascii="仿宋" w:hAnsi="仿宋" w:eastAsia="仿宋" w:cs="仿宋"/>
          <w:b/>
          <w:bCs/>
          <w:color w:val="auto"/>
          <w:kern w:val="2"/>
          <w:sz w:val="24"/>
          <w:highlight w:val="none"/>
          <w:lang w:val="en-US" w:eastAsia="zh-CN"/>
        </w:rPr>
        <w:t>▲</w:t>
      </w:r>
      <w:r>
        <w:rPr>
          <w:rFonts w:hint="eastAsia"/>
          <w:highlight w:val="none"/>
          <w:lang w:val="en-US" w:eastAsia="zh-CN"/>
        </w:rPr>
        <w:t>3、 付款方式和条件：</w:t>
      </w:r>
      <w:bookmarkStart w:id="485" w:name="_GoBack"/>
      <w:bookmarkEnd w:id="485"/>
    </w:p>
    <w:p w14:paraId="1CFF278C">
      <w:pPr>
        <w:numPr>
          <w:ilvl w:val="0"/>
          <w:numId w:val="0"/>
        </w:numPr>
        <w:spacing w:line="360" w:lineRule="auto"/>
        <w:ind w:firstLine="420" w:firstLineChars="0"/>
        <w:jc w:val="left"/>
        <w:rPr>
          <w:rFonts w:hint="eastAsia" w:ascii="仿宋" w:hAnsi="仿宋" w:eastAsia="仿宋" w:cstheme="minorBidi"/>
          <w:b w:val="0"/>
          <w:bCs w:val="0"/>
          <w:color w:val="auto"/>
          <w:kern w:val="2"/>
          <w:sz w:val="24"/>
          <w:szCs w:val="24"/>
          <w:highlight w:val="none"/>
          <w:lang w:val="en-US" w:eastAsia="zh-CN" w:bidi="ar-SA"/>
        </w:rPr>
      </w:pPr>
      <w:r>
        <w:rPr>
          <w:rFonts w:hint="eastAsia" w:ascii="仿宋" w:hAnsi="仿宋" w:eastAsia="仿宋" w:cstheme="minorBidi"/>
          <w:b w:val="0"/>
          <w:bCs w:val="0"/>
          <w:color w:val="auto"/>
          <w:kern w:val="2"/>
          <w:sz w:val="24"/>
          <w:szCs w:val="24"/>
          <w:highlight w:val="none"/>
          <w:lang w:val="en-US" w:eastAsia="zh-CN" w:bidi="ar-SA"/>
        </w:rPr>
        <w:t>合同签订后,采购人向</w:t>
      </w:r>
      <w:r>
        <w:rPr>
          <w:rFonts w:hint="eastAsia" w:cstheme="minorBidi"/>
          <w:b w:val="0"/>
          <w:bCs w:val="0"/>
          <w:color w:val="auto"/>
          <w:kern w:val="2"/>
          <w:sz w:val="24"/>
          <w:szCs w:val="24"/>
          <w:highlight w:val="none"/>
          <w:lang w:val="en-US" w:eastAsia="zh-CN" w:bidi="ar-SA"/>
        </w:rPr>
        <w:t>成交人</w:t>
      </w:r>
      <w:r>
        <w:rPr>
          <w:rFonts w:hint="eastAsia" w:ascii="仿宋" w:hAnsi="仿宋" w:eastAsia="仿宋" w:cstheme="minorBidi"/>
          <w:b w:val="0"/>
          <w:bCs w:val="0"/>
          <w:color w:val="auto"/>
          <w:kern w:val="2"/>
          <w:sz w:val="24"/>
          <w:szCs w:val="24"/>
          <w:highlight w:val="none"/>
          <w:lang w:val="en-US" w:eastAsia="zh-CN" w:bidi="ar-SA"/>
        </w:rPr>
        <w:t>在正式运营一个月内支付合同总金额的 30%作为预付款;运营满6个月后的一个月内支付合同总金额的30%;在运营满一年后一个月内，按考核结果的比例支付运营服务费剩余合同总金额的40%。</w:t>
      </w:r>
    </w:p>
    <w:p w14:paraId="17CF4270">
      <w:pPr>
        <w:spacing w:after="0" w:line="360" w:lineRule="auto"/>
        <w:rPr>
          <w:rFonts w:hint="eastAsia" w:ascii="仿宋" w:hAnsi="仿宋" w:eastAsia="仿宋" w:cstheme="minorBidi"/>
          <w:b w:val="0"/>
          <w:bCs w:val="0"/>
          <w:color w:val="auto"/>
          <w:kern w:val="2"/>
          <w:sz w:val="24"/>
          <w:szCs w:val="24"/>
          <w:highlight w:val="none"/>
          <w:lang w:val="en-US" w:eastAsia="zh-CN" w:bidi="ar-SA"/>
        </w:rPr>
      </w:pPr>
      <w:r>
        <w:rPr>
          <w:rFonts w:hint="eastAsia" w:cstheme="minorBidi"/>
          <w:b w:val="0"/>
          <w:bCs w:val="0"/>
          <w:color w:val="auto"/>
          <w:kern w:val="2"/>
          <w:sz w:val="24"/>
          <w:szCs w:val="24"/>
          <w:highlight w:val="none"/>
          <w:lang w:val="en-US" w:eastAsia="zh-CN" w:bidi="ar-SA"/>
        </w:rPr>
        <w:t>1</w:t>
      </w:r>
      <w:r>
        <w:rPr>
          <w:rFonts w:hint="eastAsia" w:ascii="仿宋" w:hAnsi="仿宋" w:eastAsia="仿宋" w:cstheme="minorBidi"/>
          <w:b w:val="0"/>
          <w:bCs w:val="0"/>
          <w:color w:val="auto"/>
          <w:kern w:val="2"/>
          <w:sz w:val="24"/>
          <w:szCs w:val="24"/>
          <w:highlight w:val="none"/>
          <w:lang w:val="en-US" w:eastAsia="zh-CN" w:bidi="ar-SA"/>
        </w:rPr>
        <w:t>.本项目预算包含采购需求内要求的所有工作内容及相应费用。</w:t>
      </w:r>
    </w:p>
    <w:p w14:paraId="3FACC6D5">
      <w:pPr>
        <w:spacing w:after="0" w:line="360" w:lineRule="auto"/>
        <w:rPr>
          <w:rFonts w:hint="eastAsia" w:ascii="仿宋" w:hAnsi="仿宋" w:eastAsia="仿宋" w:cs="仿宋"/>
          <w:b/>
          <w:bCs/>
          <w:color w:val="auto"/>
          <w:kern w:val="2"/>
          <w:sz w:val="24"/>
          <w:highlight w:val="none"/>
          <w:lang w:val="en-US" w:eastAsia="zh-CN"/>
        </w:rPr>
      </w:pPr>
      <w:r>
        <w:rPr>
          <w:rFonts w:hint="eastAsia" w:cs="仿宋"/>
          <w:color w:val="auto"/>
          <w:highlight w:val="none"/>
          <w:lang w:val="en-US" w:eastAsia="zh-CN"/>
        </w:rPr>
        <w:t>2</w:t>
      </w:r>
      <w:r>
        <w:rPr>
          <w:rFonts w:hint="eastAsia" w:ascii="仿宋" w:hAnsi="仿宋" w:eastAsia="仿宋" w:cs="仿宋"/>
          <w:color w:val="auto"/>
          <w:highlight w:val="none"/>
        </w:rPr>
        <w:t>、</w:t>
      </w:r>
      <w:r>
        <w:rPr>
          <w:rFonts w:hint="eastAsia" w:ascii="仿宋" w:hAnsi="仿宋" w:eastAsia="仿宋" w:cs="仿宋"/>
          <w:b/>
          <w:bCs/>
          <w:color w:val="auto"/>
          <w:kern w:val="2"/>
          <w:sz w:val="24"/>
          <w:highlight w:val="none"/>
          <w:lang w:val="en-US" w:eastAsia="zh-CN"/>
        </w:rPr>
        <w:t>打▲内容为实质性要求，不允许有负偏离，否则将以涉及</w:t>
      </w:r>
      <w:r>
        <w:rPr>
          <w:rFonts w:hint="eastAsia" w:cs="仿宋"/>
          <w:b/>
          <w:bCs/>
          <w:color w:val="auto"/>
          <w:kern w:val="2"/>
          <w:sz w:val="24"/>
          <w:highlight w:val="none"/>
          <w:lang w:val="en-US" w:eastAsia="zh-CN"/>
        </w:rPr>
        <w:t>无效响应</w:t>
      </w:r>
      <w:r>
        <w:rPr>
          <w:rFonts w:hint="eastAsia" w:ascii="仿宋" w:hAnsi="仿宋" w:eastAsia="仿宋" w:cs="仿宋"/>
          <w:b/>
          <w:bCs/>
          <w:color w:val="auto"/>
          <w:kern w:val="2"/>
          <w:sz w:val="24"/>
          <w:highlight w:val="none"/>
          <w:lang w:val="en-US" w:eastAsia="zh-CN"/>
        </w:rPr>
        <w:t>条款作</w:t>
      </w:r>
      <w:r>
        <w:rPr>
          <w:rFonts w:hint="eastAsia" w:cs="仿宋"/>
          <w:b/>
          <w:bCs/>
          <w:color w:val="auto"/>
          <w:kern w:val="2"/>
          <w:sz w:val="24"/>
          <w:highlight w:val="none"/>
          <w:lang w:val="en-US" w:eastAsia="zh-CN"/>
        </w:rPr>
        <w:t>无效响应</w:t>
      </w:r>
      <w:r>
        <w:rPr>
          <w:rFonts w:hint="eastAsia" w:ascii="仿宋" w:hAnsi="仿宋" w:eastAsia="仿宋" w:cs="仿宋"/>
          <w:b/>
          <w:bCs/>
          <w:color w:val="auto"/>
          <w:kern w:val="2"/>
          <w:sz w:val="24"/>
          <w:highlight w:val="none"/>
          <w:lang w:val="en-US" w:eastAsia="zh-CN"/>
        </w:rPr>
        <w:t>。</w:t>
      </w:r>
    </w:p>
    <w:p w14:paraId="6A3A21F6">
      <w:pPr>
        <w:rPr>
          <w:rFonts w:hint="eastAsia" w:ascii="仿宋" w:hAnsi="仿宋" w:eastAsia="仿宋" w:cs="仿宋"/>
          <w:b/>
          <w:bCs/>
          <w:color w:val="auto"/>
          <w:kern w:val="2"/>
          <w:sz w:val="24"/>
          <w:highlight w:val="none"/>
          <w:lang w:val="en-US" w:eastAsia="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
          <w:b/>
          <w:bCs/>
          <w:color w:val="auto"/>
          <w:kern w:val="2"/>
          <w:sz w:val="24"/>
          <w:highlight w:val="none"/>
          <w:lang w:val="en-US" w:eastAsia="zh-CN"/>
        </w:rPr>
        <w:br w:type="page"/>
      </w:r>
    </w:p>
    <w:p w14:paraId="2E6404F8">
      <w:pPr>
        <w:pStyle w:val="2"/>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附件</w:t>
      </w:r>
      <w:r>
        <w:rPr>
          <w:rFonts w:hint="eastAsia" w:hAnsi="宋体" w:cs="宋体"/>
          <w:color w:val="auto"/>
          <w:highlight w:val="none"/>
          <w:lang w:val="en-US" w:eastAsia="zh-CN"/>
        </w:rPr>
        <w:t>:1</w:t>
      </w:r>
    </w:p>
    <w:p w14:paraId="560BE780">
      <w:pPr>
        <w:spacing w:line="24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南城</w:t>
      </w:r>
      <w:r>
        <w:rPr>
          <w:rFonts w:hint="eastAsia" w:ascii="宋体" w:hAnsi="宋体" w:eastAsia="宋体" w:cs="宋体"/>
          <w:color w:val="auto"/>
          <w:sz w:val="28"/>
          <w:szCs w:val="28"/>
          <w:highlight w:val="none"/>
        </w:rPr>
        <w:t>社区运营</w:t>
      </w:r>
      <w:r>
        <w:rPr>
          <w:rFonts w:hint="eastAsia" w:ascii="宋体" w:hAnsi="宋体" w:cs="宋体"/>
          <w:color w:val="auto"/>
          <w:sz w:val="28"/>
          <w:szCs w:val="28"/>
          <w:highlight w:val="none"/>
          <w:lang w:val="en-US" w:eastAsia="zh-CN"/>
        </w:rPr>
        <w:t>项目</w:t>
      </w:r>
      <w:r>
        <w:rPr>
          <w:rFonts w:hint="eastAsia" w:ascii="宋体" w:hAnsi="宋体" w:eastAsia="宋体" w:cs="宋体"/>
          <w:color w:val="auto"/>
          <w:sz w:val="28"/>
          <w:szCs w:val="28"/>
          <w:highlight w:val="none"/>
        </w:rPr>
        <w:t>年度考核</w:t>
      </w:r>
    </w:p>
    <w:tbl>
      <w:tblPr>
        <w:tblStyle w:val="33"/>
        <w:tblpPr w:leftFromText="180" w:rightFromText="180" w:vertAnchor="text" w:horzAnchor="page" w:tblpXSpec="center" w:tblpY="657"/>
        <w:tblOverlap w:val="never"/>
        <w:tblW w:w="51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01"/>
        <w:gridCol w:w="1307"/>
        <w:gridCol w:w="11221"/>
        <w:gridCol w:w="567"/>
        <w:gridCol w:w="558"/>
      </w:tblGrid>
      <w:tr w14:paraId="1AB3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816" w:type="pct"/>
            <w:gridSpan w:val="2"/>
            <w:noWrap/>
            <w:tcMar>
              <w:top w:w="10" w:type="dxa"/>
              <w:left w:w="10" w:type="dxa"/>
              <w:right w:w="10" w:type="dxa"/>
            </w:tcMar>
            <w:vAlign w:val="center"/>
          </w:tcPr>
          <w:p w14:paraId="0466FE99">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项目</w:t>
            </w:r>
          </w:p>
        </w:tc>
        <w:tc>
          <w:tcPr>
            <w:tcW w:w="3802" w:type="pct"/>
            <w:noWrap/>
            <w:tcMar>
              <w:top w:w="10" w:type="dxa"/>
              <w:left w:w="10" w:type="dxa"/>
              <w:right w:w="10" w:type="dxa"/>
            </w:tcMar>
            <w:vAlign w:val="center"/>
          </w:tcPr>
          <w:p w14:paraId="1D032E4A">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内容及要求</w:t>
            </w:r>
          </w:p>
        </w:tc>
        <w:tc>
          <w:tcPr>
            <w:tcW w:w="192" w:type="pct"/>
            <w:noWrap/>
            <w:tcMar>
              <w:top w:w="10" w:type="dxa"/>
              <w:left w:w="10" w:type="dxa"/>
              <w:right w:w="10" w:type="dxa"/>
            </w:tcMar>
            <w:vAlign w:val="center"/>
          </w:tcPr>
          <w:p w14:paraId="66383AF7">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分值</w:t>
            </w:r>
          </w:p>
        </w:tc>
        <w:tc>
          <w:tcPr>
            <w:tcW w:w="189" w:type="pct"/>
            <w:noWrap/>
            <w:tcMar>
              <w:top w:w="10" w:type="dxa"/>
              <w:left w:w="10" w:type="dxa"/>
              <w:right w:w="10" w:type="dxa"/>
            </w:tcMar>
            <w:vAlign w:val="center"/>
          </w:tcPr>
          <w:p w14:paraId="45007E1F">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得分</w:t>
            </w:r>
          </w:p>
        </w:tc>
      </w:tr>
      <w:tr w14:paraId="6C3D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73" w:type="pct"/>
            <w:vMerge w:val="restart"/>
            <w:noWrap w:val="0"/>
            <w:tcMar>
              <w:top w:w="10" w:type="dxa"/>
              <w:left w:w="10" w:type="dxa"/>
              <w:right w:w="10" w:type="dxa"/>
            </w:tcMar>
            <w:vAlign w:val="center"/>
          </w:tcPr>
          <w:p w14:paraId="4D692D31">
            <w:pPr>
              <w:widowControl/>
              <w:jc w:val="center"/>
              <w:textAlignment w:val="center"/>
              <w:rPr>
                <w:rFonts w:hint="eastAsia"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人员</w:t>
            </w:r>
          </w:p>
          <w:p w14:paraId="6B4D9A9D">
            <w:pPr>
              <w:widowControl/>
              <w:jc w:val="center"/>
              <w:textAlignment w:val="center"/>
              <w:rPr>
                <w:rFonts w:hint="eastAsia"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配置</w:t>
            </w:r>
          </w:p>
          <w:p w14:paraId="64EBE6D8">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w:t>
            </w:r>
            <w:r>
              <w:rPr>
                <w:rFonts w:hint="eastAsia" w:ascii="宋体" w:hAnsi="宋体" w:cs="宋体"/>
                <w:b/>
                <w:color w:val="auto"/>
                <w:kern w:val="0"/>
                <w:sz w:val="24"/>
                <w:highlight w:val="none"/>
                <w:lang w:val="en-US" w:eastAsia="zh-CN" w:bidi="ar"/>
              </w:rPr>
              <w:t>10</w:t>
            </w:r>
            <w:r>
              <w:rPr>
                <w:rFonts w:hint="eastAsia" w:ascii="宋体" w:hAnsi="宋体" w:eastAsia="宋体" w:cs="宋体"/>
                <w:b/>
                <w:color w:val="auto"/>
                <w:kern w:val="0"/>
                <w:sz w:val="24"/>
                <w:highlight w:val="none"/>
                <w:lang w:bidi="ar"/>
              </w:rPr>
              <w:t>分）</w:t>
            </w:r>
          </w:p>
        </w:tc>
        <w:tc>
          <w:tcPr>
            <w:tcW w:w="442" w:type="pct"/>
            <w:noWrap w:val="0"/>
            <w:tcMar>
              <w:top w:w="10" w:type="dxa"/>
              <w:left w:w="10" w:type="dxa"/>
              <w:right w:w="10" w:type="dxa"/>
            </w:tcMar>
            <w:vAlign w:val="center"/>
          </w:tcPr>
          <w:p w14:paraId="3EE5C040">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人员名册</w:t>
            </w:r>
          </w:p>
          <w:p w14:paraId="2D07DF25">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w:t>
            </w:r>
            <w:r>
              <w:rPr>
                <w:rFonts w:hint="eastAsia" w:ascii="宋体" w:hAnsi="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w:t>
            </w:r>
          </w:p>
        </w:tc>
        <w:tc>
          <w:tcPr>
            <w:tcW w:w="3802" w:type="pct"/>
            <w:noWrap w:val="0"/>
            <w:tcMar>
              <w:top w:w="10" w:type="dxa"/>
              <w:left w:w="10" w:type="dxa"/>
              <w:right w:w="10" w:type="dxa"/>
            </w:tcMar>
            <w:vAlign w:val="center"/>
          </w:tcPr>
          <w:p w14:paraId="69B655A4">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合同签订后五个工作日内需提供常驻人员</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人</w:t>
            </w:r>
            <w:r>
              <w:rPr>
                <w:rFonts w:hint="eastAsia" w:ascii="宋体" w:hAnsi="宋体" w:eastAsia="宋体" w:cs="宋体"/>
                <w:color w:val="auto"/>
                <w:kern w:val="0"/>
                <w:sz w:val="24"/>
                <w:highlight w:val="none"/>
                <w:lang w:val="en-US" w:eastAsia="zh-CN" w:bidi="ar"/>
              </w:rPr>
              <w:t>。岗</w:t>
            </w:r>
            <w:r>
              <w:rPr>
                <w:rFonts w:hint="eastAsia" w:ascii="宋体" w:hAnsi="宋体" w:cs="宋体"/>
                <w:color w:val="auto"/>
                <w:kern w:val="0"/>
                <w:sz w:val="24"/>
                <w:highlight w:val="none"/>
                <w:lang w:val="en-US" w:eastAsia="zh-CN" w:bidi="ar"/>
              </w:rPr>
              <w:t>位</w:t>
            </w:r>
            <w:r>
              <w:rPr>
                <w:rFonts w:hint="eastAsia" w:ascii="宋体" w:hAnsi="宋体" w:eastAsia="宋体" w:cs="宋体"/>
                <w:color w:val="auto"/>
                <w:kern w:val="0"/>
                <w:sz w:val="24"/>
                <w:highlight w:val="none"/>
                <w:lang w:val="en-US" w:eastAsia="zh-CN" w:bidi="ar"/>
              </w:rPr>
              <w:t>定责定人</w:t>
            </w:r>
            <w:r>
              <w:rPr>
                <w:rFonts w:hint="eastAsia" w:ascii="宋体" w:hAnsi="宋体" w:eastAsia="宋体" w:cs="宋体"/>
                <w:color w:val="auto"/>
                <w:kern w:val="0"/>
                <w:sz w:val="24"/>
                <w:highlight w:val="none"/>
                <w:lang w:bidi="ar"/>
              </w:rPr>
              <w:t>员花名册（包括策划、文稿撰写人员、媒体编辑人员、数字化运营人员等，岗位设置需符合</w:t>
            </w:r>
            <w:r>
              <w:rPr>
                <w:rFonts w:hint="eastAsia" w:ascii="宋体" w:hAnsi="宋体" w:cs="宋体"/>
                <w:color w:val="auto"/>
                <w:kern w:val="0"/>
                <w:sz w:val="24"/>
                <w:highlight w:val="none"/>
                <w:lang w:val="en-US" w:eastAsia="zh-CN" w:bidi="ar"/>
              </w:rPr>
              <w:t>南城</w:t>
            </w:r>
            <w:r>
              <w:rPr>
                <w:rFonts w:hint="eastAsia" w:ascii="宋体" w:hAnsi="宋体" w:eastAsia="宋体" w:cs="宋体"/>
                <w:color w:val="auto"/>
                <w:kern w:val="0"/>
                <w:sz w:val="24"/>
                <w:highlight w:val="none"/>
                <w:lang w:bidi="ar"/>
              </w:rPr>
              <w:t>社区</w:t>
            </w:r>
            <w:r>
              <w:rPr>
                <w:rFonts w:hint="eastAsia" w:ascii="宋体" w:hAnsi="宋体" w:cs="宋体"/>
                <w:color w:val="auto"/>
                <w:kern w:val="0"/>
                <w:sz w:val="24"/>
                <w:highlight w:val="none"/>
                <w:lang w:val="en-US" w:eastAsia="zh-CN" w:bidi="ar"/>
              </w:rPr>
              <w:t>项目</w:t>
            </w:r>
            <w:r>
              <w:rPr>
                <w:rFonts w:hint="eastAsia" w:ascii="宋体" w:hAnsi="宋体" w:eastAsia="宋体" w:cs="宋体"/>
                <w:color w:val="auto"/>
                <w:kern w:val="0"/>
                <w:sz w:val="24"/>
                <w:highlight w:val="none"/>
                <w:lang w:bidi="ar"/>
              </w:rPr>
              <w:t>要求，同时与</w:t>
            </w:r>
            <w:r>
              <w:rPr>
                <w:rFonts w:hint="eastAsia" w:ascii="宋体" w:hAnsi="宋体" w:cs="宋体"/>
                <w:color w:val="auto"/>
                <w:kern w:val="0"/>
                <w:sz w:val="24"/>
                <w:highlight w:val="none"/>
                <w:lang w:val="en-US" w:eastAsia="zh-CN" w:bidi="ar"/>
              </w:rPr>
              <w:t>镇</w:t>
            </w:r>
            <w:r>
              <w:rPr>
                <w:rFonts w:hint="eastAsia" w:ascii="宋体" w:hAnsi="宋体" w:eastAsia="宋体" w:cs="宋体"/>
                <w:color w:val="auto"/>
                <w:kern w:val="0"/>
                <w:sz w:val="24"/>
                <w:highlight w:val="none"/>
                <w:lang w:bidi="ar"/>
              </w:rPr>
              <w:t>和社区需求相匹配）、人员排班表、提供相关人员社保记录、劳动合同等资料。</w:t>
            </w:r>
          </w:p>
        </w:tc>
        <w:tc>
          <w:tcPr>
            <w:tcW w:w="192" w:type="pct"/>
            <w:noWrap/>
            <w:tcMar>
              <w:top w:w="10" w:type="dxa"/>
              <w:left w:w="10" w:type="dxa"/>
              <w:right w:w="10" w:type="dxa"/>
            </w:tcMar>
            <w:vAlign w:val="center"/>
          </w:tcPr>
          <w:p w14:paraId="28AB9718">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3</w:t>
            </w:r>
          </w:p>
        </w:tc>
        <w:tc>
          <w:tcPr>
            <w:tcW w:w="189" w:type="pct"/>
            <w:noWrap/>
            <w:tcMar>
              <w:top w:w="10" w:type="dxa"/>
              <w:left w:w="10" w:type="dxa"/>
              <w:right w:w="10" w:type="dxa"/>
            </w:tcMar>
            <w:vAlign w:val="center"/>
          </w:tcPr>
          <w:p w14:paraId="5BBDB928">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3</w:t>
            </w:r>
          </w:p>
        </w:tc>
      </w:tr>
      <w:tr w14:paraId="2963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73" w:type="pct"/>
            <w:vMerge w:val="continue"/>
            <w:noWrap w:val="0"/>
            <w:tcMar>
              <w:top w:w="10" w:type="dxa"/>
              <w:left w:w="10" w:type="dxa"/>
              <w:right w:w="10" w:type="dxa"/>
            </w:tcMar>
            <w:vAlign w:val="center"/>
          </w:tcPr>
          <w:p w14:paraId="3D7C2A7A">
            <w:pPr>
              <w:jc w:val="center"/>
              <w:rPr>
                <w:rFonts w:hint="eastAsia" w:ascii="宋体" w:hAnsi="宋体" w:eastAsia="宋体" w:cs="宋体"/>
                <w:b/>
                <w:color w:val="auto"/>
                <w:sz w:val="24"/>
                <w:highlight w:val="none"/>
              </w:rPr>
            </w:pPr>
          </w:p>
        </w:tc>
        <w:tc>
          <w:tcPr>
            <w:tcW w:w="442" w:type="pct"/>
            <w:noWrap w:val="0"/>
            <w:tcMar>
              <w:top w:w="10" w:type="dxa"/>
              <w:left w:w="10" w:type="dxa"/>
              <w:right w:w="10" w:type="dxa"/>
            </w:tcMar>
            <w:vAlign w:val="center"/>
          </w:tcPr>
          <w:p w14:paraId="77032218">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考勤</w:t>
            </w:r>
          </w:p>
          <w:p w14:paraId="61392E6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w:t>
            </w:r>
            <w:r>
              <w:rPr>
                <w:rFonts w:hint="eastAsia" w:ascii="宋体" w:hAnsi="宋体" w:cs="宋体"/>
                <w:color w:val="auto"/>
                <w:kern w:val="0"/>
                <w:sz w:val="24"/>
                <w:highlight w:val="none"/>
                <w:lang w:val="en-US" w:eastAsia="zh-CN" w:bidi="ar"/>
              </w:rPr>
              <w:t>4</w:t>
            </w:r>
            <w:r>
              <w:rPr>
                <w:rFonts w:hint="eastAsia" w:ascii="宋体" w:hAnsi="宋体" w:eastAsia="宋体" w:cs="宋体"/>
                <w:color w:val="auto"/>
                <w:kern w:val="0"/>
                <w:sz w:val="24"/>
                <w:highlight w:val="none"/>
                <w:lang w:bidi="ar"/>
              </w:rPr>
              <w:t>分）</w:t>
            </w:r>
          </w:p>
        </w:tc>
        <w:tc>
          <w:tcPr>
            <w:tcW w:w="3802" w:type="pct"/>
            <w:noWrap w:val="0"/>
            <w:tcMar>
              <w:top w:w="10" w:type="dxa"/>
              <w:left w:w="10" w:type="dxa"/>
              <w:right w:w="10" w:type="dxa"/>
            </w:tcMar>
            <w:vAlign w:val="center"/>
          </w:tcPr>
          <w:p w14:paraId="54CA5C2F">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无迟到早退现象（不含特殊原因提前请假），得2分；</w:t>
            </w:r>
          </w:p>
          <w:p w14:paraId="55C17991">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年度累计迟到早退每5人次扣1分（不含特殊原因提前请假）；提供钉钉打卡记录。</w:t>
            </w:r>
          </w:p>
        </w:tc>
        <w:tc>
          <w:tcPr>
            <w:tcW w:w="192" w:type="pct"/>
            <w:noWrap/>
            <w:tcMar>
              <w:top w:w="10" w:type="dxa"/>
              <w:left w:w="10" w:type="dxa"/>
              <w:right w:w="10" w:type="dxa"/>
            </w:tcMar>
            <w:vAlign w:val="center"/>
          </w:tcPr>
          <w:p w14:paraId="697168C3">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4</w:t>
            </w:r>
          </w:p>
        </w:tc>
        <w:tc>
          <w:tcPr>
            <w:tcW w:w="189" w:type="pct"/>
            <w:noWrap/>
            <w:tcMar>
              <w:top w:w="10" w:type="dxa"/>
              <w:left w:w="10" w:type="dxa"/>
              <w:right w:w="10" w:type="dxa"/>
            </w:tcMar>
            <w:vAlign w:val="center"/>
          </w:tcPr>
          <w:p w14:paraId="40B5DE10">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4</w:t>
            </w:r>
          </w:p>
        </w:tc>
      </w:tr>
      <w:tr w14:paraId="3027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73" w:type="pct"/>
            <w:vMerge w:val="continue"/>
            <w:noWrap w:val="0"/>
            <w:tcMar>
              <w:top w:w="10" w:type="dxa"/>
              <w:left w:w="10" w:type="dxa"/>
              <w:right w:w="10" w:type="dxa"/>
            </w:tcMar>
            <w:vAlign w:val="center"/>
          </w:tcPr>
          <w:p w14:paraId="1182EEC2">
            <w:pPr>
              <w:jc w:val="center"/>
              <w:rPr>
                <w:rFonts w:hint="eastAsia" w:ascii="宋体" w:hAnsi="宋体" w:eastAsia="宋体" w:cs="宋体"/>
                <w:b/>
                <w:color w:val="auto"/>
                <w:sz w:val="24"/>
                <w:highlight w:val="none"/>
              </w:rPr>
            </w:pPr>
          </w:p>
        </w:tc>
        <w:tc>
          <w:tcPr>
            <w:tcW w:w="442" w:type="pct"/>
            <w:noWrap w:val="0"/>
            <w:tcMar>
              <w:top w:w="10" w:type="dxa"/>
              <w:left w:w="10" w:type="dxa"/>
              <w:right w:w="10" w:type="dxa"/>
            </w:tcMar>
            <w:vAlign w:val="center"/>
          </w:tcPr>
          <w:p w14:paraId="343F197B">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人员稳定性</w:t>
            </w:r>
          </w:p>
          <w:p w14:paraId="7EE58DF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w:t>
            </w:r>
            <w:r>
              <w:rPr>
                <w:rFonts w:hint="eastAsia" w:ascii="宋体" w:hAnsi="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w:t>
            </w:r>
          </w:p>
        </w:tc>
        <w:tc>
          <w:tcPr>
            <w:tcW w:w="3802" w:type="pct"/>
            <w:noWrap w:val="0"/>
            <w:tcMar>
              <w:top w:w="10" w:type="dxa"/>
              <w:left w:w="10" w:type="dxa"/>
              <w:right w:w="10" w:type="dxa"/>
            </w:tcMar>
            <w:vAlign w:val="center"/>
          </w:tcPr>
          <w:p w14:paraId="6B2A65CC">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驻点工作人员一般不得更换得2分，如需更换人员需提前一个月社区</w:t>
            </w:r>
            <w:r>
              <w:rPr>
                <w:rFonts w:hint="eastAsia" w:ascii="宋体" w:hAnsi="宋体" w:eastAsia="宋体" w:cs="宋体"/>
                <w:color w:val="auto"/>
                <w:kern w:val="0"/>
                <w:sz w:val="24"/>
                <w:highlight w:val="none"/>
                <w:lang w:val="en-US" w:eastAsia="zh-CN" w:bidi="ar"/>
              </w:rPr>
              <w:t>报备。</w:t>
            </w:r>
          </w:p>
        </w:tc>
        <w:tc>
          <w:tcPr>
            <w:tcW w:w="192" w:type="pct"/>
            <w:noWrap/>
            <w:tcMar>
              <w:top w:w="10" w:type="dxa"/>
              <w:left w:w="10" w:type="dxa"/>
              <w:right w:w="10" w:type="dxa"/>
            </w:tcMar>
            <w:vAlign w:val="center"/>
          </w:tcPr>
          <w:p w14:paraId="672DA21D">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3</w:t>
            </w:r>
          </w:p>
        </w:tc>
        <w:tc>
          <w:tcPr>
            <w:tcW w:w="189" w:type="pct"/>
            <w:noWrap/>
            <w:tcMar>
              <w:top w:w="10" w:type="dxa"/>
              <w:left w:w="10" w:type="dxa"/>
              <w:right w:w="10" w:type="dxa"/>
            </w:tcMar>
            <w:vAlign w:val="center"/>
          </w:tcPr>
          <w:p w14:paraId="3DBD6CE5">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3</w:t>
            </w:r>
          </w:p>
        </w:tc>
      </w:tr>
      <w:tr w14:paraId="29EA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373" w:type="pct"/>
            <w:vMerge w:val="restart"/>
            <w:noWrap w:val="0"/>
            <w:tcMar>
              <w:top w:w="10" w:type="dxa"/>
              <w:left w:w="10" w:type="dxa"/>
              <w:right w:w="10" w:type="dxa"/>
            </w:tcMar>
            <w:vAlign w:val="center"/>
          </w:tcPr>
          <w:p w14:paraId="34B1CC52">
            <w:pPr>
              <w:widowControl/>
              <w:jc w:val="center"/>
              <w:textAlignment w:val="center"/>
              <w:rPr>
                <w:rFonts w:hint="eastAsia"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社区活动要求</w:t>
            </w:r>
          </w:p>
          <w:p w14:paraId="7FF896C8">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w:t>
            </w:r>
            <w:r>
              <w:rPr>
                <w:rFonts w:hint="eastAsia" w:ascii="宋体" w:hAnsi="宋体" w:cs="宋体"/>
                <w:b/>
                <w:color w:val="auto"/>
                <w:kern w:val="0"/>
                <w:sz w:val="24"/>
                <w:highlight w:val="none"/>
                <w:lang w:val="en-US" w:eastAsia="zh-CN" w:bidi="ar"/>
              </w:rPr>
              <w:t>30</w:t>
            </w:r>
            <w:r>
              <w:rPr>
                <w:rFonts w:hint="eastAsia" w:ascii="宋体" w:hAnsi="宋体" w:eastAsia="宋体" w:cs="宋体"/>
                <w:b/>
                <w:color w:val="auto"/>
                <w:kern w:val="0"/>
                <w:sz w:val="24"/>
                <w:highlight w:val="none"/>
                <w:lang w:bidi="ar"/>
              </w:rPr>
              <w:t>分）</w:t>
            </w:r>
          </w:p>
        </w:tc>
        <w:tc>
          <w:tcPr>
            <w:tcW w:w="442" w:type="pct"/>
            <w:vMerge w:val="restart"/>
            <w:noWrap w:val="0"/>
            <w:tcMar>
              <w:top w:w="10" w:type="dxa"/>
              <w:left w:w="10" w:type="dxa"/>
              <w:right w:w="10" w:type="dxa"/>
            </w:tcMar>
            <w:vAlign w:val="center"/>
          </w:tcPr>
          <w:p w14:paraId="06BE655E">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社区活动数量（</w:t>
            </w:r>
            <w:r>
              <w:rPr>
                <w:rFonts w:hint="eastAsia" w:ascii="宋体" w:hAnsi="宋体" w:cs="宋体"/>
                <w:color w:val="auto"/>
                <w:kern w:val="0"/>
                <w:sz w:val="24"/>
                <w:highlight w:val="none"/>
                <w:lang w:val="en-US" w:eastAsia="zh-CN" w:bidi="ar"/>
              </w:rPr>
              <w:t>25</w:t>
            </w:r>
            <w:r>
              <w:rPr>
                <w:rFonts w:hint="eastAsia" w:ascii="宋体" w:hAnsi="宋体" w:eastAsia="宋体" w:cs="宋体"/>
                <w:color w:val="auto"/>
                <w:kern w:val="0"/>
                <w:sz w:val="24"/>
                <w:highlight w:val="none"/>
                <w:lang w:bidi="ar"/>
              </w:rPr>
              <w:t>分）</w:t>
            </w:r>
          </w:p>
        </w:tc>
        <w:tc>
          <w:tcPr>
            <w:tcW w:w="3802" w:type="pct"/>
            <w:noWrap w:val="0"/>
            <w:tcMar>
              <w:top w:w="10" w:type="dxa"/>
              <w:left w:w="10" w:type="dxa"/>
              <w:right w:w="10" w:type="dxa"/>
            </w:tcMar>
            <w:vAlign w:val="center"/>
          </w:tcPr>
          <w:p w14:paraId="6D2797B4">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提交月度、季度、年度活动计划、每月汇报和总结，具体提交时间节点按照</w:t>
            </w:r>
            <w:r>
              <w:rPr>
                <w:rFonts w:hint="eastAsia" w:ascii="宋体" w:hAnsi="宋体" w:cs="宋体"/>
                <w:color w:val="auto"/>
                <w:kern w:val="0"/>
                <w:sz w:val="24"/>
                <w:highlight w:val="none"/>
                <w:lang w:val="en-US" w:eastAsia="zh-CN" w:bidi="ar"/>
              </w:rPr>
              <w:t>镇</w:t>
            </w:r>
            <w:r>
              <w:rPr>
                <w:rFonts w:hint="eastAsia" w:ascii="宋体" w:hAnsi="宋体" w:eastAsia="宋体" w:cs="宋体"/>
                <w:color w:val="auto"/>
                <w:kern w:val="0"/>
                <w:sz w:val="24"/>
                <w:highlight w:val="none"/>
                <w:lang w:bidi="ar"/>
              </w:rPr>
              <w:t>和社区要求，提交的资料要符合</w:t>
            </w:r>
            <w:r>
              <w:rPr>
                <w:rFonts w:hint="eastAsia" w:ascii="宋体" w:hAnsi="宋体" w:cs="宋体"/>
                <w:color w:val="auto"/>
                <w:kern w:val="0"/>
                <w:sz w:val="24"/>
                <w:highlight w:val="none"/>
                <w:lang w:val="en-US" w:eastAsia="zh-CN" w:bidi="ar"/>
              </w:rPr>
              <w:t>镇</w:t>
            </w:r>
            <w:r>
              <w:rPr>
                <w:rFonts w:hint="eastAsia" w:ascii="宋体" w:hAnsi="宋体" w:eastAsia="宋体" w:cs="宋体"/>
                <w:color w:val="auto"/>
                <w:kern w:val="0"/>
                <w:sz w:val="24"/>
                <w:highlight w:val="none"/>
                <w:lang w:bidi="ar"/>
              </w:rPr>
              <w:t>和社区要求。协助社区推进各项居民服务工作，协助</w:t>
            </w:r>
            <w:r>
              <w:rPr>
                <w:rFonts w:hint="eastAsia" w:ascii="宋体" w:hAnsi="宋体" w:cs="宋体"/>
                <w:color w:val="auto"/>
                <w:kern w:val="0"/>
                <w:sz w:val="24"/>
                <w:highlight w:val="none"/>
                <w:lang w:val="en-US" w:eastAsia="zh-CN" w:bidi="ar"/>
              </w:rPr>
              <w:t>镇</w:t>
            </w:r>
            <w:r>
              <w:rPr>
                <w:rFonts w:hint="eastAsia" w:ascii="宋体" w:hAnsi="宋体" w:eastAsia="宋体" w:cs="宋体"/>
                <w:color w:val="auto"/>
                <w:kern w:val="0"/>
                <w:sz w:val="24"/>
                <w:highlight w:val="none"/>
                <w:lang w:bidi="ar"/>
              </w:rPr>
              <w:t>推进与</w:t>
            </w:r>
            <w:r>
              <w:rPr>
                <w:rFonts w:hint="eastAsia" w:ascii="宋体" w:hAnsi="宋体" w:cs="宋体"/>
                <w:color w:val="auto"/>
                <w:kern w:val="0"/>
                <w:sz w:val="24"/>
                <w:highlight w:val="none"/>
                <w:lang w:val="en-US" w:eastAsia="zh-CN" w:bidi="ar"/>
              </w:rPr>
              <w:t>南城</w:t>
            </w:r>
            <w:r>
              <w:rPr>
                <w:rFonts w:hint="eastAsia" w:ascii="宋体" w:hAnsi="宋体" w:eastAsia="宋体" w:cs="宋体"/>
                <w:color w:val="auto"/>
                <w:kern w:val="0"/>
                <w:sz w:val="24"/>
                <w:highlight w:val="none"/>
                <w:lang w:bidi="ar"/>
              </w:rPr>
              <w:t>社区运营和规划相关的各项工作。</w:t>
            </w:r>
          </w:p>
        </w:tc>
        <w:tc>
          <w:tcPr>
            <w:tcW w:w="192" w:type="pct"/>
            <w:noWrap/>
            <w:tcMar>
              <w:top w:w="10" w:type="dxa"/>
              <w:left w:w="10" w:type="dxa"/>
              <w:right w:w="10" w:type="dxa"/>
            </w:tcMar>
            <w:vAlign w:val="center"/>
          </w:tcPr>
          <w:p w14:paraId="7697B738">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10</w:t>
            </w:r>
          </w:p>
        </w:tc>
        <w:tc>
          <w:tcPr>
            <w:tcW w:w="189" w:type="pct"/>
            <w:noWrap/>
            <w:tcMar>
              <w:top w:w="10" w:type="dxa"/>
              <w:left w:w="10" w:type="dxa"/>
              <w:right w:w="10" w:type="dxa"/>
            </w:tcMar>
            <w:vAlign w:val="center"/>
          </w:tcPr>
          <w:p w14:paraId="28459CED">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10</w:t>
            </w:r>
          </w:p>
        </w:tc>
      </w:tr>
      <w:tr w14:paraId="588B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373" w:type="pct"/>
            <w:vMerge w:val="continue"/>
            <w:noWrap w:val="0"/>
            <w:tcMar>
              <w:top w:w="10" w:type="dxa"/>
              <w:left w:w="10" w:type="dxa"/>
              <w:right w:w="10" w:type="dxa"/>
            </w:tcMar>
            <w:vAlign w:val="center"/>
          </w:tcPr>
          <w:p w14:paraId="51248A15">
            <w:pPr>
              <w:jc w:val="center"/>
              <w:rPr>
                <w:rFonts w:hint="eastAsia" w:ascii="宋体" w:hAnsi="宋体" w:eastAsia="宋体" w:cs="宋体"/>
                <w:b/>
                <w:color w:val="auto"/>
                <w:sz w:val="24"/>
                <w:highlight w:val="none"/>
              </w:rPr>
            </w:pPr>
          </w:p>
        </w:tc>
        <w:tc>
          <w:tcPr>
            <w:tcW w:w="442" w:type="pct"/>
            <w:vMerge w:val="continue"/>
            <w:noWrap w:val="0"/>
            <w:tcMar>
              <w:top w:w="10" w:type="dxa"/>
              <w:left w:w="10" w:type="dxa"/>
              <w:right w:w="10" w:type="dxa"/>
            </w:tcMar>
            <w:vAlign w:val="center"/>
          </w:tcPr>
          <w:p w14:paraId="12E46AC2">
            <w:pPr>
              <w:jc w:val="center"/>
              <w:rPr>
                <w:rFonts w:hint="eastAsia" w:ascii="宋体" w:hAnsi="宋体" w:eastAsia="宋体" w:cs="宋体"/>
                <w:color w:val="auto"/>
                <w:sz w:val="24"/>
                <w:highlight w:val="none"/>
              </w:rPr>
            </w:pPr>
          </w:p>
        </w:tc>
        <w:tc>
          <w:tcPr>
            <w:tcW w:w="3802" w:type="pct"/>
            <w:noWrap w:val="0"/>
            <w:tcMar>
              <w:top w:w="10" w:type="dxa"/>
              <w:left w:w="10" w:type="dxa"/>
              <w:right w:w="10" w:type="dxa"/>
            </w:tcMar>
            <w:vAlign w:val="center"/>
          </w:tcPr>
          <w:p w14:paraId="6580A7E2">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每年组织各类活动不少于</w:t>
            </w:r>
            <w:r>
              <w:rPr>
                <w:rFonts w:hint="eastAsia" w:ascii="宋体" w:hAnsi="宋体" w:cs="宋体"/>
                <w:color w:val="auto"/>
                <w:kern w:val="0"/>
                <w:sz w:val="24"/>
                <w:highlight w:val="none"/>
                <w:lang w:val="en-US" w:eastAsia="zh-CN" w:bidi="ar"/>
              </w:rPr>
              <w:t>70</w:t>
            </w:r>
            <w:r>
              <w:rPr>
                <w:rFonts w:hint="eastAsia" w:ascii="宋体" w:hAnsi="宋体" w:eastAsia="宋体" w:cs="宋体"/>
                <w:color w:val="auto"/>
                <w:kern w:val="0"/>
                <w:sz w:val="24"/>
                <w:highlight w:val="none"/>
                <w:lang w:bidi="ar"/>
              </w:rPr>
              <w:t>场，其中每周活动参与人次不少于</w:t>
            </w:r>
            <w:r>
              <w:rPr>
                <w:rFonts w:hint="eastAsia" w:ascii="宋体" w:hAnsi="宋体" w:cs="宋体"/>
                <w:color w:val="auto"/>
                <w:kern w:val="0"/>
                <w:sz w:val="24"/>
                <w:highlight w:val="none"/>
                <w:lang w:val="en-US" w:eastAsia="zh-CN" w:bidi="ar"/>
              </w:rPr>
              <w:t>40</w:t>
            </w:r>
            <w:r>
              <w:rPr>
                <w:rFonts w:hint="eastAsia" w:ascii="宋体" w:hAnsi="宋体" w:eastAsia="宋体" w:cs="宋体"/>
                <w:color w:val="auto"/>
                <w:kern w:val="0"/>
                <w:sz w:val="24"/>
                <w:highlight w:val="none"/>
                <w:lang w:bidi="ar"/>
              </w:rPr>
              <w:t>人次；其中参与人数不少于</w:t>
            </w:r>
            <w:r>
              <w:rPr>
                <w:rFonts w:hint="eastAsia" w:ascii="宋体" w:hAnsi="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00人次的大型活动不少于4场（活动不包含宴会活动），年度活动参与人次不少于</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万人次。组建</w:t>
            </w:r>
            <w:r>
              <w:rPr>
                <w:rFonts w:hint="eastAsia" w:ascii="宋体" w:hAnsi="宋体" w:cs="宋体"/>
                <w:color w:val="auto"/>
                <w:kern w:val="0"/>
                <w:sz w:val="24"/>
                <w:highlight w:val="none"/>
                <w:lang w:val="en-US" w:eastAsia="zh-CN" w:bidi="ar"/>
              </w:rPr>
              <w:t>4</w:t>
            </w:r>
            <w:r>
              <w:rPr>
                <w:rFonts w:hint="eastAsia" w:ascii="宋体" w:hAnsi="宋体" w:eastAsia="宋体" w:cs="宋体"/>
                <w:color w:val="auto"/>
                <w:kern w:val="0"/>
                <w:sz w:val="24"/>
                <w:highlight w:val="none"/>
                <w:lang w:bidi="ar"/>
              </w:rPr>
              <w:t>个以上的线上</w:t>
            </w:r>
            <w:r>
              <w:rPr>
                <w:rFonts w:hint="eastAsia" w:ascii="宋体" w:hAnsi="宋体" w:cs="宋体"/>
                <w:color w:val="auto"/>
                <w:kern w:val="0"/>
                <w:sz w:val="24"/>
                <w:highlight w:val="none"/>
                <w:lang w:val="en-US" w:eastAsia="zh-CN" w:bidi="ar"/>
              </w:rPr>
              <w:t>或</w:t>
            </w:r>
            <w:r>
              <w:rPr>
                <w:rFonts w:hint="eastAsia" w:ascii="宋体" w:hAnsi="宋体" w:eastAsia="宋体" w:cs="宋体"/>
                <w:color w:val="auto"/>
                <w:kern w:val="0"/>
                <w:sz w:val="24"/>
                <w:highlight w:val="none"/>
                <w:lang w:bidi="ar"/>
              </w:rPr>
              <w:t>线下邻里社群社团组织，其中线下不少于</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个，每年开展活动不少于</w:t>
            </w:r>
            <w:r>
              <w:rPr>
                <w:rFonts w:hint="eastAsia" w:ascii="宋体" w:hAnsi="宋体" w:cs="宋体"/>
                <w:color w:val="auto"/>
                <w:kern w:val="0"/>
                <w:sz w:val="24"/>
                <w:highlight w:val="none"/>
                <w:lang w:val="en-US" w:eastAsia="zh-CN" w:bidi="ar"/>
              </w:rPr>
              <w:t>4</w:t>
            </w:r>
            <w:r>
              <w:rPr>
                <w:rFonts w:hint="eastAsia" w:ascii="宋体" w:hAnsi="宋体" w:eastAsia="宋体" w:cs="宋体"/>
                <w:color w:val="auto"/>
                <w:kern w:val="0"/>
                <w:sz w:val="24"/>
                <w:highlight w:val="none"/>
                <w:lang w:bidi="ar"/>
              </w:rPr>
              <w:t>次。</w:t>
            </w:r>
          </w:p>
        </w:tc>
        <w:tc>
          <w:tcPr>
            <w:tcW w:w="192" w:type="pct"/>
            <w:noWrap/>
            <w:tcMar>
              <w:top w:w="10" w:type="dxa"/>
              <w:left w:w="10" w:type="dxa"/>
              <w:right w:w="10" w:type="dxa"/>
            </w:tcMar>
            <w:vAlign w:val="center"/>
          </w:tcPr>
          <w:p w14:paraId="2E03A7A5">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1</w:t>
            </w:r>
            <w:r>
              <w:rPr>
                <w:rFonts w:hint="eastAsia" w:ascii="宋体" w:hAnsi="宋体" w:cs="宋体"/>
                <w:color w:val="auto"/>
                <w:kern w:val="0"/>
                <w:sz w:val="24"/>
                <w:highlight w:val="none"/>
                <w:lang w:val="en-US" w:eastAsia="zh-CN" w:bidi="ar"/>
              </w:rPr>
              <w:t>5</w:t>
            </w:r>
          </w:p>
        </w:tc>
        <w:tc>
          <w:tcPr>
            <w:tcW w:w="189" w:type="pct"/>
            <w:vMerge w:val="restart"/>
            <w:noWrap/>
            <w:tcMar>
              <w:top w:w="10" w:type="dxa"/>
              <w:left w:w="10" w:type="dxa"/>
              <w:right w:w="10" w:type="dxa"/>
            </w:tcMar>
            <w:vAlign w:val="center"/>
          </w:tcPr>
          <w:p w14:paraId="17101955">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15</w:t>
            </w:r>
          </w:p>
        </w:tc>
      </w:tr>
      <w:tr w14:paraId="1389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373" w:type="pct"/>
            <w:vMerge w:val="continue"/>
            <w:noWrap w:val="0"/>
            <w:tcMar>
              <w:top w:w="10" w:type="dxa"/>
              <w:left w:w="10" w:type="dxa"/>
              <w:right w:w="10" w:type="dxa"/>
            </w:tcMar>
            <w:vAlign w:val="center"/>
          </w:tcPr>
          <w:p w14:paraId="68FD7AD4">
            <w:pPr>
              <w:jc w:val="center"/>
              <w:rPr>
                <w:rFonts w:hint="eastAsia" w:ascii="宋体" w:hAnsi="宋体" w:eastAsia="宋体" w:cs="宋体"/>
                <w:b/>
                <w:color w:val="auto"/>
                <w:sz w:val="24"/>
                <w:highlight w:val="none"/>
              </w:rPr>
            </w:pPr>
          </w:p>
        </w:tc>
        <w:tc>
          <w:tcPr>
            <w:tcW w:w="442" w:type="pct"/>
            <w:vMerge w:val="continue"/>
            <w:noWrap w:val="0"/>
            <w:tcMar>
              <w:top w:w="10" w:type="dxa"/>
              <w:left w:w="10" w:type="dxa"/>
              <w:right w:w="10" w:type="dxa"/>
            </w:tcMar>
            <w:vAlign w:val="center"/>
          </w:tcPr>
          <w:p w14:paraId="48EF3AD3">
            <w:pPr>
              <w:jc w:val="center"/>
              <w:rPr>
                <w:rFonts w:hint="eastAsia" w:ascii="宋体" w:hAnsi="宋体" w:eastAsia="宋体" w:cs="宋体"/>
                <w:color w:val="auto"/>
                <w:sz w:val="24"/>
                <w:highlight w:val="none"/>
              </w:rPr>
            </w:pPr>
          </w:p>
        </w:tc>
        <w:tc>
          <w:tcPr>
            <w:tcW w:w="3802" w:type="pct"/>
            <w:noWrap w:val="0"/>
            <w:tcMar>
              <w:top w:w="10" w:type="dxa"/>
              <w:left w:w="10" w:type="dxa"/>
              <w:right w:w="10" w:type="dxa"/>
            </w:tcMar>
            <w:vAlign w:val="center"/>
          </w:tcPr>
          <w:p w14:paraId="3EFC0EAA">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每年组织各类活动不少于</w:t>
            </w:r>
            <w:r>
              <w:rPr>
                <w:rFonts w:hint="eastAsia" w:ascii="宋体" w:hAnsi="宋体" w:cs="宋体"/>
                <w:color w:val="auto"/>
                <w:kern w:val="0"/>
                <w:sz w:val="24"/>
                <w:highlight w:val="none"/>
                <w:lang w:val="en-US" w:eastAsia="zh-CN" w:bidi="ar"/>
              </w:rPr>
              <w:t>60</w:t>
            </w:r>
            <w:r>
              <w:rPr>
                <w:rFonts w:hint="eastAsia" w:ascii="宋体" w:hAnsi="宋体" w:eastAsia="宋体" w:cs="宋体"/>
                <w:color w:val="auto"/>
                <w:kern w:val="0"/>
                <w:sz w:val="24"/>
                <w:highlight w:val="none"/>
                <w:lang w:bidi="ar"/>
              </w:rPr>
              <w:t>场，其中每周活动参与人次不少于</w:t>
            </w:r>
            <w:r>
              <w:rPr>
                <w:rFonts w:hint="eastAsia" w:ascii="宋体" w:hAnsi="宋体" w:cs="宋体"/>
                <w:color w:val="auto"/>
                <w:kern w:val="0"/>
                <w:sz w:val="24"/>
                <w:highlight w:val="none"/>
                <w:lang w:val="en-US" w:eastAsia="zh-CN" w:bidi="ar"/>
              </w:rPr>
              <w:t>30</w:t>
            </w:r>
            <w:r>
              <w:rPr>
                <w:rFonts w:hint="eastAsia" w:ascii="宋体" w:hAnsi="宋体" w:eastAsia="宋体" w:cs="宋体"/>
                <w:color w:val="auto"/>
                <w:kern w:val="0"/>
                <w:sz w:val="24"/>
                <w:highlight w:val="none"/>
                <w:lang w:bidi="ar"/>
              </w:rPr>
              <w:t>人次；其中参与人数不少于200人次的大型活动不少于3场（活动不包含宴会活动），年度活动参与人次不少于0.8万人次。组建</w:t>
            </w:r>
            <w:r>
              <w:rPr>
                <w:rFonts w:hint="eastAsia" w:ascii="宋体" w:hAnsi="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个以上的线上线下邻里社群社团组织，其中线下不少于</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个，每年开展活动不少于</w:t>
            </w:r>
            <w:r>
              <w:rPr>
                <w:rFonts w:hint="eastAsia" w:ascii="宋体" w:hAnsi="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次。</w:t>
            </w:r>
          </w:p>
        </w:tc>
        <w:tc>
          <w:tcPr>
            <w:tcW w:w="192" w:type="pct"/>
            <w:noWrap/>
            <w:tcMar>
              <w:top w:w="10" w:type="dxa"/>
              <w:left w:w="10" w:type="dxa"/>
              <w:right w:w="10" w:type="dxa"/>
            </w:tcMar>
            <w:vAlign w:val="center"/>
          </w:tcPr>
          <w:p w14:paraId="5B8A0B54">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1</w:t>
            </w:r>
            <w:r>
              <w:rPr>
                <w:rFonts w:hint="eastAsia" w:ascii="宋体" w:hAnsi="宋体" w:cs="宋体"/>
                <w:color w:val="auto"/>
                <w:kern w:val="0"/>
                <w:sz w:val="24"/>
                <w:highlight w:val="none"/>
                <w:lang w:val="en-US" w:eastAsia="zh-CN" w:bidi="ar"/>
              </w:rPr>
              <w:t>4</w:t>
            </w:r>
          </w:p>
        </w:tc>
        <w:tc>
          <w:tcPr>
            <w:tcW w:w="189" w:type="pct"/>
            <w:vMerge w:val="continue"/>
            <w:noWrap/>
            <w:tcMar>
              <w:top w:w="10" w:type="dxa"/>
              <w:left w:w="10" w:type="dxa"/>
              <w:right w:w="10" w:type="dxa"/>
            </w:tcMar>
            <w:vAlign w:val="center"/>
          </w:tcPr>
          <w:p w14:paraId="5500D42D">
            <w:pPr>
              <w:jc w:val="center"/>
              <w:rPr>
                <w:rFonts w:hint="eastAsia" w:ascii="宋体" w:hAnsi="宋体" w:eastAsia="宋体" w:cs="宋体"/>
                <w:color w:val="auto"/>
                <w:sz w:val="24"/>
                <w:highlight w:val="none"/>
              </w:rPr>
            </w:pPr>
          </w:p>
        </w:tc>
      </w:tr>
      <w:tr w14:paraId="2B31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373" w:type="pct"/>
            <w:vMerge w:val="continue"/>
            <w:noWrap w:val="0"/>
            <w:tcMar>
              <w:top w:w="10" w:type="dxa"/>
              <w:left w:w="10" w:type="dxa"/>
              <w:right w:w="10" w:type="dxa"/>
            </w:tcMar>
            <w:vAlign w:val="center"/>
          </w:tcPr>
          <w:p w14:paraId="2970A18E">
            <w:pPr>
              <w:jc w:val="center"/>
              <w:rPr>
                <w:rFonts w:hint="eastAsia" w:ascii="宋体" w:hAnsi="宋体" w:eastAsia="宋体" w:cs="宋体"/>
                <w:b/>
                <w:color w:val="auto"/>
                <w:sz w:val="24"/>
                <w:highlight w:val="none"/>
              </w:rPr>
            </w:pPr>
          </w:p>
        </w:tc>
        <w:tc>
          <w:tcPr>
            <w:tcW w:w="442" w:type="pct"/>
            <w:vMerge w:val="continue"/>
            <w:noWrap w:val="0"/>
            <w:tcMar>
              <w:top w:w="10" w:type="dxa"/>
              <w:left w:w="10" w:type="dxa"/>
              <w:right w:w="10" w:type="dxa"/>
            </w:tcMar>
            <w:vAlign w:val="center"/>
          </w:tcPr>
          <w:p w14:paraId="6228BC93">
            <w:pPr>
              <w:jc w:val="center"/>
              <w:rPr>
                <w:rFonts w:hint="eastAsia" w:ascii="宋体" w:hAnsi="宋体" w:eastAsia="宋体" w:cs="宋体"/>
                <w:color w:val="auto"/>
                <w:sz w:val="24"/>
                <w:highlight w:val="none"/>
              </w:rPr>
            </w:pPr>
          </w:p>
        </w:tc>
        <w:tc>
          <w:tcPr>
            <w:tcW w:w="3802" w:type="pct"/>
            <w:noWrap w:val="0"/>
            <w:tcMar>
              <w:top w:w="10" w:type="dxa"/>
              <w:left w:w="10" w:type="dxa"/>
              <w:right w:w="10" w:type="dxa"/>
            </w:tcMar>
            <w:vAlign w:val="center"/>
          </w:tcPr>
          <w:p w14:paraId="27FCE943">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每年组织各类活动不少于</w:t>
            </w:r>
            <w:r>
              <w:rPr>
                <w:rFonts w:hint="eastAsia" w:ascii="宋体" w:hAnsi="宋体" w:cs="宋体"/>
                <w:color w:val="auto"/>
                <w:kern w:val="0"/>
                <w:sz w:val="24"/>
                <w:highlight w:val="none"/>
                <w:lang w:val="en-US" w:eastAsia="zh-CN" w:bidi="ar"/>
              </w:rPr>
              <w:t>50</w:t>
            </w:r>
            <w:r>
              <w:rPr>
                <w:rFonts w:hint="eastAsia" w:ascii="宋体" w:hAnsi="宋体" w:eastAsia="宋体" w:cs="宋体"/>
                <w:color w:val="auto"/>
                <w:kern w:val="0"/>
                <w:sz w:val="24"/>
                <w:highlight w:val="none"/>
                <w:lang w:bidi="ar"/>
              </w:rPr>
              <w:t>场，其中每周活动参与人次不少于</w:t>
            </w:r>
            <w:r>
              <w:rPr>
                <w:rFonts w:hint="eastAsia" w:ascii="宋体" w:hAnsi="宋体" w:cs="宋体"/>
                <w:color w:val="auto"/>
                <w:kern w:val="0"/>
                <w:sz w:val="24"/>
                <w:highlight w:val="none"/>
                <w:lang w:val="en-US" w:eastAsia="zh-CN" w:bidi="ar"/>
              </w:rPr>
              <w:t>20</w:t>
            </w:r>
            <w:r>
              <w:rPr>
                <w:rFonts w:hint="eastAsia" w:ascii="宋体" w:hAnsi="宋体" w:eastAsia="宋体" w:cs="宋体"/>
                <w:color w:val="auto"/>
                <w:kern w:val="0"/>
                <w:sz w:val="24"/>
                <w:highlight w:val="none"/>
                <w:lang w:bidi="ar"/>
              </w:rPr>
              <w:t>人次；其中参与人数不少于</w:t>
            </w:r>
            <w:r>
              <w:rPr>
                <w:rFonts w:hint="eastAsia" w:ascii="宋体" w:hAnsi="宋体" w:cs="宋体"/>
                <w:color w:val="auto"/>
                <w:kern w:val="0"/>
                <w:sz w:val="24"/>
                <w:highlight w:val="none"/>
                <w:lang w:val="en-US" w:eastAsia="zh-CN" w:bidi="ar"/>
              </w:rPr>
              <w:t>15</w:t>
            </w:r>
            <w:r>
              <w:rPr>
                <w:rFonts w:hint="eastAsia" w:ascii="宋体" w:hAnsi="宋体" w:eastAsia="宋体" w:cs="宋体"/>
                <w:color w:val="auto"/>
                <w:kern w:val="0"/>
                <w:sz w:val="24"/>
                <w:highlight w:val="none"/>
                <w:lang w:bidi="ar"/>
              </w:rPr>
              <w:t>0人次的大型活动不少于3场（活动不包含宴会活动），年度活动参与人次不少于0.7万人次。组建</w:t>
            </w:r>
            <w:r>
              <w:rPr>
                <w:rFonts w:hint="eastAsia" w:ascii="宋体" w:hAnsi="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个以上的线上线下邻里社群社团组织，其中线下不少于</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个，每年开展活动不少于</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次。</w:t>
            </w:r>
          </w:p>
        </w:tc>
        <w:tc>
          <w:tcPr>
            <w:tcW w:w="192" w:type="pct"/>
            <w:noWrap/>
            <w:tcMar>
              <w:top w:w="10" w:type="dxa"/>
              <w:left w:w="10" w:type="dxa"/>
              <w:right w:w="10" w:type="dxa"/>
            </w:tcMar>
            <w:vAlign w:val="center"/>
          </w:tcPr>
          <w:p w14:paraId="6BCE6787">
            <w:pPr>
              <w:widowControl/>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1</w:t>
            </w:r>
            <w:r>
              <w:rPr>
                <w:rFonts w:hint="eastAsia" w:ascii="宋体" w:hAnsi="宋体" w:cs="宋体"/>
                <w:color w:val="auto"/>
                <w:kern w:val="0"/>
                <w:sz w:val="24"/>
                <w:highlight w:val="none"/>
                <w:lang w:val="en-US" w:eastAsia="zh-CN" w:bidi="ar"/>
              </w:rPr>
              <w:t>3</w:t>
            </w:r>
          </w:p>
        </w:tc>
        <w:tc>
          <w:tcPr>
            <w:tcW w:w="189" w:type="pct"/>
            <w:vMerge w:val="continue"/>
            <w:noWrap/>
            <w:tcMar>
              <w:top w:w="10" w:type="dxa"/>
              <w:left w:w="10" w:type="dxa"/>
              <w:right w:w="10" w:type="dxa"/>
            </w:tcMar>
            <w:vAlign w:val="center"/>
          </w:tcPr>
          <w:p w14:paraId="100BAEE5">
            <w:pPr>
              <w:jc w:val="center"/>
              <w:rPr>
                <w:rFonts w:hint="eastAsia" w:ascii="宋体" w:hAnsi="宋体" w:eastAsia="宋体" w:cs="宋体"/>
                <w:color w:val="auto"/>
                <w:sz w:val="24"/>
                <w:highlight w:val="none"/>
              </w:rPr>
            </w:pPr>
          </w:p>
        </w:tc>
      </w:tr>
      <w:tr w14:paraId="704D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373" w:type="pct"/>
            <w:vMerge w:val="continue"/>
            <w:noWrap w:val="0"/>
            <w:tcMar>
              <w:top w:w="10" w:type="dxa"/>
              <w:left w:w="10" w:type="dxa"/>
              <w:right w:w="10" w:type="dxa"/>
            </w:tcMar>
            <w:vAlign w:val="center"/>
          </w:tcPr>
          <w:p w14:paraId="0B6FE2B7">
            <w:pPr>
              <w:jc w:val="center"/>
              <w:rPr>
                <w:rFonts w:hint="eastAsia" w:ascii="宋体" w:hAnsi="宋体" w:eastAsia="宋体" w:cs="宋体"/>
                <w:b/>
                <w:color w:val="auto"/>
                <w:sz w:val="24"/>
                <w:highlight w:val="none"/>
              </w:rPr>
            </w:pPr>
          </w:p>
        </w:tc>
        <w:tc>
          <w:tcPr>
            <w:tcW w:w="442" w:type="pct"/>
            <w:vMerge w:val="continue"/>
            <w:noWrap w:val="0"/>
            <w:tcMar>
              <w:top w:w="10" w:type="dxa"/>
              <w:left w:w="10" w:type="dxa"/>
              <w:right w:w="10" w:type="dxa"/>
            </w:tcMar>
            <w:vAlign w:val="center"/>
          </w:tcPr>
          <w:p w14:paraId="4F45B452">
            <w:pPr>
              <w:jc w:val="center"/>
              <w:rPr>
                <w:rFonts w:hint="eastAsia" w:ascii="宋体" w:hAnsi="宋体" w:eastAsia="宋体" w:cs="宋体"/>
                <w:color w:val="auto"/>
                <w:sz w:val="24"/>
                <w:highlight w:val="none"/>
              </w:rPr>
            </w:pPr>
          </w:p>
        </w:tc>
        <w:tc>
          <w:tcPr>
            <w:tcW w:w="3802" w:type="pct"/>
            <w:noWrap w:val="0"/>
            <w:tcMar>
              <w:top w:w="10" w:type="dxa"/>
              <w:left w:w="10" w:type="dxa"/>
              <w:right w:w="10" w:type="dxa"/>
            </w:tcMar>
            <w:vAlign w:val="center"/>
          </w:tcPr>
          <w:p w14:paraId="6CD49C4B">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每年组织各类活动不少于</w:t>
            </w:r>
            <w:r>
              <w:rPr>
                <w:rFonts w:hint="eastAsia" w:ascii="宋体" w:hAnsi="宋体" w:cs="宋体"/>
                <w:color w:val="auto"/>
                <w:kern w:val="0"/>
                <w:sz w:val="24"/>
                <w:highlight w:val="none"/>
                <w:lang w:val="en-US" w:eastAsia="zh-CN" w:bidi="ar"/>
              </w:rPr>
              <w:t>40</w:t>
            </w:r>
            <w:r>
              <w:rPr>
                <w:rFonts w:hint="eastAsia" w:ascii="宋体" w:hAnsi="宋体" w:eastAsia="宋体" w:cs="宋体"/>
                <w:color w:val="auto"/>
                <w:kern w:val="0"/>
                <w:sz w:val="24"/>
                <w:highlight w:val="none"/>
                <w:lang w:bidi="ar"/>
              </w:rPr>
              <w:t>场，其中每周活动参与人次不少于</w:t>
            </w:r>
            <w:r>
              <w:rPr>
                <w:rFonts w:hint="eastAsia" w:ascii="宋体" w:hAnsi="宋体" w:cs="宋体"/>
                <w:color w:val="auto"/>
                <w:kern w:val="0"/>
                <w:sz w:val="24"/>
                <w:highlight w:val="none"/>
                <w:lang w:val="en-US" w:eastAsia="zh-CN" w:bidi="ar"/>
              </w:rPr>
              <w:t>15</w:t>
            </w:r>
            <w:r>
              <w:rPr>
                <w:rFonts w:hint="eastAsia" w:ascii="宋体" w:hAnsi="宋体" w:eastAsia="宋体" w:cs="宋体"/>
                <w:color w:val="auto"/>
                <w:kern w:val="0"/>
                <w:sz w:val="24"/>
                <w:highlight w:val="none"/>
                <w:lang w:bidi="ar"/>
              </w:rPr>
              <w:t>人次；其中参与人数不少于</w:t>
            </w:r>
            <w:r>
              <w:rPr>
                <w:rFonts w:hint="eastAsia" w:ascii="宋体" w:hAnsi="宋体" w:cs="宋体"/>
                <w:color w:val="auto"/>
                <w:kern w:val="0"/>
                <w:sz w:val="24"/>
                <w:highlight w:val="none"/>
                <w:lang w:val="en-US" w:eastAsia="zh-CN" w:bidi="ar"/>
              </w:rPr>
              <w:t>10</w:t>
            </w:r>
            <w:r>
              <w:rPr>
                <w:rFonts w:hint="eastAsia" w:ascii="宋体" w:hAnsi="宋体" w:eastAsia="宋体" w:cs="宋体"/>
                <w:color w:val="auto"/>
                <w:kern w:val="0"/>
                <w:sz w:val="24"/>
                <w:highlight w:val="none"/>
                <w:lang w:bidi="ar"/>
              </w:rPr>
              <w:t>0人次的大型活动不少于2场（活动不包含宴会活动），年度活动参与人次不少于0.6万人次。组建</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个以上的线上线下邻里社群社团组织，每年开展活动不少于</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次。</w:t>
            </w:r>
          </w:p>
        </w:tc>
        <w:tc>
          <w:tcPr>
            <w:tcW w:w="192" w:type="pct"/>
            <w:noWrap/>
            <w:tcMar>
              <w:top w:w="10" w:type="dxa"/>
              <w:left w:w="10" w:type="dxa"/>
              <w:right w:w="10" w:type="dxa"/>
            </w:tcMar>
            <w:vAlign w:val="center"/>
          </w:tcPr>
          <w:p w14:paraId="7D310257">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10</w:t>
            </w:r>
          </w:p>
        </w:tc>
        <w:tc>
          <w:tcPr>
            <w:tcW w:w="189" w:type="pct"/>
            <w:vMerge w:val="continue"/>
            <w:noWrap/>
            <w:tcMar>
              <w:top w:w="10" w:type="dxa"/>
              <w:left w:w="10" w:type="dxa"/>
              <w:right w:w="10" w:type="dxa"/>
            </w:tcMar>
            <w:vAlign w:val="center"/>
          </w:tcPr>
          <w:p w14:paraId="2FFA7348">
            <w:pPr>
              <w:jc w:val="center"/>
              <w:rPr>
                <w:rFonts w:hint="eastAsia" w:ascii="宋体" w:hAnsi="宋体" w:eastAsia="宋体" w:cs="宋体"/>
                <w:color w:val="auto"/>
                <w:sz w:val="24"/>
                <w:highlight w:val="none"/>
              </w:rPr>
            </w:pPr>
          </w:p>
        </w:tc>
      </w:tr>
      <w:tr w14:paraId="19F0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73" w:type="pct"/>
            <w:vMerge w:val="continue"/>
            <w:noWrap w:val="0"/>
            <w:tcMar>
              <w:top w:w="10" w:type="dxa"/>
              <w:left w:w="10" w:type="dxa"/>
              <w:right w:w="10" w:type="dxa"/>
            </w:tcMar>
            <w:vAlign w:val="center"/>
          </w:tcPr>
          <w:p w14:paraId="39BF2855">
            <w:pPr>
              <w:jc w:val="center"/>
              <w:rPr>
                <w:rFonts w:hint="eastAsia" w:ascii="宋体" w:hAnsi="宋体" w:eastAsia="宋体" w:cs="宋体"/>
                <w:b/>
                <w:color w:val="auto"/>
                <w:sz w:val="24"/>
                <w:highlight w:val="none"/>
              </w:rPr>
            </w:pPr>
          </w:p>
        </w:tc>
        <w:tc>
          <w:tcPr>
            <w:tcW w:w="442" w:type="pct"/>
            <w:vMerge w:val="restart"/>
            <w:noWrap w:val="0"/>
            <w:tcMar>
              <w:top w:w="10" w:type="dxa"/>
              <w:left w:w="10" w:type="dxa"/>
              <w:right w:w="10" w:type="dxa"/>
            </w:tcMar>
            <w:vAlign w:val="center"/>
          </w:tcPr>
          <w:p w14:paraId="7511CF5A">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各群团及条线活动品牌创建（5分）</w:t>
            </w:r>
          </w:p>
        </w:tc>
        <w:tc>
          <w:tcPr>
            <w:tcW w:w="3802" w:type="pct"/>
            <w:vMerge w:val="restart"/>
            <w:noWrap w:val="0"/>
            <w:tcMar>
              <w:top w:w="10" w:type="dxa"/>
              <w:left w:w="10" w:type="dxa"/>
              <w:right w:w="10" w:type="dxa"/>
            </w:tcMar>
            <w:vAlign w:val="center"/>
          </w:tcPr>
          <w:p w14:paraId="4B2363DB">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社群及社团组建，完成社区流量吸引，与居民达成互联互通；根据</w:t>
            </w:r>
            <w:r>
              <w:rPr>
                <w:rFonts w:hint="eastAsia" w:ascii="宋体" w:hAnsi="宋体" w:cs="宋体"/>
                <w:color w:val="auto"/>
                <w:kern w:val="0"/>
                <w:sz w:val="24"/>
                <w:highlight w:val="none"/>
                <w:lang w:val="en-US" w:eastAsia="zh-CN" w:bidi="ar"/>
              </w:rPr>
              <w:t>镇</w:t>
            </w:r>
            <w:r>
              <w:rPr>
                <w:rFonts w:hint="eastAsia" w:ascii="宋体" w:hAnsi="宋体" w:eastAsia="宋体" w:cs="宋体"/>
                <w:color w:val="auto"/>
                <w:kern w:val="0"/>
                <w:sz w:val="24"/>
                <w:highlight w:val="none"/>
                <w:lang w:bidi="ar"/>
              </w:rPr>
              <w:t>相关条线及社区的安排，以主题、特色、系列的方式开展和创建特色品牌不少于</w:t>
            </w:r>
            <w:r>
              <w:rPr>
                <w:rFonts w:hint="eastAsia" w:ascii="宋体" w:hAnsi="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个（品牌类型和数量由社区制定）</w:t>
            </w:r>
          </w:p>
        </w:tc>
        <w:tc>
          <w:tcPr>
            <w:tcW w:w="192" w:type="pct"/>
            <w:vMerge w:val="restart"/>
            <w:noWrap/>
            <w:tcMar>
              <w:top w:w="10" w:type="dxa"/>
              <w:left w:w="10" w:type="dxa"/>
              <w:right w:w="10" w:type="dxa"/>
            </w:tcMar>
            <w:vAlign w:val="center"/>
          </w:tcPr>
          <w:p w14:paraId="7C0E105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c>
          <w:tcPr>
            <w:tcW w:w="189" w:type="pct"/>
            <w:vMerge w:val="restart"/>
            <w:noWrap/>
            <w:tcMar>
              <w:top w:w="10" w:type="dxa"/>
              <w:left w:w="10" w:type="dxa"/>
              <w:right w:w="10" w:type="dxa"/>
            </w:tcMar>
            <w:vAlign w:val="center"/>
          </w:tcPr>
          <w:p w14:paraId="77D2067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r>
      <w:tr w14:paraId="35ED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73" w:type="pct"/>
            <w:vMerge w:val="continue"/>
            <w:noWrap w:val="0"/>
            <w:tcMar>
              <w:top w:w="10" w:type="dxa"/>
              <w:left w:w="10" w:type="dxa"/>
              <w:right w:w="10" w:type="dxa"/>
            </w:tcMar>
            <w:vAlign w:val="center"/>
          </w:tcPr>
          <w:p w14:paraId="2193D8AE">
            <w:pPr>
              <w:jc w:val="center"/>
              <w:rPr>
                <w:rFonts w:hint="eastAsia" w:ascii="宋体" w:hAnsi="宋体" w:eastAsia="宋体" w:cs="宋体"/>
                <w:b/>
                <w:color w:val="auto"/>
                <w:sz w:val="24"/>
                <w:highlight w:val="none"/>
              </w:rPr>
            </w:pPr>
          </w:p>
        </w:tc>
        <w:tc>
          <w:tcPr>
            <w:tcW w:w="442" w:type="pct"/>
            <w:vMerge w:val="continue"/>
            <w:noWrap w:val="0"/>
            <w:tcMar>
              <w:top w:w="10" w:type="dxa"/>
              <w:left w:w="10" w:type="dxa"/>
              <w:right w:w="10" w:type="dxa"/>
            </w:tcMar>
            <w:vAlign w:val="center"/>
          </w:tcPr>
          <w:p w14:paraId="44F9F89A">
            <w:pPr>
              <w:jc w:val="center"/>
              <w:rPr>
                <w:rFonts w:hint="eastAsia" w:ascii="宋体" w:hAnsi="宋体" w:eastAsia="宋体" w:cs="宋体"/>
                <w:color w:val="auto"/>
                <w:sz w:val="24"/>
                <w:highlight w:val="none"/>
              </w:rPr>
            </w:pPr>
          </w:p>
        </w:tc>
        <w:tc>
          <w:tcPr>
            <w:tcW w:w="3802" w:type="pct"/>
            <w:vMerge w:val="continue"/>
            <w:noWrap w:val="0"/>
            <w:tcMar>
              <w:top w:w="10" w:type="dxa"/>
              <w:left w:w="10" w:type="dxa"/>
              <w:right w:w="10" w:type="dxa"/>
            </w:tcMar>
            <w:vAlign w:val="center"/>
          </w:tcPr>
          <w:p w14:paraId="4640BFD5">
            <w:pPr>
              <w:jc w:val="left"/>
              <w:rPr>
                <w:rFonts w:hint="eastAsia" w:ascii="宋体" w:hAnsi="宋体" w:eastAsia="宋体" w:cs="宋体"/>
                <w:color w:val="auto"/>
                <w:sz w:val="24"/>
                <w:highlight w:val="none"/>
              </w:rPr>
            </w:pPr>
          </w:p>
        </w:tc>
        <w:tc>
          <w:tcPr>
            <w:tcW w:w="192" w:type="pct"/>
            <w:vMerge w:val="continue"/>
            <w:noWrap/>
            <w:tcMar>
              <w:top w:w="10" w:type="dxa"/>
              <w:left w:w="10" w:type="dxa"/>
              <w:right w:w="10" w:type="dxa"/>
            </w:tcMar>
            <w:vAlign w:val="center"/>
          </w:tcPr>
          <w:p w14:paraId="545C7DA4">
            <w:pPr>
              <w:jc w:val="center"/>
              <w:rPr>
                <w:rFonts w:hint="eastAsia" w:ascii="宋体" w:hAnsi="宋体" w:eastAsia="宋体" w:cs="宋体"/>
                <w:color w:val="auto"/>
                <w:sz w:val="24"/>
                <w:highlight w:val="none"/>
              </w:rPr>
            </w:pPr>
          </w:p>
        </w:tc>
        <w:tc>
          <w:tcPr>
            <w:tcW w:w="189" w:type="pct"/>
            <w:vMerge w:val="continue"/>
            <w:noWrap/>
            <w:tcMar>
              <w:top w:w="10" w:type="dxa"/>
              <w:left w:w="10" w:type="dxa"/>
              <w:right w:w="10" w:type="dxa"/>
            </w:tcMar>
            <w:vAlign w:val="center"/>
          </w:tcPr>
          <w:p w14:paraId="676ED1DF">
            <w:pPr>
              <w:jc w:val="center"/>
              <w:rPr>
                <w:rFonts w:hint="eastAsia" w:ascii="宋体" w:hAnsi="宋体" w:eastAsia="宋体" w:cs="宋体"/>
                <w:color w:val="auto"/>
                <w:sz w:val="24"/>
                <w:highlight w:val="none"/>
              </w:rPr>
            </w:pPr>
          </w:p>
        </w:tc>
      </w:tr>
      <w:tr w14:paraId="7536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373" w:type="pct"/>
            <w:vMerge w:val="restart"/>
            <w:noWrap w:val="0"/>
            <w:tcMar>
              <w:top w:w="10" w:type="dxa"/>
              <w:left w:w="10" w:type="dxa"/>
              <w:right w:w="10" w:type="dxa"/>
            </w:tcMar>
            <w:vAlign w:val="center"/>
          </w:tcPr>
          <w:p w14:paraId="4D97ABB8">
            <w:pPr>
              <w:widowControl/>
              <w:jc w:val="center"/>
              <w:textAlignment w:val="center"/>
              <w:rPr>
                <w:rFonts w:hint="eastAsia"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媒体运营</w:t>
            </w:r>
          </w:p>
          <w:p w14:paraId="48582323">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 1</w:t>
            </w:r>
            <w:r>
              <w:rPr>
                <w:rFonts w:hint="eastAsia" w:ascii="宋体" w:hAnsi="宋体" w:cs="宋体"/>
                <w:b/>
                <w:color w:val="auto"/>
                <w:kern w:val="0"/>
                <w:sz w:val="24"/>
                <w:highlight w:val="none"/>
                <w:lang w:val="en-US" w:eastAsia="zh-CN" w:bidi="ar"/>
              </w:rPr>
              <w:t>0</w:t>
            </w:r>
            <w:r>
              <w:rPr>
                <w:rFonts w:hint="eastAsia" w:ascii="宋体" w:hAnsi="宋体" w:eastAsia="宋体" w:cs="宋体"/>
                <w:b/>
                <w:color w:val="auto"/>
                <w:kern w:val="0"/>
                <w:sz w:val="24"/>
                <w:highlight w:val="none"/>
                <w:lang w:bidi="ar"/>
              </w:rPr>
              <w:t>分）</w:t>
            </w:r>
          </w:p>
        </w:tc>
        <w:tc>
          <w:tcPr>
            <w:tcW w:w="442" w:type="pct"/>
            <w:vMerge w:val="restart"/>
            <w:noWrap w:val="0"/>
            <w:tcMar>
              <w:top w:w="10" w:type="dxa"/>
              <w:left w:w="10" w:type="dxa"/>
              <w:right w:w="10" w:type="dxa"/>
            </w:tcMar>
            <w:vAlign w:val="center"/>
          </w:tcPr>
          <w:p w14:paraId="5ED464DB">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媒体报道发布（包括纸媒、新闻稿发布、活动预告总结、小视频发布等）</w:t>
            </w:r>
          </w:p>
          <w:p w14:paraId="6B9EB15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r>
              <w:rPr>
                <w:rFonts w:hint="eastAsia" w:ascii="宋体" w:hAnsi="宋体" w:cs="宋体"/>
                <w:color w:val="auto"/>
                <w:kern w:val="0"/>
                <w:sz w:val="24"/>
                <w:highlight w:val="none"/>
                <w:lang w:val="en-US" w:eastAsia="zh-CN" w:bidi="ar"/>
              </w:rPr>
              <w:t>0</w:t>
            </w:r>
            <w:r>
              <w:rPr>
                <w:rFonts w:hint="eastAsia" w:ascii="宋体" w:hAnsi="宋体" w:eastAsia="宋体" w:cs="宋体"/>
                <w:color w:val="auto"/>
                <w:kern w:val="0"/>
                <w:sz w:val="24"/>
                <w:highlight w:val="none"/>
                <w:lang w:bidi="ar"/>
              </w:rPr>
              <w:t>分）</w:t>
            </w:r>
          </w:p>
        </w:tc>
        <w:tc>
          <w:tcPr>
            <w:tcW w:w="3802" w:type="pct"/>
            <w:noWrap w:val="0"/>
            <w:tcMar>
              <w:top w:w="10" w:type="dxa"/>
              <w:left w:w="10" w:type="dxa"/>
              <w:right w:w="10" w:type="dxa"/>
            </w:tcMar>
            <w:vAlign w:val="center"/>
          </w:tcPr>
          <w:p w14:paraId="63A88AF6">
            <w:pPr>
              <w:widowControl/>
              <w:jc w:val="left"/>
              <w:textAlignment w:val="center"/>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次市级媒体报道。整篇录用，每篇</w:t>
            </w:r>
            <w:r>
              <w:rPr>
                <w:rFonts w:hint="eastAsia" w:ascii="宋体" w:hAnsi="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分；没有不得分。</w:t>
            </w:r>
          </w:p>
        </w:tc>
        <w:tc>
          <w:tcPr>
            <w:tcW w:w="192" w:type="pct"/>
            <w:noWrap/>
            <w:tcMar>
              <w:top w:w="10" w:type="dxa"/>
              <w:left w:w="10" w:type="dxa"/>
              <w:right w:w="10" w:type="dxa"/>
            </w:tcMar>
            <w:vAlign w:val="center"/>
          </w:tcPr>
          <w:p w14:paraId="4898F41C">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89" w:type="pct"/>
            <w:noWrap/>
            <w:tcMar>
              <w:top w:w="10" w:type="dxa"/>
              <w:left w:w="10" w:type="dxa"/>
              <w:right w:w="10" w:type="dxa"/>
            </w:tcMar>
            <w:vAlign w:val="center"/>
          </w:tcPr>
          <w:p w14:paraId="21F1625A">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r>
      <w:tr w14:paraId="1A30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373" w:type="pct"/>
            <w:vMerge w:val="continue"/>
            <w:noWrap w:val="0"/>
            <w:tcMar>
              <w:top w:w="10" w:type="dxa"/>
              <w:left w:w="10" w:type="dxa"/>
              <w:right w:w="10" w:type="dxa"/>
            </w:tcMar>
            <w:vAlign w:val="center"/>
          </w:tcPr>
          <w:p w14:paraId="1190C814">
            <w:pPr>
              <w:jc w:val="center"/>
              <w:rPr>
                <w:rFonts w:hint="eastAsia" w:ascii="宋体" w:hAnsi="宋体" w:eastAsia="宋体" w:cs="宋体"/>
                <w:b/>
                <w:color w:val="auto"/>
                <w:sz w:val="24"/>
                <w:highlight w:val="none"/>
              </w:rPr>
            </w:pPr>
          </w:p>
        </w:tc>
        <w:tc>
          <w:tcPr>
            <w:tcW w:w="442" w:type="pct"/>
            <w:vMerge w:val="continue"/>
            <w:noWrap w:val="0"/>
            <w:tcMar>
              <w:top w:w="10" w:type="dxa"/>
              <w:left w:w="10" w:type="dxa"/>
              <w:right w:w="10" w:type="dxa"/>
            </w:tcMar>
            <w:vAlign w:val="center"/>
          </w:tcPr>
          <w:p w14:paraId="20BA10B0">
            <w:pPr>
              <w:jc w:val="center"/>
              <w:rPr>
                <w:rFonts w:hint="eastAsia" w:ascii="宋体" w:hAnsi="宋体" w:eastAsia="宋体" w:cs="宋体"/>
                <w:color w:val="auto"/>
                <w:sz w:val="24"/>
                <w:highlight w:val="none"/>
              </w:rPr>
            </w:pPr>
          </w:p>
        </w:tc>
        <w:tc>
          <w:tcPr>
            <w:tcW w:w="3802" w:type="pct"/>
            <w:noWrap w:val="0"/>
            <w:tcMar>
              <w:top w:w="10" w:type="dxa"/>
              <w:left w:w="10" w:type="dxa"/>
              <w:right w:w="10" w:type="dxa"/>
            </w:tcMar>
            <w:vAlign w:val="center"/>
          </w:tcPr>
          <w:p w14:paraId="0CB9A7F3">
            <w:pPr>
              <w:widowControl/>
              <w:jc w:val="left"/>
              <w:textAlignment w:val="center"/>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次区级媒体报道。整篇录用，每篇</w:t>
            </w:r>
            <w:r>
              <w:rPr>
                <w:rFonts w:hint="eastAsia" w:ascii="宋体" w:hAnsi="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分；没有不得分。</w:t>
            </w:r>
          </w:p>
        </w:tc>
        <w:tc>
          <w:tcPr>
            <w:tcW w:w="192" w:type="pct"/>
            <w:noWrap/>
            <w:tcMar>
              <w:top w:w="10" w:type="dxa"/>
              <w:left w:w="10" w:type="dxa"/>
              <w:right w:w="10" w:type="dxa"/>
            </w:tcMar>
            <w:vAlign w:val="center"/>
          </w:tcPr>
          <w:p w14:paraId="28704F19">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6</w:t>
            </w:r>
          </w:p>
        </w:tc>
        <w:tc>
          <w:tcPr>
            <w:tcW w:w="189" w:type="pct"/>
            <w:noWrap/>
            <w:tcMar>
              <w:top w:w="10" w:type="dxa"/>
              <w:left w:w="10" w:type="dxa"/>
              <w:right w:w="10" w:type="dxa"/>
            </w:tcMar>
            <w:vAlign w:val="center"/>
          </w:tcPr>
          <w:p w14:paraId="42976391">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6</w:t>
            </w:r>
          </w:p>
        </w:tc>
      </w:tr>
      <w:tr w14:paraId="01F5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373" w:type="pct"/>
            <w:vMerge w:val="restart"/>
            <w:noWrap w:val="0"/>
            <w:tcMar>
              <w:top w:w="10" w:type="dxa"/>
              <w:left w:w="10" w:type="dxa"/>
              <w:right w:w="10" w:type="dxa"/>
            </w:tcMar>
            <w:vAlign w:val="center"/>
          </w:tcPr>
          <w:p w14:paraId="5E93910B">
            <w:pPr>
              <w:widowControl/>
              <w:jc w:val="center"/>
              <w:textAlignment w:val="center"/>
              <w:rPr>
                <w:rFonts w:hint="eastAsia"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志愿者、达人、社会组织等培育服务</w:t>
            </w:r>
          </w:p>
          <w:p w14:paraId="76CE2CBD">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(10分）</w:t>
            </w:r>
          </w:p>
        </w:tc>
        <w:tc>
          <w:tcPr>
            <w:tcW w:w="442" w:type="pct"/>
            <w:noWrap w:val="0"/>
            <w:tcMar>
              <w:top w:w="10" w:type="dxa"/>
              <w:left w:w="10" w:type="dxa"/>
              <w:right w:w="10" w:type="dxa"/>
            </w:tcMar>
            <w:vAlign w:val="center"/>
          </w:tcPr>
          <w:p w14:paraId="5466AA6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志愿者和达人培养服务（</w:t>
            </w:r>
            <w:r>
              <w:rPr>
                <w:rFonts w:hint="eastAsia" w:ascii="宋体" w:hAnsi="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分）</w:t>
            </w:r>
          </w:p>
        </w:tc>
        <w:tc>
          <w:tcPr>
            <w:tcW w:w="3802" w:type="pct"/>
            <w:noWrap w:val="0"/>
            <w:tcMar>
              <w:top w:w="10" w:type="dxa"/>
              <w:left w:w="10" w:type="dxa"/>
              <w:right w:w="10" w:type="dxa"/>
            </w:tcMar>
            <w:vAlign w:val="center"/>
          </w:tcPr>
          <w:p w14:paraId="655E17F0">
            <w:pPr>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发展党员志愿者、社区居民志愿者不少于</w:t>
            </w:r>
            <w:r>
              <w:rPr>
                <w:rFonts w:hint="eastAsia" w:ascii="宋体" w:hAnsi="宋体" w:eastAsia="宋体" w:cs="宋体"/>
                <w:color w:val="auto"/>
                <w:kern w:val="0"/>
                <w:sz w:val="24"/>
                <w:highlight w:val="none"/>
                <w:lang w:val="en-US" w:eastAsia="zh-CN" w:bidi="ar"/>
              </w:rPr>
              <w:t>10</w:t>
            </w:r>
            <w:r>
              <w:rPr>
                <w:rFonts w:hint="eastAsia" w:ascii="宋体" w:hAnsi="宋体" w:eastAsia="宋体" w:cs="宋体"/>
                <w:color w:val="auto"/>
                <w:kern w:val="0"/>
                <w:sz w:val="24"/>
                <w:highlight w:val="none"/>
                <w:lang w:bidi="ar"/>
              </w:rPr>
              <w:t>人；社区要求的其他相关服务。挖掘并培养社区达人不少于</w:t>
            </w:r>
            <w:r>
              <w:rPr>
                <w:rFonts w:hint="eastAsia" w:ascii="宋体" w:hAnsi="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人，制定社区达人培养计划（达人标准以社区要求为准）</w:t>
            </w:r>
            <w:r>
              <w:rPr>
                <w:rFonts w:hint="eastAsia" w:ascii="宋体" w:hAnsi="宋体" w:cs="宋体"/>
                <w:color w:val="auto"/>
                <w:kern w:val="0"/>
                <w:sz w:val="24"/>
                <w:highlight w:val="none"/>
                <w:lang w:eastAsia="zh-CN" w:bidi="ar"/>
              </w:rPr>
              <w:t>。</w:t>
            </w:r>
          </w:p>
        </w:tc>
        <w:tc>
          <w:tcPr>
            <w:tcW w:w="192" w:type="pct"/>
            <w:noWrap/>
            <w:tcMar>
              <w:top w:w="10" w:type="dxa"/>
              <w:left w:w="10" w:type="dxa"/>
              <w:right w:w="10" w:type="dxa"/>
            </w:tcMar>
            <w:vAlign w:val="center"/>
          </w:tcPr>
          <w:p w14:paraId="768FCCE1">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p>
        </w:tc>
        <w:tc>
          <w:tcPr>
            <w:tcW w:w="189" w:type="pct"/>
            <w:noWrap/>
            <w:tcMar>
              <w:top w:w="10" w:type="dxa"/>
              <w:left w:w="10" w:type="dxa"/>
              <w:right w:w="10" w:type="dxa"/>
            </w:tcMar>
            <w:vAlign w:val="center"/>
          </w:tcPr>
          <w:p w14:paraId="70AFC287">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5</w:t>
            </w:r>
          </w:p>
        </w:tc>
      </w:tr>
      <w:tr w14:paraId="68E0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73" w:type="pct"/>
            <w:vMerge w:val="continue"/>
            <w:noWrap w:val="0"/>
            <w:tcMar>
              <w:top w:w="10" w:type="dxa"/>
              <w:left w:w="10" w:type="dxa"/>
              <w:right w:w="10" w:type="dxa"/>
            </w:tcMar>
            <w:vAlign w:val="center"/>
          </w:tcPr>
          <w:p w14:paraId="55E93A21">
            <w:pPr>
              <w:jc w:val="center"/>
              <w:rPr>
                <w:rFonts w:hint="eastAsia" w:ascii="宋体" w:hAnsi="宋体" w:eastAsia="宋体" w:cs="宋体"/>
                <w:b/>
                <w:color w:val="auto"/>
                <w:sz w:val="24"/>
                <w:highlight w:val="none"/>
              </w:rPr>
            </w:pPr>
          </w:p>
        </w:tc>
        <w:tc>
          <w:tcPr>
            <w:tcW w:w="442" w:type="pct"/>
            <w:noWrap w:val="0"/>
            <w:tcMar>
              <w:top w:w="10" w:type="dxa"/>
              <w:left w:w="10" w:type="dxa"/>
              <w:right w:w="10" w:type="dxa"/>
            </w:tcMar>
            <w:vAlign w:val="center"/>
          </w:tcPr>
          <w:p w14:paraId="44B433DA">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品牌项目落地服务</w:t>
            </w:r>
          </w:p>
          <w:p w14:paraId="5ED9A6A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w:t>
            </w:r>
            <w:r>
              <w:rPr>
                <w:rFonts w:hint="eastAsia" w:ascii="宋体" w:hAnsi="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 xml:space="preserve"> 分）</w:t>
            </w:r>
          </w:p>
        </w:tc>
        <w:tc>
          <w:tcPr>
            <w:tcW w:w="3802" w:type="pct"/>
            <w:noWrap w:val="0"/>
            <w:tcMar>
              <w:top w:w="10" w:type="dxa"/>
              <w:left w:w="10" w:type="dxa"/>
              <w:right w:w="10" w:type="dxa"/>
            </w:tcMar>
            <w:vAlign w:val="center"/>
          </w:tcPr>
          <w:p w14:paraId="3CFC882E">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协助社区治理品牌、工作法提炼。</w:t>
            </w:r>
          </w:p>
        </w:tc>
        <w:tc>
          <w:tcPr>
            <w:tcW w:w="192" w:type="pct"/>
            <w:noWrap/>
            <w:tcMar>
              <w:top w:w="10" w:type="dxa"/>
              <w:left w:w="10" w:type="dxa"/>
              <w:right w:w="10" w:type="dxa"/>
            </w:tcMar>
            <w:vAlign w:val="center"/>
          </w:tcPr>
          <w:p w14:paraId="77F107A1">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p>
        </w:tc>
        <w:tc>
          <w:tcPr>
            <w:tcW w:w="189" w:type="pct"/>
            <w:noWrap/>
            <w:tcMar>
              <w:top w:w="10" w:type="dxa"/>
              <w:left w:w="10" w:type="dxa"/>
              <w:right w:w="10" w:type="dxa"/>
            </w:tcMar>
            <w:vAlign w:val="center"/>
          </w:tcPr>
          <w:p w14:paraId="07DCA58F">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p>
        </w:tc>
      </w:tr>
      <w:tr w14:paraId="78ED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373" w:type="pct"/>
            <w:vMerge w:val="restart"/>
            <w:noWrap w:val="0"/>
            <w:tcMar>
              <w:top w:w="10" w:type="dxa"/>
              <w:left w:w="10" w:type="dxa"/>
              <w:right w:w="10" w:type="dxa"/>
            </w:tcMar>
            <w:vAlign w:val="center"/>
          </w:tcPr>
          <w:p w14:paraId="62818032">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所有场馆日常运营工作（</w:t>
            </w:r>
            <w:r>
              <w:rPr>
                <w:rFonts w:hint="eastAsia" w:ascii="宋体" w:hAnsi="宋体" w:cs="宋体"/>
                <w:b/>
                <w:color w:val="auto"/>
                <w:kern w:val="0"/>
                <w:sz w:val="24"/>
                <w:highlight w:val="none"/>
                <w:lang w:val="en-US" w:eastAsia="zh-CN" w:bidi="ar"/>
              </w:rPr>
              <w:t>30</w:t>
            </w:r>
            <w:r>
              <w:rPr>
                <w:rFonts w:hint="eastAsia" w:ascii="宋体" w:hAnsi="宋体" w:eastAsia="宋体" w:cs="宋体"/>
                <w:b/>
                <w:color w:val="auto"/>
                <w:kern w:val="0"/>
                <w:sz w:val="24"/>
                <w:highlight w:val="none"/>
                <w:lang w:bidi="ar"/>
              </w:rPr>
              <w:t>分）</w:t>
            </w:r>
          </w:p>
        </w:tc>
        <w:tc>
          <w:tcPr>
            <w:tcW w:w="442" w:type="pct"/>
            <w:noWrap w:val="0"/>
            <w:tcMar>
              <w:top w:w="10" w:type="dxa"/>
              <w:left w:w="10" w:type="dxa"/>
              <w:right w:w="10" w:type="dxa"/>
            </w:tcMar>
            <w:vAlign w:val="center"/>
          </w:tcPr>
          <w:p w14:paraId="75104FBA">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场馆维护</w:t>
            </w:r>
          </w:p>
          <w:p w14:paraId="6456411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w:t>
            </w:r>
            <w:r>
              <w:rPr>
                <w:rFonts w:hint="eastAsia" w:ascii="宋体" w:hAnsi="宋体" w:cs="宋体"/>
                <w:color w:val="auto"/>
                <w:kern w:val="0"/>
                <w:sz w:val="24"/>
                <w:highlight w:val="none"/>
                <w:lang w:val="en-US" w:eastAsia="zh-CN" w:bidi="ar"/>
              </w:rPr>
              <w:t>10</w:t>
            </w:r>
            <w:r>
              <w:rPr>
                <w:rFonts w:hint="eastAsia" w:ascii="宋体" w:hAnsi="宋体" w:eastAsia="宋体" w:cs="宋体"/>
                <w:color w:val="auto"/>
                <w:kern w:val="0"/>
                <w:sz w:val="24"/>
                <w:highlight w:val="none"/>
                <w:lang w:bidi="ar"/>
              </w:rPr>
              <w:t>分）</w:t>
            </w:r>
          </w:p>
        </w:tc>
        <w:tc>
          <w:tcPr>
            <w:tcW w:w="3802" w:type="pct"/>
            <w:noWrap w:val="0"/>
            <w:tcMar>
              <w:top w:w="10" w:type="dxa"/>
              <w:left w:w="10" w:type="dxa"/>
              <w:right w:w="10" w:type="dxa"/>
            </w:tcMar>
            <w:vAlign w:val="center"/>
          </w:tcPr>
          <w:p w14:paraId="1727328C">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落实好场地常态化的工作要求；负责所有场馆的参观和接待工作。社区安排的其他接待工作。</w:t>
            </w:r>
          </w:p>
        </w:tc>
        <w:tc>
          <w:tcPr>
            <w:tcW w:w="192" w:type="pct"/>
            <w:noWrap/>
            <w:tcMar>
              <w:top w:w="10" w:type="dxa"/>
              <w:left w:w="10" w:type="dxa"/>
              <w:right w:w="10" w:type="dxa"/>
            </w:tcMar>
            <w:vAlign w:val="center"/>
          </w:tcPr>
          <w:p w14:paraId="1014F558">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10</w:t>
            </w:r>
          </w:p>
        </w:tc>
        <w:tc>
          <w:tcPr>
            <w:tcW w:w="189" w:type="pct"/>
            <w:noWrap/>
            <w:tcMar>
              <w:top w:w="10" w:type="dxa"/>
              <w:left w:w="10" w:type="dxa"/>
              <w:right w:w="10" w:type="dxa"/>
            </w:tcMar>
            <w:vAlign w:val="center"/>
          </w:tcPr>
          <w:p w14:paraId="19EBC346">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10</w:t>
            </w:r>
          </w:p>
        </w:tc>
      </w:tr>
      <w:tr w14:paraId="0B55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jc w:val="center"/>
        </w:trPr>
        <w:tc>
          <w:tcPr>
            <w:tcW w:w="373" w:type="pct"/>
            <w:vMerge w:val="continue"/>
            <w:noWrap w:val="0"/>
            <w:tcMar>
              <w:top w:w="10" w:type="dxa"/>
              <w:left w:w="10" w:type="dxa"/>
              <w:right w:w="10" w:type="dxa"/>
            </w:tcMar>
            <w:vAlign w:val="center"/>
          </w:tcPr>
          <w:p w14:paraId="1EDCE034">
            <w:pPr>
              <w:jc w:val="center"/>
              <w:rPr>
                <w:rFonts w:hint="eastAsia" w:ascii="宋体" w:hAnsi="宋体" w:eastAsia="宋体" w:cs="宋体"/>
                <w:b/>
                <w:color w:val="auto"/>
                <w:sz w:val="24"/>
                <w:highlight w:val="none"/>
              </w:rPr>
            </w:pPr>
          </w:p>
        </w:tc>
        <w:tc>
          <w:tcPr>
            <w:tcW w:w="442" w:type="pct"/>
            <w:noWrap w:val="0"/>
            <w:tcMar>
              <w:top w:w="10" w:type="dxa"/>
              <w:left w:w="10" w:type="dxa"/>
              <w:right w:w="10" w:type="dxa"/>
            </w:tcMar>
            <w:vAlign w:val="center"/>
          </w:tcPr>
          <w:p w14:paraId="7E5DCC9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场馆资料统计及整理（</w:t>
            </w:r>
            <w:r>
              <w:rPr>
                <w:rFonts w:hint="eastAsia" w:ascii="宋体" w:hAnsi="宋体" w:cs="宋体"/>
                <w:color w:val="auto"/>
                <w:kern w:val="0"/>
                <w:sz w:val="24"/>
                <w:highlight w:val="none"/>
                <w:lang w:val="en-US" w:eastAsia="zh-CN" w:bidi="ar"/>
              </w:rPr>
              <w:t>10</w:t>
            </w:r>
            <w:r>
              <w:rPr>
                <w:rFonts w:hint="eastAsia" w:ascii="宋体" w:hAnsi="宋体" w:eastAsia="宋体" w:cs="宋体"/>
                <w:color w:val="auto"/>
                <w:kern w:val="0"/>
                <w:sz w:val="24"/>
                <w:highlight w:val="none"/>
                <w:lang w:bidi="ar"/>
              </w:rPr>
              <w:t>分）</w:t>
            </w:r>
          </w:p>
        </w:tc>
        <w:tc>
          <w:tcPr>
            <w:tcW w:w="3802" w:type="pct"/>
            <w:noWrap w:val="0"/>
            <w:tcMar>
              <w:top w:w="10" w:type="dxa"/>
              <w:left w:w="10" w:type="dxa"/>
              <w:right w:w="10" w:type="dxa"/>
            </w:tcMar>
            <w:vAlign w:val="center"/>
          </w:tcPr>
          <w:p w14:paraId="1C244798">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各场馆周报、月报、半年度及年度总报告的相关资料统计、整理，并形成纸质和电子档案台账，同时报社区存档备份。</w:t>
            </w:r>
          </w:p>
        </w:tc>
        <w:tc>
          <w:tcPr>
            <w:tcW w:w="192" w:type="pct"/>
            <w:noWrap/>
            <w:tcMar>
              <w:top w:w="10" w:type="dxa"/>
              <w:left w:w="10" w:type="dxa"/>
              <w:right w:w="10" w:type="dxa"/>
            </w:tcMar>
            <w:vAlign w:val="center"/>
          </w:tcPr>
          <w:p w14:paraId="1902646C">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10</w:t>
            </w:r>
          </w:p>
        </w:tc>
        <w:tc>
          <w:tcPr>
            <w:tcW w:w="189" w:type="pct"/>
            <w:noWrap/>
            <w:tcMar>
              <w:top w:w="10" w:type="dxa"/>
              <w:left w:w="10" w:type="dxa"/>
              <w:right w:w="10" w:type="dxa"/>
            </w:tcMar>
            <w:vAlign w:val="center"/>
          </w:tcPr>
          <w:p w14:paraId="31746C25">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10</w:t>
            </w:r>
          </w:p>
        </w:tc>
      </w:tr>
      <w:tr w14:paraId="4BD1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4" w:hRule="atLeast"/>
          <w:jc w:val="center"/>
        </w:trPr>
        <w:tc>
          <w:tcPr>
            <w:tcW w:w="373" w:type="pct"/>
            <w:vMerge w:val="continue"/>
            <w:noWrap w:val="0"/>
            <w:tcMar>
              <w:top w:w="10" w:type="dxa"/>
              <w:left w:w="10" w:type="dxa"/>
              <w:right w:w="10" w:type="dxa"/>
            </w:tcMar>
            <w:vAlign w:val="center"/>
          </w:tcPr>
          <w:p w14:paraId="3BEDA07C">
            <w:pPr>
              <w:jc w:val="center"/>
              <w:rPr>
                <w:rFonts w:hint="eastAsia" w:ascii="宋体" w:hAnsi="宋体" w:eastAsia="宋体" w:cs="宋体"/>
                <w:b/>
                <w:color w:val="auto"/>
                <w:sz w:val="24"/>
                <w:highlight w:val="none"/>
              </w:rPr>
            </w:pPr>
          </w:p>
        </w:tc>
        <w:tc>
          <w:tcPr>
            <w:tcW w:w="442" w:type="pct"/>
            <w:noWrap w:val="0"/>
            <w:tcMar>
              <w:top w:w="10" w:type="dxa"/>
              <w:left w:w="10" w:type="dxa"/>
              <w:right w:w="10" w:type="dxa"/>
            </w:tcMar>
            <w:vAlign w:val="center"/>
          </w:tcPr>
          <w:p w14:paraId="093E0BF3">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保障措施</w:t>
            </w:r>
          </w:p>
          <w:p w14:paraId="0C5BE4B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w:t>
            </w:r>
            <w:r>
              <w:rPr>
                <w:rFonts w:hint="eastAsia" w:ascii="宋体" w:hAnsi="宋体" w:cs="宋体"/>
                <w:color w:val="auto"/>
                <w:kern w:val="0"/>
                <w:sz w:val="24"/>
                <w:highlight w:val="none"/>
                <w:lang w:val="en-US" w:eastAsia="zh-CN" w:bidi="ar"/>
              </w:rPr>
              <w:t>10</w:t>
            </w:r>
            <w:r>
              <w:rPr>
                <w:rFonts w:hint="eastAsia" w:ascii="宋体" w:hAnsi="宋体" w:eastAsia="宋体" w:cs="宋体"/>
                <w:color w:val="auto"/>
                <w:kern w:val="0"/>
                <w:sz w:val="24"/>
                <w:highlight w:val="none"/>
                <w:lang w:bidi="ar"/>
              </w:rPr>
              <w:t>分）</w:t>
            </w:r>
          </w:p>
        </w:tc>
        <w:tc>
          <w:tcPr>
            <w:tcW w:w="3802" w:type="pct"/>
            <w:noWrap w:val="0"/>
            <w:tcMar>
              <w:top w:w="10" w:type="dxa"/>
              <w:left w:w="10" w:type="dxa"/>
              <w:right w:w="10" w:type="dxa"/>
            </w:tcMar>
            <w:vAlign w:val="center"/>
          </w:tcPr>
          <w:p w14:paraId="6E9E80AB">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根据不同活动或时间节点设置相关的保障措施应急措施、备案等；</w:t>
            </w:r>
          </w:p>
        </w:tc>
        <w:tc>
          <w:tcPr>
            <w:tcW w:w="192" w:type="pct"/>
            <w:noWrap/>
            <w:tcMar>
              <w:top w:w="10" w:type="dxa"/>
              <w:left w:w="10" w:type="dxa"/>
              <w:right w:w="10" w:type="dxa"/>
            </w:tcMar>
            <w:vAlign w:val="center"/>
          </w:tcPr>
          <w:p w14:paraId="785DBBA6">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10</w:t>
            </w:r>
          </w:p>
        </w:tc>
        <w:tc>
          <w:tcPr>
            <w:tcW w:w="189" w:type="pct"/>
            <w:noWrap/>
            <w:tcMar>
              <w:top w:w="10" w:type="dxa"/>
              <w:left w:w="10" w:type="dxa"/>
              <w:right w:w="10" w:type="dxa"/>
            </w:tcMar>
            <w:vAlign w:val="center"/>
          </w:tcPr>
          <w:p w14:paraId="78C1F238">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10</w:t>
            </w:r>
          </w:p>
        </w:tc>
      </w:tr>
      <w:tr w14:paraId="48E3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373" w:type="pct"/>
            <w:noWrap w:val="0"/>
            <w:tcMar>
              <w:top w:w="10" w:type="dxa"/>
              <w:left w:w="10" w:type="dxa"/>
              <w:right w:w="10" w:type="dxa"/>
            </w:tcMar>
            <w:vAlign w:val="center"/>
          </w:tcPr>
          <w:p w14:paraId="5FCDC855">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社区评价（10分）</w:t>
            </w:r>
          </w:p>
        </w:tc>
        <w:tc>
          <w:tcPr>
            <w:tcW w:w="442" w:type="pct"/>
            <w:noWrap w:val="0"/>
            <w:tcMar>
              <w:top w:w="10" w:type="dxa"/>
              <w:left w:w="10" w:type="dxa"/>
              <w:right w:w="10" w:type="dxa"/>
            </w:tcMar>
            <w:vAlign w:val="center"/>
          </w:tcPr>
          <w:p w14:paraId="3907D4F9">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社区对运营单位的评价</w:t>
            </w:r>
          </w:p>
          <w:p w14:paraId="23A1B3F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（10分）</w:t>
            </w:r>
          </w:p>
        </w:tc>
        <w:tc>
          <w:tcPr>
            <w:tcW w:w="3802" w:type="pct"/>
            <w:noWrap w:val="0"/>
            <w:tcMar>
              <w:top w:w="10" w:type="dxa"/>
              <w:left w:w="10" w:type="dxa"/>
              <w:right w:w="10" w:type="dxa"/>
            </w:tcMar>
            <w:vAlign w:val="center"/>
          </w:tcPr>
          <w:p w14:paraId="184236FB">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运营单位要全力配合社区工作，并在社区的统筹协调下，开展</w:t>
            </w:r>
            <w:r>
              <w:rPr>
                <w:rFonts w:hint="eastAsia" w:ascii="宋体" w:hAnsi="宋体" w:cs="宋体"/>
                <w:color w:val="auto"/>
                <w:kern w:val="0"/>
                <w:sz w:val="24"/>
                <w:highlight w:val="none"/>
                <w:lang w:val="en-US" w:eastAsia="zh-CN" w:bidi="ar"/>
              </w:rPr>
              <w:t>南城</w:t>
            </w:r>
            <w:r>
              <w:rPr>
                <w:rFonts w:hint="eastAsia" w:ascii="宋体" w:hAnsi="宋体" w:eastAsia="宋体" w:cs="宋体"/>
                <w:color w:val="auto"/>
                <w:kern w:val="0"/>
                <w:sz w:val="24"/>
                <w:highlight w:val="none"/>
                <w:lang w:bidi="ar"/>
              </w:rPr>
              <w:t>社区运营服务工作，综合评价0-10分。</w:t>
            </w:r>
          </w:p>
        </w:tc>
        <w:tc>
          <w:tcPr>
            <w:tcW w:w="192" w:type="pct"/>
            <w:noWrap/>
            <w:tcMar>
              <w:top w:w="10" w:type="dxa"/>
              <w:left w:w="10" w:type="dxa"/>
              <w:right w:w="10" w:type="dxa"/>
            </w:tcMar>
            <w:vAlign w:val="center"/>
          </w:tcPr>
          <w:p w14:paraId="4FE72562">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189" w:type="pct"/>
            <w:noWrap/>
            <w:tcMar>
              <w:top w:w="10" w:type="dxa"/>
              <w:left w:w="10" w:type="dxa"/>
              <w:right w:w="10" w:type="dxa"/>
            </w:tcMar>
            <w:vAlign w:val="center"/>
          </w:tcPr>
          <w:p w14:paraId="3A969DF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r>
      <w:tr w14:paraId="031B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618" w:type="pct"/>
            <w:gridSpan w:val="3"/>
            <w:noWrap/>
            <w:tcMar>
              <w:top w:w="10" w:type="dxa"/>
              <w:left w:w="10" w:type="dxa"/>
              <w:right w:w="10" w:type="dxa"/>
            </w:tcMar>
            <w:vAlign w:val="center"/>
          </w:tcPr>
          <w:p w14:paraId="1DAA14D6">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总分</w:t>
            </w:r>
          </w:p>
        </w:tc>
        <w:tc>
          <w:tcPr>
            <w:tcW w:w="192" w:type="pct"/>
            <w:noWrap/>
            <w:tcMar>
              <w:top w:w="10" w:type="dxa"/>
              <w:left w:w="10" w:type="dxa"/>
              <w:right w:w="10" w:type="dxa"/>
            </w:tcMar>
            <w:vAlign w:val="center"/>
          </w:tcPr>
          <w:p w14:paraId="64013D73">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w:t>
            </w:r>
          </w:p>
        </w:tc>
        <w:tc>
          <w:tcPr>
            <w:tcW w:w="189" w:type="pct"/>
            <w:noWrap/>
            <w:tcMar>
              <w:top w:w="10" w:type="dxa"/>
              <w:left w:w="10" w:type="dxa"/>
              <w:right w:w="10" w:type="dxa"/>
            </w:tcMar>
            <w:vAlign w:val="center"/>
          </w:tcPr>
          <w:p w14:paraId="1CF0C32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bl>
    <w:p w14:paraId="1F9B4651">
      <w:pPr>
        <w:rPr>
          <w:rFonts w:hint="eastAsia" w:ascii="宋体" w:hAnsi="宋体" w:eastAsia="宋体" w:cs="宋体"/>
          <w:color w:val="auto"/>
          <w:highlight w:val="none"/>
        </w:rPr>
        <w:sectPr>
          <w:pgSz w:w="16838" w:h="11906" w:orient="landscape"/>
          <w:pgMar w:top="1418" w:right="1276" w:bottom="1418" w:left="1247" w:header="851" w:footer="992" w:gutter="0"/>
          <w:cols w:space="720" w:num="1"/>
          <w:titlePg/>
          <w:docGrid w:linePitch="312" w:charSpace="0"/>
        </w:sectPr>
      </w:pPr>
    </w:p>
    <w:tbl>
      <w:tblPr>
        <w:tblStyle w:val="33"/>
        <w:tblpPr w:leftFromText="180" w:rightFromText="180" w:vertAnchor="text" w:horzAnchor="page" w:tblpXSpec="center" w:tblpY="657"/>
        <w:tblOverlap w:val="never"/>
        <w:tblW w:w="50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587"/>
        <w:gridCol w:w="8212"/>
        <w:gridCol w:w="1153"/>
        <w:gridCol w:w="1005"/>
      </w:tblGrid>
      <w:tr w14:paraId="0AAD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5000" w:type="pct"/>
            <w:gridSpan w:val="4"/>
            <w:noWrap/>
            <w:tcMar>
              <w:top w:w="10" w:type="dxa"/>
              <w:left w:w="10" w:type="dxa"/>
              <w:right w:w="10" w:type="dxa"/>
            </w:tcMar>
            <w:vAlign w:val="center"/>
          </w:tcPr>
          <w:p w14:paraId="00B38315">
            <w:pPr>
              <w:widowControl/>
              <w:jc w:val="center"/>
              <w:textAlignment w:val="center"/>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8"/>
                <w:szCs w:val="28"/>
                <w:highlight w:val="none"/>
                <w:lang w:val="en-US" w:eastAsia="zh-CN" w:bidi="ar"/>
              </w:rPr>
              <w:t>南城</w:t>
            </w:r>
            <w:r>
              <w:rPr>
                <w:rFonts w:hint="eastAsia" w:ascii="宋体" w:hAnsi="宋体" w:eastAsia="宋体" w:cs="宋体"/>
                <w:b/>
                <w:color w:val="auto"/>
                <w:kern w:val="0"/>
                <w:sz w:val="28"/>
                <w:szCs w:val="28"/>
                <w:highlight w:val="none"/>
                <w:lang w:bidi="ar"/>
              </w:rPr>
              <w:t>社区运营</w:t>
            </w:r>
            <w:r>
              <w:rPr>
                <w:rFonts w:hint="eastAsia" w:ascii="宋体" w:hAnsi="宋体" w:eastAsia="宋体" w:cs="宋体"/>
                <w:b/>
                <w:color w:val="auto"/>
                <w:kern w:val="0"/>
                <w:sz w:val="28"/>
                <w:szCs w:val="28"/>
                <w:highlight w:val="none"/>
                <w:lang w:val="en-US" w:eastAsia="zh-CN" w:bidi="ar"/>
              </w:rPr>
              <w:t>项目年度</w:t>
            </w:r>
            <w:r>
              <w:rPr>
                <w:rFonts w:hint="eastAsia" w:ascii="宋体" w:hAnsi="宋体" w:eastAsia="宋体" w:cs="宋体"/>
                <w:b/>
                <w:color w:val="auto"/>
                <w:kern w:val="0"/>
                <w:sz w:val="28"/>
                <w:szCs w:val="28"/>
                <w:highlight w:val="none"/>
                <w:lang w:bidi="ar"/>
              </w:rPr>
              <w:t>考核加分项</w:t>
            </w:r>
            <w:r>
              <w:rPr>
                <w:rFonts w:hint="eastAsia" w:ascii="宋体" w:hAnsi="宋体" w:cs="宋体"/>
                <w:b/>
                <w:color w:val="auto"/>
                <w:kern w:val="0"/>
                <w:sz w:val="28"/>
                <w:szCs w:val="28"/>
                <w:highlight w:val="none"/>
                <w:lang w:eastAsia="zh-CN" w:bidi="ar"/>
              </w:rPr>
              <w:t>（</w:t>
            </w:r>
            <w:r>
              <w:rPr>
                <w:rFonts w:hint="eastAsia" w:ascii="宋体" w:hAnsi="宋体" w:cs="宋体"/>
                <w:b/>
                <w:color w:val="auto"/>
                <w:kern w:val="0"/>
                <w:sz w:val="28"/>
                <w:szCs w:val="28"/>
                <w:highlight w:val="none"/>
                <w:lang w:val="en-US" w:eastAsia="zh-CN" w:bidi="ar"/>
              </w:rPr>
              <w:t>30分</w:t>
            </w:r>
            <w:r>
              <w:rPr>
                <w:rFonts w:hint="eastAsia" w:ascii="宋体" w:hAnsi="宋体" w:cs="宋体"/>
                <w:b/>
                <w:color w:val="auto"/>
                <w:kern w:val="0"/>
                <w:sz w:val="28"/>
                <w:szCs w:val="28"/>
                <w:highlight w:val="none"/>
                <w:lang w:eastAsia="zh-CN" w:bidi="ar"/>
              </w:rPr>
              <w:t>）</w:t>
            </w:r>
          </w:p>
        </w:tc>
      </w:tr>
      <w:tr w14:paraId="5CD5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285" w:type="pct"/>
            <w:noWrap/>
            <w:tcMar>
              <w:top w:w="10" w:type="dxa"/>
              <w:left w:w="10" w:type="dxa"/>
              <w:right w:w="10" w:type="dxa"/>
            </w:tcMar>
            <w:vAlign w:val="center"/>
          </w:tcPr>
          <w:p w14:paraId="29D65506">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项目</w:t>
            </w:r>
          </w:p>
        </w:tc>
        <w:tc>
          <w:tcPr>
            <w:tcW w:w="2942" w:type="pct"/>
            <w:noWrap/>
            <w:tcMar>
              <w:top w:w="10" w:type="dxa"/>
              <w:left w:w="10" w:type="dxa"/>
              <w:right w:w="10" w:type="dxa"/>
            </w:tcMar>
            <w:vAlign w:val="center"/>
          </w:tcPr>
          <w:p w14:paraId="4E340389">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内容及要求</w:t>
            </w:r>
          </w:p>
        </w:tc>
        <w:tc>
          <w:tcPr>
            <w:tcW w:w="413" w:type="pct"/>
            <w:noWrap/>
            <w:tcMar>
              <w:top w:w="10" w:type="dxa"/>
              <w:left w:w="10" w:type="dxa"/>
              <w:right w:w="10" w:type="dxa"/>
            </w:tcMar>
            <w:vAlign w:val="center"/>
          </w:tcPr>
          <w:p w14:paraId="52A66397">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分值</w:t>
            </w:r>
          </w:p>
        </w:tc>
        <w:tc>
          <w:tcPr>
            <w:tcW w:w="359" w:type="pct"/>
            <w:noWrap/>
            <w:tcMar>
              <w:top w:w="10" w:type="dxa"/>
              <w:left w:w="10" w:type="dxa"/>
              <w:right w:w="10" w:type="dxa"/>
            </w:tcMar>
            <w:vAlign w:val="center"/>
          </w:tcPr>
          <w:p w14:paraId="6FF75A9E">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得分</w:t>
            </w:r>
          </w:p>
        </w:tc>
      </w:tr>
      <w:tr w14:paraId="5643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1285" w:type="pct"/>
            <w:vMerge w:val="restart"/>
            <w:noWrap w:val="0"/>
            <w:tcMar>
              <w:top w:w="10" w:type="dxa"/>
              <w:left w:w="10" w:type="dxa"/>
              <w:right w:w="10" w:type="dxa"/>
            </w:tcMar>
            <w:vAlign w:val="center"/>
          </w:tcPr>
          <w:p w14:paraId="1589ABB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纸媒报道发布（在完成年度考核要求的基础上，多出的可纳入年度考核加分项计算）</w:t>
            </w:r>
          </w:p>
        </w:tc>
        <w:tc>
          <w:tcPr>
            <w:tcW w:w="2942" w:type="pct"/>
            <w:shd w:val="clear" w:color="auto" w:fill="auto"/>
            <w:noWrap w:val="0"/>
            <w:tcMar>
              <w:top w:w="10" w:type="dxa"/>
              <w:left w:w="10" w:type="dxa"/>
              <w:right w:w="10" w:type="dxa"/>
            </w:tcMar>
            <w:vAlign w:val="center"/>
          </w:tcPr>
          <w:p w14:paraId="146FE217">
            <w:pPr>
              <w:widowControl/>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全国媒体宣传报道一篇</w:t>
            </w:r>
            <w:r>
              <w:rPr>
                <w:rFonts w:hint="eastAsia" w:ascii="宋体" w:hAnsi="宋体" w:eastAsia="宋体" w:cs="宋体"/>
                <w:color w:val="auto"/>
                <w:kern w:val="0"/>
                <w:sz w:val="24"/>
                <w:highlight w:val="none"/>
                <w:lang w:bidi="ar"/>
              </w:rPr>
              <w:t>。整篇录用3分，素材录用1分；</w:t>
            </w:r>
          </w:p>
        </w:tc>
        <w:tc>
          <w:tcPr>
            <w:tcW w:w="413" w:type="pct"/>
            <w:shd w:val="clear" w:color="auto" w:fill="auto"/>
            <w:noWrap/>
            <w:tcMar>
              <w:top w:w="10" w:type="dxa"/>
              <w:left w:w="10" w:type="dxa"/>
              <w:right w:w="10" w:type="dxa"/>
            </w:tcMar>
            <w:vAlign w:val="center"/>
          </w:tcPr>
          <w:p w14:paraId="0223291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bidi="ar"/>
              </w:rPr>
              <w:t>3</w:t>
            </w:r>
          </w:p>
        </w:tc>
        <w:tc>
          <w:tcPr>
            <w:tcW w:w="359" w:type="pct"/>
            <w:shd w:val="clear" w:color="auto" w:fill="auto"/>
            <w:noWrap/>
            <w:tcMar>
              <w:top w:w="10" w:type="dxa"/>
              <w:left w:w="10" w:type="dxa"/>
              <w:right w:w="10" w:type="dxa"/>
            </w:tcMar>
            <w:vAlign w:val="center"/>
          </w:tcPr>
          <w:p w14:paraId="6A023D4D">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p>
        </w:tc>
      </w:tr>
      <w:tr w14:paraId="7F08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1285" w:type="pct"/>
            <w:vMerge w:val="continue"/>
            <w:noWrap w:val="0"/>
            <w:tcMar>
              <w:top w:w="10" w:type="dxa"/>
              <w:left w:w="10" w:type="dxa"/>
              <w:right w:w="10" w:type="dxa"/>
            </w:tcMar>
            <w:vAlign w:val="center"/>
          </w:tcPr>
          <w:p w14:paraId="1EE8E272">
            <w:pPr>
              <w:jc w:val="center"/>
              <w:rPr>
                <w:rFonts w:hint="eastAsia" w:ascii="宋体" w:hAnsi="宋体" w:eastAsia="宋体" w:cs="宋体"/>
                <w:color w:val="auto"/>
                <w:sz w:val="24"/>
                <w:highlight w:val="none"/>
              </w:rPr>
            </w:pPr>
          </w:p>
        </w:tc>
        <w:tc>
          <w:tcPr>
            <w:tcW w:w="2942" w:type="pct"/>
            <w:shd w:val="clear" w:color="auto" w:fill="auto"/>
            <w:noWrap w:val="0"/>
            <w:tcMar>
              <w:top w:w="10" w:type="dxa"/>
              <w:left w:w="10" w:type="dxa"/>
              <w:right w:w="10" w:type="dxa"/>
            </w:tcMar>
            <w:vAlign w:val="center"/>
          </w:tcPr>
          <w:p w14:paraId="716CDE92">
            <w:pPr>
              <w:widowControl/>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省级、市级媒体宣传报道一篇</w:t>
            </w:r>
            <w:r>
              <w:rPr>
                <w:rFonts w:hint="eastAsia" w:ascii="宋体" w:hAnsi="宋体" w:eastAsia="宋体" w:cs="宋体"/>
                <w:color w:val="auto"/>
                <w:kern w:val="0"/>
                <w:sz w:val="24"/>
                <w:highlight w:val="none"/>
                <w:lang w:bidi="ar"/>
              </w:rPr>
              <w:t>。整篇录用</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分，素材录用</w:t>
            </w:r>
            <w:r>
              <w:rPr>
                <w:rFonts w:hint="eastAsia" w:ascii="宋体" w:hAnsi="宋体" w:eastAsia="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p>
        </w:tc>
        <w:tc>
          <w:tcPr>
            <w:tcW w:w="413" w:type="pct"/>
            <w:shd w:val="clear" w:color="auto" w:fill="auto"/>
            <w:noWrap/>
            <w:tcMar>
              <w:top w:w="10" w:type="dxa"/>
              <w:left w:w="10" w:type="dxa"/>
              <w:right w:w="10" w:type="dxa"/>
            </w:tcMar>
            <w:vAlign w:val="center"/>
          </w:tcPr>
          <w:p w14:paraId="014C5DA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bidi="ar"/>
              </w:rPr>
              <w:t>4</w:t>
            </w:r>
          </w:p>
        </w:tc>
        <w:tc>
          <w:tcPr>
            <w:tcW w:w="359" w:type="pct"/>
            <w:shd w:val="clear" w:color="auto" w:fill="auto"/>
            <w:noWrap/>
            <w:tcMar>
              <w:top w:w="10" w:type="dxa"/>
              <w:left w:w="10" w:type="dxa"/>
              <w:right w:w="10" w:type="dxa"/>
            </w:tcMar>
            <w:vAlign w:val="center"/>
          </w:tcPr>
          <w:p w14:paraId="36F9E147">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r>
      <w:tr w14:paraId="274F0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1285" w:type="pct"/>
            <w:noWrap w:val="0"/>
            <w:tcMar>
              <w:top w:w="10" w:type="dxa"/>
              <w:left w:w="10" w:type="dxa"/>
              <w:right w:w="10" w:type="dxa"/>
            </w:tcMar>
            <w:vAlign w:val="center"/>
          </w:tcPr>
          <w:p w14:paraId="34A5C70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品牌孵化</w:t>
            </w:r>
          </w:p>
        </w:tc>
        <w:tc>
          <w:tcPr>
            <w:tcW w:w="2942" w:type="pct"/>
            <w:noWrap w:val="0"/>
            <w:tcMar>
              <w:top w:w="10" w:type="dxa"/>
              <w:left w:w="10" w:type="dxa"/>
              <w:right w:w="10" w:type="dxa"/>
            </w:tcMar>
            <w:vAlign w:val="center"/>
          </w:tcPr>
          <w:p w14:paraId="2548203C">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运营期间内，整合</w:t>
            </w:r>
            <w:r>
              <w:rPr>
                <w:rFonts w:hint="eastAsia" w:ascii="宋体" w:hAnsi="宋体" w:eastAsia="宋体" w:cs="宋体"/>
                <w:color w:val="auto"/>
                <w:kern w:val="0"/>
                <w:sz w:val="24"/>
                <w:highlight w:val="none"/>
                <w:lang w:val="en-US" w:eastAsia="zh-CN" w:bidi="ar"/>
              </w:rPr>
              <w:t>所前镇</w:t>
            </w:r>
            <w:r>
              <w:rPr>
                <w:rFonts w:hint="eastAsia" w:ascii="宋体" w:hAnsi="宋体" w:eastAsia="宋体" w:cs="宋体"/>
                <w:color w:val="auto"/>
                <w:kern w:val="0"/>
                <w:sz w:val="24"/>
                <w:highlight w:val="none"/>
                <w:lang w:bidi="ar"/>
              </w:rPr>
              <w:t>或萧山区本土化资源（非遗文化、手工作品、土特产、民风民俗等）形成品牌化，最高得分为</w:t>
            </w:r>
            <w:r>
              <w:rPr>
                <w:rFonts w:hint="eastAsia" w:ascii="宋体" w:hAnsi="宋体" w:eastAsia="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分。</w:t>
            </w:r>
          </w:p>
        </w:tc>
        <w:tc>
          <w:tcPr>
            <w:tcW w:w="413" w:type="pct"/>
            <w:noWrap/>
            <w:tcMar>
              <w:top w:w="10" w:type="dxa"/>
              <w:left w:w="10" w:type="dxa"/>
              <w:right w:w="10" w:type="dxa"/>
            </w:tcMar>
            <w:vAlign w:val="center"/>
          </w:tcPr>
          <w:p w14:paraId="739E1941">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5</w:t>
            </w:r>
          </w:p>
        </w:tc>
        <w:tc>
          <w:tcPr>
            <w:tcW w:w="359" w:type="pct"/>
            <w:noWrap/>
            <w:tcMar>
              <w:top w:w="10" w:type="dxa"/>
              <w:left w:w="10" w:type="dxa"/>
              <w:right w:w="10" w:type="dxa"/>
            </w:tcMar>
            <w:vAlign w:val="center"/>
          </w:tcPr>
          <w:p w14:paraId="76600A0E">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r>
      <w:tr w14:paraId="67CA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1285" w:type="pct"/>
            <w:shd w:val="clear" w:color="auto" w:fill="auto"/>
            <w:noWrap w:val="0"/>
            <w:tcMar>
              <w:top w:w="10" w:type="dxa"/>
              <w:left w:w="10" w:type="dxa"/>
              <w:right w:w="10" w:type="dxa"/>
            </w:tcMar>
            <w:vAlign w:val="center"/>
          </w:tcPr>
          <w:p w14:paraId="523A0FA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val="en-US" w:eastAsia="zh-CN" w:bidi="ar"/>
              </w:rPr>
              <w:t>居民</w:t>
            </w:r>
            <w:r>
              <w:rPr>
                <w:rFonts w:hint="eastAsia" w:ascii="宋体" w:hAnsi="宋体" w:eastAsia="宋体" w:cs="宋体"/>
                <w:color w:val="auto"/>
                <w:kern w:val="0"/>
                <w:sz w:val="24"/>
                <w:highlight w:val="none"/>
                <w:lang w:bidi="ar"/>
              </w:rPr>
              <w:t>满意度</w:t>
            </w:r>
          </w:p>
        </w:tc>
        <w:tc>
          <w:tcPr>
            <w:tcW w:w="2942" w:type="pct"/>
            <w:shd w:val="clear" w:color="auto" w:fill="auto"/>
            <w:noWrap w:val="0"/>
            <w:tcMar>
              <w:top w:w="10" w:type="dxa"/>
              <w:left w:w="10" w:type="dxa"/>
              <w:right w:w="10" w:type="dxa"/>
            </w:tcMar>
            <w:vAlign w:val="center"/>
          </w:tcPr>
          <w:p w14:paraId="4A0518BB">
            <w:pPr>
              <w:widowControl/>
              <w:jc w:val="left"/>
              <w:textAlignment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镇</w:t>
            </w:r>
            <w:r>
              <w:rPr>
                <w:rFonts w:hint="eastAsia" w:ascii="宋体" w:hAnsi="宋体" w:eastAsia="宋体" w:cs="宋体"/>
                <w:color w:val="auto"/>
                <w:kern w:val="0"/>
                <w:sz w:val="24"/>
                <w:highlight w:val="none"/>
                <w:lang w:bidi="ar"/>
              </w:rPr>
              <w:t>和社区每季度随机对30位参与过活动的人员进行满意度考评，满意率</w:t>
            </w:r>
            <w:r>
              <w:rPr>
                <w:rFonts w:hint="eastAsia" w:ascii="宋体" w:hAnsi="宋体" w:eastAsia="宋体" w:cs="宋体"/>
                <w:color w:val="auto"/>
                <w:kern w:val="0"/>
                <w:sz w:val="24"/>
                <w:highlight w:val="none"/>
                <w:lang w:val="en-US" w:eastAsia="zh-CN" w:bidi="ar"/>
              </w:rPr>
              <w:t>高</w:t>
            </w:r>
            <w:r>
              <w:rPr>
                <w:rFonts w:hint="eastAsia" w:ascii="宋体" w:hAnsi="宋体" w:eastAsia="宋体" w:cs="宋体"/>
                <w:color w:val="auto"/>
                <w:kern w:val="0"/>
                <w:sz w:val="24"/>
                <w:highlight w:val="none"/>
                <w:lang w:bidi="ar"/>
              </w:rPr>
              <w:t>于90％的，</w:t>
            </w:r>
            <w:r>
              <w:rPr>
                <w:rFonts w:hint="eastAsia" w:ascii="宋体" w:hAnsi="宋体" w:eastAsia="宋体" w:cs="宋体"/>
                <w:color w:val="auto"/>
                <w:kern w:val="0"/>
                <w:sz w:val="24"/>
                <w:highlight w:val="none"/>
                <w:lang w:val="en-US" w:eastAsia="zh-CN" w:bidi="ar"/>
              </w:rPr>
              <w:t>可得2分，最高8分。</w:t>
            </w:r>
          </w:p>
        </w:tc>
        <w:tc>
          <w:tcPr>
            <w:tcW w:w="413" w:type="pct"/>
            <w:shd w:val="clear" w:color="auto" w:fill="auto"/>
            <w:noWrap/>
            <w:tcMar>
              <w:top w:w="10" w:type="dxa"/>
              <w:left w:w="10" w:type="dxa"/>
              <w:right w:w="10" w:type="dxa"/>
            </w:tcMar>
            <w:vAlign w:val="center"/>
          </w:tcPr>
          <w:p w14:paraId="38C0ED50">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0"/>
                <w:sz w:val="24"/>
                <w:highlight w:val="none"/>
                <w:lang w:val="en-US" w:eastAsia="zh-CN" w:bidi="ar"/>
              </w:rPr>
              <w:t>8</w:t>
            </w:r>
          </w:p>
        </w:tc>
        <w:tc>
          <w:tcPr>
            <w:tcW w:w="359" w:type="pct"/>
            <w:shd w:val="clear" w:color="auto" w:fill="auto"/>
            <w:noWrap/>
            <w:tcMar>
              <w:top w:w="10" w:type="dxa"/>
              <w:left w:w="10" w:type="dxa"/>
              <w:right w:w="10" w:type="dxa"/>
            </w:tcMar>
            <w:vAlign w:val="center"/>
          </w:tcPr>
          <w:p w14:paraId="16403D41">
            <w:pPr>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0"/>
                <w:sz w:val="24"/>
                <w:highlight w:val="none"/>
                <w:lang w:val="en-US" w:eastAsia="zh-CN" w:bidi="ar"/>
              </w:rPr>
              <w:t>8</w:t>
            </w:r>
          </w:p>
        </w:tc>
      </w:tr>
      <w:tr w14:paraId="4872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1285" w:type="pct"/>
            <w:noWrap w:val="0"/>
            <w:tcMar>
              <w:top w:w="10" w:type="dxa"/>
              <w:left w:w="10" w:type="dxa"/>
              <w:right w:w="10" w:type="dxa"/>
            </w:tcMar>
            <w:vAlign w:val="center"/>
          </w:tcPr>
          <w:p w14:paraId="61B28E0F">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其他</w:t>
            </w:r>
          </w:p>
        </w:tc>
        <w:tc>
          <w:tcPr>
            <w:tcW w:w="2942" w:type="pct"/>
            <w:noWrap w:val="0"/>
            <w:tcMar>
              <w:top w:w="10" w:type="dxa"/>
              <w:left w:w="10" w:type="dxa"/>
              <w:right w:w="10" w:type="dxa"/>
            </w:tcMar>
            <w:vAlign w:val="center"/>
          </w:tcPr>
          <w:p w14:paraId="20D7F3D2">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运营期间，经采购人</w:t>
            </w:r>
            <w:r>
              <w:rPr>
                <w:rFonts w:hint="eastAsia" w:ascii="宋体" w:hAnsi="宋体" w:eastAsia="宋体" w:cs="宋体"/>
                <w:color w:val="auto"/>
                <w:kern w:val="0"/>
                <w:sz w:val="24"/>
                <w:highlight w:val="none"/>
                <w:lang w:val="en-US" w:eastAsia="zh-CN" w:bidi="ar"/>
              </w:rPr>
              <w:t>综合考评后</w:t>
            </w:r>
            <w:r>
              <w:rPr>
                <w:rFonts w:hint="eastAsia" w:ascii="宋体" w:hAnsi="宋体" w:eastAsia="宋体" w:cs="宋体"/>
                <w:color w:val="auto"/>
                <w:kern w:val="0"/>
                <w:sz w:val="24"/>
                <w:highlight w:val="none"/>
                <w:lang w:bidi="ar"/>
              </w:rPr>
              <w:t>，酌情加分，最高不超过10分。</w:t>
            </w:r>
          </w:p>
        </w:tc>
        <w:tc>
          <w:tcPr>
            <w:tcW w:w="413" w:type="pct"/>
            <w:noWrap/>
            <w:tcMar>
              <w:top w:w="10" w:type="dxa"/>
              <w:left w:w="10" w:type="dxa"/>
              <w:right w:w="10" w:type="dxa"/>
            </w:tcMar>
            <w:vAlign w:val="center"/>
          </w:tcPr>
          <w:p w14:paraId="06ADB8A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359" w:type="pct"/>
            <w:noWrap/>
            <w:tcMar>
              <w:top w:w="10" w:type="dxa"/>
              <w:left w:w="10" w:type="dxa"/>
              <w:right w:w="10" w:type="dxa"/>
            </w:tcMar>
            <w:vAlign w:val="center"/>
          </w:tcPr>
          <w:p w14:paraId="083739E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bl>
    <w:p w14:paraId="405E09BA">
      <w:pPr>
        <w:bidi w:val="0"/>
        <w:jc w:val="left"/>
        <w:rPr>
          <w:rFonts w:hint="eastAsia" w:ascii="仿宋" w:hAnsi="仿宋" w:eastAsia="仿宋" w:cstheme="majorBidi"/>
          <w:sz w:val="24"/>
          <w:szCs w:val="24"/>
          <w:lang w:val="en-US" w:eastAsia="zh-CN" w:bidi="ar-SA"/>
        </w:rPr>
      </w:pPr>
    </w:p>
    <w:p w14:paraId="71659C9C">
      <w:pPr>
        <w:pStyle w:val="2"/>
        <w:rPr>
          <w:rFonts w:hint="eastAsia" w:ascii="仿宋" w:hAnsi="仿宋" w:eastAsia="仿宋" w:cstheme="majorBidi"/>
          <w:sz w:val="24"/>
          <w:szCs w:val="24"/>
          <w:lang w:val="en-US" w:eastAsia="zh-CN" w:bidi="ar-SA"/>
        </w:rPr>
      </w:pPr>
    </w:p>
    <w:p w14:paraId="41D88F48">
      <w:pPr>
        <w:pStyle w:val="4"/>
        <w:rPr>
          <w:rFonts w:hint="eastAsia" w:ascii="仿宋" w:hAnsi="仿宋" w:eastAsia="仿宋" w:cstheme="majorBidi"/>
          <w:sz w:val="24"/>
          <w:szCs w:val="24"/>
          <w:lang w:val="en-US" w:eastAsia="zh-CN" w:bidi="ar-SA"/>
        </w:rPr>
      </w:pPr>
    </w:p>
    <w:p w14:paraId="2BBBF336">
      <w:pPr>
        <w:rPr>
          <w:rFonts w:hint="eastAsia" w:ascii="仿宋" w:hAnsi="仿宋" w:eastAsia="仿宋" w:cstheme="majorBidi"/>
          <w:sz w:val="24"/>
          <w:szCs w:val="24"/>
          <w:lang w:val="en-US" w:eastAsia="zh-CN" w:bidi="ar-SA"/>
        </w:rPr>
      </w:pPr>
    </w:p>
    <w:p w14:paraId="410ED4D9">
      <w:pPr>
        <w:pStyle w:val="2"/>
        <w:rPr>
          <w:rFonts w:hint="eastAsia" w:ascii="仿宋" w:hAnsi="仿宋" w:eastAsia="仿宋" w:cstheme="majorBidi"/>
          <w:sz w:val="24"/>
          <w:szCs w:val="24"/>
          <w:lang w:val="en-US" w:eastAsia="zh-CN" w:bidi="ar-SA"/>
        </w:rPr>
      </w:pPr>
    </w:p>
    <w:p w14:paraId="074BBF6A">
      <w:pPr>
        <w:pStyle w:val="4"/>
        <w:rPr>
          <w:rFonts w:hint="eastAsia" w:ascii="仿宋" w:hAnsi="仿宋" w:eastAsia="仿宋" w:cstheme="majorBidi"/>
          <w:sz w:val="24"/>
          <w:szCs w:val="24"/>
          <w:lang w:val="en-US" w:eastAsia="zh-CN" w:bidi="ar-SA"/>
        </w:rPr>
        <w:sectPr>
          <w:pgSz w:w="16840" w:h="11907" w:orient="landscape"/>
          <w:pgMar w:top="1814" w:right="1474" w:bottom="1814" w:left="1474" w:header="851" w:footer="851" w:gutter="0"/>
          <w:cols w:space="720" w:num="1"/>
        </w:sectPr>
      </w:pPr>
    </w:p>
    <w:tbl>
      <w:tblPr>
        <w:tblStyle w:val="33"/>
        <w:tblpPr w:leftFromText="180" w:rightFromText="180" w:vertAnchor="text" w:horzAnchor="margin" w:tblpXSpec="center" w:tblpY="160"/>
        <w:tblOverlap w:val="never"/>
        <w:tblW w:w="53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91"/>
        <w:gridCol w:w="6216"/>
        <w:gridCol w:w="502"/>
        <w:gridCol w:w="506"/>
      </w:tblGrid>
      <w:tr w14:paraId="5773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5000" w:type="pct"/>
            <w:gridSpan w:val="4"/>
            <w:noWrap/>
            <w:tcMar>
              <w:top w:w="10" w:type="dxa"/>
              <w:left w:w="10" w:type="dxa"/>
              <w:right w:w="10" w:type="dxa"/>
            </w:tcMar>
            <w:vAlign w:val="center"/>
          </w:tcPr>
          <w:p w14:paraId="229E2CE8">
            <w:pPr>
              <w:widowControl/>
              <w:jc w:val="center"/>
              <w:textAlignment w:val="center"/>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4"/>
                <w:highlight w:val="none"/>
                <w:lang w:val="en-US" w:eastAsia="zh-CN" w:bidi="ar"/>
              </w:rPr>
              <w:t>南城</w:t>
            </w:r>
            <w:r>
              <w:rPr>
                <w:rFonts w:hint="eastAsia" w:ascii="宋体" w:hAnsi="宋体" w:eastAsia="宋体" w:cs="宋体"/>
                <w:b/>
                <w:color w:val="auto"/>
                <w:kern w:val="0"/>
                <w:sz w:val="24"/>
                <w:highlight w:val="none"/>
                <w:lang w:bidi="ar"/>
              </w:rPr>
              <w:t>社区运营</w:t>
            </w:r>
            <w:r>
              <w:rPr>
                <w:rFonts w:hint="eastAsia" w:ascii="宋体" w:hAnsi="宋体" w:eastAsia="宋体" w:cs="宋体"/>
                <w:b/>
                <w:color w:val="auto"/>
                <w:kern w:val="0"/>
                <w:sz w:val="24"/>
                <w:highlight w:val="none"/>
                <w:lang w:val="en-US" w:eastAsia="zh-CN" w:bidi="ar"/>
              </w:rPr>
              <w:t>项目年度</w:t>
            </w:r>
            <w:r>
              <w:rPr>
                <w:rFonts w:hint="eastAsia" w:ascii="宋体" w:hAnsi="宋体" w:eastAsia="宋体" w:cs="宋体"/>
                <w:b/>
                <w:color w:val="auto"/>
                <w:kern w:val="0"/>
                <w:sz w:val="24"/>
                <w:highlight w:val="none"/>
                <w:lang w:bidi="ar"/>
              </w:rPr>
              <w:t>考核减分项</w:t>
            </w:r>
            <w:r>
              <w:rPr>
                <w:rFonts w:hint="eastAsia" w:ascii="宋体" w:hAnsi="宋体" w:cs="宋体"/>
                <w:b/>
                <w:color w:val="auto"/>
                <w:kern w:val="0"/>
                <w:sz w:val="24"/>
                <w:highlight w:val="none"/>
                <w:lang w:eastAsia="zh-CN" w:bidi="ar"/>
              </w:rPr>
              <w:t>（</w:t>
            </w:r>
            <w:r>
              <w:rPr>
                <w:rFonts w:hint="eastAsia" w:ascii="宋体" w:hAnsi="宋体" w:cs="宋体"/>
                <w:b/>
                <w:color w:val="auto"/>
                <w:kern w:val="0"/>
                <w:sz w:val="24"/>
                <w:highlight w:val="none"/>
                <w:lang w:val="en-US" w:eastAsia="zh-CN" w:bidi="ar"/>
              </w:rPr>
              <w:t>30分</w:t>
            </w:r>
            <w:r>
              <w:rPr>
                <w:rFonts w:hint="eastAsia" w:ascii="宋体" w:hAnsi="宋体" w:cs="宋体"/>
                <w:b/>
                <w:color w:val="auto"/>
                <w:kern w:val="0"/>
                <w:sz w:val="24"/>
                <w:highlight w:val="none"/>
                <w:lang w:eastAsia="zh-CN" w:bidi="ar"/>
              </w:rPr>
              <w:t>）</w:t>
            </w:r>
          </w:p>
        </w:tc>
      </w:tr>
      <w:tr w14:paraId="74CA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949" w:type="pct"/>
            <w:noWrap/>
            <w:tcMar>
              <w:top w:w="10" w:type="dxa"/>
              <w:left w:w="10" w:type="dxa"/>
              <w:right w:w="10" w:type="dxa"/>
            </w:tcMar>
            <w:vAlign w:val="center"/>
          </w:tcPr>
          <w:p w14:paraId="4C2F8551">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项目</w:t>
            </w:r>
          </w:p>
        </w:tc>
        <w:tc>
          <w:tcPr>
            <w:tcW w:w="3487" w:type="pct"/>
            <w:noWrap/>
            <w:tcMar>
              <w:top w:w="10" w:type="dxa"/>
              <w:left w:w="10" w:type="dxa"/>
              <w:right w:w="10" w:type="dxa"/>
            </w:tcMar>
            <w:vAlign w:val="center"/>
          </w:tcPr>
          <w:p w14:paraId="39EB2350">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内容及要求</w:t>
            </w:r>
          </w:p>
        </w:tc>
        <w:tc>
          <w:tcPr>
            <w:tcW w:w="280" w:type="pct"/>
            <w:noWrap/>
            <w:tcMar>
              <w:top w:w="10" w:type="dxa"/>
              <w:left w:w="10" w:type="dxa"/>
              <w:right w:w="10" w:type="dxa"/>
            </w:tcMar>
            <w:vAlign w:val="center"/>
          </w:tcPr>
          <w:p w14:paraId="3E3D8F23">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分值</w:t>
            </w:r>
          </w:p>
        </w:tc>
        <w:tc>
          <w:tcPr>
            <w:tcW w:w="281" w:type="pct"/>
            <w:noWrap/>
            <w:tcMar>
              <w:top w:w="10" w:type="dxa"/>
              <w:left w:w="10" w:type="dxa"/>
              <w:right w:w="10" w:type="dxa"/>
            </w:tcMar>
            <w:vAlign w:val="center"/>
          </w:tcPr>
          <w:p w14:paraId="1E173019">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得分</w:t>
            </w:r>
          </w:p>
        </w:tc>
      </w:tr>
      <w:tr w14:paraId="49AA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9" w:type="pct"/>
            <w:noWrap w:val="0"/>
            <w:tcMar>
              <w:top w:w="10" w:type="dxa"/>
              <w:left w:w="10" w:type="dxa"/>
              <w:right w:w="10" w:type="dxa"/>
            </w:tcMar>
            <w:vAlign w:val="center"/>
          </w:tcPr>
          <w:p w14:paraId="7EB8997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安全事故考核</w:t>
            </w:r>
          </w:p>
        </w:tc>
        <w:tc>
          <w:tcPr>
            <w:tcW w:w="3487" w:type="pct"/>
            <w:noWrap w:val="0"/>
            <w:tcMar>
              <w:top w:w="10" w:type="dxa"/>
              <w:left w:w="10" w:type="dxa"/>
              <w:right w:w="10" w:type="dxa"/>
            </w:tcMar>
            <w:vAlign w:val="center"/>
          </w:tcPr>
          <w:p w14:paraId="0C7F2C5D">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活动现场／接待现场／场馆现场等发生事故的，受到社区批评的，每次扣1分，受到</w:t>
            </w:r>
            <w:r>
              <w:rPr>
                <w:rFonts w:hint="eastAsia" w:ascii="宋体" w:hAnsi="宋体" w:eastAsia="宋体" w:cs="宋体"/>
                <w:color w:val="auto"/>
                <w:kern w:val="0"/>
                <w:sz w:val="24"/>
                <w:highlight w:val="none"/>
                <w:lang w:val="en-US" w:eastAsia="zh-CN" w:bidi="ar"/>
              </w:rPr>
              <w:t>镇</w:t>
            </w:r>
            <w:r>
              <w:rPr>
                <w:rFonts w:hint="eastAsia" w:ascii="宋体" w:hAnsi="宋体" w:eastAsia="宋体" w:cs="宋体"/>
                <w:color w:val="auto"/>
                <w:kern w:val="0"/>
                <w:sz w:val="24"/>
                <w:highlight w:val="none"/>
                <w:lang w:bidi="ar"/>
              </w:rPr>
              <w:t>批评的，每次扣2分；受到区级批评的，扣3分；受到市级批评的，扣5分。（事故评判标准解释权归</w:t>
            </w:r>
            <w:r>
              <w:rPr>
                <w:rFonts w:hint="eastAsia" w:ascii="宋体" w:hAnsi="宋体" w:eastAsia="宋体" w:cs="宋体"/>
                <w:color w:val="auto"/>
                <w:kern w:val="0"/>
                <w:sz w:val="24"/>
                <w:highlight w:val="none"/>
                <w:lang w:val="en-US" w:eastAsia="zh-CN" w:bidi="ar"/>
              </w:rPr>
              <w:t>镇</w:t>
            </w:r>
            <w:r>
              <w:rPr>
                <w:rFonts w:hint="eastAsia" w:ascii="宋体" w:hAnsi="宋体" w:eastAsia="宋体" w:cs="宋体"/>
                <w:color w:val="auto"/>
                <w:kern w:val="0"/>
                <w:sz w:val="24"/>
                <w:highlight w:val="none"/>
                <w:lang w:bidi="ar"/>
              </w:rPr>
              <w:t>和社区所有。）</w:t>
            </w:r>
          </w:p>
        </w:tc>
        <w:tc>
          <w:tcPr>
            <w:tcW w:w="280" w:type="pct"/>
            <w:noWrap/>
            <w:tcMar>
              <w:top w:w="10" w:type="dxa"/>
              <w:left w:w="10" w:type="dxa"/>
              <w:right w:w="10" w:type="dxa"/>
            </w:tcMar>
            <w:vAlign w:val="center"/>
          </w:tcPr>
          <w:p w14:paraId="5B1E3938">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6</w:t>
            </w:r>
          </w:p>
        </w:tc>
        <w:tc>
          <w:tcPr>
            <w:tcW w:w="281" w:type="pct"/>
            <w:noWrap/>
            <w:tcMar>
              <w:top w:w="10" w:type="dxa"/>
              <w:left w:w="10" w:type="dxa"/>
              <w:right w:w="10" w:type="dxa"/>
            </w:tcMar>
            <w:vAlign w:val="center"/>
          </w:tcPr>
          <w:p w14:paraId="4AEA1AA2">
            <w:pPr>
              <w:jc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6</w:t>
            </w:r>
          </w:p>
        </w:tc>
      </w:tr>
      <w:tr w14:paraId="5C72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949" w:type="pct"/>
            <w:noWrap w:val="0"/>
            <w:tcMar>
              <w:top w:w="10" w:type="dxa"/>
              <w:left w:w="10" w:type="dxa"/>
              <w:right w:w="10" w:type="dxa"/>
            </w:tcMar>
            <w:vAlign w:val="center"/>
          </w:tcPr>
          <w:p w14:paraId="0B1F06A5">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节能减排工作</w:t>
            </w:r>
          </w:p>
        </w:tc>
        <w:tc>
          <w:tcPr>
            <w:tcW w:w="3487" w:type="pct"/>
            <w:noWrap w:val="0"/>
            <w:tcMar>
              <w:top w:w="10" w:type="dxa"/>
              <w:left w:w="10" w:type="dxa"/>
              <w:right w:w="10" w:type="dxa"/>
            </w:tcMar>
            <w:vAlign w:val="center"/>
          </w:tcPr>
          <w:p w14:paraId="25AA92D5">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运营相关工作人员按节能减排工作标准参与做好各个空间水电能耗的管理工作，发现一次未落实的扣0.1分。</w:t>
            </w:r>
          </w:p>
        </w:tc>
        <w:tc>
          <w:tcPr>
            <w:tcW w:w="280" w:type="pct"/>
            <w:noWrap/>
            <w:tcMar>
              <w:top w:w="10" w:type="dxa"/>
              <w:left w:w="10" w:type="dxa"/>
              <w:right w:w="10" w:type="dxa"/>
            </w:tcMar>
            <w:vAlign w:val="center"/>
          </w:tcPr>
          <w:p w14:paraId="4BEB2F19">
            <w:pPr>
              <w:widowControl/>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3</w:t>
            </w:r>
          </w:p>
        </w:tc>
        <w:tc>
          <w:tcPr>
            <w:tcW w:w="281" w:type="pct"/>
            <w:noWrap/>
            <w:tcMar>
              <w:top w:w="10" w:type="dxa"/>
              <w:left w:w="10" w:type="dxa"/>
              <w:right w:w="10" w:type="dxa"/>
            </w:tcMar>
            <w:vAlign w:val="center"/>
          </w:tcPr>
          <w:p w14:paraId="2B4044ED">
            <w:pPr>
              <w:jc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3</w:t>
            </w:r>
          </w:p>
        </w:tc>
      </w:tr>
      <w:tr w14:paraId="2D6E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949" w:type="pct"/>
            <w:noWrap w:val="0"/>
            <w:tcMar>
              <w:top w:w="10" w:type="dxa"/>
              <w:left w:w="10" w:type="dxa"/>
              <w:right w:w="10" w:type="dxa"/>
            </w:tcMar>
            <w:vAlign w:val="center"/>
          </w:tcPr>
          <w:p w14:paraId="7BAF653C">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各场景工作</w:t>
            </w:r>
          </w:p>
        </w:tc>
        <w:tc>
          <w:tcPr>
            <w:tcW w:w="3487" w:type="pct"/>
            <w:noWrap w:val="0"/>
            <w:tcMar>
              <w:top w:w="10" w:type="dxa"/>
              <w:left w:w="10" w:type="dxa"/>
              <w:right w:w="10" w:type="dxa"/>
            </w:tcMar>
            <w:vAlign w:val="center"/>
          </w:tcPr>
          <w:p w14:paraId="484A018B">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各场景工作按采购人要求定制，其中每个未落实到位的场景扣1分。</w:t>
            </w:r>
          </w:p>
        </w:tc>
        <w:tc>
          <w:tcPr>
            <w:tcW w:w="280" w:type="pct"/>
            <w:noWrap/>
            <w:tcMar>
              <w:top w:w="10" w:type="dxa"/>
              <w:left w:w="10" w:type="dxa"/>
              <w:right w:w="10" w:type="dxa"/>
            </w:tcMar>
            <w:vAlign w:val="center"/>
          </w:tcPr>
          <w:p w14:paraId="76A234A3">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8</w:t>
            </w:r>
          </w:p>
        </w:tc>
        <w:tc>
          <w:tcPr>
            <w:tcW w:w="281" w:type="pct"/>
            <w:noWrap/>
            <w:tcMar>
              <w:top w:w="10" w:type="dxa"/>
              <w:left w:w="10" w:type="dxa"/>
              <w:right w:w="10" w:type="dxa"/>
            </w:tcMar>
            <w:vAlign w:val="center"/>
          </w:tcPr>
          <w:p w14:paraId="75A124EB">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w:t>
            </w:r>
          </w:p>
        </w:tc>
      </w:tr>
      <w:tr w14:paraId="1920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949" w:type="pct"/>
            <w:noWrap w:val="0"/>
            <w:tcMar>
              <w:top w:w="10" w:type="dxa"/>
              <w:left w:w="10" w:type="dxa"/>
              <w:right w:w="10" w:type="dxa"/>
            </w:tcMar>
            <w:vAlign w:val="center"/>
          </w:tcPr>
          <w:p w14:paraId="48EEBD39">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品牌策划及运营</w:t>
            </w:r>
          </w:p>
        </w:tc>
        <w:tc>
          <w:tcPr>
            <w:tcW w:w="3487" w:type="pct"/>
            <w:noWrap w:val="0"/>
            <w:tcMar>
              <w:top w:w="10" w:type="dxa"/>
              <w:left w:w="10" w:type="dxa"/>
              <w:right w:w="10" w:type="dxa"/>
            </w:tcMar>
            <w:vAlign w:val="center"/>
          </w:tcPr>
          <w:p w14:paraId="4567FE3E">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针对社区文化精神进行梳理，提交社区文化表达策划报告；根据该策划制定</w:t>
            </w:r>
            <w:r>
              <w:rPr>
                <w:rFonts w:hint="eastAsia" w:ascii="宋体" w:hAnsi="宋体" w:eastAsia="宋体" w:cs="宋体"/>
                <w:color w:val="auto"/>
                <w:kern w:val="0"/>
                <w:sz w:val="24"/>
                <w:highlight w:val="none"/>
                <w:lang w:val="en-US" w:eastAsia="zh-CN" w:bidi="ar"/>
              </w:rPr>
              <w:t>所前</w:t>
            </w:r>
            <w:r>
              <w:rPr>
                <w:rFonts w:hint="eastAsia" w:ascii="宋体" w:hAnsi="宋体" w:eastAsia="宋体" w:cs="宋体"/>
                <w:color w:val="auto"/>
                <w:kern w:val="0"/>
                <w:sz w:val="24"/>
                <w:highlight w:val="none"/>
                <w:lang w:bidi="ar"/>
              </w:rPr>
              <w:t>特色文化在</w:t>
            </w:r>
            <w:r>
              <w:rPr>
                <w:rFonts w:hint="eastAsia" w:ascii="宋体" w:hAnsi="宋体" w:eastAsia="宋体" w:cs="宋体"/>
                <w:color w:val="auto"/>
                <w:kern w:val="0"/>
                <w:sz w:val="24"/>
                <w:highlight w:val="none"/>
                <w:lang w:val="en-US" w:eastAsia="zh-CN" w:bidi="ar"/>
              </w:rPr>
              <w:t>南城</w:t>
            </w:r>
            <w:r>
              <w:rPr>
                <w:rFonts w:hint="eastAsia" w:ascii="宋体" w:hAnsi="宋体" w:eastAsia="宋体" w:cs="宋体"/>
                <w:color w:val="auto"/>
                <w:kern w:val="0"/>
                <w:sz w:val="24"/>
                <w:highlight w:val="none"/>
                <w:lang w:bidi="ar"/>
              </w:rPr>
              <w:t>社区的落地执行方案，并联合社区和</w:t>
            </w:r>
            <w:r>
              <w:rPr>
                <w:rFonts w:hint="eastAsia" w:ascii="宋体" w:hAnsi="宋体" w:eastAsia="宋体" w:cs="宋体"/>
                <w:color w:val="auto"/>
                <w:kern w:val="0"/>
                <w:sz w:val="24"/>
                <w:highlight w:val="none"/>
                <w:lang w:val="en-US" w:eastAsia="zh-CN" w:bidi="ar"/>
              </w:rPr>
              <w:t>镇</w:t>
            </w:r>
            <w:r>
              <w:rPr>
                <w:rFonts w:hint="eastAsia" w:ascii="宋体" w:hAnsi="宋体" w:eastAsia="宋体" w:cs="宋体"/>
                <w:color w:val="auto"/>
                <w:kern w:val="0"/>
                <w:sz w:val="24"/>
                <w:highlight w:val="none"/>
                <w:lang w:bidi="ar"/>
              </w:rPr>
              <w:t>有关部门落地实施。其中每个未落实到位的工作内容扣1分。</w:t>
            </w:r>
          </w:p>
        </w:tc>
        <w:tc>
          <w:tcPr>
            <w:tcW w:w="280" w:type="pct"/>
            <w:noWrap/>
            <w:tcMar>
              <w:top w:w="10" w:type="dxa"/>
              <w:left w:w="10" w:type="dxa"/>
              <w:right w:w="10" w:type="dxa"/>
            </w:tcMar>
            <w:vAlign w:val="center"/>
          </w:tcPr>
          <w:p w14:paraId="55FE144D">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w:t>
            </w:r>
          </w:p>
        </w:tc>
        <w:tc>
          <w:tcPr>
            <w:tcW w:w="281" w:type="pct"/>
            <w:noWrap/>
            <w:tcMar>
              <w:top w:w="10" w:type="dxa"/>
              <w:left w:w="10" w:type="dxa"/>
              <w:right w:w="10" w:type="dxa"/>
            </w:tcMar>
            <w:vAlign w:val="center"/>
          </w:tcPr>
          <w:p w14:paraId="23146A79">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r>
      <w:tr w14:paraId="490B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949" w:type="pct"/>
            <w:noWrap w:val="0"/>
            <w:tcMar>
              <w:top w:w="10" w:type="dxa"/>
              <w:left w:w="10" w:type="dxa"/>
              <w:right w:w="10" w:type="dxa"/>
            </w:tcMar>
            <w:vAlign w:val="center"/>
          </w:tcPr>
          <w:p w14:paraId="6E44D384">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场馆开放时间</w:t>
            </w:r>
          </w:p>
        </w:tc>
        <w:tc>
          <w:tcPr>
            <w:tcW w:w="3487" w:type="pct"/>
            <w:noWrap w:val="0"/>
            <w:tcMar>
              <w:top w:w="10" w:type="dxa"/>
              <w:left w:w="10" w:type="dxa"/>
              <w:right w:w="10" w:type="dxa"/>
            </w:tcMar>
            <w:vAlign w:val="center"/>
          </w:tcPr>
          <w:p w14:paraId="43A5BCE1">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场馆未在规定时间段内开放的，超过3次以上的，每次扣1分。</w:t>
            </w:r>
          </w:p>
        </w:tc>
        <w:tc>
          <w:tcPr>
            <w:tcW w:w="280" w:type="pct"/>
            <w:noWrap/>
            <w:tcMar>
              <w:top w:w="10" w:type="dxa"/>
              <w:left w:w="10" w:type="dxa"/>
              <w:right w:w="10" w:type="dxa"/>
            </w:tcMar>
            <w:vAlign w:val="center"/>
          </w:tcPr>
          <w:p w14:paraId="57F0A15A">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2</w:t>
            </w:r>
          </w:p>
        </w:tc>
        <w:tc>
          <w:tcPr>
            <w:tcW w:w="281" w:type="pct"/>
            <w:noWrap/>
            <w:tcMar>
              <w:top w:w="10" w:type="dxa"/>
              <w:left w:w="10" w:type="dxa"/>
              <w:right w:w="10" w:type="dxa"/>
            </w:tcMar>
            <w:vAlign w:val="center"/>
          </w:tcPr>
          <w:p w14:paraId="194C5D17">
            <w:pPr>
              <w:jc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2</w:t>
            </w:r>
          </w:p>
        </w:tc>
      </w:tr>
      <w:tr w14:paraId="52AB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949" w:type="pct"/>
            <w:vMerge w:val="restart"/>
            <w:noWrap w:val="0"/>
            <w:tcMar>
              <w:top w:w="10" w:type="dxa"/>
              <w:left w:w="10" w:type="dxa"/>
              <w:right w:w="10" w:type="dxa"/>
            </w:tcMar>
            <w:vAlign w:val="center"/>
          </w:tcPr>
          <w:p w14:paraId="35EE9BA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工作计划</w:t>
            </w:r>
          </w:p>
        </w:tc>
        <w:tc>
          <w:tcPr>
            <w:tcW w:w="3487" w:type="pct"/>
            <w:noWrap w:val="0"/>
            <w:tcMar>
              <w:top w:w="10" w:type="dxa"/>
              <w:left w:w="10" w:type="dxa"/>
              <w:right w:w="10" w:type="dxa"/>
            </w:tcMar>
            <w:vAlign w:val="center"/>
          </w:tcPr>
          <w:p w14:paraId="0AEE8BB5">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相关资料未能及时提交的，每次扣1分。</w:t>
            </w:r>
          </w:p>
        </w:tc>
        <w:tc>
          <w:tcPr>
            <w:tcW w:w="280" w:type="pct"/>
            <w:noWrap/>
            <w:tcMar>
              <w:top w:w="10" w:type="dxa"/>
              <w:left w:w="10" w:type="dxa"/>
              <w:right w:w="10" w:type="dxa"/>
            </w:tcMar>
            <w:vAlign w:val="center"/>
          </w:tcPr>
          <w:p w14:paraId="78CBE8E2">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3</w:t>
            </w:r>
          </w:p>
        </w:tc>
        <w:tc>
          <w:tcPr>
            <w:tcW w:w="281" w:type="pct"/>
            <w:noWrap/>
            <w:tcMar>
              <w:top w:w="10" w:type="dxa"/>
              <w:left w:w="10" w:type="dxa"/>
              <w:right w:w="10" w:type="dxa"/>
            </w:tcMar>
            <w:vAlign w:val="center"/>
          </w:tcPr>
          <w:p w14:paraId="60B529D0">
            <w:pPr>
              <w:jc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3</w:t>
            </w:r>
          </w:p>
        </w:tc>
      </w:tr>
      <w:tr w14:paraId="0AF7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49" w:type="pct"/>
            <w:vMerge w:val="continue"/>
            <w:noWrap w:val="0"/>
            <w:tcMar>
              <w:top w:w="10" w:type="dxa"/>
              <w:left w:w="10" w:type="dxa"/>
              <w:right w:w="10" w:type="dxa"/>
            </w:tcMar>
            <w:vAlign w:val="center"/>
          </w:tcPr>
          <w:p w14:paraId="4B716B4C">
            <w:pPr>
              <w:jc w:val="center"/>
              <w:rPr>
                <w:rFonts w:hint="eastAsia" w:ascii="宋体" w:hAnsi="宋体" w:eastAsia="宋体" w:cs="宋体"/>
                <w:color w:val="auto"/>
                <w:sz w:val="24"/>
                <w:highlight w:val="none"/>
              </w:rPr>
            </w:pPr>
          </w:p>
        </w:tc>
        <w:tc>
          <w:tcPr>
            <w:tcW w:w="3487" w:type="pct"/>
            <w:noWrap w:val="0"/>
            <w:tcMar>
              <w:top w:w="10" w:type="dxa"/>
              <w:left w:w="10" w:type="dxa"/>
              <w:right w:w="10" w:type="dxa"/>
            </w:tcMar>
            <w:vAlign w:val="center"/>
          </w:tcPr>
          <w:p w14:paraId="43D608A6">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资料提交有误的，受到社区批评的，每次扣1分；资料提交有误的，受到</w:t>
            </w:r>
            <w:r>
              <w:rPr>
                <w:rFonts w:hint="eastAsia" w:ascii="宋体" w:hAnsi="宋体" w:eastAsia="宋体" w:cs="宋体"/>
                <w:color w:val="auto"/>
                <w:kern w:val="0"/>
                <w:sz w:val="24"/>
                <w:highlight w:val="none"/>
                <w:lang w:val="en-US" w:eastAsia="zh-CN" w:bidi="ar"/>
              </w:rPr>
              <w:t>镇</w:t>
            </w:r>
            <w:r>
              <w:rPr>
                <w:rFonts w:hint="eastAsia" w:ascii="宋体" w:hAnsi="宋体" w:eastAsia="宋体" w:cs="宋体"/>
                <w:color w:val="auto"/>
                <w:kern w:val="0"/>
                <w:sz w:val="24"/>
                <w:highlight w:val="none"/>
                <w:lang w:bidi="ar"/>
              </w:rPr>
              <w:t>批评的，每次扣2分；受到区级批评的，扣3分。（解释权归</w:t>
            </w:r>
            <w:r>
              <w:rPr>
                <w:rFonts w:hint="eastAsia" w:ascii="宋体" w:hAnsi="宋体" w:eastAsia="宋体" w:cs="宋体"/>
                <w:color w:val="auto"/>
                <w:kern w:val="0"/>
                <w:sz w:val="24"/>
                <w:highlight w:val="none"/>
                <w:lang w:val="en-US" w:eastAsia="zh-CN" w:bidi="ar"/>
              </w:rPr>
              <w:t>镇</w:t>
            </w:r>
            <w:r>
              <w:rPr>
                <w:rFonts w:hint="eastAsia" w:ascii="宋体" w:hAnsi="宋体" w:eastAsia="宋体" w:cs="宋体"/>
                <w:color w:val="auto"/>
                <w:kern w:val="0"/>
                <w:sz w:val="24"/>
                <w:highlight w:val="none"/>
                <w:lang w:bidi="ar"/>
              </w:rPr>
              <w:t>和社区所有。）</w:t>
            </w:r>
          </w:p>
        </w:tc>
        <w:tc>
          <w:tcPr>
            <w:tcW w:w="280" w:type="pct"/>
            <w:noWrap/>
            <w:tcMar>
              <w:top w:w="10" w:type="dxa"/>
              <w:left w:w="10" w:type="dxa"/>
              <w:right w:w="10" w:type="dxa"/>
            </w:tcMar>
            <w:vAlign w:val="center"/>
          </w:tcPr>
          <w:p w14:paraId="6A4A0538">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3</w:t>
            </w:r>
          </w:p>
        </w:tc>
        <w:tc>
          <w:tcPr>
            <w:tcW w:w="281" w:type="pct"/>
            <w:noWrap/>
            <w:tcMar>
              <w:top w:w="10" w:type="dxa"/>
              <w:left w:w="10" w:type="dxa"/>
              <w:right w:w="10" w:type="dxa"/>
            </w:tcMar>
            <w:vAlign w:val="center"/>
          </w:tcPr>
          <w:p w14:paraId="7853C35D">
            <w:pPr>
              <w:jc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3</w:t>
            </w:r>
          </w:p>
        </w:tc>
      </w:tr>
      <w:tr w14:paraId="3DFB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949" w:type="pct"/>
            <w:noWrap w:val="0"/>
            <w:tcMar>
              <w:top w:w="10" w:type="dxa"/>
              <w:left w:w="10" w:type="dxa"/>
              <w:right w:w="10" w:type="dxa"/>
            </w:tcMar>
            <w:vAlign w:val="center"/>
          </w:tcPr>
          <w:p w14:paraId="0D9F2C30">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工作态度</w:t>
            </w:r>
          </w:p>
        </w:tc>
        <w:tc>
          <w:tcPr>
            <w:tcW w:w="3487" w:type="pct"/>
            <w:noWrap w:val="0"/>
            <w:tcMar>
              <w:top w:w="10" w:type="dxa"/>
              <w:left w:w="10" w:type="dxa"/>
              <w:right w:w="10" w:type="dxa"/>
            </w:tcMar>
            <w:vAlign w:val="center"/>
          </w:tcPr>
          <w:p w14:paraId="43B8A5C4">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派驻的工作人员不服从社区工作人员的工作安排，或在工作过程中，服务态度不好，与社区或群众产生冲突的，每次扣1分。（解释权归</w:t>
            </w:r>
            <w:r>
              <w:rPr>
                <w:rFonts w:hint="eastAsia" w:ascii="宋体" w:hAnsi="宋体" w:eastAsia="宋体" w:cs="宋体"/>
                <w:color w:val="auto"/>
                <w:kern w:val="0"/>
                <w:sz w:val="24"/>
                <w:highlight w:val="none"/>
                <w:lang w:val="en-US" w:eastAsia="zh-CN" w:bidi="ar"/>
              </w:rPr>
              <w:t>镇</w:t>
            </w:r>
            <w:r>
              <w:rPr>
                <w:rFonts w:hint="eastAsia" w:ascii="宋体" w:hAnsi="宋体" w:eastAsia="宋体" w:cs="宋体"/>
                <w:color w:val="auto"/>
                <w:kern w:val="0"/>
                <w:sz w:val="24"/>
                <w:highlight w:val="none"/>
                <w:lang w:bidi="ar"/>
              </w:rPr>
              <w:t>和社区所有。）</w:t>
            </w:r>
          </w:p>
        </w:tc>
        <w:tc>
          <w:tcPr>
            <w:tcW w:w="280" w:type="pct"/>
            <w:noWrap/>
            <w:tcMar>
              <w:top w:w="10" w:type="dxa"/>
              <w:left w:w="10" w:type="dxa"/>
              <w:right w:w="10" w:type="dxa"/>
            </w:tcMar>
            <w:vAlign w:val="center"/>
          </w:tcPr>
          <w:p w14:paraId="08B0F48F">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3</w:t>
            </w:r>
          </w:p>
        </w:tc>
        <w:tc>
          <w:tcPr>
            <w:tcW w:w="281" w:type="pct"/>
            <w:noWrap/>
            <w:tcMar>
              <w:top w:w="10" w:type="dxa"/>
              <w:left w:w="10" w:type="dxa"/>
              <w:right w:w="10" w:type="dxa"/>
            </w:tcMar>
            <w:vAlign w:val="center"/>
          </w:tcPr>
          <w:p w14:paraId="60EF722B">
            <w:pPr>
              <w:jc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3</w:t>
            </w:r>
          </w:p>
        </w:tc>
      </w:tr>
    </w:tbl>
    <w:p w14:paraId="34F67394">
      <w:pPr>
        <w:pStyle w:val="5"/>
        <w:rPr>
          <w:rFonts w:hint="eastAsia" w:ascii="仿宋" w:hAnsi="仿宋" w:eastAsia="仿宋" w:cs="仿宋"/>
          <w:color w:val="auto"/>
          <w:highlight w:val="none"/>
        </w:rPr>
      </w:pPr>
    </w:p>
    <w:p w14:paraId="02EC4786">
      <w:pPr>
        <w:pStyle w:val="5"/>
        <w:rPr>
          <w:rFonts w:hint="eastAsia" w:ascii="仿宋" w:hAnsi="仿宋" w:eastAsia="仿宋" w:cs="仿宋"/>
          <w:color w:val="auto"/>
          <w:highlight w:val="none"/>
        </w:rPr>
      </w:pPr>
    </w:p>
    <w:p w14:paraId="456B7249">
      <w:pPr>
        <w:pStyle w:val="5"/>
        <w:rPr>
          <w:rFonts w:hint="eastAsia" w:ascii="仿宋" w:hAnsi="仿宋" w:eastAsia="仿宋" w:cs="仿宋"/>
          <w:color w:val="auto"/>
          <w:highlight w:val="none"/>
        </w:rPr>
      </w:pPr>
    </w:p>
    <w:p w14:paraId="49824FE3">
      <w:pPr>
        <w:pStyle w:val="5"/>
        <w:rPr>
          <w:rFonts w:hint="eastAsia" w:ascii="仿宋" w:hAnsi="仿宋" w:eastAsia="仿宋" w:cs="仿宋"/>
          <w:color w:val="auto"/>
          <w:highlight w:val="none"/>
        </w:rPr>
      </w:pPr>
    </w:p>
    <w:p w14:paraId="4883525F">
      <w:pPr>
        <w:pStyle w:val="5"/>
        <w:rPr>
          <w:rFonts w:hint="eastAsia" w:ascii="仿宋" w:hAnsi="仿宋" w:eastAsia="仿宋" w:cs="仿宋"/>
          <w:color w:val="auto"/>
          <w:highlight w:val="none"/>
        </w:rPr>
      </w:pPr>
    </w:p>
    <w:p w14:paraId="48A1F922">
      <w:pPr>
        <w:pStyle w:val="5"/>
        <w:rPr>
          <w:rFonts w:hint="eastAsia" w:ascii="仿宋" w:hAnsi="仿宋" w:eastAsia="仿宋" w:cs="仿宋"/>
          <w:color w:val="auto"/>
          <w:highlight w:val="none"/>
        </w:rPr>
      </w:pPr>
    </w:p>
    <w:p w14:paraId="47DDE2A1">
      <w:pPr>
        <w:pStyle w:val="5"/>
        <w:rPr>
          <w:rFonts w:hint="eastAsia" w:ascii="仿宋" w:hAnsi="仿宋" w:eastAsia="仿宋" w:cs="仿宋"/>
          <w:color w:val="auto"/>
          <w:highlight w:val="none"/>
        </w:rPr>
      </w:pPr>
    </w:p>
    <w:p w14:paraId="270FE272">
      <w:pPr>
        <w:pStyle w:val="5"/>
        <w:rPr>
          <w:rFonts w:hint="eastAsia" w:ascii="仿宋" w:hAnsi="仿宋" w:eastAsia="仿宋" w:cs="仿宋"/>
          <w:color w:val="auto"/>
          <w:highlight w:val="none"/>
        </w:rPr>
      </w:pPr>
    </w:p>
    <w:p w14:paraId="47F2BF6B">
      <w:pPr>
        <w:pStyle w:val="5"/>
        <w:rPr>
          <w:rFonts w:hint="eastAsia" w:ascii="仿宋" w:hAnsi="仿宋" w:eastAsia="仿宋" w:cs="仿宋"/>
          <w:color w:val="auto"/>
          <w:highlight w:val="none"/>
        </w:rPr>
      </w:pPr>
      <w:r>
        <w:rPr>
          <w:rFonts w:hint="eastAsia" w:ascii="仿宋" w:hAnsi="仿宋" w:eastAsia="仿宋" w:cs="仿宋"/>
          <w:color w:val="auto"/>
          <w:highlight w:val="none"/>
        </w:rPr>
        <w:t xml:space="preserve">第四部分   </w:t>
      </w:r>
      <w:bookmarkStart w:id="6" w:name="_Toc184314428"/>
      <w:bookmarkEnd w:id="6"/>
      <w:bookmarkStart w:id="7" w:name="_Toc184308098"/>
      <w:bookmarkEnd w:id="7"/>
      <w:bookmarkStart w:id="8" w:name="_Toc184310343"/>
      <w:bookmarkEnd w:id="8"/>
      <w:bookmarkStart w:id="9" w:name="_Toc184313286"/>
      <w:bookmarkEnd w:id="9"/>
      <w:bookmarkStart w:id="10" w:name="_Toc184312092"/>
      <w:bookmarkEnd w:id="10"/>
      <w:bookmarkStart w:id="11" w:name="_Toc184313292"/>
      <w:bookmarkEnd w:id="11"/>
      <w:bookmarkStart w:id="12" w:name="_Toc184310321"/>
      <w:bookmarkEnd w:id="12"/>
      <w:bookmarkStart w:id="13" w:name="_Toc184312080"/>
      <w:bookmarkEnd w:id="13"/>
      <w:bookmarkStart w:id="14" w:name="_Toc184314471"/>
      <w:bookmarkEnd w:id="14"/>
      <w:bookmarkStart w:id="15" w:name="_Toc184308059"/>
      <w:bookmarkEnd w:id="15"/>
      <w:bookmarkStart w:id="16" w:name="_Toc184308082"/>
      <w:bookmarkEnd w:id="16"/>
      <w:bookmarkStart w:id="17" w:name="_Toc184310310"/>
      <w:bookmarkEnd w:id="17"/>
      <w:bookmarkStart w:id="18" w:name="_Toc184310335"/>
      <w:bookmarkEnd w:id="18"/>
      <w:bookmarkStart w:id="19" w:name="_Toc184310327"/>
      <w:bookmarkEnd w:id="19"/>
      <w:bookmarkStart w:id="20" w:name="_Toc184312087"/>
      <w:bookmarkEnd w:id="20"/>
      <w:bookmarkStart w:id="21" w:name="_Toc184308106"/>
      <w:bookmarkEnd w:id="21"/>
      <w:bookmarkStart w:id="22" w:name="_Toc184313244"/>
      <w:bookmarkEnd w:id="22"/>
      <w:bookmarkStart w:id="23" w:name="_Toc184313243"/>
      <w:bookmarkEnd w:id="23"/>
      <w:bookmarkStart w:id="24" w:name="_Toc184308060"/>
      <w:bookmarkEnd w:id="24"/>
      <w:bookmarkStart w:id="25" w:name="_Toc184314440"/>
      <w:bookmarkEnd w:id="25"/>
      <w:bookmarkStart w:id="26" w:name="_Toc184310296"/>
      <w:bookmarkEnd w:id="26"/>
      <w:bookmarkStart w:id="27" w:name="_Toc184313270"/>
      <w:bookmarkEnd w:id="27"/>
      <w:bookmarkStart w:id="28" w:name="_Toc184310278"/>
      <w:bookmarkEnd w:id="28"/>
      <w:bookmarkStart w:id="29" w:name="_Toc184312086"/>
      <w:bookmarkEnd w:id="29"/>
      <w:bookmarkStart w:id="30" w:name="_Toc184308083"/>
      <w:bookmarkEnd w:id="30"/>
      <w:bookmarkStart w:id="31" w:name="_Toc184314415"/>
      <w:bookmarkEnd w:id="31"/>
      <w:bookmarkStart w:id="32" w:name="_Toc184308095"/>
      <w:bookmarkEnd w:id="32"/>
      <w:bookmarkStart w:id="33" w:name="_Toc184312131"/>
      <w:bookmarkEnd w:id="33"/>
      <w:bookmarkStart w:id="34" w:name="_Toc184308050"/>
      <w:bookmarkEnd w:id="34"/>
      <w:bookmarkStart w:id="35" w:name="_Toc184314429"/>
      <w:bookmarkEnd w:id="35"/>
      <w:bookmarkStart w:id="36" w:name="_Toc184310272"/>
      <w:bookmarkEnd w:id="36"/>
      <w:bookmarkStart w:id="37" w:name="_Toc184312083"/>
      <w:bookmarkEnd w:id="37"/>
      <w:bookmarkStart w:id="38" w:name="_Toc184310295"/>
      <w:bookmarkEnd w:id="38"/>
      <w:bookmarkStart w:id="39" w:name="_Toc184313258"/>
      <w:bookmarkEnd w:id="39"/>
      <w:bookmarkStart w:id="40" w:name="_Toc184313291"/>
      <w:bookmarkEnd w:id="40"/>
      <w:bookmarkStart w:id="41" w:name="_Toc184310336"/>
      <w:bookmarkEnd w:id="41"/>
      <w:bookmarkStart w:id="42" w:name="_Toc184308055"/>
      <w:bookmarkEnd w:id="42"/>
      <w:bookmarkStart w:id="43" w:name="_Toc184314452"/>
      <w:bookmarkEnd w:id="43"/>
      <w:bookmarkStart w:id="44" w:name="_Toc184308079"/>
      <w:bookmarkEnd w:id="44"/>
      <w:bookmarkStart w:id="45" w:name="_Toc184313246"/>
      <w:bookmarkEnd w:id="45"/>
      <w:bookmarkStart w:id="46" w:name="_Toc184314480"/>
      <w:bookmarkEnd w:id="46"/>
      <w:bookmarkStart w:id="47" w:name="_Toc184313303"/>
      <w:bookmarkEnd w:id="47"/>
      <w:bookmarkStart w:id="48" w:name="_Toc184314441"/>
      <w:bookmarkEnd w:id="48"/>
      <w:bookmarkStart w:id="49" w:name="_Toc184310339"/>
      <w:bookmarkEnd w:id="49"/>
      <w:bookmarkStart w:id="50" w:name="_Toc184314460"/>
      <w:bookmarkEnd w:id="50"/>
      <w:bookmarkStart w:id="51" w:name="_Toc184312111"/>
      <w:bookmarkEnd w:id="51"/>
      <w:bookmarkStart w:id="52" w:name="_Toc184308078"/>
      <w:bookmarkEnd w:id="52"/>
      <w:bookmarkStart w:id="53" w:name="_Toc184314481"/>
      <w:bookmarkEnd w:id="53"/>
      <w:bookmarkStart w:id="54" w:name="_Toc184312084"/>
      <w:bookmarkEnd w:id="54"/>
      <w:bookmarkStart w:id="55" w:name="_Toc184313260"/>
      <w:bookmarkEnd w:id="55"/>
      <w:bookmarkStart w:id="56" w:name="_Toc184312108"/>
      <w:bookmarkEnd w:id="56"/>
      <w:bookmarkStart w:id="57" w:name="_Toc184312109"/>
      <w:bookmarkEnd w:id="57"/>
      <w:bookmarkStart w:id="58" w:name="_Toc184314410"/>
      <w:bookmarkEnd w:id="58"/>
      <w:bookmarkStart w:id="59" w:name="_Toc184313284"/>
      <w:bookmarkEnd w:id="59"/>
      <w:bookmarkStart w:id="60" w:name="_Toc184314437"/>
      <w:bookmarkEnd w:id="60"/>
      <w:bookmarkStart w:id="61" w:name="_Toc184312132"/>
      <w:bookmarkEnd w:id="61"/>
      <w:bookmarkStart w:id="62" w:name="_Toc184308074"/>
      <w:bookmarkEnd w:id="62"/>
      <w:bookmarkStart w:id="63" w:name="_Toc184314434"/>
      <w:bookmarkEnd w:id="63"/>
      <w:bookmarkStart w:id="64" w:name="_Toc184310301"/>
      <w:bookmarkEnd w:id="64"/>
      <w:bookmarkStart w:id="65" w:name="_Toc184308072"/>
      <w:bookmarkEnd w:id="65"/>
      <w:bookmarkStart w:id="66" w:name="_Toc184313298"/>
      <w:bookmarkEnd w:id="66"/>
      <w:bookmarkStart w:id="67" w:name="_Toc184308067"/>
      <w:bookmarkEnd w:id="67"/>
      <w:bookmarkStart w:id="68" w:name="_Toc184313294"/>
      <w:bookmarkEnd w:id="68"/>
      <w:bookmarkStart w:id="69" w:name="_Toc184313305"/>
      <w:bookmarkEnd w:id="69"/>
      <w:bookmarkStart w:id="70" w:name="_Toc184308044"/>
      <w:bookmarkEnd w:id="70"/>
      <w:bookmarkStart w:id="71" w:name="_Toc184313256"/>
      <w:bookmarkEnd w:id="71"/>
      <w:bookmarkStart w:id="72" w:name="_Toc184310344"/>
      <w:bookmarkEnd w:id="72"/>
      <w:bookmarkStart w:id="73" w:name="_Toc184313283"/>
      <w:bookmarkEnd w:id="73"/>
      <w:bookmarkStart w:id="74" w:name="_Toc184308036"/>
      <w:bookmarkEnd w:id="74"/>
      <w:bookmarkStart w:id="75" w:name="_Toc184314412"/>
      <w:bookmarkEnd w:id="75"/>
      <w:bookmarkStart w:id="76" w:name="_Toc184308071"/>
      <w:bookmarkEnd w:id="76"/>
      <w:bookmarkStart w:id="77" w:name="_Toc184310304"/>
      <w:bookmarkEnd w:id="77"/>
      <w:bookmarkStart w:id="78" w:name="_Toc184310333"/>
      <w:bookmarkEnd w:id="78"/>
      <w:bookmarkStart w:id="79" w:name="_Toc184308049"/>
      <w:bookmarkEnd w:id="79"/>
      <w:bookmarkStart w:id="80" w:name="_Toc184313263"/>
      <w:bookmarkEnd w:id="80"/>
      <w:bookmarkStart w:id="81" w:name="_Toc184313308"/>
      <w:bookmarkEnd w:id="81"/>
      <w:bookmarkStart w:id="82" w:name="_Toc184314427"/>
      <w:bookmarkEnd w:id="82"/>
      <w:bookmarkStart w:id="83" w:name="_Toc184312112"/>
      <w:bookmarkEnd w:id="83"/>
      <w:bookmarkStart w:id="84" w:name="_Toc184312121"/>
      <w:bookmarkEnd w:id="84"/>
      <w:bookmarkStart w:id="85" w:name="_Toc184313267"/>
      <w:bookmarkEnd w:id="85"/>
      <w:bookmarkStart w:id="86" w:name="_Toc184310324"/>
      <w:bookmarkEnd w:id="86"/>
      <w:bookmarkStart w:id="87" w:name="_Toc184308053"/>
      <w:bookmarkEnd w:id="87"/>
      <w:bookmarkStart w:id="88" w:name="_Toc184313254"/>
      <w:bookmarkEnd w:id="88"/>
      <w:bookmarkStart w:id="89" w:name="_Toc184314450"/>
      <w:bookmarkEnd w:id="89"/>
      <w:bookmarkStart w:id="90" w:name="_Toc184314459"/>
      <w:bookmarkEnd w:id="90"/>
      <w:bookmarkStart w:id="91" w:name="_Toc184314443"/>
      <w:bookmarkEnd w:id="91"/>
      <w:bookmarkStart w:id="92" w:name="_Toc184314431"/>
      <w:bookmarkEnd w:id="92"/>
      <w:bookmarkStart w:id="93" w:name="_Toc184314413"/>
      <w:bookmarkEnd w:id="93"/>
      <w:bookmarkStart w:id="94" w:name="_Toc184308054"/>
      <w:bookmarkEnd w:id="94"/>
      <w:bookmarkStart w:id="95" w:name="_Toc184312079"/>
      <w:bookmarkEnd w:id="95"/>
      <w:bookmarkStart w:id="96" w:name="_Toc184310273"/>
      <w:bookmarkEnd w:id="96"/>
      <w:bookmarkStart w:id="97" w:name="_Toc184310294"/>
      <w:bookmarkEnd w:id="97"/>
      <w:bookmarkStart w:id="98" w:name="_Toc184314422"/>
      <w:bookmarkEnd w:id="98"/>
      <w:bookmarkStart w:id="99" w:name="_Toc184308065"/>
      <w:bookmarkEnd w:id="99"/>
      <w:bookmarkStart w:id="100" w:name="_Toc184314417"/>
      <w:bookmarkEnd w:id="100"/>
      <w:bookmarkStart w:id="101" w:name="_Toc184310280"/>
      <w:bookmarkEnd w:id="101"/>
      <w:bookmarkStart w:id="102" w:name="_Toc184314414"/>
      <w:bookmarkEnd w:id="102"/>
      <w:bookmarkStart w:id="103" w:name="_Toc184312118"/>
      <w:bookmarkEnd w:id="103"/>
      <w:bookmarkStart w:id="104" w:name="_Toc184308070"/>
      <w:bookmarkEnd w:id="104"/>
      <w:bookmarkStart w:id="105" w:name="_Toc184312090"/>
      <w:bookmarkEnd w:id="105"/>
      <w:bookmarkStart w:id="106" w:name="_Toc184312089"/>
      <w:bookmarkEnd w:id="106"/>
      <w:bookmarkStart w:id="107" w:name="_Toc184314430"/>
      <w:bookmarkEnd w:id="107"/>
      <w:bookmarkStart w:id="108" w:name="_Toc184310325"/>
      <w:bookmarkEnd w:id="108"/>
      <w:bookmarkStart w:id="109" w:name="_Toc184310277"/>
      <w:bookmarkEnd w:id="109"/>
      <w:bookmarkStart w:id="110" w:name="_Toc184308105"/>
      <w:bookmarkEnd w:id="110"/>
      <w:bookmarkStart w:id="111" w:name="_Toc184314423"/>
      <w:bookmarkEnd w:id="111"/>
      <w:bookmarkStart w:id="112" w:name="_Toc184314475"/>
      <w:bookmarkEnd w:id="112"/>
      <w:bookmarkStart w:id="113" w:name="_Toc184310298"/>
      <w:bookmarkEnd w:id="113"/>
      <w:bookmarkStart w:id="114" w:name="_Toc184308092"/>
      <w:bookmarkEnd w:id="114"/>
      <w:bookmarkStart w:id="115" w:name="_Toc184308104"/>
      <w:bookmarkEnd w:id="115"/>
      <w:bookmarkStart w:id="116" w:name="_Toc184310279"/>
      <w:bookmarkEnd w:id="116"/>
      <w:bookmarkStart w:id="117" w:name="_Toc184308048"/>
      <w:bookmarkEnd w:id="117"/>
      <w:bookmarkStart w:id="118" w:name="_Toc184314465"/>
      <w:bookmarkEnd w:id="118"/>
      <w:bookmarkStart w:id="119" w:name="_Toc184310307"/>
      <w:bookmarkEnd w:id="119"/>
      <w:bookmarkStart w:id="120" w:name="_Toc184313281"/>
      <w:bookmarkEnd w:id="120"/>
      <w:bookmarkStart w:id="121" w:name="_Toc184314458"/>
      <w:bookmarkEnd w:id="121"/>
      <w:bookmarkStart w:id="122" w:name="_Toc184310288"/>
      <w:bookmarkEnd w:id="122"/>
      <w:bookmarkStart w:id="123" w:name="_Toc184312095"/>
      <w:bookmarkEnd w:id="123"/>
      <w:bookmarkStart w:id="124" w:name="_Toc184310290"/>
      <w:bookmarkEnd w:id="124"/>
      <w:bookmarkStart w:id="125" w:name="_Toc184312117"/>
      <w:bookmarkEnd w:id="125"/>
      <w:bookmarkStart w:id="126" w:name="_Toc184313276"/>
      <w:bookmarkEnd w:id="126"/>
      <w:bookmarkStart w:id="127" w:name="_Toc184313301"/>
      <w:bookmarkEnd w:id="127"/>
      <w:bookmarkStart w:id="128" w:name="_Toc184314470"/>
      <w:bookmarkEnd w:id="128"/>
      <w:bookmarkStart w:id="129" w:name="_Toc184313290"/>
      <w:bookmarkEnd w:id="129"/>
      <w:bookmarkStart w:id="130" w:name="_Toc184314467"/>
      <w:bookmarkEnd w:id="130"/>
      <w:bookmarkStart w:id="131" w:name="_Toc184308064"/>
      <w:bookmarkEnd w:id="131"/>
      <w:bookmarkStart w:id="132" w:name="_Toc184313264"/>
      <w:bookmarkEnd w:id="132"/>
      <w:bookmarkStart w:id="133" w:name="_Toc184308047"/>
      <w:bookmarkEnd w:id="133"/>
      <w:bookmarkStart w:id="134" w:name="_Toc184313265"/>
      <w:bookmarkEnd w:id="134"/>
      <w:bookmarkStart w:id="135" w:name="_Toc184312135"/>
      <w:bookmarkEnd w:id="135"/>
      <w:bookmarkStart w:id="136" w:name="_Toc184314461"/>
      <w:bookmarkEnd w:id="136"/>
      <w:bookmarkStart w:id="137" w:name="_Toc184308052"/>
      <w:bookmarkEnd w:id="137"/>
      <w:bookmarkStart w:id="138" w:name="_Toc184313300"/>
      <w:bookmarkEnd w:id="138"/>
      <w:bookmarkStart w:id="139" w:name="_Toc184312115"/>
      <w:bookmarkEnd w:id="139"/>
      <w:bookmarkStart w:id="140" w:name="_Toc184310286"/>
      <w:bookmarkEnd w:id="140"/>
      <w:bookmarkStart w:id="141" w:name="_Toc184310297"/>
      <w:bookmarkEnd w:id="141"/>
      <w:bookmarkStart w:id="142" w:name="_Toc184314464"/>
      <w:bookmarkEnd w:id="142"/>
      <w:bookmarkStart w:id="143" w:name="_Toc184310291"/>
      <w:bookmarkEnd w:id="143"/>
      <w:bookmarkStart w:id="144" w:name="_Toc184310311"/>
      <w:bookmarkEnd w:id="144"/>
      <w:bookmarkStart w:id="145" w:name="_Toc184308084"/>
      <w:bookmarkEnd w:id="145"/>
      <w:bookmarkStart w:id="146" w:name="_Toc184313297"/>
      <w:bookmarkEnd w:id="146"/>
      <w:bookmarkStart w:id="147" w:name="_Toc184308081"/>
      <w:bookmarkEnd w:id="147"/>
      <w:bookmarkStart w:id="148" w:name="_Toc184310285"/>
      <w:bookmarkEnd w:id="148"/>
      <w:bookmarkStart w:id="149" w:name="_Toc184313287"/>
      <w:bookmarkEnd w:id="149"/>
      <w:bookmarkStart w:id="150" w:name="_Toc184312082"/>
      <w:bookmarkEnd w:id="150"/>
      <w:bookmarkStart w:id="151" w:name="_Toc184312127"/>
      <w:bookmarkEnd w:id="151"/>
      <w:bookmarkStart w:id="152" w:name="_Toc184312069"/>
      <w:bookmarkEnd w:id="152"/>
      <w:bookmarkStart w:id="153" w:name="_Toc184310330"/>
      <w:bookmarkEnd w:id="153"/>
      <w:bookmarkStart w:id="154" w:name="_Toc184313282"/>
      <w:bookmarkEnd w:id="154"/>
      <w:bookmarkStart w:id="155" w:name="_Toc184314432"/>
      <w:bookmarkEnd w:id="155"/>
      <w:bookmarkStart w:id="156" w:name="_Toc184314446"/>
      <w:bookmarkEnd w:id="156"/>
      <w:bookmarkStart w:id="157" w:name="_Toc184313268"/>
      <w:bookmarkEnd w:id="157"/>
      <w:bookmarkStart w:id="158" w:name="_Toc184308056"/>
      <w:bookmarkEnd w:id="158"/>
      <w:bookmarkStart w:id="159" w:name="_Toc184312113"/>
      <w:bookmarkEnd w:id="159"/>
      <w:bookmarkStart w:id="160" w:name="_Toc184313248"/>
      <w:bookmarkEnd w:id="160"/>
      <w:bookmarkStart w:id="161" w:name="_Toc184312072"/>
      <w:bookmarkEnd w:id="161"/>
      <w:bookmarkStart w:id="162" w:name="_Toc184312137"/>
      <w:bookmarkEnd w:id="162"/>
      <w:bookmarkStart w:id="163" w:name="_Toc184314424"/>
      <w:bookmarkEnd w:id="163"/>
      <w:bookmarkStart w:id="164" w:name="_Toc184312096"/>
      <w:bookmarkEnd w:id="164"/>
      <w:bookmarkStart w:id="165" w:name="_Toc184310299"/>
      <w:bookmarkEnd w:id="165"/>
      <w:bookmarkStart w:id="166" w:name="_Toc184313242"/>
      <w:bookmarkEnd w:id="166"/>
      <w:bookmarkStart w:id="167" w:name="_Toc184314448"/>
      <w:bookmarkEnd w:id="167"/>
      <w:bookmarkStart w:id="168" w:name="_Toc184312126"/>
      <w:bookmarkEnd w:id="168"/>
      <w:bookmarkStart w:id="169" w:name="_Toc184310281"/>
      <w:bookmarkEnd w:id="169"/>
      <w:bookmarkStart w:id="170" w:name="_Toc184313269"/>
      <w:bookmarkEnd w:id="170"/>
      <w:bookmarkStart w:id="171" w:name="_Toc184312133"/>
      <w:bookmarkEnd w:id="171"/>
      <w:bookmarkStart w:id="172" w:name="_Toc184313266"/>
      <w:bookmarkEnd w:id="172"/>
      <w:bookmarkStart w:id="173" w:name="_Toc184308102"/>
      <w:bookmarkEnd w:id="173"/>
      <w:bookmarkStart w:id="174" w:name="_Toc184310276"/>
      <w:bookmarkEnd w:id="174"/>
      <w:bookmarkStart w:id="175" w:name="_Toc184312106"/>
      <w:bookmarkEnd w:id="175"/>
      <w:bookmarkStart w:id="176" w:name="_Toc184314462"/>
      <w:bookmarkEnd w:id="176"/>
      <w:bookmarkStart w:id="177" w:name="_Toc184312098"/>
      <w:bookmarkEnd w:id="177"/>
      <w:bookmarkStart w:id="178" w:name="_Toc184314435"/>
      <w:bookmarkEnd w:id="178"/>
      <w:bookmarkStart w:id="179" w:name="_Toc184314455"/>
      <w:bookmarkEnd w:id="179"/>
      <w:bookmarkStart w:id="180" w:name="_Toc184308089"/>
      <w:bookmarkEnd w:id="180"/>
      <w:bookmarkStart w:id="181" w:name="_Toc184314451"/>
      <w:bookmarkEnd w:id="181"/>
      <w:bookmarkStart w:id="182" w:name="_Toc184314456"/>
      <w:bookmarkEnd w:id="182"/>
      <w:bookmarkStart w:id="183" w:name="_Toc184310318"/>
      <w:bookmarkEnd w:id="183"/>
      <w:bookmarkStart w:id="184" w:name="_Toc184312103"/>
      <w:bookmarkEnd w:id="184"/>
      <w:bookmarkStart w:id="185" w:name="_Toc184313310"/>
      <w:bookmarkEnd w:id="185"/>
      <w:bookmarkStart w:id="186" w:name="_Toc184312102"/>
      <w:bookmarkEnd w:id="186"/>
      <w:bookmarkStart w:id="187" w:name="_Toc184313309"/>
      <w:bookmarkEnd w:id="187"/>
      <w:bookmarkStart w:id="188" w:name="_Toc184308101"/>
      <w:bookmarkEnd w:id="188"/>
      <w:bookmarkStart w:id="189" w:name="_Toc184310328"/>
      <w:bookmarkEnd w:id="189"/>
      <w:bookmarkStart w:id="190" w:name="_Toc184313280"/>
      <w:bookmarkEnd w:id="190"/>
      <w:bookmarkStart w:id="191" w:name="_Toc184310284"/>
      <w:bookmarkEnd w:id="191"/>
      <w:bookmarkStart w:id="192" w:name="_Toc184310338"/>
      <w:bookmarkEnd w:id="192"/>
      <w:bookmarkStart w:id="193" w:name="_Toc184314482"/>
      <w:bookmarkEnd w:id="193"/>
      <w:bookmarkStart w:id="194" w:name="_Toc184314473"/>
      <w:bookmarkEnd w:id="194"/>
      <w:bookmarkStart w:id="195" w:name="_Toc184308037"/>
      <w:bookmarkEnd w:id="195"/>
      <w:bookmarkStart w:id="196" w:name="_Toc184310313"/>
      <w:bookmarkEnd w:id="196"/>
      <w:bookmarkStart w:id="197" w:name="_Toc184310289"/>
      <w:bookmarkEnd w:id="197"/>
      <w:bookmarkStart w:id="198" w:name="_Toc184312081"/>
      <w:bookmarkEnd w:id="198"/>
      <w:bookmarkStart w:id="199" w:name="_Toc184312099"/>
      <w:bookmarkEnd w:id="199"/>
      <w:bookmarkStart w:id="200" w:name="_Toc184312124"/>
      <w:bookmarkEnd w:id="200"/>
      <w:bookmarkStart w:id="201" w:name="_Toc184310326"/>
      <w:bookmarkEnd w:id="201"/>
      <w:bookmarkStart w:id="202" w:name="_Toc184313252"/>
      <w:bookmarkEnd w:id="202"/>
      <w:bookmarkStart w:id="203" w:name="_Toc184314453"/>
      <w:bookmarkEnd w:id="203"/>
      <w:bookmarkStart w:id="204" w:name="_Toc184308069"/>
      <w:bookmarkEnd w:id="204"/>
      <w:bookmarkStart w:id="205" w:name="_Toc184314477"/>
      <w:bookmarkEnd w:id="205"/>
      <w:bookmarkStart w:id="206" w:name="_Toc184310341"/>
      <w:bookmarkEnd w:id="206"/>
      <w:bookmarkStart w:id="207" w:name="_Toc184314469"/>
      <w:bookmarkEnd w:id="207"/>
      <w:bookmarkStart w:id="208" w:name="_Toc184314476"/>
      <w:bookmarkEnd w:id="208"/>
      <w:bookmarkStart w:id="209" w:name="_Toc184312110"/>
      <w:bookmarkEnd w:id="209"/>
      <w:bookmarkStart w:id="210" w:name="_Toc184308100"/>
      <w:bookmarkEnd w:id="210"/>
      <w:bookmarkStart w:id="211" w:name="_Toc184312138"/>
      <w:bookmarkEnd w:id="211"/>
      <w:bookmarkStart w:id="212" w:name="_Toc184313240"/>
      <w:bookmarkEnd w:id="212"/>
      <w:bookmarkStart w:id="213" w:name="_Toc184313277"/>
      <w:bookmarkEnd w:id="213"/>
      <w:bookmarkStart w:id="214" w:name="_Toc184310331"/>
      <w:bookmarkEnd w:id="214"/>
      <w:bookmarkStart w:id="215" w:name="_Toc184313285"/>
      <w:bookmarkEnd w:id="215"/>
      <w:bookmarkStart w:id="216" w:name="_Toc184310303"/>
      <w:bookmarkEnd w:id="216"/>
      <w:bookmarkStart w:id="217" w:name="_Toc184314445"/>
      <w:bookmarkEnd w:id="217"/>
      <w:bookmarkStart w:id="218" w:name="_Toc184312094"/>
      <w:bookmarkEnd w:id="218"/>
      <w:bookmarkStart w:id="219" w:name="_Toc184312078"/>
      <w:bookmarkEnd w:id="219"/>
      <w:bookmarkStart w:id="220" w:name="_Toc184310317"/>
      <w:bookmarkEnd w:id="220"/>
      <w:bookmarkStart w:id="221" w:name="_Toc184313262"/>
      <w:bookmarkEnd w:id="221"/>
      <w:bookmarkStart w:id="222" w:name="_Toc184312076"/>
      <w:bookmarkEnd w:id="222"/>
      <w:bookmarkStart w:id="223" w:name="_Toc184313259"/>
      <w:bookmarkEnd w:id="223"/>
      <w:bookmarkStart w:id="224" w:name="_Toc184313299"/>
      <w:bookmarkEnd w:id="224"/>
      <w:bookmarkStart w:id="225" w:name="_Toc184310305"/>
      <w:bookmarkEnd w:id="225"/>
      <w:bookmarkStart w:id="226" w:name="_Toc184308063"/>
      <w:bookmarkEnd w:id="226"/>
      <w:bookmarkStart w:id="227" w:name="_Toc184310292"/>
      <w:bookmarkEnd w:id="227"/>
      <w:bookmarkStart w:id="228" w:name="_Toc184310274"/>
      <w:bookmarkEnd w:id="228"/>
      <w:bookmarkStart w:id="229" w:name="_Toc184310332"/>
      <w:bookmarkEnd w:id="229"/>
      <w:bookmarkStart w:id="230" w:name="_Toc184308097"/>
      <w:bookmarkEnd w:id="230"/>
      <w:bookmarkStart w:id="231" w:name="_Toc184312134"/>
      <w:bookmarkEnd w:id="231"/>
      <w:bookmarkStart w:id="232" w:name="_Toc184308062"/>
      <w:bookmarkEnd w:id="232"/>
      <w:bookmarkStart w:id="233" w:name="_Toc184314433"/>
      <w:bookmarkEnd w:id="233"/>
      <w:bookmarkStart w:id="234" w:name="_Toc184314474"/>
      <w:bookmarkEnd w:id="234"/>
      <w:bookmarkStart w:id="235" w:name="_Toc184312068"/>
      <w:bookmarkEnd w:id="235"/>
      <w:bookmarkStart w:id="236" w:name="_Toc184310300"/>
      <w:bookmarkEnd w:id="236"/>
      <w:bookmarkStart w:id="237" w:name="_Toc184312136"/>
      <w:bookmarkEnd w:id="237"/>
      <w:bookmarkStart w:id="238" w:name="_Toc184313307"/>
      <w:bookmarkEnd w:id="238"/>
      <w:bookmarkStart w:id="239" w:name="_Toc184308042"/>
      <w:bookmarkEnd w:id="239"/>
      <w:bookmarkStart w:id="240" w:name="_Toc184312125"/>
      <w:bookmarkEnd w:id="240"/>
      <w:bookmarkStart w:id="241" w:name="_Toc184310314"/>
      <w:bookmarkEnd w:id="241"/>
      <w:bookmarkStart w:id="242" w:name="_Toc184312088"/>
      <w:bookmarkEnd w:id="242"/>
      <w:bookmarkStart w:id="243" w:name="_Toc184308041"/>
      <w:bookmarkEnd w:id="243"/>
      <w:bookmarkStart w:id="244" w:name="_Toc184312123"/>
      <w:bookmarkEnd w:id="244"/>
      <w:bookmarkStart w:id="245" w:name="_Toc184308043"/>
      <w:bookmarkEnd w:id="245"/>
      <w:bookmarkStart w:id="246" w:name="_Toc184314420"/>
      <w:bookmarkEnd w:id="246"/>
      <w:bookmarkStart w:id="247" w:name="_Toc184312119"/>
      <w:bookmarkEnd w:id="247"/>
      <w:bookmarkStart w:id="248" w:name="_Toc184313293"/>
      <w:bookmarkEnd w:id="248"/>
      <w:bookmarkStart w:id="249" w:name="_Toc184312107"/>
      <w:bookmarkEnd w:id="249"/>
      <w:bookmarkStart w:id="250" w:name="_Toc184314426"/>
      <w:bookmarkEnd w:id="250"/>
      <w:bookmarkStart w:id="251" w:name="_Toc184308057"/>
      <w:bookmarkEnd w:id="251"/>
      <w:bookmarkStart w:id="252" w:name="_Toc184310323"/>
      <w:bookmarkEnd w:id="252"/>
      <w:bookmarkStart w:id="253" w:name="_Toc184310308"/>
      <w:bookmarkEnd w:id="253"/>
      <w:bookmarkStart w:id="254" w:name="_Toc184313255"/>
      <w:bookmarkEnd w:id="254"/>
      <w:bookmarkStart w:id="255" w:name="_Toc184308068"/>
      <w:bookmarkEnd w:id="255"/>
      <w:bookmarkStart w:id="256" w:name="_Toc184314472"/>
      <w:bookmarkEnd w:id="256"/>
      <w:bookmarkStart w:id="257" w:name="_Toc184308061"/>
      <w:bookmarkEnd w:id="257"/>
      <w:bookmarkStart w:id="258" w:name="_Toc184308091"/>
      <w:bookmarkEnd w:id="258"/>
      <w:bookmarkStart w:id="259" w:name="_Toc184312075"/>
      <w:bookmarkEnd w:id="259"/>
      <w:bookmarkStart w:id="260" w:name="_Toc184312100"/>
      <w:bookmarkEnd w:id="260"/>
      <w:bookmarkStart w:id="261" w:name="_Toc184314466"/>
      <w:bookmarkEnd w:id="261"/>
      <w:bookmarkStart w:id="262" w:name="_Toc184313245"/>
      <w:bookmarkEnd w:id="262"/>
      <w:bookmarkStart w:id="263" w:name="_Toc184313306"/>
      <w:bookmarkEnd w:id="263"/>
      <w:bookmarkStart w:id="264" w:name="_Toc184314419"/>
      <w:bookmarkEnd w:id="264"/>
      <w:bookmarkStart w:id="265" w:name="_Toc184308077"/>
      <w:bookmarkEnd w:id="265"/>
      <w:bookmarkStart w:id="266" w:name="_Toc184308073"/>
      <w:bookmarkEnd w:id="266"/>
      <w:bookmarkStart w:id="267" w:name="_Toc184310282"/>
      <w:bookmarkEnd w:id="267"/>
      <w:bookmarkStart w:id="268" w:name="_Toc184310322"/>
      <w:bookmarkEnd w:id="268"/>
      <w:bookmarkStart w:id="269" w:name="_Toc184314447"/>
      <w:bookmarkEnd w:id="269"/>
      <w:bookmarkStart w:id="270" w:name="_Toc184308088"/>
      <w:bookmarkEnd w:id="270"/>
      <w:bookmarkStart w:id="271" w:name="_Toc184314454"/>
      <w:bookmarkEnd w:id="271"/>
      <w:bookmarkStart w:id="272" w:name="_Toc184308093"/>
      <w:bookmarkEnd w:id="272"/>
      <w:bookmarkStart w:id="273" w:name="_Toc184312093"/>
      <w:bookmarkEnd w:id="273"/>
      <w:bookmarkStart w:id="274" w:name="_Toc184313238"/>
      <w:bookmarkEnd w:id="274"/>
      <w:bookmarkStart w:id="275" w:name="_Toc184314442"/>
      <w:bookmarkEnd w:id="275"/>
      <w:bookmarkStart w:id="276" w:name="_Toc184310306"/>
      <w:bookmarkEnd w:id="276"/>
      <w:bookmarkStart w:id="277" w:name="_Toc184312085"/>
      <w:bookmarkEnd w:id="277"/>
      <w:bookmarkStart w:id="278" w:name="_Toc184312073"/>
      <w:bookmarkEnd w:id="278"/>
      <w:bookmarkStart w:id="279" w:name="_Toc184314444"/>
      <w:bookmarkEnd w:id="279"/>
      <w:bookmarkStart w:id="280" w:name="_Toc184308085"/>
      <w:bookmarkEnd w:id="280"/>
      <w:bookmarkStart w:id="281" w:name="_Toc184314439"/>
      <w:bookmarkEnd w:id="281"/>
      <w:bookmarkStart w:id="282" w:name="_Toc184310293"/>
      <w:bookmarkEnd w:id="282"/>
      <w:bookmarkStart w:id="283" w:name="_Toc184308099"/>
      <w:bookmarkEnd w:id="283"/>
      <w:bookmarkStart w:id="284" w:name="_Toc184308086"/>
      <w:bookmarkEnd w:id="284"/>
      <w:bookmarkStart w:id="285" w:name="_Toc184312077"/>
      <w:bookmarkEnd w:id="285"/>
      <w:bookmarkStart w:id="286" w:name="_Toc184314436"/>
      <w:bookmarkEnd w:id="286"/>
      <w:bookmarkStart w:id="287" w:name="_Toc184313275"/>
      <w:bookmarkEnd w:id="287"/>
      <w:bookmarkStart w:id="288" w:name="_Toc184310315"/>
      <w:bookmarkEnd w:id="288"/>
      <w:bookmarkStart w:id="289" w:name="_Toc184312122"/>
      <w:bookmarkEnd w:id="289"/>
      <w:bookmarkStart w:id="290" w:name="_Toc184308107"/>
      <w:bookmarkEnd w:id="290"/>
      <w:bookmarkStart w:id="291" w:name="_Toc184308090"/>
      <w:bookmarkEnd w:id="291"/>
      <w:bookmarkStart w:id="292" w:name="_Toc184310316"/>
      <w:bookmarkEnd w:id="292"/>
      <w:bookmarkStart w:id="293" w:name="_Toc184312130"/>
      <w:bookmarkEnd w:id="293"/>
      <w:bookmarkStart w:id="294" w:name="_Toc184313241"/>
      <w:bookmarkEnd w:id="294"/>
      <w:bookmarkStart w:id="295" w:name="_Toc184313251"/>
      <w:bookmarkEnd w:id="295"/>
      <w:bookmarkStart w:id="296" w:name="_Toc184313304"/>
      <w:bookmarkEnd w:id="296"/>
      <w:bookmarkStart w:id="297" w:name="_Toc184312129"/>
      <w:bookmarkEnd w:id="297"/>
      <w:bookmarkStart w:id="298" w:name="_Toc184313272"/>
      <w:bookmarkEnd w:id="298"/>
      <w:bookmarkStart w:id="299" w:name="_Toc184312120"/>
      <w:bookmarkEnd w:id="299"/>
      <w:bookmarkStart w:id="300" w:name="_Toc184312071"/>
      <w:bookmarkEnd w:id="300"/>
      <w:bookmarkStart w:id="301" w:name="_Toc184308039"/>
      <w:bookmarkEnd w:id="301"/>
      <w:bookmarkStart w:id="302" w:name="_Toc184313278"/>
      <w:bookmarkEnd w:id="302"/>
      <w:bookmarkStart w:id="303" w:name="_Toc184312070"/>
      <w:bookmarkEnd w:id="303"/>
      <w:bookmarkStart w:id="304" w:name="_Toc184313250"/>
      <w:bookmarkEnd w:id="304"/>
      <w:bookmarkStart w:id="305" w:name="_Toc184313288"/>
      <w:bookmarkEnd w:id="305"/>
      <w:bookmarkStart w:id="306" w:name="_Toc184308038"/>
      <w:bookmarkEnd w:id="306"/>
      <w:bookmarkStart w:id="307" w:name="_Toc184313271"/>
      <w:bookmarkEnd w:id="307"/>
      <w:bookmarkStart w:id="308" w:name="_Toc184313261"/>
      <w:bookmarkEnd w:id="308"/>
      <w:bookmarkStart w:id="309" w:name="_Toc184314478"/>
      <w:bookmarkEnd w:id="309"/>
      <w:bookmarkStart w:id="310" w:name="_Toc184312074"/>
      <w:bookmarkEnd w:id="310"/>
      <w:bookmarkStart w:id="311" w:name="_Toc184310319"/>
      <w:bookmarkEnd w:id="311"/>
      <w:bookmarkStart w:id="312" w:name="_Toc184312097"/>
      <w:bookmarkEnd w:id="312"/>
      <w:bookmarkStart w:id="313" w:name="_Toc184308045"/>
      <w:bookmarkEnd w:id="313"/>
      <w:bookmarkStart w:id="314" w:name="_Toc184310342"/>
      <w:bookmarkEnd w:id="314"/>
      <w:bookmarkStart w:id="315" w:name="_Toc184310334"/>
      <w:bookmarkEnd w:id="315"/>
      <w:bookmarkStart w:id="316" w:name="_Toc184308066"/>
      <w:bookmarkEnd w:id="316"/>
      <w:bookmarkStart w:id="317" w:name="_Toc184314463"/>
      <w:bookmarkEnd w:id="317"/>
      <w:bookmarkStart w:id="318" w:name="_Toc184312104"/>
      <w:bookmarkEnd w:id="318"/>
      <w:bookmarkStart w:id="319" w:name="_Toc184312139"/>
      <w:bookmarkEnd w:id="319"/>
      <w:bookmarkStart w:id="320" w:name="_Toc184314418"/>
      <w:bookmarkEnd w:id="320"/>
      <w:bookmarkStart w:id="321" w:name="_Toc184314425"/>
      <w:bookmarkEnd w:id="321"/>
      <w:bookmarkStart w:id="322" w:name="_Toc184312101"/>
      <w:bookmarkEnd w:id="322"/>
      <w:bookmarkStart w:id="323" w:name="_Toc184310337"/>
      <w:bookmarkEnd w:id="323"/>
      <w:bookmarkStart w:id="324" w:name="_Toc184314479"/>
      <w:bookmarkEnd w:id="324"/>
      <w:bookmarkStart w:id="325" w:name="_Toc184308046"/>
      <w:bookmarkEnd w:id="325"/>
      <w:bookmarkStart w:id="326" w:name="_Toc184313302"/>
      <w:bookmarkEnd w:id="326"/>
      <w:bookmarkStart w:id="327" w:name="_Toc184310312"/>
      <w:bookmarkEnd w:id="327"/>
      <w:bookmarkStart w:id="328" w:name="_Toc184313289"/>
      <w:bookmarkEnd w:id="328"/>
      <w:bookmarkStart w:id="329" w:name="_Toc184312105"/>
      <w:bookmarkEnd w:id="329"/>
      <w:bookmarkStart w:id="330" w:name="_Toc184312091"/>
      <w:bookmarkEnd w:id="330"/>
      <w:bookmarkStart w:id="331" w:name="_Toc184310340"/>
      <w:bookmarkEnd w:id="331"/>
      <w:bookmarkStart w:id="332" w:name="_Toc184308094"/>
      <w:bookmarkEnd w:id="332"/>
      <w:bookmarkStart w:id="333" w:name="_Toc184308040"/>
      <w:bookmarkEnd w:id="333"/>
      <w:bookmarkStart w:id="334" w:name="_Toc184308103"/>
      <w:bookmarkEnd w:id="334"/>
      <w:bookmarkStart w:id="335" w:name="_Toc184312114"/>
      <w:bookmarkEnd w:id="335"/>
      <w:bookmarkStart w:id="336" w:name="_Toc184313247"/>
      <w:bookmarkEnd w:id="336"/>
      <w:bookmarkStart w:id="337" w:name="_Toc184314449"/>
      <w:bookmarkEnd w:id="337"/>
      <w:bookmarkStart w:id="338" w:name="_Toc184308096"/>
      <w:bookmarkEnd w:id="338"/>
      <w:bookmarkStart w:id="339" w:name="_Toc184312116"/>
      <w:bookmarkEnd w:id="339"/>
      <w:bookmarkStart w:id="340" w:name="_Toc184312067"/>
      <w:bookmarkEnd w:id="340"/>
      <w:bookmarkStart w:id="341" w:name="_Toc184310329"/>
      <w:bookmarkEnd w:id="341"/>
      <w:bookmarkStart w:id="342" w:name="_Toc184308087"/>
      <w:bookmarkEnd w:id="342"/>
      <w:bookmarkStart w:id="343" w:name="_Toc184312128"/>
      <w:bookmarkEnd w:id="343"/>
      <w:bookmarkStart w:id="344" w:name="_Toc184310283"/>
      <w:bookmarkEnd w:id="344"/>
      <w:bookmarkStart w:id="345" w:name="_Toc184308075"/>
      <w:bookmarkEnd w:id="345"/>
      <w:bookmarkStart w:id="346" w:name="_Toc184310309"/>
      <w:bookmarkEnd w:id="346"/>
      <w:bookmarkStart w:id="347" w:name="_Toc184310320"/>
      <w:bookmarkEnd w:id="347"/>
      <w:bookmarkStart w:id="348" w:name="_Toc184314416"/>
      <w:bookmarkEnd w:id="348"/>
      <w:bookmarkStart w:id="349" w:name="_Toc184313253"/>
      <w:bookmarkEnd w:id="349"/>
      <w:bookmarkStart w:id="350" w:name="_Toc184314421"/>
      <w:bookmarkEnd w:id="350"/>
      <w:bookmarkStart w:id="351" w:name="_Toc184313249"/>
      <w:bookmarkEnd w:id="351"/>
      <w:bookmarkStart w:id="352" w:name="_Toc184310287"/>
      <w:bookmarkEnd w:id="352"/>
      <w:bookmarkStart w:id="353" w:name="_Toc184314468"/>
      <w:bookmarkEnd w:id="353"/>
      <w:bookmarkStart w:id="354" w:name="_Toc184313274"/>
      <w:bookmarkEnd w:id="354"/>
      <w:bookmarkStart w:id="355" w:name="_Toc184308080"/>
      <w:bookmarkEnd w:id="355"/>
      <w:bookmarkStart w:id="356" w:name="_Toc184313257"/>
      <w:bookmarkEnd w:id="356"/>
      <w:bookmarkStart w:id="357" w:name="_Toc184308058"/>
      <w:bookmarkEnd w:id="357"/>
      <w:bookmarkStart w:id="358" w:name="_Toc184313273"/>
      <w:bookmarkEnd w:id="358"/>
      <w:bookmarkStart w:id="359" w:name="_Toc184310275"/>
      <w:bookmarkEnd w:id="359"/>
      <w:bookmarkStart w:id="360" w:name="_Toc184313295"/>
      <w:bookmarkEnd w:id="360"/>
      <w:bookmarkStart w:id="361" w:name="_Toc184308076"/>
      <w:bookmarkEnd w:id="361"/>
      <w:bookmarkStart w:id="362" w:name="_Toc184314411"/>
      <w:bookmarkEnd w:id="362"/>
      <w:bookmarkStart w:id="363" w:name="_Toc184308108"/>
      <w:bookmarkEnd w:id="363"/>
      <w:bookmarkStart w:id="364" w:name="_Toc184314457"/>
      <w:bookmarkEnd w:id="364"/>
      <w:bookmarkStart w:id="365" w:name="_Toc184313279"/>
      <w:bookmarkEnd w:id="365"/>
      <w:bookmarkStart w:id="366" w:name="_Toc184308051"/>
      <w:bookmarkEnd w:id="366"/>
      <w:bookmarkStart w:id="367" w:name="_Toc184314438"/>
      <w:bookmarkEnd w:id="367"/>
      <w:bookmarkStart w:id="368" w:name="_Toc184310302"/>
      <w:bookmarkEnd w:id="368"/>
      <w:bookmarkStart w:id="369" w:name="_Toc184313296"/>
      <w:bookmarkEnd w:id="369"/>
      <w:bookmarkStart w:id="370" w:name="_Toc184313239"/>
      <w:bookmarkEnd w:id="370"/>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办法</w:t>
      </w:r>
    </w:p>
    <w:p w14:paraId="60670E07">
      <w:pPr>
        <w:pStyle w:val="6"/>
        <w:rPr>
          <w:rFonts w:hint="eastAsia" w:ascii="仿宋" w:hAnsi="仿宋" w:eastAsia="仿宋" w:cs="仿宋"/>
          <w:color w:val="auto"/>
          <w:highlight w:val="none"/>
        </w:rPr>
      </w:pP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办法前附表</w:t>
      </w:r>
    </w:p>
    <w:p w14:paraId="71B139E4">
      <w:pPr>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商务技术（90分）</w:t>
      </w:r>
    </w:p>
    <w:tbl>
      <w:tblPr>
        <w:tblStyle w:val="33"/>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90"/>
        <w:gridCol w:w="1240"/>
        <w:gridCol w:w="4608"/>
        <w:gridCol w:w="969"/>
        <w:gridCol w:w="1086"/>
        <w:gridCol w:w="23"/>
      </w:tblGrid>
      <w:tr w14:paraId="1CEF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47" w:type="dxa"/>
            <w:tcBorders>
              <w:tl2br w:val="nil"/>
              <w:tr2bl w:val="nil"/>
            </w:tcBorders>
            <w:noWrap w:val="0"/>
            <w:vAlign w:val="center"/>
          </w:tcPr>
          <w:p w14:paraId="23F7197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序号</w:t>
            </w:r>
          </w:p>
        </w:tc>
        <w:tc>
          <w:tcPr>
            <w:tcW w:w="6538" w:type="dxa"/>
            <w:gridSpan w:val="3"/>
            <w:tcBorders>
              <w:tl2br w:val="nil"/>
              <w:tr2bl w:val="nil"/>
            </w:tcBorders>
            <w:noWrap w:val="0"/>
            <w:vAlign w:val="center"/>
          </w:tcPr>
          <w:p w14:paraId="039725A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评分内容和标准</w:t>
            </w:r>
          </w:p>
        </w:tc>
        <w:tc>
          <w:tcPr>
            <w:tcW w:w="969" w:type="dxa"/>
            <w:tcBorders>
              <w:tl2br w:val="nil"/>
              <w:tr2bl w:val="nil"/>
            </w:tcBorders>
            <w:noWrap w:val="0"/>
            <w:vAlign w:val="center"/>
          </w:tcPr>
          <w:p w14:paraId="4B0C672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分值区间</w:t>
            </w:r>
          </w:p>
        </w:tc>
        <w:tc>
          <w:tcPr>
            <w:tcW w:w="1109" w:type="dxa"/>
            <w:gridSpan w:val="2"/>
            <w:tcBorders>
              <w:tl2br w:val="nil"/>
              <w:tr2bl w:val="nil"/>
            </w:tcBorders>
            <w:noWrap w:val="0"/>
            <w:vAlign w:val="center"/>
          </w:tcPr>
          <w:p w14:paraId="4A18451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主观客观分</w:t>
            </w:r>
          </w:p>
        </w:tc>
      </w:tr>
      <w:tr w14:paraId="7457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47" w:type="dxa"/>
            <w:vMerge w:val="restart"/>
            <w:tcBorders>
              <w:tl2br w:val="nil"/>
              <w:tr2bl w:val="nil"/>
            </w:tcBorders>
            <w:noWrap w:val="0"/>
            <w:vAlign w:val="center"/>
          </w:tcPr>
          <w:p w14:paraId="378568C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商务资信分（</w:t>
            </w:r>
            <w:r>
              <w:rPr>
                <w:rFonts w:hint="eastAsia" w:ascii="仿宋" w:hAnsi="仿宋" w:eastAsia="仿宋" w:cs="仿宋"/>
                <w:i w:val="0"/>
                <w:iCs w:val="0"/>
                <w:color w:val="auto"/>
                <w:sz w:val="22"/>
                <w:szCs w:val="22"/>
                <w:highlight w:val="none"/>
                <w:lang w:val="en-US" w:eastAsia="zh-CN"/>
              </w:rPr>
              <w:t>6</w:t>
            </w:r>
            <w:r>
              <w:rPr>
                <w:rFonts w:hint="eastAsia" w:ascii="仿宋" w:hAnsi="仿宋" w:eastAsia="仿宋" w:cs="仿宋"/>
                <w:i w:val="0"/>
                <w:iCs w:val="0"/>
                <w:color w:val="auto"/>
                <w:sz w:val="22"/>
                <w:szCs w:val="22"/>
                <w:highlight w:val="none"/>
              </w:rPr>
              <w:t>分）</w:t>
            </w:r>
          </w:p>
        </w:tc>
        <w:tc>
          <w:tcPr>
            <w:tcW w:w="690" w:type="dxa"/>
            <w:tcBorders>
              <w:tl2br w:val="nil"/>
              <w:tr2bl w:val="nil"/>
            </w:tcBorders>
            <w:noWrap w:val="0"/>
            <w:vAlign w:val="center"/>
          </w:tcPr>
          <w:p w14:paraId="1A49B88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lang w:eastAsia="zh-CN"/>
              </w:rPr>
            </w:pPr>
            <w:r>
              <w:rPr>
                <w:rFonts w:hint="eastAsia" w:ascii="仿宋" w:hAnsi="仿宋" w:eastAsia="仿宋" w:cs="仿宋"/>
                <w:i w:val="0"/>
                <w:iCs w:val="0"/>
                <w:color w:val="auto"/>
                <w:sz w:val="22"/>
                <w:szCs w:val="22"/>
                <w:highlight w:val="none"/>
                <w:lang w:val="en-US" w:eastAsia="zh-CN"/>
              </w:rPr>
              <w:t>1</w:t>
            </w:r>
          </w:p>
        </w:tc>
        <w:tc>
          <w:tcPr>
            <w:tcW w:w="5848" w:type="dxa"/>
            <w:gridSpan w:val="2"/>
            <w:tcBorders>
              <w:tl2br w:val="nil"/>
              <w:tr2bl w:val="nil"/>
            </w:tcBorders>
            <w:noWrap w:val="0"/>
            <w:vAlign w:val="center"/>
          </w:tcPr>
          <w:p w14:paraId="651BC71B">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 w:hAnsi="仿宋" w:eastAsia="仿宋" w:cs="仿宋"/>
                <w:i w:val="0"/>
                <w:iCs w:val="0"/>
                <w:color w:val="auto"/>
                <w:sz w:val="22"/>
                <w:szCs w:val="22"/>
                <w:highlight w:val="none"/>
              </w:rPr>
            </w:pPr>
            <w:r>
              <w:rPr>
                <w:rFonts w:hint="eastAsia" w:cs="仿宋"/>
                <w:i w:val="0"/>
                <w:iCs w:val="0"/>
                <w:color w:val="auto"/>
                <w:sz w:val="22"/>
                <w:szCs w:val="22"/>
                <w:highlight w:val="none"/>
                <w:lang w:eastAsia="zh-CN"/>
              </w:rPr>
              <w:t>响应人</w:t>
            </w:r>
            <w:r>
              <w:rPr>
                <w:rFonts w:hint="eastAsia" w:ascii="仿宋" w:hAnsi="仿宋" w:eastAsia="仿宋" w:cs="仿宋"/>
                <w:i w:val="0"/>
                <w:iCs w:val="0"/>
                <w:color w:val="auto"/>
                <w:sz w:val="22"/>
                <w:szCs w:val="22"/>
                <w:highlight w:val="none"/>
              </w:rPr>
              <w:t>提供</w:t>
            </w:r>
            <w:r>
              <w:rPr>
                <w:rFonts w:hint="eastAsia" w:ascii="仿宋" w:hAnsi="仿宋" w:eastAsia="仿宋" w:cs="仿宋"/>
                <w:i w:val="0"/>
                <w:iCs w:val="0"/>
                <w:color w:val="auto"/>
                <w:sz w:val="22"/>
                <w:szCs w:val="22"/>
                <w:highlight w:val="none"/>
                <w:lang w:val="en-US" w:eastAsia="zh-CN"/>
              </w:rPr>
              <w:t>自202</w:t>
            </w:r>
            <w:r>
              <w:rPr>
                <w:rFonts w:hint="eastAsia" w:cs="仿宋"/>
                <w:i w:val="0"/>
                <w:iCs w:val="0"/>
                <w:color w:val="auto"/>
                <w:sz w:val="22"/>
                <w:szCs w:val="22"/>
                <w:highlight w:val="none"/>
                <w:lang w:val="en-US" w:eastAsia="zh-CN"/>
              </w:rPr>
              <w:t>2</w:t>
            </w:r>
            <w:r>
              <w:rPr>
                <w:rFonts w:hint="eastAsia" w:ascii="仿宋" w:hAnsi="仿宋" w:eastAsia="仿宋" w:cs="仿宋"/>
                <w:i w:val="0"/>
                <w:iCs w:val="0"/>
                <w:color w:val="auto"/>
                <w:sz w:val="22"/>
                <w:szCs w:val="22"/>
                <w:highlight w:val="none"/>
                <w:lang w:val="en-US" w:eastAsia="zh-CN"/>
              </w:rPr>
              <w:t>年1月1日</w:t>
            </w:r>
            <w:r>
              <w:rPr>
                <w:rFonts w:hint="eastAsia" w:ascii="仿宋" w:hAnsi="仿宋" w:eastAsia="仿宋" w:cs="仿宋"/>
                <w:i w:val="0"/>
                <w:iCs w:val="0"/>
                <w:color w:val="auto"/>
                <w:sz w:val="22"/>
                <w:szCs w:val="22"/>
                <w:highlight w:val="none"/>
              </w:rPr>
              <w:t>以来具有类似项目业绩的,每提供一</w:t>
            </w:r>
            <w:r>
              <w:rPr>
                <w:rFonts w:hint="eastAsia" w:ascii="仿宋" w:hAnsi="仿宋" w:eastAsia="仿宋" w:cs="仿宋"/>
                <w:i w:val="0"/>
                <w:iCs w:val="0"/>
                <w:color w:val="auto"/>
                <w:sz w:val="22"/>
                <w:szCs w:val="22"/>
                <w:highlight w:val="none"/>
                <w:lang w:val="en-US" w:eastAsia="zh-CN"/>
              </w:rPr>
              <w:t>个</w:t>
            </w:r>
            <w:r>
              <w:rPr>
                <w:rFonts w:hint="eastAsia" w:ascii="仿宋" w:hAnsi="仿宋" w:eastAsia="仿宋" w:cs="仿宋"/>
                <w:i w:val="0"/>
                <w:iCs w:val="0"/>
                <w:color w:val="auto"/>
                <w:sz w:val="22"/>
                <w:szCs w:val="22"/>
                <w:highlight w:val="none"/>
              </w:rPr>
              <w:t>得</w:t>
            </w:r>
            <w:r>
              <w:rPr>
                <w:rFonts w:hint="eastAsia" w:ascii="仿宋" w:hAnsi="仿宋" w:eastAsia="仿宋" w:cs="仿宋"/>
                <w:i w:val="0"/>
                <w:iCs w:val="0"/>
                <w:color w:val="auto"/>
                <w:sz w:val="22"/>
                <w:szCs w:val="22"/>
                <w:highlight w:val="none"/>
                <w:lang w:val="en-US" w:eastAsia="zh-CN"/>
              </w:rPr>
              <w:t>0.5</w:t>
            </w:r>
            <w:r>
              <w:rPr>
                <w:rFonts w:hint="eastAsia" w:ascii="仿宋" w:hAnsi="仿宋" w:eastAsia="仿宋" w:cs="仿宋"/>
                <w:i w:val="0"/>
                <w:iCs w:val="0"/>
                <w:color w:val="auto"/>
                <w:sz w:val="22"/>
                <w:szCs w:val="22"/>
                <w:highlight w:val="none"/>
              </w:rPr>
              <w:t>分，最多得</w:t>
            </w:r>
            <w:r>
              <w:rPr>
                <w:rFonts w:hint="eastAsia" w:ascii="仿宋" w:hAnsi="仿宋" w:eastAsia="仿宋" w:cs="仿宋"/>
                <w:i w:val="0"/>
                <w:iCs w:val="0"/>
                <w:color w:val="auto"/>
                <w:sz w:val="22"/>
                <w:szCs w:val="22"/>
                <w:highlight w:val="none"/>
                <w:lang w:val="en-US" w:eastAsia="zh-CN"/>
              </w:rPr>
              <w:t>1</w:t>
            </w:r>
            <w:r>
              <w:rPr>
                <w:rFonts w:hint="eastAsia" w:ascii="仿宋" w:hAnsi="仿宋" w:eastAsia="仿宋" w:cs="仿宋"/>
                <w:i w:val="0"/>
                <w:iCs w:val="0"/>
                <w:color w:val="auto"/>
                <w:sz w:val="22"/>
                <w:szCs w:val="22"/>
                <w:highlight w:val="none"/>
              </w:rPr>
              <w:t>分。(有效</w:t>
            </w:r>
            <w:r>
              <w:rPr>
                <w:rFonts w:hint="eastAsia" w:ascii="仿宋" w:hAnsi="仿宋" w:eastAsia="仿宋" w:cs="仿宋"/>
                <w:i w:val="0"/>
                <w:iCs w:val="0"/>
                <w:color w:val="auto"/>
                <w:sz w:val="22"/>
                <w:szCs w:val="22"/>
                <w:highlight w:val="none"/>
                <w:lang w:eastAsia="zh-CN"/>
              </w:rPr>
              <w:t>类似</w:t>
            </w:r>
            <w:r>
              <w:rPr>
                <w:rFonts w:hint="eastAsia" w:ascii="仿宋" w:hAnsi="仿宋" w:eastAsia="仿宋" w:cs="仿宋"/>
                <w:i w:val="0"/>
                <w:iCs w:val="0"/>
                <w:color w:val="auto"/>
                <w:sz w:val="22"/>
                <w:szCs w:val="22"/>
                <w:highlight w:val="none"/>
              </w:rPr>
              <w:t>项目业绩：</w:t>
            </w:r>
            <w:r>
              <w:rPr>
                <w:rFonts w:hint="eastAsia" w:cs="仿宋"/>
                <w:i w:val="0"/>
                <w:iCs w:val="0"/>
                <w:color w:val="auto"/>
                <w:sz w:val="22"/>
                <w:szCs w:val="22"/>
                <w:highlight w:val="none"/>
                <w:lang w:eastAsia="zh-CN"/>
              </w:rPr>
              <w:t>响应文件</w:t>
            </w:r>
            <w:r>
              <w:rPr>
                <w:rFonts w:hint="eastAsia" w:ascii="仿宋" w:hAnsi="仿宋" w:eastAsia="仿宋" w:cs="仿宋"/>
                <w:i w:val="0"/>
                <w:iCs w:val="0"/>
                <w:color w:val="auto"/>
                <w:sz w:val="22"/>
                <w:szCs w:val="22"/>
                <w:highlight w:val="none"/>
              </w:rPr>
              <w:t>中须同时提供相关合同</w:t>
            </w:r>
            <w:r>
              <w:rPr>
                <w:rFonts w:hint="eastAsia" w:cs="仿宋"/>
                <w:i w:val="0"/>
                <w:iCs w:val="0"/>
                <w:color w:val="auto"/>
                <w:sz w:val="22"/>
                <w:szCs w:val="22"/>
                <w:highlight w:val="none"/>
                <w:lang w:eastAsia="zh-CN"/>
              </w:rPr>
              <w:t>扫描件</w:t>
            </w:r>
            <w:r>
              <w:rPr>
                <w:rFonts w:hint="eastAsia" w:ascii="仿宋" w:hAnsi="仿宋" w:eastAsia="仿宋" w:cs="仿宋"/>
                <w:i w:val="0"/>
                <w:iCs w:val="0"/>
                <w:color w:val="auto"/>
                <w:sz w:val="22"/>
                <w:szCs w:val="22"/>
                <w:highlight w:val="none"/>
              </w:rPr>
              <w:t>并加盖</w:t>
            </w:r>
            <w:r>
              <w:rPr>
                <w:rFonts w:hint="eastAsia" w:cs="仿宋"/>
                <w:i w:val="0"/>
                <w:iCs w:val="0"/>
                <w:color w:val="auto"/>
                <w:sz w:val="22"/>
                <w:szCs w:val="22"/>
                <w:highlight w:val="none"/>
                <w:lang w:val="en-US" w:eastAsia="zh-CN"/>
              </w:rPr>
              <w:t>响应人</w:t>
            </w:r>
            <w:r>
              <w:rPr>
                <w:rFonts w:hint="eastAsia" w:ascii="仿宋" w:hAnsi="仿宋" w:eastAsia="仿宋" w:cs="仿宋"/>
                <w:i w:val="0"/>
                <w:iCs w:val="0"/>
                <w:color w:val="auto"/>
                <w:sz w:val="22"/>
                <w:szCs w:val="22"/>
                <w:highlight w:val="none"/>
              </w:rPr>
              <w:t>公章，不提供不得分。）</w:t>
            </w:r>
          </w:p>
        </w:tc>
        <w:tc>
          <w:tcPr>
            <w:tcW w:w="969" w:type="dxa"/>
            <w:tcBorders>
              <w:tl2br w:val="nil"/>
              <w:tr2bl w:val="nil"/>
            </w:tcBorders>
            <w:noWrap w:val="0"/>
            <w:vAlign w:val="center"/>
          </w:tcPr>
          <w:p w14:paraId="3681862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rPr>
              <w:t>0-</w:t>
            </w:r>
            <w:r>
              <w:rPr>
                <w:rFonts w:hint="eastAsia" w:ascii="仿宋" w:hAnsi="仿宋" w:eastAsia="仿宋" w:cs="仿宋"/>
                <w:i w:val="0"/>
                <w:iCs w:val="0"/>
                <w:color w:val="auto"/>
                <w:sz w:val="22"/>
                <w:szCs w:val="22"/>
                <w:highlight w:val="none"/>
                <w:lang w:val="en-US" w:eastAsia="zh-CN"/>
              </w:rPr>
              <w:t>1</w:t>
            </w:r>
          </w:p>
        </w:tc>
        <w:tc>
          <w:tcPr>
            <w:tcW w:w="1109" w:type="dxa"/>
            <w:gridSpan w:val="2"/>
            <w:tcBorders>
              <w:tl2br w:val="nil"/>
              <w:tr2bl w:val="nil"/>
            </w:tcBorders>
            <w:noWrap w:val="0"/>
            <w:vAlign w:val="center"/>
          </w:tcPr>
          <w:p w14:paraId="376B53A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客观分</w:t>
            </w:r>
          </w:p>
        </w:tc>
      </w:tr>
      <w:tr w14:paraId="3D34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47" w:type="dxa"/>
            <w:vMerge w:val="continue"/>
            <w:tcBorders>
              <w:tl2br w:val="nil"/>
              <w:tr2bl w:val="nil"/>
            </w:tcBorders>
            <w:noWrap w:val="0"/>
            <w:vAlign w:val="center"/>
          </w:tcPr>
          <w:p w14:paraId="60BF5A4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p>
        </w:tc>
        <w:tc>
          <w:tcPr>
            <w:tcW w:w="690" w:type="dxa"/>
            <w:tcBorders>
              <w:tl2br w:val="nil"/>
              <w:tr2bl w:val="nil"/>
            </w:tcBorders>
            <w:noWrap w:val="0"/>
            <w:vAlign w:val="center"/>
          </w:tcPr>
          <w:p w14:paraId="33178F4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2</w:t>
            </w:r>
          </w:p>
        </w:tc>
        <w:tc>
          <w:tcPr>
            <w:tcW w:w="5848" w:type="dxa"/>
            <w:gridSpan w:val="2"/>
            <w:tcBorders>
              <w:tl2br w:val="nil"/>
              <w:tr2bl w:val="nil"/>
            </w:tcBorders>
            <w:noWrap w:val="0"/>
            <w:vAlign w:val="center"/>
          </w:tcPr>
          <w:p w14:paraId="77EC49A7">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lang w:val="zh-CN"/>
              </w:rPr>
              <w:t>响应</w:t>
            </w:r>
            <w:r>
              <w:rPr>
                <w:rFonts w:hint="eastAsia" w:ascii="仿宋" w:hAnsi="仿宋" w:eastAsia="仿宋" w:cs="仿宋"/>
                <w:i w:val="0"/>
                <w:iCs w:val="0"/>
                <w:color w:val="auto"/>
                <w:sz w:val="22"/>
                <w:szCs w:val="22"/>
                <w:highlight w:val="none"/>
                <w:lang w:val="en-US" w:eastAsia="zh-CN"/>
              </w:rPr>
              <w:t>人</w:t>
            </w:r>
            <w:r>
              <w:rPr>
                <w:rFonts w:hint="eastAsia" w:ascii="仿宋" w:hAnsi="仿宋" w:eastAsia="仿宋" w:cs="仿宋"/>
                <w:i w:val="0"/>
                <w:iCs w:val="0"/>
                <w:color w:val="auto"/>
                <w:sz w:val="22"/>
                <w:szCs w:val="22"/>
                <w:highlight w:val="none"/>
                <w:lang w:val="zh-CN"/>
              </w:rPr>
              <w:t>自202</w:t>
            </w:r>
            <w:r>
              <w:rPr>
                <w:rFonts w:hint="eastAsia" w:cs="仿宋"/>
                <w:i w:val="0"/>
                <w:iCs w:val="0"/>
                <w:color w:val="auto"/>
                <w:sz w:val="22"/>
                <w:szCs w:val="22"/>
                <w:highlight w:val="none"/>
                <w:lang w:val="en-US" w:eastAsia="zh-CN"/>
              </w:rPr>
              <w:t>2</w:t>
            </w:r>
            <w:r>
              <w:rPr>
                <w:rFonts w:hint="eastAsia" w:ascii="仿宋" w:hAnsi="仿宋" w:eastAsia="仿宋" w:cs="仿宋"/>
                <w:i w:val="0"/>
                <w:iCs w:val="0"/>
                <w:color w:val="auto"/>
                <w:sz w:val="22"/>
                <w:szCs w:val="22"/>
                <w:highlight w:val="none"/>
                <w:lang w:val="zh-CN"/>
              </w:rPr>
              <w:t>年1月1日以来，所运营的未来社区服务项目被</w:t>
            </w:r>
            <w:r>
              <w:rPr>
                <w:rFonts w:hint="eastAsia" w:ascii="仿宋" w:hAnsi="仿宋" w:eastAsia="仿宋" w:cs="仿宋"/>
                <w:i w:val="0"/>
                <w:iCs w:val="0"/>
                <w:color w:val="auto"/>
                <w:sz w:val="22"/>
                <w:szCs w:val="22"/>
                <w:highlight w:val="none"/>
                <w:lang w:val="en-US" w:eastAsia="zh-CN"/>
              </w:rPr>
              <w:t>区</w:t>
            </w:r>
            <w:r>
              <w:rPr>
                <w:rFonts w:hint="eastAsia" w:ascii="仿宋" w:hAnsi="仿宋" w:eastAsia="仿宋" w:cs="仿宋"/>
                <w:i w:val="0"/>
                <w:iCs w:val="0"/>
                <w:color w:val="auto"/>
                <w:sz w:val="22"/>
                <w:szCs w:val="22"/>
                <w:highlight w:val="none"/>
                <w:lang w:val="zh-CN"/>
              </w:rPr>
              <w:t>级媒体报道的，每个得</w:t>
            </w:r>
            <w:r>
              <w:rPr>
                <w:rFonts w:hint="eastAsia" w:ascii="仿宋" w:hAnsi="仿宋" w:eastAsia="仿宋" w:cs="仿宋"/>
                <w:i w:val="0"/>
                <w:iCs w:val="0"/>
                <w:color w:val="auto"/>
                <w:sz w:val="22"/>
                <w:szCs w:val="22"/>
                <w:highlight w:val="none"/>
                <w:lang w:val="en-US" w:eastAsia="zh-CN"/>
              </w:rPr>
              <w:t>0.5</w:t>
            </w:r>
            <w:r>
              <w:rPr>
                <w:rFonts w:hint="eastAsia" w:ascii="仿宋" w:hAnsi="仿宋" w:eastAsia="仿宋" w:cs="仿宋"/>
                <w:i w:val="0"/>
                <w:iCs w:val="0"/>
                <w:color w:val="auto"/>
                <w:sz w:val="22"/>
                <w:szCs w:val="22"/>
                <w:highlight w:val="none"/>
                <w:lang w:val="zh-CN"/>
              </w:rPr>
              <w:t>分；所运营的未来社区服务项目被</w:t>
            </w:r>
            <w:r>
              <w:rPr>
                <w:rFonts w:hint="eastAsia" w:ascii="仿宋" w:hAnsi="仿宋" w:eastAsia="仿宋" w:cs="仿宋"/>
                <w:i w:val="0"/>
                <w:iCs w:val="0"/>
                <w:color w:val="auto"/>
                <w:sz w:val="22"/>
                <w:szCs w:val="22"/>
                <w:highlight w:val="none"/>
                <w:lang w:val="en-US" w:eastAsia="zh-CN"/>
              </w:rPr>
              <w:t>市</w:t>
            </w:r>
            <w:r>
              <w:rPr>
                <w:rFonts w:hint="eastAsia" w:ascii="仿宋" w:hAnsi="仿宋" w:eastAsia="仿宋" w:cs="仿宋"/>
                <w:i w:val="0"/>
                <w:iCs w:val="0"/>
                <w:color w:val="auto"/>
                <w:sz w:val="22"/>
                <w:szCs w:val="22"/>
                <w:highlight w:val="none"/>
                <w:lang w:val="zh-CN"/>
              </w:rPr>
              <w:t>级</w:t>
            </w:r>
            <w:r>
              <w:rPr>
                <w:rFonts w:hint="eastAsia" w:ascii="仿宋" w:hAnsi="仿宋" w:eastAsia="仿宋" w:cs="仿宋"/>
                <w:i w:val="0"/>
                <w:iCs w:val="0"/>
                <w:color w:val="auto"/>
                <w:sz w:val="22"/>
                <w:szCs w:val="22"/>
                <w:highlight w:val="none"/>
                <w:lang w:val="en-US" w:eastAsia="zh-CN"/>
              </w:rPr>
              <w:t>以上</w:t>
            </w:r>
            <w:r>
              <w:rPr>
                <w:rFonts w:hint="eastAsia" w:ascii="仿宋" w:hAnsi="仿宋" w:eastAsia="仿宋" w:cs="仿宋"/>
                <w:i w:val="0"/>
                <w:iCs w:val="0"/>
                <w:color w:val="auto"/>
                <w:sz w:val="22"/>
                <w:szCs w:val="22"/>
                <w:highlight w:val="none"/>
                <w:lang w:val="zh-CN"/>
              </w:rPr>
              <w:t>媒体报道的，每个得</w:t>
            </w:r>
            <w:r>
              <w:rPr>
                <w:rFonts w:hint="eastAsia" w:ascii="仿宋" w:hAnsi="仿宋" w:eastAsia="仿宋" w:cs="仿宋"/>
                <w:i w:val="0"/>
                <w:iCs w:val="0"/>
                <w:color w:val="auto"/>
                <w:sz w:val="22"/>
                <w:szCs w:val="22"/>
                <w:highlight w:val="none"/>
                <w:lang w:val="en-US" w:eastAsia="zh-CN"/>
              </w:rPr>
              <w:t>1</w:t>
            </w:r>
            <w:r>
              <w:rPr>
                <w:rFonts w:hint="eastAsia" w:ascii="仿宋" w:hAnsi="仿宋" w:eastAsia="仿宋" w:cs="仿宋"/>
                <w:i w:val="0"/>
                <w:iCs w:val="0"/>
                <w:color w:val="auto"/>
                <w:sz w:val="22"/>
                <w:szCs w:val="22"/>
                <w:highlight w:val="none"/>
                <w:lang w:val="zh-CN"/>
              </w:rPr>
              <w:t>分；所运营的未来社区服务项目被省级及以上媒体报道的每个得2分。本项最多最高得</w:t>
            </w:r>
            <w:r>
              <w:rPr>
                <w:rFonts w:hint="eastAsia" w:ascii="仿宋" w:hAnsi="仿宋" w:eastAsia="仿宋" w:cs="仿宋"/>
                <w:i w:val="0"/>
                <w:iCs w:val="0"/>
                <w:color w:val="auto"/>
                <w:sz w:val="22"/>
                <w:szCs w:val="22"/>
                <w:highlight w:val="none"/>
                <w:lang w:val="en-US" w:eastAsia="zh-CN"/>
              </w:rPr>
              <w:t>3</w:t>
            </w:r>
            <w:r>
              <w:rPr>
                <w:rFonts w:hint="eastAsia" w:ascii="仿宋" w:hAnsi="仿宋" w:eastAsia="仿宋" w:cs="仿宋"/>
                <w:i w:val="0"/>
                <w:iCs w:val="0"/>
                <w:color w:val="auto"/>
                <w:sz w:val="22"/>
                <w:szCs w:val="22"/>
                <w:highlight w:val="none"/>
                <w:lang w:val="zh-CN"/>
              </w:rPr>
              <w:t>分。（提供媒体报道文件、新媒体报道截图并加盖</w:t>
            </w:r>
            <w:r>
              <w:rPr>
                <w:rFonts w:hint="eastAsia" w:cs="仿宋"/>
                <w:i w:val="0"/>
                <w:iCs w:val="0"/>
                <w:color w:val="auto"/>
                <w:sz w:val="22"/>
                <w:szCs w:val="22"/>
                <w:highlight w:val="none"/>
                <w:lang w:val="en-US" w:eastAsia="zh-CN"/>
              </w:rPr>
              <w:t>响应人</w:t>
            </w:r>
            <w:r>
              <w:rPr>
                <w:rFonts w:hint="eastAsia" w:ascii="仿宋" w:hAnsi="仿宋" w:eastAsia="仿宋" w:cs="仿宋"/>
                <w:i w:val="0"/>
                <w:iCs w:val="0"/>
                <w:color w:val="auto"/>
                <w:sz w:val="22"/>
                <w:szCs w:val="22"/>
                <w:highlight w:val="none"/>
                <w:lang w:val="zh-CN"/>
              </w:rPr>
              <w:t>公章）</w:t>
            </w:r>
          </w:p>
        </w:tc>
        <w:tc>
          <w:tcPr>
            <w:tcW w:w="969" w:type="dxa"/>
            <w:tcBorders>
              <w:tl2br w:val="nil"/>
              <w:tr2bl w:val="nil"/>
            </w:tcBorders>
            <w:noWrap w:val="0"/>
            <w:vAlign w:val="center"/>
          </w:tcPr>
          <w:p w14:paraId="16AD1AB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0-</w:t>
            </w:r>
            <w:r>
              <w:rPr>
                <w:rFonts w:hint="eastAsia" w:ascii="仿宋" w:hAnsi="仿宋" w:eastAsia="仿宋" w:cs="仿宋"/>
                <w:i w:val="0"/>
                <w:iCs w:val="0"/>
                <w:color w:val="auto"/>
                <w:sz w:val="22"/>
                <w:szCs w:val="22"/>
                <w:highlight w:val="none"/>
                <w:lang w:val="en-US" w:eastAsia="zh-CN"/>
              </w:rPr>
              <w:t>3</w:t>
            </w:r>
          </w:p>
        </w:tc>
        <w:tc>
          <w:tcPr>
            <w:tcW w:w="1109" w:type="dxa"/>
            <w:gridSpan w:val="2"/>
            <w:tcBorders>
              <w:tl2br w:val="nil"/>
              <w:tr2bl w:val="nil"/>
            </w:tcBorders>
            <w:noWrap w:val="0"/>
            <w:vAlign w:val="center"/>
          </w:tcPr>
          <w:p w14:paraId="315D259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客观分</w:t>
            </w:r>
          </w:p>
        </w:tc>
      </w:tr>
      <w:tr w14:paraId="46C0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47" w:type="dxa"/>
            <w:vMerge w:val="continue"/>
            <w:tcBorders>
              <w:tl2br w:val="nil"/>
              <w:tr2bl w:val="nil"/>
            </w:tcBorders>
            <w:noWrap w:val="0"/>
            <w:vAlign w:val="center"/>
          </w:tcPr>
          <w:p w14:paraId="309F781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auto"/>
              </w:rPr>
            </w:pPr>
          </w:p>
        </w:tc>
        <w:tc>
          <w:tcPr>
            <w:tcW w:w="690" w:type="dxa"/>
            <w:tcBorders>
              <w:tl2br w:val="nil"/>
              <w:tr2bl w:val="nil"/>
            </w:tcBorders>
            <w:noWrap w:val="0"/>
            <w:vAlign w:val="center"/>
          </w:tcPr>
          <w:p w14:paraId="1E97054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3</w:t>
            </w:r>
          </w:p>
        </w:tc>
        <w:tc>
          <w:tcPr>
            <w:tcW w:w="5848" w:type="dxa"/>
            <w:gridSpan w:val="2"/>
            <w:tcBorders>
              <w:tl2br w:val="nil"/>
              <w:tr2bl w:val="nil"/>
            </w:tcBorders>
            <w:noWrap w:val="0"/>
            <w:vAlign w:val="center"/>
          </w:tcPr>
          <w:p w14:paraId="34D9A316">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 w:hAnsi="仿宋" w:eastAsia="仿宋" w:cs="仿宋"/>
                <w:i w:val="0"/>
                <w:iCs w:val="0"/>
                <w:color w:val="auto"/>
                <w:sz w:val="22"/>
                <w:szCs w:val="22"/>
                <w:highlight w:val="none"/>
                <w:lang w:val="en-US" w:eastAsia="zh-CN"/>
              </w:rPr>
            </w:pPr>
            <w:r>
              <w:rPr>
                <w:rFonts w:hint="eastAsia" w:cs="仿宋"/>
                <w:i w:val="0"/>
                <w:iCs w:val="0"/>
                <w:color w:val="auto"/>
                <w:sz w:val="22"/>
                <w:szCs w:val="22"/>
                <w:highlight w:val="none"/>
                <w:lang w:val="en-US" w:eastAsia="zh-CN"/>
              </w:rPr>
              <w:t>响应人</w:t>
            </w:r>
            <w:r>
              <w:rPr>
                <w:rFonts w:hint="eastAsia" w:ascii="仿宋" w:hAnsi="仿宋" w:eastAsia="仿宋" w:cs="仿宋"/>
                <w:i w:val="0"/>
                <w:iCs w:val="0"/>
                <w:color w:val="auto"/>
                <w:sz w:val="22"/>
                <w:szCs w:val="22"/>
                <w:highlight w:val="none"/>
                <w:lang w:val="en-US" w:eastAsia="zh-CN"/>
              </w:rPr>
              <w:t>具有履行合同所必需的专业技术能力证明，类似基层治理、社会智治方面的软件著作权登记证书，每个证书得1分，</w:t>
            </w:r>
            <w:r>
              <w:rPr>
                <w:rFonts w:hint="eastAsia" w:ascii="仿宋" w:hAnsi="仿宋" w:eastAsia="仿宋" w:cs="仿宋"/>
                <w:i w:val="0"/>
                <w:iCs w:val="0"/>
                <w:color w:val="auto"/>
                <w:sz w:val="22"/>
                <w:szCs w:val="22"/>
                <w:highlight w:val="none"/>
              </w:rPr>
              <w:t>最多得</w:t>
            </w:r>
            <w:r>
              <w:rPr>
                <w:rFonts w:hint="eastAsia" w:ascii="仿宋" w:hAnsi="仿宋" w:eastAsia="仿宋" w:cs="仿宋"/>
                <w:i w:val="0"/>
                <w:iCs w:val="0"/>
                <w:color w:val="auto"/>
                <w:sz w:val="22"/>
                <w:szCs w:val="22"/>
                <w:highlight w:val="none"/>
                <w:lang w:val="en-US" w:eastAsia="zh-CN"/>
              </w:rPr>
              <w:t>2</w:t>
            </w:r>
            <w:r>
              <w:rPr>
                <w:rFonts w:hint="eastAsia" w:ascii="仿宋" w:hAnsi="仿宋" w:eastAsia="仿宋" w:cs="仿宋"/>
                <w:i w:val="0"/>
                <w:iCs w:val="0"/>
                <w:color w:val="auto"/>
                <w:sz w:val="22"/>
                <w:szCs w:val="22"/>
                <w:highlight w:val="none"/>
              </w:rPr>
              <w:t>分</w:t>
            </w:r>
            <w:r>
              <w:rPr>
                <w:rFonts w:hint="eastAsia" w:ascii="仿宋" w:hAnsi="仿宋" w:eastAsia="仿宋" w:cs="仿宋"/>
                <w:i w:val="0"/>
                <w:iCs w:val="0"/>
                <w:color w:val="auto"/>
                <w:sz w:val="22"/>
                <w:szCs w:val="22"/>
                <w:highlight w:val="none"/>
                <w:lang w:val="en-US" w:eastAsia="zh-CN"/>
              </w:rPr>
              <w:t>。（提供计算机软件著作权登记证书</w:t>
            </w:r>
            <w:r>
              <w:rPr>
                <w:rFonts w:hint="eastAsia" w:cs="仿宋"/>
                <w:i w:val="0"/>
                <w:iCs w:val="0"/>
                <w:color w:val="auto"/>
                <w:sz w:val="22"/>
                <w:szCs w:val="22"/>
                <w:highlight w:val="none"/>
                <w:lang w:val="en-US" w:eastAsia="zh-CN"/>
              </w:rPr>
              <w:t>扫描件</w:t>
            </w:r>
            <w:r>
              <w:rPr>
                <w:rFonts w:hint="eastAsia" w:ascii="仿宋" w:hAnsi="仿宋" w:eastAsia="仿宋" w:cs="仿宋"/>
                <w:i w:val="0"/>
                <w:iCs w:val="0"/>
                <w:color w:val="auto"/>
                <w:sz w:val="22"/>
                <w:szCs w:val="22"/>
                <w:highlight w:val="none"/>
                <w:lang w:val="zh-CN"/>
              </w:rPr>
              <w:t>并加盖</w:t>
            </w:r>
            <w:r>
              <w:rPr>
                <w:rFonts w:hint="eastAsia" w:cs="仿宋"/>
                <w:i w:val="0"/>
                <w:iCs w:val="0"/>
                <w:color w:val="auto"/>
                <w:sz w:val="22"/>
                <w:szCs w:val="22"/>
                <w:highlight w:val="none"/>
                <w:lang w:val="en-US" w:eastAsia="zh-CN"/>
              </w:rPr>
              <w:t>响应人</w:t>
            </w:r>
            <w:r>
              <w:rPr>
                <w:rFonts w:hint="eastAsia" w:ascii="仿宋" w:hAnsi="仿宋" w:eastAsia="仿宋" w:cs="仿宋"/>
                <w:i w:val="0"/>
                <w:iCs w:val="0"/>
                <w:color w:val="auto"/>
                <w:sz w:val="22"/>
                <w:szCs w:val="22"/>
                <w:highlight w:val="none"/>
                <w:lang w:val="zh-CN"/>
              </w:rPr>
              <w:t>公章</w:t>
            </w:r>
            <w:r>
              <w:rPr>
                <w:rFonts w:hint="eastAsia" w:ascii="仿宋" w:hAnsi="仿宋" w:eastAsia="仿宋" w:cs="仿宋"/>
                <w:i w:val="0"/>
                <w:iCs w:val="0"/>
                <w:color w:val="auto"/>
                <w:sz w:val="22"/>
                <w:szCs w:val="22"/>
                <w:highlight w:val="none"/>
                <w:lang w:val="en-US" w:eastAsia="zh-CN"/>
              </w:rPr>
              <w:t>）</w:t>
            </w:r>
          </w:p>
        </w:tc>
        <w:tc>
          <w:tcPr>
            <w:tcW w:w="969" w:type="dxa"/>
            <w:tcBorders>
              <w:tl2br w:val="nil"/>
              <w:tr2bl w:val="nil"/>
            </w:tcBorders>
            <w:noWrap w:val="0"/>
            <w:vAlign w:val="center"/>
          </w:tcPr>
          <w:p w14:paraId="0015476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0-2</w:t>
            </w:r>
          </w:p>
        </w:tc>
        <w:tc>
          <w:tcPr>
            <w:tcW w:w="1109" w:type="dxa"/>
            <w:gridSpan w:val="2"/>
            <w:tcBorders>
              <w:tl2br w:val="nil"/>
              <w:tr2bl w:val="nil"/>
            </w:tcBorders>
            <w:noWrap w:val="0"/>
            <w:vAlign w:val="center"/>
          </w:tcPr>
          <w:p w14:paraId="559FA6E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rPr>
              <w:t>客观分</w:t>
            </w:r>
          </w:p>
        </w:tc>
      </w:tr>
      <w:tr w14:paraId="1D75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752" w:hRule="atLeast"/>
          <w:jc w:val="center"/>
        </w:trPr>
        <w:tc>
          <w:tcPr>
            <w:tcW w:w="847" w:type="dxa"/>
            <w:vMerge w:val="restart"/>
            <w:tcBorders>
              <w:tl2br w:val="nil"/>
              <w:tr2bl w:val="nil"/>
            </w:tcBorders>
            <w:vAlign w:val="center"/>
          </w:tcPr>
          <w:p w14:paraId="51161C7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lang w:eastAsia="zh-CN"/>
              </w:rPr>
            </w:pPr>
            <w:r>
              <w:rPr>
                <w:rFonts w:hint="eastAsia" w:ascii="仿宋" w:hAnsi="仿宋" w:eastAsia="仿宋" w:cs="仿宋"/>
                <w:i w:val="0"/>
                <w:iCs w:val="0"/>
                <w:color w:val="auto"/>
                <w:sz w:val="22"/>
                <w:szCs w:val="22"/>
                <w:highlight w:val="none"/>
              </w:rPr>
              <w:t>技术分（</w:t>
            </w:r>
            <w:r>
              <w:rPr>
                <w:rFonts w:hint="eastAsia" w:ascii="仿宋" w:hAnsi="仿宋" w:eastAsia="仿宋" w:cs="仿宋"/>
                <w:i w:val="0"/>
                <w:iCs w:val="0"/>
                <w:color w:val="auto"/>
                <w:sz w:val="22"/>
                <w:szCs w:val="22"/>
                <w:highlight w:val="none"/>
                <w:lang w:val="en-US" w:eastAsia="zh-CN"/>
              </w:rPr>
              <w:t>84</w:t>
            </w:r>
            <w:r>
              <w:rPr>
                <w:rFonts w:hint="eastAsia" w:ascii="仿宋" w:hAnsi="仿宋" w:eastAsia="仿宋" w:cs="仿宋"/>
                <w:i w:val="0"/>
                <w:iCs w:val="0"/>
                <w:color w:val="auto"/>
                <w:sz w:val="22"/>
                <w:szCs w:val="22"/>
                <w:highlight w:val="none"/>
              </w:rPr>
              <w:t>分）</w:t>
            </w:r>
          </w:p>
          <w:p w14:paraId="5CC4DBD8">
            <w:pPr>
              <w:pStyle w:val="40"/>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2"/>
                <w:szCs w:val="22"/>
                <w:highlight w:val="none"/>
                <w:lang w:eastAsia="zh-CN"/>
              </w:rPr>
            </w:pPr>
          </w:p>
        </w:tc>
        <w:tc>
          <w:tcPr>
            <w:tcW w:w="690" w:type="dxa"/>
            <w:tcBorders>
              <w:tl2br w:val="nil"/>
              <w:tr2bl w:val="nil"/>
            </w:tcBorders>
            <w:vAlign w:val="center"/>
          </w:tcPr>
          <w:p w14:paraId="1D8E4EC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4</w:t>
            </w:r>
          </w:p>
        </w:tc>
        <w:tc>
          <w:tcPr>
            <w:tcW w:w="1240" w:type="dxa"/>
            <w:vMerge w:val="restart"/>
            <w:tcBorders>
              <w:tl2br w:val="nil"/>
              <w:tr2bl w:val="nil"/>
            </w:tcBorders>
            <w:vAlign w:val="center"/>
          </w:tcPr>
          <w:p w14:paraId="2A158A3C">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运营方案</w:t>
            </w:r>
          </w:p>
          <w:p w14:paraId="3E51446F">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p>
        </w:tc>
        <w:tc>
          <w:tcPr>
            <w:tcW w:w="4608" w:type="dxa"/>
            <w:tcBorders>
              <w:tl2br w:val="nil"/>
              <w:tr2bl w:val="nil"/>
            </w:tcBorders>
            <w:vAlign w:val="center"/>
          </w:tcPr>
          <w:p w14:paraId="1FFCD926">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对项目各方面理解充分，能透彻、全面、系统地分析现状和需求。</w:t>
            </w:r>
          </w:p>
          <w:p w14:paraId="34F27868">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方案详细完善，具有实施性的得6分；</w:t>
            </w:r>
          </w:p>
          <w:p w14:paraId="5D303A62">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方案满足程度及可实施性一般的得4分；</w:t>
            </w:r>
          </w:p>
          <w:p w14:paraId="5B2B84FF">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方案欠缺较多、不具备实施性的得2分；</w:t>
            </w:r>
          </w:p>
          <w:p w14:paraId="68F20B9C">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不提供不得分。</w:t>
            </w:r>
          </w:p>
        </w:tc>
        <w:tc>
          <w:tcPr>
            <w:tcW w:w="969" w:type="dxa"/>
            <w:tcBorders>
              <w:tl2br w:val="nil"/>
              <w:tr2bl w:val="nil"/>
            </w:tcBorders>
            <w:vAlign w:val="center"/>
          </w:tcPr>
          <w:p w14:paraId="4FFC592B">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2"/>
                <w:sz w:val="22"/>
                <w:szCs w:val="22"/>
                <w:highlight w:val="none"/>
                <w:lang w:val="en-US" w:eastAsia="zh-CN" w:bidi="ar"/>
              </w:rPr>
            </w:pPr>
            <w:r>
              <w:rPr>
                <w:rFonts w:hint="eastAsia" w:ascii="仿宋" w:hAnsi="仿宋" w:eastAsia="仿宋" w:cs="仿宋"/>
                <w:color w:val="auto"/>
                <w:kern w:val="2"/>
                <w:sz w:val="22"/>
                <w:szCs w:val="22"/>
                <w:highlight w:val="none"/>
                <w:lang w:val="en-US" w:eastAsia="zh-CN" w:bidi="ar"/>
              </w:rPr>
              <w:t>0-6</w:t>
            </w:r>
          </w:p>
        </w:tc>
        <w:tc>
          <w:tcPr>
            <w:tcW w:w="1086" w:type="dxa"/>
            <w:tcBorders>
              <w:tl2br w:val="nil"/>
              <w:tr2bl w:val="nil"/>
            </w:tcBorders>
            <w:vAlign w:val="center"/>
          </w:tcPr>
          <w:p w14:paraId="4DEE9C2F">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主观分</w:t>
            </w:r>
          </w:p>
        </w:tc>
      </w:tr>
      <w:tr w14:paraId="5A72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752" w:hRule="atLeast"/>
          <w:jc w:val="center"/>
        </w:trPr>
        <w:tc>
          <w:tcPr>
            <w:tcW w:w="847" w:type="dxa"/>
            <w:vMerge w:val="continue"/>
            <w:tcBorders>
              <w:tl2br w:val="nil"/>
              <w:tr2bl w:val="nil"/>
            </w:tcBorders>
            <w:vAlign w:val="center"/>
          </w:tcPr>
          <w:p w14:paraId="75069EA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p>
        </w:tc>
        <w:tc>
          <w:tcPr>
            <w:tcW w:w="690" w:type="dxa"/>
            <w:tcBorders>
              <w:tl2br w:val="nil"/>
              <w:tr2bl w:val="nil"/>
            </w:tcBorders>
            <w:vAlign w:val="center"/>
          </w:tcPr>
          <w:p w14:paraId="615B80D0">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i w:val="0"/>
                <w:iCs w:val="0"/>
                <w:color w:val="auto"/>
                <w:kern w:val="2"/>
                <w:sz w:val="22"/>
                <w:szCs w:val="22"/>
                <w:highlight w:val="none"/>
                <w:lang w:val="en-US" w:eastAsia="zh-CN" w:bidi="ar-SA"/>
              </w:rPr>
            </w:pPr>
            <w:r>
              <w:rPr>
                <w:rFonts w:hint="eastAsia" w:ascii="仿宋" w:hAnsi="仿宋" w:eastAsia="仿宋" w:cs="仿宋"/>
                <w:i w:val="0"/>
                <w:iCs w:val="0"/>
                <w:color w:val="auto"/>
                <w:sz w:val="22"/>
                <w:szCs w:val="22"/>
                <w:highlight w:val="none"/>
                <w:lang w:val="en-US" w:eastAsia="zh-CN"/>
              </w:rPr>
              <w:t>5</w:t>
            </w:r>
          </w:p>
        </w:tc>
        <w:tc>
          <w:tcPr>
            <w:tcW w:w="1240" w:type="dxa"/>
            <w:vMerge w:val="continue"/>
            <w:tcBorders>
              <w:tl2br w:val="nil"/>
              <w:tr2bl w:val="nil"/>
            </w:tcBorders>
            <w:vAlign w:val="center"/>
          </w:tcPr>
          <w:p w14:paraId="17B03DCA">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p>
        </w:tc>
        <w:tc>
          <w:tcPr>
            <w:tcW w:w="4608" w:type="dxa"/>
            <w:tcBorders>
              <w:tl2br w:val="nil"/>
              <w:tr2bl w:val="nil"/>
            </w:tcBorders>
            <w:vAlign w:val="center"/>
          </w:tcPr>
          <w:p w14:paraId="4BB11471">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响应人的项目运营方案及近期实施计划。</w:t>
            </w:r>
          </w:p>
          <w:p w14:paraId="043266C3">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方案详细完善，具有实施性的得6分；</w:t>
            </w:r>
          </w:p>
          <w:p w14:paraId="4B1B28B6">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方案满足程度及可实施性一般的得4分；</w:t>
            </w:r>
          </w:p>
          <w:p w14:paraId="566D8D6E">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方案欠缺较多、不具备实施性的得2分；</w:t>
            </w:r>
          </w:p>
          <w:p w14:paraId="5ECA79AD">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不提供不得分。</w:t>
            </w:r>
          </w:p>
        </w:tc>
        <w:tc>
          <w:tcPr>
            <w:tcW w:w="969" w:type="dxa"/>
            <w:tcBorders>
              <w:tl2br w:val="nil"/>
              <w:tr2bl w:val="nil"/>
            </w:tcBorders>
            <w:vAlign w:val="center"/>
          </w:tcPr>
          <w:p w14:paraId="3FF4881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kern w:val="2"/>
                <w:sz w:val="22"/>
                <w:szCs w:val="22"/>
                <w:highlight w:val="none"/>
                <w:lang w:val="en-US" w:eastAsia="zh-CN" w:bidi="ar-SA"/>
              </w:rPr>
            </w:pPr>
            <w:r>
              <w:rPr>
                <w:rFonts w:hint="eastAsia" w:ascii="仿宋" w:hAnsi="仿宋" w:eastAsia="仿宋" w:cs="仿宋"/>
                <w:i w:val="0"/>
                <w:iCs w:val="0"/>
                <w:color w:val="auto"/>
                <w:sz w:val="22"/>
                <w:szCs w:val="22"/>
                <w:highlight w:val="none"/>
                <w:lang w:val="en-US" w:eastAsia="zh-CN"/>
              </w:rPr>
              <w:t>0</w:t>
            </w:r>
            <w:r>
              <w:rPr>
                <w:rFonts w:hint="eastAsia" w:ascii="仿宋" w:hAnsi="仿宋" w:eastAsia="仿宋" w:cs="仿宋"/>
                <w:i w:val="0"/>
                <w:iCs w:val="0"/>
                <w:color w:val="auto"/>
                <w:sz w:val="22"/>
                <w:szCs w:val="22"/>
                <w:highlight w:val="none"/>
              </w:rPr>
              <w:t>-</w:t>
            </w:r>
            <w:r>
              <w:rPr>
                <w:rFonts w:hint="eastAsia" w:ascii="仿宋" w:hAnsi="仿宋" w:eastAsia="仿宋" w:cs="仿宋"/>
                <w:i w:val="0"/>
                <w:iCs w:val="0"/>
                <w:color w:val="auto"/>
                <w:sz w:val="22"/>
                <w:szCs w:val="22"/>
                <w:highlight w:val="none"/>
                <w:lang w:val="en-US" w:eastAsia="zh-CN"/>
              </w:rPr>
              <w:t>6</w:t>
            </w:r>
          </w:p>
        </w:tc>
        <w:tc>
          <w:tcPr>
            <w:tcW w:w="1086" w:type="dxa"/>
            <w:tcBorders>
              <w:tl2br w:val="nil"/>
              <w:tr2bl w:val="nil"/>
            </w:tcBorders>
            <w:vAlign w:val="center"/>
          </w:tcPr>
          <w:p w14:paraId="3C1A281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kern w:val="2"/>
                <w:sz w:val="22"/>
                <w:szCs w:val="22"/>
                <w:highlight w:val="none"/>
                <w:lang w:val="en-US" w:eastAsia="zh-CN" w:bidi="ar-SA"/>
              </w:rPr>
            </w:pPr>
            <w:r>
              <w:rPr>
                <w:rFonts w:hint="eastAsia" w:ascii="仿宋" w:hAnsi="仿宋" w:eastAsia="仿宋" w:cs="仿宋"/>
                <w:i w:val="0"/>
                <w:iCs w:val="0"/>
                <w:color w:val="auto"/>
                <w:sz w:val="22"/>
                <w:szCs w:val="22"/>
                <w:highlight w:val="none"/>
                <w:lang w:val="en-US" w:eastAsia="zh-CN"/>
              </w:rPr>
              <w:t>主</w:t>
            </w:r>
            <w:r>
              <w:rPr>
                <w:rFonts w:hint="eastAsia" w:ascii="仿宋" w:hAnsi="仿宋" w:eastAsia="仿宋" w:cs="仿宋"/>
                <w:i w:val="0"/>
                <w:iCs w:val="0"/>
                <w:color w:val="auto"/>
                <w:sz w:val="22"/>
                <w:szCs w:val="22"/>
                <w:highlight w:val="none"/>
              </w:rPr>
              <w:t>观分</w:t>
            </w:r>
          </w:p>
        </w:tc>
      </w:tr>
      <w:tr w14:paraId="4C56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615" w:hRule="atLeast"/>
          <w:jc w:val="center"/>
        </w:trPr>
        <w:tc>
          <w:tcPr>
            <w:tcW w:w="847" w:type="dxa"/>
            <w:vMerge w:val="continue"/>
            <w:tcBorders>
              <w:tl2br w:val="nil"/>
              <w:tr2bl w:val="nil"/>
            </w:tcBorders>
            <w:vAlign w:val="center"/>
          </w:tcPr>
          <w:p w14:paraId="09723EC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p>
        </w:tc>
        <w:tc>
          <w:tcPr>
            <w:tcW w:w="690" w:type="dxa"/>
            <w:tcBorders>
              <w:tl2br w:val="nil"/>
              <w:tr2bl w:val="nil"/>
            </w:tcBorders>
            <w:vAlign w:val="center"/>
          </w:tcPr>
          <w:p w14:paraId="12E41D2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lang w:eastAsia="zh-CN"/>
              </w:rPr>
            </w:pPr>
            <w:r>
              <w:rPr>
                <w:rFonts w:hint="eastAsia" w:ascii="仿宋" w:hAnsi="仿宋" w:eastAsia="仿宋" w:cs="仿宋"/>
                <w:i w:val="0"/>
                <w:iCs w:val="0"/>
                <w:color w:val="auto"/>
                <w:sz w:val="22"/>
                <w:szCs w:val="22"/>
                <w:highlight w:val="none"/>
                <w:lang w:val="en-US" w:eastAsia="zh-CN"/>
              </w:rPr>
              <w:t>6</w:t>
            </w:r>
          </w:p>
        </w:tc>
        <w:tc>
          <w:tcPr>
            <w:tcW w:w="1240" w:type="dxa"/>
            <w:tcBorders>
              <w:tl2br w:val="nil"/>
              <w:tr2bl w:val="nil"/>
            </w:tcBorders>
            <w:vAlign w:val="center"/>
          </w:tcPr>
          <w:p w14:paraId="7848FEB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rPr>
              <w:t>运营机制</w:t>
            </w:r>
          </w:p>
        </w:tc>
        <w:tc>
          <w:tcPr>
            <w:tcW w:w="4608" w:type="dxa"/>
            <w:tcBorders>
              <w:tl2br w:val="nil"/>
              <w:tr2bl w:val="nil"/>
            </w:tcBorders>
            <w:vAlign w:val="center"/>
          </w:tcPr>
          <w:p w14:paraId="2EA38845">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响应人运营机制是否完善合理。</w:t>
            </w:r>
          </w:p>
          <w:p w14:paraId="3E3F99B9">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合理的得6分；基本合理的得4分；不合理得2分；不提供不得分。</w:t>
            </w:r>
          </w:p>
        </w:tc>
        <w:tc>
          <w:tcPr>
            <w:tcW w:w="969" w:type="dxa"/>
            <w:tcBorders>
              <w:tl2br w:val="nil"/>
              <w:tr2bl w:val="nil"/>
            </w:tcBorders>
            <w:vAlign w:val="center"/>
          </w:tcPr>
          <w:p w14:paraId="692E285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kern w:val="2"/>
                <w:sz w:val="22"/>
                <w:szCs w:val="22"/>
                <w:highlight w:val="none"/>
                <w:lang w:val="en-US" w:eastAsia="zh-CN" w:bidi="ar-SA"/>
              </w:rPr>
            </w:pPr>
            <w:r>
              <w:rPr>
                <w:rFonts w:hint="eastAsia" w:ascii="仿宋" w:hAnsi="仿宋" w:eastAsia="仿宋" w:cs="仿宋"/>
                <w:i w:val="0"/>
                <w:iCs w:val="0"/>
                <w:color w:val="auto"/>
                <w:sz w:val="22"/>
                <w:szCs w:val="22"/>
                <w:highlight w:val="none"/>
                <w:lang w:val="en-US" w:eastAsia="zh-CN"/>
              </w:rPr>
              <w:t>0</w:t>
            </w:r>
            <w:r>
              <w:rPr>
                <w:rFonts w:hint="eastAsia" w:ascii="仿宋" w:hAnsi="仿宋" w:eastAsia="仿宋" w:cs="仿宋"/>
                <w:i w:val="0"/>
                <w:iCs w:val="0"/>
                <w:color w:val="auto"/>
                <w:sz w:val="22"/>
                <w:szCs w:val="22"/>
                <w:highlight w:val="none"/>
              </w:rPr>
              <w:t>-</w:t>
            </w:r>
            <w:r>
              <w:rPr>
                <w:rFonts w:hint="eastAsia" w:ascii="仿宋" w:hAnsi="仿宋" w:eastAsia="仿宋" w:cs="仿宋"/>
                <w:i w:val="0"/>
                <w:iCs w:val="0"/>
                <w:color w:val="auto"/>
                <w:sz w:val="22"/>
                <w:szCs w:val="22"/>
                <w:highlight w:val="none"/>
                <w:lang w:val="en-US" w:eastAsia="zh-CN"/>
              </w:rPr>
              <w:t>6</w:t>
            </w:r>
          </w:p>
        </w:tc>
        <w:tc>
          <w:tcPr>
            <w:tcW w:w="1086" w:type="dxa"/>
            <w:tcBorders>
              <w:tl2br w:val="nil"/>
              <w:tr2bl w:val="nil"/>
            </w:tcBorders>
            <w:vAlign w:val="center"/>
          </w:tcPr>
          <w:p w14:paraId="7E9C142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kern w:val="2"/>
                <w:sz w:val="22"/>
                <w:szCs w:val="22"/>
                <w:highlight w:val="none"/>
                <w:lang w:val="en-US" w:eastAsia="zh-CN" w:bidi="ar-SA"/>
              </w:rPr>
            </w:pPr>
            <w:r>
              <w:rPr>
                <w:rFonts w:hint="eastAsia" w:ascii="仿宋" w:hAnsi="仿宋" w:eastAsia="仿宋" w:cs="仿宋"/>
                <w:i w:val="0"/>
                <w:iCs w:val="0"/>
                <w:color w:val="auto"/>
                <w:sz w:val="22"/>
                <w:szCs w:val="22"/>
                <w:highlight w:val="none"/>
              </w:rPr>
              <w:t>主观分</w:t>
            </w:r>
          </w:p>
        </w:tc>
      </w:tr>
      <w:tr w14:paraId="0FF5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90" w:hRule="atLeast"/>
          <w:jc w:val="center"/>
        </w:trPr>
        <w:tc>
          <w:tcPr>
            <w:tcW w:w="847" w:type="dxa"/>
            <w:vMerge w:val="continue"/>
            <w:tcBorders>
              <w:tl2br w:val="nil"/>
              <w:tr2bl w:val="nil"/>
            </w:tcBorders>
            <w:vAlign w:val="center"/>
          </w:tcPr>
          <w:p w14:paraId="125A000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p>
        </w:tc>
        <w:tc>
          <w:tcPr>
            <w:tcW w:w="690" w:type="dxa"/>
            <w:tcBorders>
              <w:tl2br w:val="nil"/>
              <w:tr2bl w:val="nil"/>
            </w:tcBorders>
            <w:vAlign w:val="center"/>
          </w:tcPr>
          <w:p w14:paraId="11D2FCC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7</w:t>
            </w:r>
          </w:p>
        </w:tc>
        <w:tc>
          <w:tcPr>
            <w:tcW w:w="1240" w:type="dxa"/>
            <w:vMerge w:val="restart"/>
            <w:tcBorders>
              <w:tl2br w:val="nil"/>
              <w:tr2bl w:val="nil"/>
            </w:tcBorders>
            <w:vAlign w:val="center"/>
          </w:tcPr>
          <w:p w14:paraId="0D6F2EB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活动方案</w:t>
            </w:r>
          </w:p>
        </w:tc>
        <w:tc>
          <w:tcPr>
            <w:tcW w:w="4608" w:type="dxa"/>
            <w:tcBorders>
              <w:tl2br w:val="nil"/>
              <w:tr2bl w:val="nil"/>
            </w:tcBorders>
            <w:vAlign w:val="center"/>
          </w:tcPr>
          <w:p w14:paraId="6B8FB0A6">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响应人的常规活动方案及实施计划方案详细完善，具有实施性的得6分；</w:t>
            </w:r>
          </w:p>
          <w:p w14:paraId="33BB6374">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响应人的常规活动方案及实施计划方案满足程度及可实施性一般的得4分；</w:t>
            </w:r>
            <w:r>
              <w:rPr>
                <w:rFonts w:hint="eastAsia" w:ascii="仿宋" w:hAnsi="仿宋" w:eastAsia="仿宋" w:cs="仿宋"/>
                <w:color w:val="auto"/>
                <w:sz w:val="22"/>
                <w:szCs w:val="22"/>
                <w:highlight w:val="none"/>
                <w:lang w:val="en-US" w:eastAsia="zh-CN"/>
              </w:rPr>
              <w:br w:type="textWrapping"/>
            </w:r>
            <w:r>
              <w:rPr>
                <w:rFonts w:hint="eastAsia" w:ascii="仿宋" w:hAnsi="仿宋" w:eastAsia="仿宋" w:cs="仿宋"/>
                <w:color w:val="auto"/>
                <w:sz w:val="22"/>
                <w:szCs w:val="22"/>
                <w:highlight w:val="none"/>
                <w:lang w:val="en-US" w:eastAsia="zh-CN"/>
              </w:rPr>
              <w:t>响应人的常规活动方案及实施计划方案欠缺较多、不具备实施性的得2分；</w:t>
            </w:r>
          </w:p>
          <w:p w14:paraId="2D2210A2">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有重大缺陷的、未提供不得分。</w:t>
            </w:r>
          </w:p>
        </w:tc>
        <w:tc>
          <w:tcPr>
            <w:tcW w:w="969" w:type="dxa"/>
            <w:tcBorders>
              <w:tl2br w:val="nil"/>
              <w:tr2bl w:val="nil"/>
            </w:tcBorders>
            <w:vAlign w:val="center"/>
          </w:tcPr>
          <w:p w14:paraId="098DEBB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kern w:val="2"/>
                <w:sz w:val="22"/>
                <w:szCs w:val="22"/>
                <w:highlight w:val="none"/>
                <w:lang w:val="en-US" w:eastAsia="zh-CN" w:bidi="ar-SA"/>
              </w:rPr>
            </w:pPr>
            <w:r>
              <w:rPr>
                <w:rFonts w:hint="eastAsia" w:ascii="仿宋" w:hAnsi="仿宋" w:eastAsia="仿宋" w:cs="仿宋"/>
                <w:i w:val="0"/>
                <w:iCs w:val="0"/>
                <w:color w:val="auto"/>
                <w:sz w:val="22"/>
                <w:szCs w:val="22"/>
                <w:highlight w:val="none"/>
                <w:lang w:val="en-US" w:eastAsia="zh-CN"/>
              </w:rPr>
              <w:t>0</w:t>
            </w:r>
            <w:r>
              <w:rPr>
                <w:rFonts w:hint="eastAsia" w:ascii="仿宋" w:hAnsi="仿宋" w:eastAsia="仿宋" w:cs="仿宋"/>
                <w:i w:val="0"/>
                <w:iCs w:val="0"/>
                <w:color w:val="auto"/>
                <w:sz w:val="22"/>
                <w:szCs w:val="22"/>
                <w:highlight w:val="none"/>
              </w:rPr>
              <w:t>-</w:t>
            </w:r>
            <w:r>
              <w:rPr>
                <w:rFonts w:hint="eastAsia" w:ascii="仿宋" w:hAnsi="仿宋" w:eastAsia="仿宋" w:cs="仿宋"/>
                <w:i w:val="0"/>
                <w:iCs w:val="0"/>
                <w:color w:val="auto"/>
                <w:sz w:val="22"/>
                <w:szCs w:val="22"/>
                <w:highlight w:val="none"/>
                <w:lang w:val="en-US" w:eastAsia="zh-CN"/>
              </w:rPr>
              <w:t>6</w:t>
            </w:r>
          </w:p>
        </w:tc>
        <w:tc>
          <w:tcPr>
            <w:tcW w:w="1086" w:type="dxa"/>
            <w:tcBorders>
              <w:tl2br w:val="nil"/>
              <w:tr2bl w:val="nil"/>
            </w:tcBorders>
            <w:vAlign w:val="center"/>
          </w:tcPr>
          <w:p w14:paraId="5086AD5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kern w:val="2"/>
                <w:sz w:val="22"/>
                <w:szCs w:val="22"/>
                <w:highlight w:val="none"/>
                <w:lang w:val="en-US" w:eastAsia="zh-CN" w:bidi="ar-SA"/>
              </w:rPr>
            </w:pPr>
            <w:r>
              <w:rPr>
                <w:rFonts w:hint="eastAsia" w:ascii="仿宋" w:hAnsi="仿宋" w:eastAsia="仿宋" w:cs="仿宋"/>
                <w:i w:val="0"/>
                <w:iCs w:val="0"/>
                <w:color w:val="auto"/>
                <w:sz w:val="22"/>
                <w:szCs w:val="22"/>
                <w:highlight w:val="none"/>
              </w:rPr>
              <w:t>主观分</w:t>
            </w:r>
          </w:p>
        </w:tc>
      </w:tr>
      <w:tr w14:paraId="2244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173" w:hRule="atLeast"/>
          <w:jc w:val="center"/>
        </w:trPr>
        <w:tc>
          <w:tcPr>
            <w:tcW w:w="847" w:type="dxa"/>
            <w:vMerge w:val="continue"/>
            <w:tcBorders>
              <w:tl2br w:val="nil"/>
              <w:tr2bl w:val="nil"/>
            </w:tcBorders>
            <w:vAlign w:val="center"/>
          </w:tcPr>
          <w:p w14:paraId="2FD2353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p>
        </w:tc>
        <w:tc>
          <w:tcPr>
            <w:tcW w:w="690" w:type="dxa"/>
            <w:tcBorders>
              <w:tl2br w:val="nil"/>
              <w:tr2bl w:val="nil"/>
            </w:tcBorders>
            <w:vAlign w:val="center"/>
          </w:tcPr>
          <w:p w14:paraId="0F76B76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8</w:t>
            </w:r>
          </w:p>
        </w:tc>
        <w:tc>
          <w:tcPr>
            <w:tcW w:w="1240" w:type="dxa"/>
            <w:vMerge w:val="continue"/>
            <w:tcBorders>
              <w:tl2br w:val="nil"/>
              <w:tr2bl w:val="nil"/>
            </w:tcBorders>
            <w:vAlign w:val="center"/>
          </w:tcPr>
          <w:p w14:paraId="332D534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p>
        </w:tc>
        <w:tc>
          <w:tcPr>
            <w:tcW w:w="4608" w:type="dxa"/>
            <w:tcBorders>
              <w:tl2br w:val="nil"/>
              <w:tr2bl w:val="nil"/>
            </w:tcBorders>
            <w:vAlign w:val="center"/>
          </w:tcPr>
          <w:p w14:paraId="2D84E556">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活动主题是否鲜明、有特色，是否结合项目地方特点。</w:t>
            </w:r>
          </w:p>
          <w:p w14:paraId="03F8807A">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lang w:val="en-US" w:eastAsia="zh-CN"/>
              </w:rPr>
            </w:pPr>
            <w:r>
              <w:rPr>
                <w:rFonts w:hint="eastAsia" w:ascii="仿宋" w:hAnsi="仿宋" w:eastAsia="仿宋" w:cs="仿宋"/>
                <w:color w:val="auto"/>
                <w:sz w:val="22"/>
                <w:szCs w:val="22"/>
                <w:highlight w:val="none"/>
                <w:lang w:val="en-US" w:eastAsia="zh-CN"/>
              </w:rPr>
              <w:t>合理的得6分；基本合理的得4分；不合理得2分；不提供不得分。</w:t>
            </w:r>
          </w:p>
        </w:tc>
        <w:tc>
          <w:tcPr>
            <w:tcW w:w="969" w:type="dxa"/>
            <w:tcBorders>
              <w:tl2br w:val="nil"/>
              <w:tr2bl w:val="nil"/>
            </w:tcBorders>
            <w:vAlign w:val="center"/>
          </w:tcPr>
          <w:p w14:paraId="7C44B2A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kern w:val="2"/>
                <w:sz w:val="22"/>
                <w:szCs w:val="22"/>
                <w:highlight w:val="none"/>
                <w:lang w:val="en-US" w:eastAsia="zh-CN" w:bidi="ar-SA"/>
              </w:rPr>
            </w:pPr>
            <w:r>
              <w:rPr>
                <w:rFonts w:hint="eastAsia" w:ascii="仿宋" w:hAnsi="仿宋" w:eastAsia="仿宋" w:cs="仿宋"/>
                <w:i w:val="0"/>
                <w:iCs w:val="0"/>
                <w:color w:val="auto"/>
                <w:sz w:val="22"/>
                <w:szCs w:val="22"/>
                <w:highlight w:val="none"/>
                <w:lang w:val="en-US" w:eastAsia="zh-CN"/>
              </w:rPr>
              <w:t>0-6</w:t>
            </w:r>
          </w:p>
        </w:tc>
        <w:tc>
          <w:tcPr>
            <w:tcW w:w="1086" w:type="dxa"/>
            <w:tcBorders>
              <w:tl2br w:val="nil"/>
              <w:tr2bl w:val="nil"/>
            </w:tcBorders>
            <w:vAlign w:val="center"/>
          </w:tcPr>
          <w:p w14:paraId="6D2D746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kern w:val="2"/>
                <w:sz w:val="22"/>
                <w:szCs w:val="22"/>
                <w:highlight w:val="none"/>
                <w:lang w:val="en-US" w:eastAsia="zh-CN" w:bidi="ar-SA"/>
              </w:rPr>
            </w:pPr>
            <w:r>
              <w:rPr>
                <w:rFonts w:hint="eastAsia" w:ascii="仿宋" w:hAnsi="仿宋" w:eastAsia="仿宋" w:cs="仿宋"/>
                <w:i w:val="0"/>
                <w:iCs w:val="0"/>
                <w:color w:val="auto"/>
                <w:sz w:val="22"/>
                <w:szCs w:val="22"/>
                <w:highlight w:val="none"/>
              </w:rPr>
              <w:t>主观分</w:t>
            </w:r>
          </w:p>
        </w:tc>
      </w:tr>
      <w:tr w14:paraId="7386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35" w:hRule="atLeast"/>
          <w:jc w:val="center"/>
        </w:trPr>
        <w:tc>
          <w:tcPr>
            <w:tcW w:w="847" w:type="dxa"/>
            <w:vMerge w:val="continue"/>
            <w:tcBorders>
              <w:tl2br w:val="nil"/>
              <w:tr2bl w:val="nil"/>
            </w:tcBorders>
            <w:vAlign w:val="center"/>
          </w:tcPr>
          <w:p w14:paraId="19E543E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p>
        </w:tc>
        <w:tc>
          <w:tcPr>
            <w:tcW w:w="690" w:type="dxa"/>
            <w:tcBorders>
              <w:tl2br w:val="nil"/>
              <w:tr2bl w:val="nil"/>
            </w:tcBorders>
            <w:vAlign w:val="center"/>
          </w:tcPr>
          <w:p w14:paraId="0E7A388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9</w:t>
            </w:r>
          </w:p>
        </w:tc>
        <w:tc>
          <w:tcPr>
            <w:tcW w:w="1240" w:type="dxa"/>
            <w:vMerge w:val="restart"/>
            <w:tcBorders>
              <w:tl2br w:val="nil"/>
              <w:tr2bl w:val="nil"/>
            </w:tcBorders>
            <w:vAlign w:val="center"/>
          </w:tcPr>
          <w:p w14:paraId="6E23BB0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r>
              <w:rPr>
                <w:rFonts w:hint="eastAsia" w:ascii="仿宋" w:hAnsi="仿宋" w:eastAsia="仿宋" w:cs="仿宋"/>
                <w:color w:val="auto"/>
                <w:sz w:val="22"/>
                <w:szCs w:val="22"/>
                <w:highlight w:val="none"/>
                <w:lang w:val="en-US" w:eastAsia="zh-CN"/>
              </w:rPr>
              <w:t>团队架构</w:t>
            </w:r>
          </w:p>
        </w:tc>
        <w:tc>
          <w:tcPr>
            <w:tcW w:w="4608" w:type="dxa"/>
            <w:tcBorders>
              <w:tl2br w:val="nil"/>
              <w:tr2bl w:val="nil"/>
            </w:tcBorders>
            <w:vAlign w:val="center"/>
          </w:tcPr>
          <w:p w14:paraId="73D1442D">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2"/>
                <w:sz w:val="22"/>
                <w:szCs w:val="22"/>
                <w:highlight w:val="none"/>
                <w:lang w:val="en-US" w:eastAsia="zh-CN" w:bidi="ar-SA"/>
              </w:rPr>
              <w:t>针对项目负责人的专业能</w:t>
            </w:r>
            <w:r>
              <w:rPr>
                <w:rFonts w:hint="eastAsia" w:ascii="仿宋" w:hAnsi="仿宋" w:eastAsia="仿宋" w:cs="仿宋"/>
                <w:color w:val="auto"/>
                <w:sz w:val="22"/>
                <w:szCs w:val="22"/>
                <w:highlight w:val="none"/>
                <w:lang w:val="en-US" w:eastAsia="zh-CN"/>
              </w:rPr>
              <w:t>力，管理经验丰富程度、调动公司资源的权限进行评分（提供相关证明材料）</w:t>
            </w:r>
          </w:p>
          <w:p w14:paraId="2515513B">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lang w:val="en-US" w:eastAsia="zh-CN"/>
              </w:rPr>
            </w:pPr>
            <w:r>
              <w:rPr>
                <w:rFonts w:hint="eastAsia" w:ascii="仿宋" w:hAnsi="仿宋" w:eastAsia="仿宋" w:cs="仿宋"/>
                <w:color w:val="auto"/>
                <w:sz w:val="22"/>
                <w:szCs w:val="22"/>
                <w:highlight w:val="none"/>
                <w:lang w:val="en-US" w:eastAsia="zh-CN"/>
              </w:rPr>
              <w:t>合理的得5分；基本合理的得3分；</w:t>
            </w:r>
            <w:r>
              <w:rPr>
                <w:rFonts w:hint="eastAsia" w:ascii="仿宋" w:hAnsi="仿宋" w:eastAsia="仿宋" w:cs="仿宋"/>
                <w:color w:val="auto"/>
                <w:sz w:val="22"/>
                <w:szCs w:val="22"/>
                <w:highlight w:val="none"/>
                <w:lang w:val="en-US" w:eastAsia="zh-CN"/>
              </w:rPr>
              <w:br w:type="textWrapping"/>
            </w:r>
            <w:r>
              <w:rPr>
                <w:rFonts w:hint="eastAsia" w:ascii="仿宋" w:hAnsi="仿宋" w:eastAsia="仿宋" w:cs="仿宋"/>
                <w:color w:val="auto"/>
                <w:sz w:val="24"/>
                <w:szCs w:val="24"/>
                <w:highlight w:val="none"/>
                <w:lang w:val="en-US" w:eastAsia="zh-CN"/>
              </w:rPr>
              <w:t>不合理得1分；不提供不得分。</w:t>
            </w:r>
          </w:p>
        </w:tc>
        <w:tc>
          <w:tcPr>
            <w:tcW w:w="969" w:type="dxa"/>
            <w:tcBorders>
              <w:tl2br w:val="nil"/>
              <w:tr2bl w:val="nil"/>
            </w:tcBorders>
            <w:vAlign w:val="center"/>
          </w:tcPr>
          <w:p w14:paraId="4DB5A33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kern w:val="2"/>
                <w:sz w:val="22"/>
                <w:szCs w:val="22"/>
                <w:highlight w:val="none"/>
                <w:lang w:val="en-US" w:eastAsia="zh-CN" w:bidi="ar-SA"/>
              </w:rPr>
            </w:pPr>
            <w:r>
              <w:rPr>
                <w:rFonts w:hint="eastAsia" w:ascii="仿宋" w:hAnsi="仿宋" w:eastAsia="仿宋" w:cs="仿宋"/>
                <w:i w:val="0"/>
                <w:iCs w:val="0"/>
                <w:color w:val="auto"/>
                <w:sz w:val="22"/>
                <w:szCs w:val="22"/>
                <w:highlight w:val="none"/>
                <w:lang w:val="en-US" w:eastAsia="zh-CN"/>
              </w:rPr>
              <w:t>0</w:t>
            </w:r>
            <w:r>
              <w:rPr>
                <w:rFonts w:hint="eastAsia" w:ascii="仿宋" w:hAnsi="仿宋" w:eastAsia="仿宋" w:cs="仿宋"/>
                <w:i w:val="0"/>
                <w:iCs w:val="0"/>
                <w:color w:val="auto"/>
                <w:sz w:val="22"/>
                <w:szCs w:val="22"/>
                <w:highlight w:val="none"/>
              </w:rPr>
              <w:t>-</w:t>
            </w:r>
            <w:r>
              <w:rPr>
                <w:rFonts w:hint="eastAsia" w:ascii="仿宋" w:hAnsi="仿宋" w:eastAsia="仿宋" w:cs="仿宋"/>
                <w:i w:val="0"/>
                <w:iCs w:val="0"/>
                <w:color w:val="auto"/>
                <w:sz w:val="22"/>
                <w:szCs w:val="22"/>
                <w:highlight w:val="none"/>
                <w:lang w:val="en-US" w:eastAsia="zh-CN"/>
              </w:rPr>
              <w:t>5</w:t>
            </w:r>
          </w:p>
        </w:tc>
        <w:tc>
          <w:tcPr>
            <w:tcW w:w="1086" w:type="dxa"/>
            <w:tcBorders>
              <w:tl2br w:val="nil"/>
              <w:tr2bl w:val="nil"/>
            </w:tcBorders>
            <w:vAlign w:val="center"/>
          </w:tcPr>
          <w:p w14:paraId="3BF8485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kern w:val="2"/>
                <w:sz w:val="22"/>
                <w:szCs w:val="22"/>
                <w:highlight w:val="none"/>
                <w:lang w:val="en-US" w:eastAsia="zh-CN" w:bidi="ar-SA"/>
              </w:rPr>
            </w:pPr>
            <w:r>
              <w:rPr>
                <w:rFonts w:hint="eastAsia" w:ascii="仿宋" w:hAnsi="仿宋" w:eastAsia="仿宋" w:cs="仿宋"/>
                <w:i w:val="0"/>
                <w:iCs w:val="0"/>
                <w:color w:val="auto"/>
                <w:sz w:val="22"/>
                <w:szCs w:val="22"/>
                <w:highlight w:val="none"/>
              </w:rPr>
              <w:t>主观分</w:t>
            </w:r>
          </w:p>
        </w:tc>
      </w:tr>
      <w:tr w14:paraId="39AD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35" w:hRule="atLeast"/>
          <w:jc w:val="center"/>
        </w:trPr>
        <w:tc>
          <w:tcPr>
            <w:tcW w:w="847" w:type="dxa"/>
            <w:vMerge w:val="continue"/>
            <w:tcBorders>
              <w:tl2br w:val="nil"/>
              <w:tr2bl w:val="nil"/>
            </w:tcBorders>
            <w:vAlign w:val="center"/>
          </w:tcPr>
          <w:p w14:paraId="666721A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p>
        </w:tc>
        <w:tc>
          <w:tcPr>
            <w:tcW w:w="690" w:type="dxa"/>
            <w:tcBorders>
              <w:tl2br w:val="nil"/>
              <w:tr2bl w:val="nil"/>
            </w:tcBorders>
            <w:vAlign w:val="center"/>
          </w:tcPr>
          <w:p w14:paraId="1FECDF9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0"/>
                <w:szCs w:val="22"/>
                <w:lang w:val="en-US" w:eastAsia="zh-CN"/>
              </w:rPr>
            </w:pPr>
            <w:r>
              <w:rPr>
                <w:rFonts w:hint="eastAsia" w:ascii="仿宋" w:hAnsi="仿宋" w:eastAsia="仿宋" w:cs="仿宋"/>
                <w:i w:val="0"/>
                <w:iCs w:val="0"/>
                <w:color w:val="auto"/>
                <w:sz w:val="22"/>
                <w:szCs w:val="22"/>
                <w:highlight w:val="none"/>
                <w:lang w:val="en-US" w:eastAsia="zh-CN"/>
              </w:rPr>
              <w:t>10</w:t>
            </w:r>
          </w:p>
        </w:tc>
        <w:tc>
          <w:tcPr>
            <w:tcW w:w="1240" w:type="dxa"/>
            <w:vMerge w:val="continue"/>
            <w:tcBorders>
              <w:tl2br w:val="nil"/>
              <w:tr2bl w:val="nil"/>
            </w:tcBorders>
            <w:vAlign w:val="center"/>
          </w:tcPr>
          <w:p w14:paraId="3B2A794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p>
        </w:tc>
        <w:tc>
          <w:tcPr>
            <w:tcW w:w="4608" w:type="dxa"/>
            <w:tcBorders>
              <w:tl2br w:val="nil"/>
              <w:tr2bl w:val="nil"/>
            </w:tcBorders>
            <w:vAlign w:val="center"/>
          </w:tcPr>
          <w:p w14:paraId="694FF9DE">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针对本项目实施团队各专业工种的配置和劳动力的投入是否能满足需求，提供常驻人员数量。</w:t>
            </w:r>
          </w:p>
          <w:p w14:paraId="7A88C3EA">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合理的得5分；基本合理的得3分；不合理得1分；不提供不得分。</w:t>
            </w:r>
          </w:p>
        </w:tc>
        <w:tc>
          <w:tcPr>
            <w:tcW w:w="969" w:type="dxa"/>
            <w:tcBorders>
              <w:tl2br w:val="nil"/>
              <w:tr2bl w:val="nil"/>
            </w:tcBorders>
            <w:vAlign w:val="center"/>
          </w:tcPr>
          <w:p w14:paraId="15B7AEE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kern w:val="2"/>
                <w:sz w:val="22"/>
                <w:szCs w:val="22"/>
                <w:highlight w:val="none"/>
                <w:lang w:val="en-US" w:eastAsia="zh-CN" w:bidi="ar-SA"/>
              </w:rPr>
            </w:pPr>
            <w:r>
              <w:rPr>
                <w:rFonts w:hint="eastAsia" w:ascii="仿宋" w:hAnsi="仿宋" w:eastAsia="仿宋" w:cs="仿宋"/>
                <w:i w:val="0"/>
                <w:iCs w:val="0"/>
                <w:color w:val="auto"/>
                <w:sz w:val="22"/>
                <w:szCs w:val="22"/>
                <w:highlight w:val="none"/>
                <w:lang w:val="en-US" w:eastAsia="zh-CN"/>
              </w:rPr>
              <w:t>0</w:t>
            </w:r>
            <w:r>
              <w:rPr>
                <w:rFonts w:hint="eastAsia" w:ascii="仿宋" w:hAnsi="仿宋" w:eastAsia="仿宋" w:cs="仿宋"/>
                <w:i w:val="0"/>
                <w:iCs w:val="0"/>
                <w:color w:val="auto"/>
                <w:sz w:val="22"/>
                <w:szCs w:val="22"/>
                <w:highlight w:val="none"/>
              </w:rPr>
              <w:t>-</w:t>
            </w:r>
            <w:r>
              <w:rPr>
                <w:rFonts w:hint="eastAsia" w:ascii="仿宋" w:hAnsi="仿宋" w:eastAsia="仿宋" w:cs="仿宋"/>
                <w:i w:val="0"/>
                <w:iCs w:val="0"/>
                <w:color w:val="auto"/>
                <w:sz w:val="22"/>
                <w:szCs w:val="22"/>
                <w:highlight w:val="none"/>
                <w:lang w:val="en-US" w:eastAsia="zh-CN"/>
              </w:rPr>
              <w:t>5</w:t>
            </w:r>
          </w:p>
        </w:tc>
        <w:tc>
          <w:tcPr>
            <w:tcW w:w="1086" w:type="dxa"/>
            <w:tcBorders>
              <w:tl2br w:val="nil"/>
              <w:tr2bl w:val="nil"/>
            </w:tcBorders>
            <w:vAlign w:val="center"/>
          </w:tcPr>
          <w:p w14:paraId="48E0ECE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kern w:val="2"/>
                <w:sz w:val="22"/>
                <w:szCs w:val="22"/>
                <w:highlight w:val="none"/>
                <w:lang w:val="en-US" w:eastAsia="zh-CN" w:bidi="ar-SA"/>
              </w:rPr>
            </w:pPr>
            <w:r>
              <w:rPr>
                <w:rFonts w:hint="eastAsia" w:ascii="仿宋" w:hAnsi="仿宋" w:eastAsia="仿宋" w:cs="仿宋"/>
                <w:i w:val="0"/>
                <w:iCs w:val="0"/>
                <w:color w:val="auto"/>
                <w:sz w:val="22"/>
                <w:szCs w:val="22"/>
                <w:highlight w:val="none"/>
              </w:rPr>
              <w:t>主观分</w:t>
            </w:r>
          </w:p>
        </w:tc>
      </w:tr>
      <w:tr w14:paraId="5B04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794" w:hRule="atLeast"/>
          <w:jc w:val="center"/>
        </w:trPr>
        <w:tc>
          <w:tcPr>
            <w:tcW w:w="847" w:type="dxa"/>
            <w:vMerge w:val="continue"/>
            <w:tcBorders>
              <w:tl2br w:val="nil"/>
              <w:tr2bl w:val="nil"/>
            </w:tcBorders>
            <w:vAlign w:val="center"/>
          </w:tcPr>
          <w:p w14:paraId="7B3864D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p>
        </w:tc>
        <w:tc>
          <w:tcPr>
            <w:tcW w:w="690" w:type="dxa"/>
            <w:tcBorders>
              <w:tl2br w:val="nil"/>
              <w:tr2bl w:val="nil"/>
            </w:tcBorders>
            <w:vAlign w:val="center"/>
          </w:tcPr>
          <w:p w14:paraId="1076714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11</w:t>
            </w:r>
          </w:p>
        </w:tc>
        <w:tc>
          <w:tcPr>
            <w:tcW w:w="1240" w:type="dxa"/>
            <w:vMerge w:val="continue"/>
            <w:tcBorders>
              <w:tl2br w:val="nil"/>
              <w:tr2bl w:val="nil"/>
            </w:tcBorders>
            <w:vAlign w:val="center"/>
          </w:tcPr>
          <w:p w14:paraId="6801ADC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p>
        </w:tc>
        <w:tc>
          <w:tcPr>
            <w:tcW w:w="4608" w:type="dxa"/>
            <w:tcBorders>
              <w:tl2br w:val="nil"/>
              <w:tr2bl w:val="nil"/>
            </w:tcBorders>
            <w:vAlign w:val="center"/>
          </w:tcPr>
          <w:p w14:paraId="007CF219">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是否有合理的项目实施人员培训计划、培训方法</w:t>
            </w:r>
          </w:p>
          <w:p w14:paraId="04BA0530">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合理的得5分；基本合理的得3分；不合理得1分；不提供不得分。</w:t>
            </w:r>
          </w:p>
        </w:tc>
        <w:tc>
          <w:tcPr>
            <w:tcW w:w="969" w:type="dxa"/>
            <w:tcBorders>
              <w:tl2br w:val="nil"/>
              <w:tr2bl w:val="nil"/>
            </w:tcBorders>
            <w:vAlign w:val="center"/>
          </w:tcPr>
          <w:p w14:paraId="181819B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kern w:val="2"/>
                <w:sz w:val="22"/>
                <w:szCs w:val="22"/>
                <w:highlight w:val="none"/>
                <w:lang w:val="en-US" w:eastAsia="zh-CN" w:bidi="ar-SA"/>
              </w:rPr>
            </w:pPr>
            <w:r>
              <w:rPr>
                <w:rFonts w:hint="eastAsia" w:ascii="仿宋" w:hAnsi="仿宋" w:eastAsia="仿宋" w:cs="仿宋"/>
                <w:i w:val="0"/>
                <w:iCs w:val="0"/>
                <w:color w:val="auto"/>
                <w:sz w:val="22"/>
                <w:szCs w:val="22"/>
                <w:highlight w:val="none"/>
                <w:lang w:val="en-US" w:eastAsia="zh-CN"/>
              </w:rPr>
              <w:t>0</w:t>
            </w:r>
            <w:r>
              <w:rPr>
                <w:rFonts w:hint="eastAsia" w:ascii="仿宋" w:hAnsi="仿宋" w:eastAsia="仿宋" w:cs="仿宋"/>
                <w:i w:val="0"/>
                <w:iCs w:val="0"/>
                <w:color w:val="auto"/>
                <w:sz w:val="22"/>
                <w:szCs w:val="22"/>
                <w:highlight w:val="none"/>
              </w:rPr>
              <w:t>-</w:t>
            </w:r>
            <w:r>
              <w:rPr>
                <w:rFonts w:hint="eastAsia" w:ascii="仿宋" w:hAnsi="仿宋" w:eastAsia="仿宋" w:cs="仿宋"/>
                <w:i w:val="0"/>
                <w:iCs w:val="0"/>
                <w:color w:val="auto"/>
                <w:sz w:val="22"/>
                <w:szCs w:val="22"/>
                <w:highlight w:val="none"/>
                <w:lang w:val="en-US" w:eastAsia="zh-CN"/>
              </w:rPr>
              <w:t>5</w:t>
            </w:r>
          </w:p>
        </w:tc>
        <w:tc>
          <w:tcPr>
            <w:tcW w:w="1086" w:type="dxa"/>
            <w:tcBorders>
              <w:tl2br w:val="nil"/>
              <w:tr2bl w:val="nil"/>
            </w:tcBorders>
            <w:vAlign w:val="center"/>
          </w:tcPr>
          <w:p w14:paraId="26FD851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kern w:val="2"/>
                <w:sz w:val="22"/>
                <w:szCs w:val="22"/>
                <w:highlight w:val="none"/>
                <w:lang w:val="en-US" w:eastAsia="zh-CN" w:bidi="ar-SA"/>
              </w:rPr>
            </w:pPr>
            <w:r>
              <w:rPr>
                <w:rFonts w:hint="eastAsia" w:ascii="仿宋" w:hAnsi="仿宋" w:eastAsia="仿宋" w:cs="仿宋"/>
                <w:i w:val="0"/>
                <w:iCs w:val="0"/>
                <w:color w:val="auto"/>
                <w:sz w:val="22"/>
                <w:szCs w:val="22"/>
                <w:highlight w:val="none"/>
              </w:rPr>
              <w:t>主观分</w:t>
            </w:r>
          </w:p>
        </w:tc>
      </w:tr>
      <w:tr w14:paraId="3695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35" w:hRule="atLeast"/>
          <w:jc w:val="center"/>
        </w:trPr>
        <w:tc>
          <w:tcPr>
            <w:tcW w:w="847" w:type="dxa"/>
            <w:vMerge w:val="continue"/>
            <w:tcBorders>
              <w:tl2br w:val="nil"/>
              <w:tr2bl w:val="nil"/>
            </w:tcBorders>
            <w:vAlign w:val="center"/>
          </w:tcPr>
          <w:p w14:paraId="2059C048">
            <w:pPr>
              <w:pStyle w:val="40"/>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2"/>
                <w:szCs w:val="22"/>
                <w:highlight w:val="none"/>
                <w:lang w:eastAsia="zh-CN"/>
              </w:rPr>
            </w:pPr>
          </w:p>
        </w:tc>
        <w:tc>
          <w:tcPr>
            <w:tcW w:w="690" w:type="dxa"/>
            <w:tcBorders>
              <w:tl2br w:val="nil"/>
              <w:tr2bl w:val="nil"/>
            </w:tcBorders>
            <w:vAlign w:val="center"/>
          </w:tcPr>
          <w:p w14:paraId="1BBA417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12</w:t>
            </w:r>
          </w:p>
        </w:tc>
        <w:tc>
          <w:tcPr>
            <w:tcW w:w="1240" w:type="dxa"/>
            <w:tcBorders>
              <w:tl2br w:val="nil"/>
              <w:tr2bl w:val="nil"/>
            </w:tcBorders>
            <w:vAlign w:val="center"/>
          </w:tcPr>
          <w:p w14:paraId="4B1521B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r>
              <w:rPr>
                <w:rFonts w:hint="eastAsia" w:ascii="仿宋" w:hAnsi="仿宋" w:eastAsia="仿宋" w:cs="仿宋"/>
                <w:color w:val="auto"/>
                <w:sz w:val="22"/>
                <w:szCs w:val="22"/>
                <w:highlight w:val="none"/>
              </w:rPr>
              <w:t>服务承诺</w:t>
            </w:r>
          </w:p>
        </w:tc>
        <w:tc>
          <w:tcPr>
            <w:tcW w:w="4608" w:type="dxa"/>
            <w:tcBorders>
              <w:tl2br w:val="nil"/>
              <w:tr2bl w:val="nil"/>
            </w:tcBorders>
            <w:vAlign w:val="center"/>
          </w:tcPr>
          <w:p w14:paraId="5D1C6443">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根据响应人提供的服务响应时间，服务期内的服务承诺情况等进行综合打分。</w:t>
            </w:r>
          </w:p>
          <w:p w14:paraId="3C45ABB7">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合理的得3分；基本合理的得2分；不合理得1分；不提供不得分。</w:t>
            </w:r>
          </w:p>
        </w:tc>
        <w:tc>
          <w:tcPr>
            <w:tcW w:w="969" w:type="dxa"/>
            <w:tcBorders>
              <w:tl2br w:val="nil"/>
              <w:tr2bl w:val="nil"/>
            </w:tcBorders>
            <w:vAlign w:val="center"/>
          </w:tcPr>
          <w:p w14:paraId="55965EA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0-3</w:t>
            </w:r>
          </w:p>
        </w:tc>
        <w:tc>
          <w:tcPr>
            <w:tcW w:w="1086" w:type="dxa"/>
            <w:tcBorders>
              <w:tl2br w:val="nil"/>
              <w:tr2bl w:val="nil"/>
            </w:tcBorders>
            <w:vAlign w:val="center"/>
          </w:tcPr>
          <w:p w14:paraId="22FC31A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主观分</w:t>
            </w:r>
          </w:p>
        </w:tc>
      </w:tr>
      <w:tr w14:paraId="5285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35" w:hRule="atLeast"/>
          <w:jc w:val="center"/>
        </w:trPr>
        <w:tc>
          <w:tcPr>
            <w:tcW w:w="847" w:type="dxa"/>
            <w:vMerge w:val="continue"/>
            <w:tcBorders>
              <w:tl2br w:val="nil"/>
              <w:tr2bl w:val="nil"/>
            </w:tcBorders>
            <w:vAlign w:val="center"/>
          </w:tcPr>
          <w:p w14:paraId="730AD3D2">
            <w:pPr>
              <w:pStyle w:val="40"/>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2"/>
                <w:szCs w:val="22"/>
                <w:highlight w:val="none"/>
                <w:lang w:eastAsia="zh-CN"/>
              </w:rPr>
            </w:pPr>
          </w:p>
        </w:tc>
        <w:tc>
          <w:tcPr>
            <w:tcW w:w="690" w:type="dxa"/>
            <w:tcBorders>
              <w:tl2br w:val="nil"/>
              <w:tr2bl w:val="nil"/>
            </w:tcBorders>
            <w:vAlign w:val="center"/>
          </w:tcPr>
          <w:p w14:paraId="0E90B31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13</w:t>
            </w:r>
          </w:p>
        </w:tc>
        <w:tc>
          <w:tcPr>
            <w:tcW w:w="1240" w:type="dxa"/>
            <w:tcBorders>
              <w:tl2br w:val="nil"/>
              <w:tr2bl w:val="nil"/>
            </w:tcBorders>
            <w:vAlign w:val="center"/>
          </w:tcPr>
          <w:p w14:paraId="552DBFE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服务保障</w:t>
            </w:r>
          </w:p>
        </w:tc>
        <w:tc>
          <w:tcPr>
            <w:tcW w:w="4608" w:type="dxa"/>
            <w:tcBorders>
              <w:tl2br w:val="nil"/>
              <w:tr2bl w:val="nil"/>
            </w:tcBorders>
            <w:vAlign w:val="center"/>
          </w:tcPr>
          <w:p w14:paraId="646FF8D4">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本项目服务质量保证措施（根据服务质量保证措施是否具有保障性、合理可行、优于采购文件要求的，进行打分）</w:t>
            </w:r>
          </w:p>
          <w:p w14:paraId="1B1CA9FB">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lang w:val="en-US" w:eastAsia="zh-CN"/>
              </w:rPr>
            </w:pPr>
            <w:r>
              <w:rPr>
                <w:rFonts w:hint="eastAsia" w:ascii="仿宋" w:hAnsi="仿宋" w:eastAsia="仿宋" w:cs="仿宋"/>
                <w:color w:val="auto"/>
                <w:sz w:val="22"/>
                <w:szCs w:val="22"/>
                <w:highlight w:val="none"/>
                <w:lang w:val="en-US" w:eastAsia="zh-CN"/>
              </w:rPr>
              <w:t>合理的得5分；基本合理的得3分；</w:t>
            </w:r>
            <w:r>
              <w:rPr>
                <w:rFonts w:hint="eastAsia" w:ascii="仿宋" w:hAnsi="仿宋" w:eastAsia="仿宋" w:cs="仿宋"/>
                <w:color w:val="auto"/>
                <w:sz w:val="22"/>
                <w:szCs w:val="22"/>
                <w:highlight w:val="none"/>
                <w:lang w:val="en-US" w:eastAsia="zh-CN"/>
              </w:rPr>
              <w:br w:type="textWrapping"/>
            </w:r>
            <w:r>
              <w:rPr>
                <w:rFonts w:hint="eastAsia" w:ascii="仿宋" w:hAnsi="仿宋" w:eastAsia="仿宋" w:cs="仿宋"/>
                <w:color w:val="auto"/>
                <w:sz w:val="22"/>
                <w:szCs w:val="22"/>
                <w:highlight w:val="none"/>
                <w:lang w:val="en-US" w:eastAsia="zh-CN"/>
              </w:rPr>
              <w:t>不合理得1分；不提供不得分。</w:t>
            </w:r>
          </w:p>
        </w:tc>
        <w:tc>
          <w:tcPr>
            <w:tcW w:w="969" w:type="dxa"/>
            <w:tcBorders>
              <w:tl2br w:val="nil"/>
              <w:tr2bl w:val="nil"/>
            </w:tcBorders>
            <w:vAlign w:val="center"/>
          </w:tcPr>
          <w:p w14:paraId="3AC3712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kern w:val="2"/>
                <w:sz w:val="22"/>
                <w:szCs w:val="22"/>
                <w:highlight w:val="none"/>
                <w:lang w:val="en-US" w:eastAsia="zh-CN" w:bidi="ar-SA"/>
              </w:rPr>
            </w:pPr>
            <w:r>
              <w:rPr>
                <w:rFonts w:hint="eastAsia" w:ascii="仿宋" w:hAnsi="仿宋" w:eastAsia="仿宋" w:cs="仿宋"/>
                <w:i w:val="0"/>
                <w:iCs w:val="0"/>
                <w:color w:val="auto"/>
                <w:sz w:val="22"/>
                <w:szCs w:val="22"/>
                <w:highlight w:val="none"/>
                <w:lang w:val="en-US" w:eastAsia="zh-CN"/>
              </w:rPr>
              <w:t>0</w:t>
            </w:r>
            <w:r>
              <w:rPr>
                <w:rFonts w:hint="eastAsia" w:ascii="仿宋" w:hAnsi="仿宋" w:eastAsia="仿宋" w:cs="仿宋"/>
                <w:i w:val="0"/>
                <w:iCs w:val="0"/>
                <w:color w:val="auto"/>
                <w:sz w:val="22"/>
                <w:szCs w:val="22"/>
                <w:highlight w:val="none"/>
              </w:rPr>
              <w:t>-</w:t>
            </w:r>
            <w:r>
              <w:rPr>
                <w:rFonts w:hint="eastAsia" w:ascii="仿宋" w:hAnsi="仿宋" w:eastAsia="仿宋" w:cs="仿宋"/>
                <w:i w:val="0"/>
                <w:iCs w:val="0"/>
                <w:color w:val="auto"/>
                <w:sz w:val="22"/>
                <w:szCs w:val="22"/>
                <w:highlight w:val="none"/>
                <w:lang w:val="en-US" w:eastAsia="zh-CN"/>
              </w:rPr>
              <w:t>5</w:t>
            </w:r>
          </w:p>
        </w:tc>
        <w:tc>
          <w:tcPr>
            <w:tcW w:w="1086" w:type="dxa"/>
            <w:tcBorders>
              <w:tl2br w:val="nil"/>
              <w:tr2bl w:val="nil"/>
            </w:tcBorders>
            <w:vAlign w:val="center"/>
          </w:tcPr>
          <w:p w14:paraId="5061557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kern w:val="2"/>
                <w:sz w:val="22"/>
                <w:szCs w:val="22"/>
                <w:highlight w:val="none"/>
                <w:lang w:val="en-US" w:eastAsia="zh-CN" w:bidi="ar-SA"/>
              </w:rPr>
            </w:pPr>
            <w:r>
              <w:rPr>
                <w:rFonts w:hint="eastAsia" w:ascii="仿宋" w:hAnsi="仿宋" w:eastAsia="仿宋" w:cs="仿宋"/>
                <w:i w:val="0"/>
                <w:iCs w:val="0"/>
                <w:color w:val="auto"/>
                <w:sz w:val="22"/>
                <w:szCs w:val="22"/>
                <w:highlight w:val="none"/>
              </w:rPr>
              <w:t>主观分</w:t>
            </w:r>
          </w:p>
        </w:tc>
      </w:tr>
      <w:tr w14:paraId="4984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35" w:hRule="atLeast"/>
          <w:jc w:val="center"/>
        </w:trPr>
        <w:tc>
          <w:tcPr>
            <w:tcW w:w="847" w:type="dxa"/>
            <w:vMerge w:val="continue"/>
            <w:tcBorders>
              <w:tl2br w:val="nil"/>
              <w:tr2bl w:val="nil"/>
            </w:tcBorders>
            <w:vAlign w:val="center"/>
          </w:tcPr>
          <w:p w14:paraId="7EEE5B90">
            <w:pPr>
              <w:pStyle w:val="40"/>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2"/>
                <w:szCs w:val="22"/>
                <w:highlight w:val="none"/>
                <w:lang w:eastAsia="zh-CN"/>
              </w:rPr>
            </w:pPr>
          </w:p>
        </w:tc>
        <w:tc>
          <w:tcPr>
            <w:tcW w:w="690" w:type="dxa"/>
            <w:tcBorders>
              <w:tl2br w:val="nil"/>
              <w:tr2bl w:val="nil"/>
            </w:tcBorders>
            <w:vAlign w:val="center"/>
          </w:tcPr>
          <w:p w14:paraId="380F501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14</w:t>
            </w:r>
          </w:p>
        </w:tc>
        <w:tc>
          <w:tcPr>
            <w:tcW w:w="1240" w:type="dxa"/>
            <w:tcBorders>
              <w:tl2br w:val="nil"/>
              <w:tr2bl w:val="nil"/>
            </w:tcBorders>
            <w:vAlign w:val="center"/>
          </w:tcPr>
          <w:p w14:paraId="43D71D0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color w:val="auto"/>
                <w:szCs w:val="21"/>
              </w:rPr>
              <w:t>合理化建议</w:t>
            </w:r>
          </w:p>
        </w:tc>
        <w:tc>
          <w:tcPr>
            <w:tcW w:w="4608" w:type="dxa"/>
            <w:tcBorders>
              <w:tl2br w:val="nil"/>
              <w:tr2bl w:val="nil"/>
            </w:tcBorders>
            <w:vAlign w:val="center"/>
          </w:tcPr>
          <w:p w14:paraId="71CDFEEE">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针对项目实施中可能会出现的问题和存在的困难，进行客观分析，并结合自身专业、经验等实际情况，对项目提出合理化建议（如对现状的建议等）。经专家组认可，每条合理化建议得</w:t>
            </w:r>
            <w:r>
              <w:rPr>
                <w:rFonts w:hint="eastAsia" w:ascii="仿宋" w:hAnsi="仿宋" w:eastAsia="仿宋" w:cs="仿宋"/>
                <w:i w:val="0"/>
                <w:iCs w:val="0"/>
                <w:color w:val="auto"/>
                <w:sz w:val="22"/>
                <w:szCs w:val="22"/>
                <w:highlight w:val="none"/>
                <w:lang w:val="en-US" w:eastAsia="zh-CN"/>
              </w:rPr>
              <w:t>2</w:t>
            </w:r>
            <w:r>
              <w:rPr>
                <w:rFonts w:hint="eastAsia" w:ascii="仿宋" w:hAnsi="仿宋" w:eastAsia="仿宋" w:cs="仿宋"/>
                <w:i w:val="0"/>
                <w:iCs w:val="0"/>
                <w:color w:val="auto"/>
                <w:sz w:val="22"/>
                <w:szCs w:val="22"/>
                <w:highlight w:val="none"/>
              </w:rPr>
              <w:t>分，最高得</w:t>
            </w:r>
            <w:r>
              <w:rPr>
                <w:rFonts w:hint="eastAsia" w:ascii="仿宋" w:hAnsi="仿宋" w:eastAsia="仿宋" w:cs="仿宋"/>
                <w:i w:val="0"/>
                <w:iCs w:val="0"/>
                <w:color w:val="auto"/>
                <w:sz w:val="22"/>
                <w:szCs w:val="22"/>
                <w:highlight w:val="none"/>
                <w:lang w:val="en-US" w:eastAsia="zh-CN"/>
              </w:rPr>
              <w:t>6</w:t>
            </w:r>
            <w:r>
              <w:rPr>
                <w:rFonts w:hint="eastAsia" w:ascii="仿宋" w:hAnsi="仿宋" w:eastAsia="仿宋" w:cs="仿宋"/>
                <w:i w:val="0"/>
                <w:iCs w:val="0"/>
                <w:color w:val="auto"/>
                <w:sz w:val="22"/>
                <w:szCs w:val="22"/>
                <w:highlight w:val="none"/>
              </w:rPr>
              <w:t>分。</w:t>
            </w:r>
          </w:p>
        </w:tc>
        <w:tc>
          <w:tcPr>
            <w:tcW w:w="969" w:type="dxa"/>
            <w:tcBorders>
              <w:tl2br w:val="nil"/>
              <w:tr2bl w:val="nil"/>
            </w:tcBorders>
            <w:vAlign w:val="center"/>
          </w:tcPr>
          <w:p w14:paraId="5188129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0-6</w:t>
            </w:r>
          </w:p>
        </w:tc>
        <w:tc>
          <w:tcPr>
            <w:tcW w:w="1086" w:type="dxa"/>
            <w:tcBorders>
              <w:tl2br w:val="nil"/>
              <w:tr2bl w:val="nil"/>
            </w:tcBorders>
            <w:vAlign w:val="center"/>
          </w:tcPr>
          <w:p w14:paraId="5CD1732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lang w:val="en-US" w:eastAsia="zh-CN"/>
              </w:rPr>
              <w:t>客</w:t>
            </w:r>
            <w:r>
              <w:rPr>
                <w:rFonts w:hint="eastAsia" w:ascii="仿宋" w:hAnsi="仿宋" w:eastAsia="仿宋" w:cs="仿宋"/>
                <w:i w:val="0"/>
                <w:iCs w:val="0"/>
                <w:color w:val="auto"/>
                <w:sz w:val="22"/>
                <w:szCs w:val="22"/>
                <w:highlight w:val="none"/>
              </w:rPr>
              <w:t>观分</w:t>
            </w:r>
          </w:p>
        </w:tc>
      </w:tr>
      <w:tr w14:paraId="0519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25" w:hRule="atLeast"/>
          <w:jc w:val="center"/>
        </w:trPr>
        <w:tc>
          <w:tcPr>
            <w:tcW w:w="847" w:type="dxa"/>
            <w:vMerge w:val="continue"/>
            <w:tcBorders>
              <w:tl2br w:val="nil"/>
              <w:tr2bl w:val="nil"/>
            </w:tcBorders>
            <w:vAlign w:val="center"/>
          </w:tcPr>
          <w:p w14:paraId="77F99BAF">
            <w:pPr>
              <w:pStyle w:val="40"/>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2"/>
                <w:szCs w:val="22"/>
                <w:highlight w:val="none"/>
                <w:lang w:eastAsia="zh-CN"/>
              </w:rPr>
            </w:pPr>
          </w:p>
        </w:tc>
        <w:tc>
          <w:tcPr>
            <w:tcW w:w="690" w:type="dxa"/>
            <w:tcBorders>
              <w:tl2br w:val="nil"/>
              <w:tr2bl w:val="nil"/>
            </w:tcBorders>
            <w:vAlign w:val="center"/>
          </w:tcPr>
          <w:p w14:paraId="7B39C53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15</w:t>
            </w:r>
          </w:p>
        </w:tc>
        <w:tc>
          <w:tcPr>
            <w:tcW w:w="1240" w:type="dxa"/>
            <w:tcBorders>
              <w:tl2br w:val="nil"/>
              <w:tr2bl w:val="nil"/>
            </w:tcBorders>
            <w:vAlign w:val="center"/>
          </w:tcPr>
          <w:p w14:paraId="2C40AB73">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应急措施</w:t>
            </w:r>
          </w:p>
        </w:tc>
        <w:tc>
          <w:tcPr>
            <w:tcW w:w="4608" w:type="dxa"/>
            <w:tcBorders>
              <w:tl2br w:val="nil"/>
              <w:tr2bl w:val="nil"/>
            </w:tcBorders>
            <w:vAlign w:val="center"/>
          </w:tcPr>
          <w:p w14:paraId="131B5160">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rPr>
              <w:t>本项目在运营过程中，应对采购人出现应急接待任务、应急展示任务</w:t>
            </w:r>
            <w:r>
              <w:rPr>
                <w:rFonts w:hint="eastAsia" w:ascii="仿宋" w:hAnsi="仿宋" w:eastAsia="仿宋" w:cs="仿宋"/>
                <w:i w:val="0"/>
                <w:iCs w:val="0"/>
                <w:color w:val="auto"/>
                <w:sz w:val="22"/>
                <w:szCs w:val="22"/>
                <w:highlight w:val="none"/>
                <w:lang w:eastAsia="zh-CN"/>
              </w:rPr>
              <w:t>、</w:t>
            </w:r>
            <w:r>
              <w:rPr>
                <w:rFonts w:hint="eastAsia" w:ascii="仿宋" w:hAnsi="仿宋" w:eastAsia="仿宋" w:cs="仿宋"/>
                <w:i w:val="0"/>
                <w:iCs w:val="0"/>
                <w:color w:val="auto"/>
                <w:sz w:val="22"/>
                <w:szCs w:val="22"/>
                <w:highlight w:val="none"/>
                <w:lang w:val="en-US" w:eastAsia="zh-CN"/>
              </w:rPr>
              <w:t>突发事件</w:t>
            </w:r>
            <w:r>
              <w:rPr>
                <w:rFonts w:hint="eastAsia" w:ascii="仿宋" w:hAnsi="仿宋" w:eastAsia="仿宋" w:cs="仿宋"/>
                <w:i w:val="0"/>
                <w:iCs w:val="0"/>
                <w:color w:val="auto"/>
                <w:sz w:val="22"/>
                <w:szCs w:val="22"/>
                <w:highlight w:val="none"/>
              </w:rPr>
              <w:t>等，</w:t>
            </w:r>
            <w:r>
              <w:rPr>
                <w:rFonts w:hint="eastAsia" w:ascii="仿宋" w:hAnsi="仿宋" w:eastAsia="仿宋" w:cs="仿宋"/>
                <w:i w:val="0"/>
                <w:iCs w:val="0"/>
                <w:color w:val="auto"/>
                <w:sz w:val="22"/>
                <w:szCs w:val="22"/>
                <w:highlight w:val="none"/>
                <w:lang w:val="en-US" w:eastAsia="zh-CN"/>
              </w:rPr>
              <w:t>是否能</w:t>
            </w:r>
            <w:r>
              <w:rPr>
                <w:rFonts w:hint="eastAsia" w:ascii="仿宋" w:hAnsi="仿宋" w:eastAsia="仿宋" w:cs="仿宋"/>
                <w:i w:val="0"/>
                <w:iCs w:val="0"/>
                <w:color w:val="auto"/>
                <w:sz w:val="22"/>
                <w:szCs w:val="22"/>
                <w:highlight w:val="none"/>
              </w:rPr>
              <w:t>制定出行之有效的应急管理措施及应急方案。</w:t>
            </w:r>
          </w:p>
          <w:p w14:paraId="42143335">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合理的得5分；基本合理的得3分；不合理得1分；不提供不得分。</w:t>
            </w:r>
          </w:p>
        </w:tc>
        <w:tc>
          <w:tcPr>
            <w:tcW w:w="969" w:type="dxa"/>
            <w:tcBorders>
              <w:tl2br w:val="nil"/>
              <w:tr2bl w:val="nil"/>
            </w:tcBorders>
            <w:vAlign w:val="center"/>
          </w:tcPr>
          <w:p w14:paraId="705B687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kern w:val="2"/>
                <w:sz w:val="22"/>
                <w:szCs w:val="22"/>
                <w:highlight w:val="none"/>
                <w:lang w:val="en-US" w:eastAsia="zh-CN" w:bidi="ar-SA"/>
              </w:rPr>
            </w:pPr>
            <w:r>
              <w:rPr>
                <w:rFonts w:hint="eastAsia" w:ascii="仿宋" w:hAnsi="仿宋" w:eastAsia="仿宋" w:cs="仿宋"/>
                <w:i w:val="0"/>
                <w:iCs w:val="0"/>
                <w:color w:val="auto"/>
                <w:sz w:val="22"/>
                <w:szCs w:val="22"/>
                <w:highlight w:val="none"/>
                <w:lang w:val="en-US" w:eastAsia="zh-CN"/>
              </w:rPr>
              <w:t>0</w:t>
            </w:r>
            <w:r>
              <w:rPr>
                <w:rFonts w:hint="eastAsia" w:ascii="仿宋" w:hAnsi="仿宋" w:eastAsia="仿宋" w:cs="仿宋"/>
                <w:i w:val="0"/>
                <w:iCs w:val="0"/>
                <w:color w:val="auto"/>
                <w:sz w:val="22"/>
                <w:szCs w:val="22"/>
                <w:highlight w:val="none"/>
              </w:rPr>
              <w:t>-</w:t>
            </w:r>
            <w:r>
              <w:rPr>
                <w:rFonts w:hint="eastAsia" w:ascii="仿宋" w:hAnsi="仿宋" w:eastAsia="仿宋" w:cs="仿宋"/>
                <w:i w:val="0"/>
                <w:iCs w:val="0"/>
                <w:color w:val="auto"/>
                <w:sz w:val="22"/>
                <w:szCs w:val="22"/>
                <w:highlight w:val="none"/>
                <w:lang w:val="en-US" w:eastAsia="zh-CN"/>
              </w:rPr>
              <w:t>5</w:t>
            </w:r>
          </w:p>
        </w:tc>
        <w:tc>
          <w:tcPr>
            <w:tcW w:w="1086" w:type="dxa"/>
            <w:tcBorders>
              <w:tl2br w:val="nil"/>
              <w:tr2bl w:val="nil"/>
            </w:tcBorders>
            <w:vAlign w:val="center"/>
          </w:tcPr>
          <w:p w14:paraId="35406B1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kern w:val="2"/>
                <w:sz w:val="22"/>
                <w:szCs w:val="22"/>
                <w:highlight w:val="none"/>
                <w:lang w:val="en-US" w:eastAsia="zh-CN" w:bidi="ar-SA"/>
              </w:rPr>
            </w:pPr>
            <w:r>
              <w:rPr>
                <w:rFonts w:hint="eastAsia" w:ascii="仿宋" w:hAnsi="仿宋" w:eastAsia="仿宋" w:cs="仿宋"/>
                <w:i w:val="0"/>
                <w:iCs w:val="0"/>
                <w:color w:val="auto"/>
                <w:sz w:val="22"/>
                <w:szCs w:val="22"/>
                <w:highlight w:val="none"/>
              </w:rPr>
              <w:t>主观分</w:t>
            </w:r>
          </w:p>
        </w:tc>
      </w:tr>
      <w:tr w14:paraId="0A39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35" w:hRule="atLeast"/>
          <w:jc w:val="center"/>
        </w:trPr>
        <w:tc>
          <w:tcPr>
            <w:tcW w:w="847" w:type="dxa"/>
            <w:vMerge w:val="continue"/>
            <w:tcBorders>
              <w:tl2br w:val="nil"/>
              <w:tr2bl w:val="nil"/>
            </w:tcBorders>
            <w:vAlign w:val="center"/>
          </w:tcPr>
          <w:p w14:paraId="73A092A1">
            <w:pPr>
              <w:pStyle w:val="40"/>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2"/>
                <w:szCs w:val="22"/>
                <w:highlight w:val="none"/>
                <w:lang w:eastAsia="zh-CN"/>
              </w:rPr>
            </w:pPr>
          </w:p>
        </w:tc>
        <w:tc>
          <w:tcPr>
            <w:tcW w:w="690" w:type="dxa"/>
            <w:tcBorders>
              <w:tl2br w:val="nil"/>
              <w:tr2bl w:val="nil"/>
            </w:tcBorders>
            <w:vAlign w:val="center"/>
          </w:tcPr>
          <w:p w14:paraId="0C67388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16</w:t>
            </w:r>
          </w:p>
        </w:tc>
        <w:tc>
          <w:tcPr>
            <w:tcW w:w="1240" w:type="dxa"/>
            <w:tcBorders>
              <w:tl2br w:val="nil"/>
              <w:tr2bl w:val="nil"/>
            </w:tcBorders>
            <w:vAlign w:val="center"/>
          </w:tcPr>
          <w:p w14:paraId="2DE7865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现场演示</w:t>
            </w:r>
          </w:p>
        </w:tc>
        <w:tc>
          <w:tcPr>
            <w:tcW w:w="4608" w:type="dxa"/>
            <w:tcBorders>
              <w:tl2br w:val="nil"/>
              <w:tr2bl w:val="nil"/>
            </w:tcBorders>
            <w:vAlign w:val="center"/>
          </w:tcPr>
          <w:p w14:paraId="7DC79986">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提供功能系统演示，仅进行PPT等固定图片或录屏、录像方式演示的不得分，不演示的不得分。每位响应人演示时间不超过15分钟。</w:t>
            </w:r>
          </w:p>
          <w:p w14:paraId="1E0C913E">
            <w:pPr>
              <w:pStyle w:val="106"/>
              <w:keepNext w:val="0"/>
              <w:keepLines w:val="0"/>
              <w:pageBreakBefore w:val="0"/>
              <w:widowControl/>
              <w:kinsoku/>
              <w:wordWrap/>
              <w:overflowPunct/>
              <w:topLinePunct w:val="0"/>
              <w:autoSpaceDE/>
              <w:autoSpaceDN/>
              <w:bidi w:val="0"/>
              <w:adjustRightInd w:val="0"/>
              <w:snapToGrid w:val="0"/>
              <w:spacing w:after="0" w:line="240" w:lineRule="auto"/>
              <w:ind w:left="0" w:leftChars="0" w:firstLine="442" w:firstLineChars="200"/>
              <w:jc w:val="left"/>
              <w:textAlignment w:val="auto"/>
              <w:rPr>
                <w:rFonts w:hint="eastAsia" w:ascii="仿宋" w:hAnsi="仿宋" w:eastAsia="仿宋" w:cs="仿宋"/>
                <w:b/>
                <w:bCs/>
                <w:color w:val="auto"/>
                <w:kern w:val="0"/>
                <w:sz w:val="22"/>
                <w:szCs w:val="22"/>
                <w:highlight w:val="none"/>
                <w:lang w:val="en-US" w:eastAsia="zh-CN" w:bidi="ar"/>
              </w:rPr>
            </w:pPr>
            <w:r>
              <w:rPr>
                <w:rFonts w:hint="eastAsia" w:ascii="仿宋" w:hAnsi="仿宋" w:eastAsia="仿宋" w:cs="仿宋"/>
                <w:b/>
                <w:bCs/>
                <w:color w:val="auto"/>
                <w:kern w:val="0"/>
                <w:sz w:val="22"/>
                <w:szCs w:val="22"/>
                <w:highlight w:val="none"/>
                <w:lang w:val="en-US" w:eastAsia="zh-CN" w:bidi="ar"/>
              </w:rPr>
              <w:t>一、数据看板集成与呈现</w:t>
            </w:r>
            <w:r>
              <w:rPr>
                <w:rFonts w:hint="eastAsia" w:ascii="仿宋" w:hAnsi="仿宋" w:eastAsia="仿宋" w:cs="仿宋"/>
                <w:color w:val="auto"/>
                <w:sz w:val="21"/>
                <w:szCs w:val="21"/>
                <w:lang w:val="en-US" w:eastAsia="zh-CN"/>
              </w:rPr>
              <w:t>（演示效果满足一项得2分，6项最多得12分。部分满足的每项得1分；不满足的不得分）</w:t>
            </w:r>
          </w:p>
          <w:p w14:paraId="1195DA3A">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bidi="ar"/>
              </w:rPr>
              <w:t>1.数据分析统计：在数据看板核心区域动态展</w:t>
            </w:r>
            <w:r>
              <w:rPr>
                <w:rFonts w:hint="eastAsia" w:ascii="仿宋" w:hAnsi="仿宋" w:eastAsia="仿宋" w:cs="仿宋"/>
                <w:color w:val="auto"/>
                <w:sz w:val="22"/>
                <w:szCs w:val="22"/>
                <w:highlight w:val="none"/>
                <w:lang w:val="en-US" w:eastAsia="zh-CN"/>
              </w:rPr>
              <w:t>示户籍人口总量、流动人口数量、党员人数、辖区面积四项指标。</w:t>
            </w:r>
          </w:p>
          <w:p w14:paraId="058248D8">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2.重要事件：展示发生的重要事件以及详情情况。</w:t>
            </w:r>
          </w:p>
          <w:p w14:paraId="562C2393">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3.矛盾纠纷：实时展示事件状态分类、动态化解率看板，并提供月度/季度/年度超期未处置事件统计</w:t>
            </w:r>
          </w:p>
          <w:p w14:paraId="6BA9AE4A">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4.房屋资产(出租屋)：清晰展示社区出租屋与商铺总量，并在网格区块上展示分布数量并支持下钻查看详情。</w:t>
            </w:r>
          </w:p>
          <w:p w14:paraId="1FF66464">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5.日常巡防：动态呈现巡防全量数据。</w:t>
            </w:r>
          </w:p>
          <w:p w14:paraId="44F91C4A">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6.主体地图：实现社区全域地图网格化展示，支持点击任意网格区块，即时弹出详情面板。</w:t>
            </w:r>
          </w:p>
          <w:p w14:paraId="44A250E7">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二、管理后台（演示效果满足一项得2分，4项最多得8分。部分满足的每项得1分；不满足的不得分）</w:t>
            </w:r>
          </w:p>
          <w:p w14:paraId="1D1FD9D5">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1.网格管理：支持交互式绘制网格四至范围功能，并关联看板信息底图。</w:t>
            </w:r>
          </w:p>
          <w:p w14:paraId="5C0A43A3">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2.流动人口管理：支持新增流动人口信息功能（含姓名/证件号/联系方式必填项），并可关联出租房屋。</w:t>
            </w:r>
          </w:p>
          <w:p w14:paraId="18A15B52">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3.矛盾纠纷管理：支持事件信息录入、调解过程记录、结果归档功能。</w:t>
            </w:r>
          </w:p>
          <w:p w14:paraId="7183207F">
            <w:pPr>
              <w:pStyle w:val="19"/>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2"/>
                <w:szCs w:val="22"/>
                <w:highlight w:val="none"/>
                <w:lang w:bidi="ar"/>
              </w:rPr>
            </w:pPr>
            <w:r>
              <w:rPr>
                <w:rFonts w:hint="eastAsia" w:ascii="仿宋" w:hAnsi="仿宋" w:eastAsia="仿宋" w:cs="仿宋"/>
                <w:color w:val="auto"/>
                <w:sz w:val="22"/>
                <w:szCs w:val="22"/>
                <w:highlight w:val="none"/>
                <w:lang w:val="en-US" w:eastAsia="zh-CN"/>
              </w:rPr>
              <w:t>4.日常巡防管理：支持录入巡查时间记录、巡查内容填报、隐患情况上报功能。</w:t>
            </w:r>
          </w:p>
        </w:tc>
        <w:tc>
          <w:tcPr>
            <w:tcW w:w="969" w:type="dxa"/>
            <w:tcBorders>
              <w:tl2br w:val="nil"/>
              <w:tr2bl w:val="nil"/>
            </w:tcBorders>
            <w:vAlign w:val="center"/>
          </w:tcPr>
          <w:p w14:paraId="6AE24CF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lang w:val="en-US" w:eastAsia="zh-CN"/>
              </w:rPr>
            </w:pPr>
            <w:r>
              <w:rPr>
                <w:rFonts w:hint="eastAsia" w:ascii="仿宋" w:hAnsi="仿宋" w:eastAsia="仿宋" w:cs="仿宋"/>
                <w:i w:val="0"/>
                <w:iCs w:val="0"/>
                <w:color w:val="auto"/>
                <w:sz w:val="22"/>
                <w:szCs w:val="22"/>
                <w:highlight w:val="none"/>
                <w:lang w:val="en-US" w:eastAsia="zh-CN"/>
              </w:rPr>
              <w:t>20</w:t>
            </w:r>
          </w:p>
        </w:tc>
        <w:tc>
          <w:tcPr>
            <w:tcW w:w="1086" w:type="dxa"/>
            <w:tcBorders>
              <w:tl2br w:val="nil"/>
              <w:tr2bl w:val="nil"/>
            </w:tcBorders>
            <w:vAlign w:val="center"/>
          </w:tcPr>
          <w:p w14:paraId="5F005E1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color w:val="auto"/>
                <w:sz w:val="22"/>
                <w:szCs w:val="22"/>
                <w:highlight w:val="none"/>
              </w:rPr>
            </w:pPr>
            <w:r>
              <w:rPr>
                <w:rFonts w:hint="eastAsia" w:ascii="仿宋" w:hAnsi="仿宋" w:eastAsia="仿宋" w:cs="仿宋"/>
                <w:i w:val="0"/>
                <w:iCs w:val="0"/>
                <w:color w:val="auto"/>
                <w:sz w:val="22"/>
                <w:szCs w:val="22"/>
                <w:highlight w:val="none"/>
                <w:lang w:val="en-US" w:eastAsia="zh-CN"/>
              </w:rPr>
              <w:t>客</w:t>
            </w:r>
            <w:r>
              <w:rPr>
                <w:rFonts w:hint="eastAsia" w:ascii="仿宋" w:hAnsi="仿宋" w:eastAsia="仿宋" w:cs="仿宋"/>
                <w:i w:val="0"/>
                <w:iCs w:val="0"/>
                <w:color w:val="auto"/>
                <w:sz w:val="22"/>
                <w:szCs w:val="22"/>
                <w:highlight w:val="none"/>
              </w:rPr>
              <w:t>观分</w:t>
            </w:r>
          </w:p>
        </w:tc>
      </w:tr>
    </w:tbl>
    <w:p w14:paraId="3495125B">
      <w:pPr>
        <w:pStyle w:val="106"/>
        <w:ind w:left="0" w:leftChars="0" w:firstLine="0" w:firstLineChars="0"/>
        <w:rPr>
          <w:rFonts w:hint="eastAsia" w:ascii="仿宋" w:hAnsi="仿宋" w:eastAsia="仿宋" w:cs="仿宋"/>
        </w:rPr>
      </w:pPr>
    </w:p>
    <w:p w14:paraId="2DB7F0F2">
      <w:pPr>
        <w:widowControl/>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w:t>
      </w:r>
      <w:r>
        <w:rPr>
          <w:rFonts w:hint="eastAsia" w:ascii="仿宋" w:hAnsi="仿宋" w:eastAsia="仿宋" w:cs="仿宋"/>
          <w:color w:val="000000" w:themeColor="text1"/>
          <w:sz w:val="24"/>
          <w14:textFill>
            <w14:solidFill>
              <w14:schemeClr w14:val="tx1"/>
            </w14:solidFill>
          </w14:textFill>
        </w:rPr>
        <w:t>1、评分条款中涉及的业绩、荣誉、人员、社保等分公司均有效。</w:t>
      </w:r>
    </w:p>
    <w:p w14:paraId="511095D9">
      <w:pPr>
        <w:widowControl/>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cs="仿宋"/>
          <w:color w:val="000000" w:themeColor="text1"/>
          <w:sz w:val="24"/>
          <w:lang w:eastAsia="zh-CN"/>
          <w14:textFill>
            <w14:solidFill>
              <w14:schemeClr w14:val="tx1"/>
            </w14:solidFill>
          </w14:textFill>
        </w:rPr>
        <w:t>响应文件</w:t>
      </w:r>
      <w:r>
        <w:rPr>
          <w:rFonts w:hint="eastAsia" w:ascii="仿宋" w:hAnsi="仿宋" w:eastAsia="仿宋" w:cs="仿宋"/>
          <w:color w:val="000000" w:themeColor="text1"/>
          <w:sz w:val="24"/>
          <w14:textFill>
            <w14:solidFill>
              <w14:schemeClr w14:val="tx1"/>
            </w14:solidFill>
          </w14:textFill>
        </w:rPr>
        <w:t>中如附有外文资料，必须逐一对应翻译成中文并加盖</w:t>
      </w:r>
      <w:r>
        <w:rPr>
          <w:rFonts w:hint="eastAsia" w:cs="仿宋"/>
          <w:color w:val="000000" w:themeColor="text1"/>
          <w:sz w:val="24"/>
          <w:lang w:eastAsia="zh-CN"/>
          <w14:textFill>
            <w14:solidFill>
              <w14:schemeClr w14:val="tx1"/>
            </w14:solidFill>
          </w14:textFill>
        </w:rPr>
        <w:t>响应人</w:t>
      </w:r>
      <w:r>
        <w:rPr>
          <w:rFonts w:hint="eastAsia" w:ascii="仿宋" w:hAnsi="仿宋" w:eastAsia="仿宋" w:cs="仿宋"/>
          <w:color w:val="000000" w:themeColor="text1"/>
          <w:sz w:val="24"/>
          <w14:textFill>
            <w14:solidFill>
              <w14:schemeClr w14:val="tx1"/>
            </w14:solidFill>
          </w14:textFill>
        </w:rPr>
        <w:t>公章后附在相关外文资料后面，否则外文资料不予认可。翻译的中文资料与外文资料不符的，均不予认可。翻译严重错误的，将视同提供虚假资料。</w:t>
      </w:r>
    </w:p>
    <w:p w14:paraId="4D42CAEB">
      <w:pPr>
        <w:widowControl/>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hint="eastAsia" w:cs="仿宋"/>
          <w:color w:val="000000" w:themeColor="text1"/>
          <w:sz w:val="24"/>
          <w:lang w:eastAsia="zh-CN"/>
          <w14:textFill>
            <w14:solidFill>
              <w14:schemeClr w14:val="tx1"/>
            </w14:solidFill>
          </w14:textFill>
        </w:rPr>
        <w:t>响应人</w:t>
      </w:r>
      <w:r>
        <w:rPr>
          <w:rFonts w:hint="eastAsia" w:ascii="仿宋" w:hAnsi="仿宋" w:eastAsia="仿宋" w:cs="仿宋"/>
          <w:color w:val="000000" w:themeColor="text1"/>
          <w:sz w:val="24"/>
          <w14:textFill>
            <w14:solidFill>
              <w14:schemeClr w14:val="tx1"/>
            </w14:solidFill>
          </w14:textFill>
        </w:rPr>
        <w:t>编制</w:t>
      </w:r>
      <w:r>
        <w:rPr>
          <w:rFonts w:hint="eastAsia" w:cs="仿宋"/>
          <w:color w:val="000000" w:themeColor="text1"/>
          <w:sz w:val="24"/>
          <w:lang w:eastAsia="zh-CN"/>
          <w14:textFill>
            <w14:solidFill>
              <w14:schemeClr w14:val="tx1"/>
            </w14:solidFill>
          </w14:textFill>
        </w:rPr>
        <w:t>响应文件</w:t>
      </w:r>
      <w:r>
        <w:rPr>
          <w:rFonts w:hint="eastAsia" w:ascii="仿宋" w:hAnsi="仿宋" w:eastAsia="仿宋" w:cs="仿宋"/>
          <w:color w:val="000000" w:themeColor="text1"/>
          <w:sz w:val="24"/>
          <w14:textFill>
            <w14:solidFill>
              <w14:schemeClr w14:val="tx1"/>
            </w14:solidFill>
          </w14:textFill>
        </w:rPr>
        <w:t>（商务技术文件部分）时，建议按此目录（序号和内容）提供评标标准相应的商务技术资料。 </w:t>
      </w:r>
    </w:p>
    <w:p w14:paraId="6E9BB890">
      <w:pPr>
        <w:widowControl/>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价格分（10分）</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5B00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634716DE">
            <w:pPr>
              <w:widowControl/>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2732532A">
            <w:pPr>
              <w:widowControl/>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计算方法</w:t>
            </w:r>
          </w:p>
        </w:tc>
      </w:tr>
      <w:tr w14:paraId="0451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21F263A4">
            <w:pPr>
              <w:widowControl/>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价格权值=0.10</w:t>
            </w:r>
          </w:p>
        </w:tc>
        <w:tc>
          <w:tcPr>
            <w:tcW w:w="6599" w:type="dxa"/>
            <w:tcBorders>
              <w:top w:val="single" w:color="auto" w:sz="4" w:space="0"/>
              <w:left w:val="single" w:color="auto" w:sz="4" w:space="0"/>
              <w:bottom w:val="single" w:color="auto" w:sz="4" w:space="0"/>
              <w:right w:val="single" w:color="auto" w:sz="4" w:space="0"/>
            </w:tcBorders>
            <w:noWrap/>
            <w:vAlign w:val="center"/>
          </w:tcPr>
          <w:p w14:paraId="078481CC">
            <w:pPr>
              <w:widowControl/>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最低有效</w:t>
            </w:r>
            <w:r>
              <w:rPr>
                <w:rFonts w:hint="eastAsia" w:cs="仿宋"/>
                <w:color w:val="000000" w:themeColor="text1"/>
                <w:sz w:val="24"/>
                <w:lang w:val="en-US"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价格为</w:t>
            </w:r>
            <w:r>
              <w:rPr>
                <w:rFonts w:hint="eastAsia" w:cs="仿宋"/>
                <w:color w:val="000000" w:themeColor="text1"/>
                <w:sz w:val="24"/>
                <w:lang w:val="en-US" w:eastAsia="zh-CN"/>
                <w14:textFill>
                  <w14:solidFill>
                    <w14:schemeClr w14:val="tx1"/>
                  </w14:solidFill>
                </w14:textFill>
              </w:rPr>
              <w:t>评审</w:t>
            </w:r>
            <w:r>
              <w:rPr>
                <w:rFonts w:hint="eastAsia" w:ascii="仿宋" w:hAnsi="仿宋" w:eastAsia="仿宋" w:cs="仿宋"/>
                <w:color w:val="000000" w:themeColor="text1"/>
                <w:sz w:val="24"/>
                <w14:textFill>
                  <w14:solidFill>
                    <w14:schemeClr w14:val="tx1"/>
                  </w14:solidFill>
                </w14:textFill>
              </w:rPr>
              <w:t>基准价</w:t>
            </w:r>
          </w:p>
          <w:p w14:paraId="183EA776">
            <w:pPr>
              <w:widowControl/>
              <w:spacing w:line="360" w:lineRule="auto"/>
              <w:rPr>
                <w:rFonts w:hint="eastAsia" w:ascii="仿宋" w:hAnsi="仿宋" w:eastAsia="仿宋" w:cs="仿宋"/>
                <w:color w:val="000000" w:themeColor="text1"/>
                <w:sz w:val="24"/>
                <w14:textFill>
                  <w14:solidFill>
                    <w14:schemeClr w14:val="tx1"/>
                  </w14:solidFill>
                </w14:textFill>
              </w:rPr>
            </w:pPr>
            <w:r>
              <w:rPr>
                <w:rFonts w:hint="eastAsia" w:cs="仿宋"/>
                <w:color w:val="000000" w:themeColor="text1"/>
                <w:sz w:val="24"/>
                <w:lang w:val="en-US"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报价得分=(</w:t>
            </w:r>
            <w:r>
              <w:rPr>
                <w:rFonts w:hint="eastAsia" w:cs="仿宋"/>
                <w:color w:val="000000" w:themeColor="text1"/>
                <w:sz w:val="24"/>
                <w:lang w:val="en-US" w:eastAsia="zh-CN"/>
                <w14:textFill>
                  <w14:solidFill>
                    <w14:schemeClr w14:val="tx1"/>
                  </w14:solidFill>
                </w14:textFill>
              </w:rPr>
              <w:t>评审</w:t>
            </w:r>
            <w:r>
              <w:rPr>
                <w:rFonts w:hint="eastAsia" w:ascii="仿宋" w:hAnsi="仿宋" w:eastAsia="仿宋" w:cs="仿宋"/>
                <w:color w:val="000000" w:themeColor="text1"/>
                <w:sz w:val="24"/>
                <w14:textFill>
                  <w14:solidFill>
                    <w14:schemeClr w14:val="tx1"/>
                  </w14:solidFill>
                </w14:textFill>
              </w:rPr>
              <w:t xml:space="preserve">基准价／投标报价)×价格权值×100 </w:t>
            </w:r>
          </w:p>
          <w:p w14:paraId="43EC44E3">
            <w:pPr>
              <w:widowControl/>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（计算得分保留小数点后2位）</w:t>
            </w:r>
          </w:p>
        </w:tc>
      </w:tr>
    </w:tbl>
    <w:p w14:paraId="64D059C5">
      <w:pPr>
        <w:spacing w:after="0" w:line="360" w:lineRule="auto"/>
        <w:rPr>
          <w:rFonts w:hint="eastAsia" w:ascii="仿宋" w:hAnsi="仿宋" w:eastAsia="仿宋" w:cs="仿宋"/>
          <w:b/>
          <w:color w:val="auto"/>
          <w:highlight w:val="none"/>
        </w:rPr>
      </w:pPr>
    </w:p>
    <w:p w14:paraId="3E72067E">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A4103F0">
      <w:pPr>
        <w:pStyle w:val="6"/>
        <w:snapToGrid w:val="0"/>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一、</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方法</w:t>
      </w:r>
    </w:p>
    <w:p w14:paraId="50E3BC46">
      <w:pPr>
        <w:snapToGrid w:val="0"/>
        <w:spacing w:after="0" w:line="360" w:lineRule="auto"/>
        <w:ind w:firstLine="472" w:firstLineChars="196"/>
        <w:rPr>
          <w:rFonts w:hint="eastAsia" w:ascii="仿宋" w:hAnsi="仿宋" w:eastAsia="仿宋" w:cs="仿宋"/>
          <w:color w:val="auto"/>
          <w:highlight w:val="none"/>
        </w:rPr>
      </w:pPr>
      <w:r>
        <w:rPr>
          <w:rStyle w:val="48"/>
          <w:rFonts w:hint="eastAsia" w:ascii="仿宋" w:hAnsi="仿宋" w:eastAsia="仿宋" w:cs="仿宋"/>
          <w:color w:val="auto"/>
          <w:highlight w:val="none"/>
        </w:rPr>
        <w:t>1.本项目采用综合评分法。</w:t>
      </w:r>
      <w:r>
        <w:rPr>
          <w:rFonts w:hint="eastAsia" w:ascii="仿宋" w:hAnsi="仿宋" w:eastAsia="仿宋" w:cs="仿宋"/>
          <w:color w:val="auto"/>
          <w:highlight w:val="none"/>
        </w:rPr>
        <w:t>综合评分法，是指</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满足</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全部实质性要求，且按照评审因素的量化指标评审得分最高的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为</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候选人的</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方法。</w:t>
      </w:r>
    </w:p>
    <w:p w14:paraId="65D94427">
      <w:pPr>
        <w:pStyle w:val="6"/>
        <w:snapToGrid w:val="0"/>
        <w:spacing w:before="0" w:line="360" w:lineRule="auto"/>
        <w:rPr>
          <w:rFonts w:hint="eastAsia" w:ascii="仿宋" w:hAnsi="仿宋" w:eastAsia="仿宋" w:cs="仿宋"/>
          <w:color w:val="auto"/>
          <w:sz w:val="24"/>
          <w:highlight w:val="none"/>
        </w:rPr>
      </w:pPr>
      <w:r>
        <w:rPr>
          <w:rFonts w:hint="eastAsia" w:ascii="仿宋" w:hAnsi="仿宋" w:eastAsia="仿宋" w:cs="仿宋"/>
          <w:color w:val="auto"/>
          <w:highlight w:val="none"/>
        </w:rPr>
        <w:t>二、</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标准</w:t>
      </w:r>
    </w:p>
    <w:p w14:paraId="0F14ACBD">
      <w:pPr>
        <w:snapToGrid w:val="0"/>
        <w:spacing w:after="0" w:line="360" w:lineRule="auto"/>
        <w:ind w:firstLine="472" w:firstLineChars="196"/>
        <w:rPr>
          <w:rFonts w:hint="eastAsia" w:ascii="仿宋" w:hAnsi="仿宋" w:eastAsia="仿宋" w:cs="仿宋"/>
          <w:b/>
          <w:color w:val="auto"/>
          <w:highlight w:val="none"/>
        </w:rPr>
      </w:pPr>
      <w:r>
        <w:rPr>
          <w:rStyle w:val="48"/>
          <w:rFonts w:hint="eastAsia" w:ascii="仿宋" w:hAnsi="仿宋" w:eastAsia="仿宋" w:cs="仿宋"/>
          <w:color w:val="auto"/>
          <w:highlight w:val="none"/>
        </w:rPr>
        <w:t xml:space="preserve">2. </w:t>
      </w:r>
      <w:r>
        <w:rPr>
          <w:rStyle w:val="48"/>
          <w:rFonts w:hint="eastAsia" w:ascii="仿宋" w:hAnsi="仿宋" w:eastAsia="仿宋" w:cs="仿宋"/>
          <w:color w:val="auto"/>
          <w:highlight w:val="none"/>
          <w:lang w:eastAsia="zh-CN"/>
        </w:rPr>
        <w:t>评审</w:t>
      </w:r>
      <w:r>
        <w:rPr>
          <w:rStyle w:val="48"/>
          <w:rFonts w:hint="eastAsia" w:ascii="仿宋" w:hAnsi="仿宋" w:eastAsia="仿宋" w:cs="仿宋"/>
          <w:color w:val="auto"/>
          <w:highlight w:val="none"/>
        </w:rPr>
        <w:t>标准：</w:t>
      </w:r>
      <w:r>
        <w:rPr>
          <w:rFonts w:hint="eastAsia" w:ascii="仿宋" w:hAnsi="仿宋" w:eastAsia="仿宋" w:cs="仿宋"/>
          <w:color w:val="auto"/>
          <w:highlight w:val="none"/>
        </w:rPr>
        <w:t>见</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办法前附表。</w:t>
      </w:r>
    </w:p>
    <w:p w14:paraId="710DAE50">
      <w:pPr>
        <w:pStyle w:val="6"/>
        <w:snapToGrid w:val="0"/>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三、</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程序</w:t>
      </w:r>
    </w:p>
    <w:p w14:paraId="5BDF6478">
      <w:pPr>
        <w:snapToGrid w:val="0"/>
        <w:spacing w:after="0" w:line="360" w:lineRule="auto"/>
        <w:ind w:firstLine="472" w:firstLineChars="196"/>
        <w:rPr>
          <w:rFonts w:hint="eastAsia" w:ascii="仿宋" w:hAnsi="仿宋" w:eastAsia="仿宋" w:cs="仿宋"/>
          <w:color w:val="auto"/>
          <w:highlight w:val="none"/>
        </w:rPr>
      </w:pPr>
      <w:r>
        <w:rPr>
          <w:rStyle w:val="48"/>
          <w:rFonts w:hint="eastAsia" w:ascii="仿宋" w:hAnsi="仿宋" w:eastAsia="仿宋" w:cs="仿宋"/>
          <w:color w:val="auto"/>
          <w:highlight w:val="none"/>
        </w:rPr>
        <w:t>3.1符合性审查。</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委员会应当对符合资格的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进行符合性审查，以确定其是否满足</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的实质性要求。不满足</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的实质性要求的，</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479DD22A">
      <w:pPr>
        <w:snapToGrid w:val="0"/>
        <w:spacing w:after="0" w:line="360" w:lineRule="auto"/>
        <w:ind w:firstLine="472" w:firstLineChars="196"/>
        <w:rPr>
          <w:rFonts w:hint="eastAsia" w:ascii="仿宋" w:hAnsi="仿宋" w:eastAsia="仿宋" w:cs="仿宋"/>
          <w:color w:val="auto"/>
          <w:highlight w:val="none"/>
        </w:rPr>
      </w:pPr>
      <w:r>
        <w:rPr>
          <w:rStyle w:val="48"/>
          <w:rFonts w:hint="eastAsia" w:ascii="仿宋" w:hAnsi="仿宋" w:eastAsia="仿宋" w:cs="仿宋"/>
          <w:color w:val="auto"/>
          <w:highlight w:val="none"/>
        </w:rPr>
        <w:t>3.2 比较与评价。</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委员会应当按照</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方法和标准，对符合性审查合格的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进行商务和技术评估，综合比较与评价。</w:t>
      </w:r>
    </w:p>
    <w:p w14:paraId="1A07654D">
      <w:pPr>
        <w:snapToGrid w:val="0"/>
        <w:spacing w:after="0" w:line="360" w:lineRule="auto"/>
        <w:ind w:firstLine="472" w:firstLineChars="196"/>
        <w:rPr>
          <w:rFonts w:hint="eastAsia" w:ascii="仿宋" w:hAnsi="仿宋" w:eastAsia="仿宋" w:cs="仿宋"/>
          <w:color w:val="auto"/>
          <w:highlight w:val="none"/>
        </w:rPr>
      </w:pPr>
      <w:r>
        <w:rPr>
          <w:rStyle w:val="48"/>
          <w:rFonts w:hint="eastAsia" w:ascii="仿宋" w:hAnsi="仿宋" w:eastAsia="仿宋" w:cs="仿宋"/>
          <w:color w:val="auto"/>
          <w:highlight w:val="none"/>
        </w:rPr>
        <w:t>3.3汇总商务技术得分。</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委员会各成员应当独立对每个</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的商务和技术文件进行评价，并汇总商务技术得分情况。</w:t>
      </w:r>
    </w:p>
    <w:p w14:paraId="3A718DCA">
      <w:pPr>
        <w:snapToGrid w:val="0"/>
        <w:spacing w:after="0" w:line="360" w:lineRule="auto"/>
        <w:ind w:firstLine="472" w:firstLineChars="196"/>
        <w:rPr>
          <w:rStyle w:val="48"/>
          <w:rFonts w:hint="eastAsia" w:ascii="仿宋" w:hAnsi="仿宋" w:eastAsia="仿宋" w:cs="仿宋"/>
          <w:color w:val="auto"/>
          <w:highlight w:val="none"/>
        </w:rPr>
      </w:pPr>
      <w:r>
        <w:rPr>
          <w:rStyle w:val="48"/>
          <w:rFonts w:hint="eastAsia" w:ascii="仿宋" w:hAnsi="仿宋" w:eastAsia="仿宋" w:cs="仿宋"/>
          <w:color w:val="auto"/>
          <w:highlight w:val="none"/>
        </w:rPr>
        <w:t>3.4报价评审。</w:t>
      </w:r>
    </w:p>
    <w:p w14:paraId="41AF7795">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3.4.1</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报价出现前后不一致的，按照下列规定修正：</w:t>
      </w:r>
    </w:p>
    <w:p w14:paraId="111B0CB4">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3.4.1.1</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中</w:t>
      </w:r>
      <w:r>
        <w:rPr>
          <w:rFonts w:hint="eastAsia" w:ascii="仿宋" w:hAnsi="仿宋" w:eastAsia="仿宋" w:cs="仿宋"/>
          <w:color w:val="auto"/>
          <w:highlight w:val="none"/>
          <w:lang w:eastAsia="zh-CN"/>
        </w:rPr>
        <w:t>交易一览表</w:t>
      </w:r>
      <w:r>
        <w:rPr>
          <w:rFonts w:hint="eastAsia" w:ascii="仿宋" w:hAnsi="仿宋" w:eastAsia="仿宋" w:cs="仿宋"/>
          <w:color w:val="auto"/>
          <w:highlight w:val="none"/>
        </w:rPr>
        <w:t>(报价表)内容与</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中相应内容不一致的，以</w:t>
      </w:r>
      <w:r>
        <w:rPr>
          <w:rFonts w:hint="eastAsia" w:ascii="仿宋" w:hAnsi="仿宋" w:eastAsia="仿宋" w:cs="仿宋"/>
          <w:color w:val="auto"/>
          <w:highlight w:val="none"/>
          <w:lang w:eastAsia="zh-CN"/>
        </w:rPr>
        <w:t>交易一览表</w:t>
      </w:r>
      <w:r>
        <w:rPr>
          <w:rFonts w:hint="eastAsia" w:ascii="仿宋" w:hAnsi="仿宋" w:eastAsia="仿宋" w:cs="仿宋"/>
          <w:color w:val="auto"/>
          <w:highlight w:val="none"/>
        </w:rPr>
        <w:t>(报价表)为准;</w:t>
      </w:r>
    </w:p>
    <w:p w14:paraId="28362D70">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3.4.1.2大写金额和小写金额不一致的，以大写金额为准;</w:t>
      </w:r>
    </w:p>
    <w:p w14:paraId="44D66B42">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3.4.1.3单价金额小数点或者百分比有明显错位的，以</w:t>
      </w:r>
      <w:r>
        <w:rPr>
          <w:rFonts w:hint="eastAsia" w:ascii="仿宋" w:hAnsi="仿宋" w:eastAsia="仿宋" w:cs="仿宋"/>
          <w:color w:val="auto"/>
          <w:highlight w:val="none"/>
          <w:lang w:eastAsia="zh-CN"/>
        </w:rPr>
        <w:t>交易一览表</w:t>
      </w:r>
      <w:r>
        <w:rPr>
          <w:rFonts w:hint="eastAsia" w:ascii="仿宋" w:hAnsi="仿宋" w:eastAsia="仿宋" w:cs="仿宋"/>
          <w:color w:val="auto"/>
          <w:highlight w:val="none"/>
        </w:rPr>
        <w:t>的总价为准，并修改单价;</w:t>
      </w:r>
    </w:p>
    <w:p w14:paraId="6097A561">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3.4.1.4总价金额与按单价汇总金额不一致的，以单价金额计算结果为准。</w:t>
      </w:r>
    </w:p>
    <w:p w14:paraId="2C37B06E">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3.4.1.5同时出现两种以上不一致的，按照3.4.1规定的顺序修正。修正后的报价经</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确认后产生约束力。</w:t>
      </w:r>
    </w:p>
    <w:p w14:paraId="259C2F24">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出现不是唯一的、有选择性</w:t>
      </w:r>
      <w:r>
        <w:rPr>
          <w:rFonts w:hint="eastAsia" w:ascii="仿宋" w:hAnsi="仿宋" w:eastAsia="仿宋" w:cs="仿宋"/>
          <w:color w:val="auto"/>
          <w:highlight w:val="none"/>
          <w:lang w:eastAsia="zh-CN"/>
        </w:rPr>
        <w:t>响应报价</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3C47C631">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3.4.3</w:t>
      </w:r>
      <w:r>
        <w:rPr>
          <w:rFonts w:hint="eastAsia" w:ascii="仿宋" w:hAnsi="仿宋" w:eastAsia="仿宋" w:cs="仿宋"/>
          <w:color w:val="auto"/>
          <w:highlight w:val="none"/>
          <w:lang w:eastAsia="zh-CN"/>
        </w:rPr>
        <w:t>响应报价</w:t>
      </w:r>
      <w:r>
        <w:rPr>
          <w:rFonts w:hint="eastAsia" w:ascii="仿宋" w:hAnsi="仿宋" w:eastAsia="仿宋" w:cs="仿宋"/>
          <w:color w:val="auto"/>
          <w:highlight w:val="none"/>
        </w:rPr>
        <w:t>超过</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中规定的预算金额或者最高限价的，</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2C43D117">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3.4.4</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委员会认为</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的报价明显低于其他通过符合性审查</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不能证明其报价合理性的，</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委员会应当将其作为</w:t>
      </w:r>
      <w:r>
        <w:rPr>
          <w:rFonts w:hint="eastAsia" w:cs="仿宋"/>
          <w:color w:val="auto"/>
          <w:highlight w:val="none"/>
          <w:lang w:eastAsia="zh-CN"/>
        </w:rPr>
        <w:t>无效响应</w:t>
      </w:r>
      <w:r>
        <w:rPr>
          <w:rFonts w:hint="eastAsia" w:ascii="仿宋" w:hAnsi="仿宋" w:eastAsia="仿宋" w:cs="仿宋"/>
          <w:color w:val="auto"/>
          <w:highlight w:val="none"/>
        </w:rPr>
        <w:t>处理。</w:t>
      </w:r>
    </w:p>
    <w:p w14:paraId="63EBD80D">
      <w:pPr>
        <w:snapToGrid w:val="0"/>
        <w:spacing w:after="0" w:line="360" w:lineRule="auto"/>
        <w:ind w:firstLine="482" w:firstLineChars="200"/>
        <w:rPr>
          <w:rFonts w:hint="eastAsia" w:ascii="仿宋" w:hAnsi="仿宋" w:eastAsia="仿宋" w:cs="仿宋"/>
          <w:color w:val="auto"/>
          <w:highlight w:val="none"/>
        </w:rPr>
      </w:pPr>
      <w:r>
        <w:rPr>
          <w:rStyle w:val="48"/>
          <w:rFonts w:hint="eastAsia" w:ascii="仿宋" w:hAnsi="仿宋" w:eastAsia="仿宋" w:cs="仿宋"/>
          <w:color w:val="auto"/>
          <w:highlight w:val="none"/>
        </w:rPr>
        <w:t>3.5排序与推荐。</w:t>
      </w:r>
      <w:r>
        <w:rPr>
          <w:rFonts w:hint="eastAsia" w:ascii="仿宋" w:hAnsi="仿宋" w:eastAsia="仿宋" w:cs="仿宋"/>
          <w:color w:val="auto"/>
          <w:highlight w:val="none"/>
        </w:rPr>
        <w:t>采用综合评分法的，</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结果按评审后得分由高到低顺序排列。得分相同的，按</w:t>
      </w:r>
      <w:r>
        <w:rPr>
          <w:rFonts w:hint="eastAsia" w:ascii="仿宋" w:hAnsi="仿宋" w:eastAsia="仿宋" w:cs="仿宋"/>
          <w:color w:val="auto"/>
          <w:highlight w:val="none"/>
          <w:lang w:eastAsia="zh-CN"/>
        </w:rPr>
        <w:t>响应报价</w:t>
      </w:r>
      <w:r>
        <w:rPr>
          <w:rFonts w:hint="eastAsia" w:ascii="仿宋" w:hAnsi="仿宋" w:eastAsia="仿宋" w:cs="仿宋"/>
          <w:color w:val="auto"/>
          <w:highlight w:val="none"/>
        </w:rPr>
        <w:t>由低到高顺序排列。得分且</w:t>
      </w:r>
      <w:r>
        <w:rPr>
          <w:rFonts w:hint="eastAsia" w:ascii="仿宋" w:hAnsi="仿宋" w:eastAsia="仿宋" w:cs="仿宋"/>
          <w:color w:val="auto"/>
          <w:highlight w:val="none"/>
          <w:lang w:eastAsia="zh-CN"/>
        </w:rPr>
        <w:t>响应报价</w:t>
      </w:r>
      <w:r>
        <w:rPr>
          <w:rFonts w:hint="eastAsia" w:ascii="仿宋" w:hAnsi="仿宋" w:eastAsia="仿宋" w:cs="仿宋"/>
          <w:color w:val="auto"/>
          <w:highlight w:val="none"/>
        </w:rPr>
        <w:t>相同的并列。</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满足</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全部实质性要求，且按照评审因素的量化指标评审得分最高的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为</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候选人。</w:t>
      </w:r>
    </w:p>
    <w:p w14:paraId="35EE3356">
      <w:pPr>
        <w:snapToGrid w:val="0"/>
        <w:spacing w:after="0" w:line="360" w:lineRule="auto"/>
        <w:ind w:firstLine="472" w:firstLineChars="196"/>
        <w:rPr>
          <w:rFonts w:hint="eastAsia" w:ascii="仿宋" w:hAnsi="仿宋" w:eastAsia="仿宋" w:cs="仿宋"/>
          <w:color w:val="auto"/>
          <w:highlight w:val="none"/>
        </w:rPr>
      </w:pPr>
      <w:r>
        <w:rPr>
          <w:rStyle w:val="48"/>
          <w:rFonts w:hint="eastAsia" w:ascii="仿宋" w:hAnsi="仿宋" w:eastAsia="仿宋" w:cs="仿宋"/>
          <w:color w:val="auto"/>
          <w:highlight w:val="none"/>
        </w:rPr>
        <w:t>3.6编写</w:t>
      </w:r>
      <w:r>
        <w:rPr>
          <w:rStyle w:val="48"/>
          <w:rFonts w:hint="eastAsia" w:ascii="仿宋" w:hAnsi="仿宋" w:eastAsia="仿宋" w:cs="仿宋"/>
          <w:color w:val="auto"/>
          <w:highlight w:val="none"/>
          <w:lang w:eastAsia="zh-CN"/>
        </w:rPr>
        <w:t>评审</w:t>
      </w:r>
      <w:r>
        <w:rPr>
          <w:rStyle w:val="48"/>
          <w:rFonts w:hint="eastAsia" w:ascii="仿宋" w:hAnsi="仿宋" w:eastAsia="仿宋" w:cs="仿宋"/>
          <w:color w:val="auto"/>
          <w:highlight w:val="none"/>
        </w:rPr>
        <w:t>报告。</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委员会根据全体</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成员签字的原始</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记录和</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结果编写</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报告。</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委员会成员对需要共同认定的事项存在争议的，应当按照少数服从多数的原则作出结论。持不同意见的</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委员会成员应当在</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报告上签署不同意见及理由，否则视为同意</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报告。</w:t>
      </w:r>
    </w:p>
    <w:p w14:paraId="3311FEC0">
      <w:pPr>
        <w:pStyle w:val="6"/>
        <w:snapToGrid w:val="0"/>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四、</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中的其他事项</w:t>
      </w:r>
    </w:p>
    <w:p w14:paraId="34CCBE29">
      <w:pPr>
        <w:snapToGrid w:val="0"/>
        <w:spacing w:after="0" w:line="360" w:lineRule="auto"/>
        <w:ind w:firstLine="472" w:firstLineChars="196"/>
        <w:rPr>
          <w:rFonts w:hint="eastAsia" w:ascii="仿宋" w:hAnsi="仿宋" w:eastAsia="仿宋" w:cs="仿宋"/>
          <w:color w:val="auto"/>
          <w:highlight w:val="none"/>
        </w:rPr>
      </w:pPr>
      <w:r>
        <w:rPr>
          <w:rStyle w:val="48"/>
          <w:rFonts w:hint="eastAsia" w:ascii="仿宋" w:hAnsi="仿宋" w:eastAsia="仿宋" w:cs="仿宋"/>
          <w:color w:val="auto"/>
          <w:highlight w:val="none"/>
        </w:rPr>
        <w:t>4.1</w:t>
      </w:r>
      <w:r>
        <w:rPr>
          <w:rStyle w:val="48"/>
          <w:rFonts w:hint="eastAsia" w:ascii="仿宋" w:hAnsi="仿宋" w:eastAsia="仿宋" w:cs="仿宋"/>
          <w:color w:val="auto"/>
          <w:highlight w:val="none"/>
          <w:lang w:eastAsia="zh-CN"/>
        </w:rPr>
        <w:t>响应人</w:t>
      </w:r>
      <w:r>
        <w:rPr>
          <w:rStyle w:val="48"/>
          <w:rFonts w:hint="eastAsia" w:ascii="仿宋" w:hAnsi="仿宋" w:eastAsia="仿宋" w:cs="仿宋"/>
          <w:color w:val="auto"/>
          <w:highlight w:val="none"/>
        </w:rPr>
        <w:t>澄清、说明或者补正。</w:t>
      </w:r>
      <w:r>
        <w:rPr>
          <w:rFonts w:hint="eastAsia" w:ascii="仿宋" w:hAnsi="仿宋" w:eastAsia="仿宋" w:cs="仿宋"/>
          <w:color w:val="auto"/>
          <w:highlight w:val="none"/>
        </w:rPr>
        <w:t>对于</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中含义不明确、同类问题表述不一致或者有明显文字和计算错误的内容需要</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作出必要的澄清、说明或者补正的，</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委员会和</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通过电子交易平台交换数据电文，</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提交使用电子签名的相关数据电文或通过平台上传加盖公章的扫描件。给予</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提交澄清、说明或补正的时间不得少于半小时，</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已经明确表示澄清说明或补正完毕的除外。</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的澄清、说明或者补正不得超出</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的范围或者改变</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的实质性内容。</w:t>
      </w:r>
    </w:p>
    <w:p w14:paraId="1A76245D">
      <w:pPr>
        <w:snapToGrid w:val="0"/>
        <w:spacing w:after="0" w:line="360" w:lineRule="auto"/>
        <w:ind w:firstLine="472" w:firstLineChars="196"/>
        <w:rPr>
          <w:rFonts w:hint="eastAsia" w:ascii="仿宋" w:hAnsi="仿宋" w:eastAsia="仿宋" w:cs="仿宋"/>
          <w:color w:val="auto"/>
          <w:szCs w:val="21"/>
          <w:highlight w:val="none"/>
        </w:rPr>
      </w:pPr>
      <w:r>
        <w:rPr>
          <w:rStyle w:val="48"/>
          <w:rFonts w:hint="eastAsia" w:ascii="仿宋" w:hAnsi="仿宋" w:eastAsia="仿宋" w:cs="仿宋"/>
          <w:color w:val="auto"/>
          <w:highlight w:val="none"/>
        </w:rPr>
        <w:t>4.2</w:t>
      </w:r>
      <w:r>
        <w:rPr>
          <w:rStyle w:val="48"/>
          <w:rFonts w:hint="eastAsia" w:ascii="仿宋" w:hAnsi="仿宋" w:eastAsia="仿宋" w:cs="仿宋"/>
          <w:color w:val="auto"/>
          <w:highlight w:val="none"/>
          <w:lang w:eastAsia="zh-CN"/>
        </w:rPr>
        <w:t>响应无效</w:t>
      </w:r>
      <w:r>
        <w:rPr>
          <w:rStyle w:val="48"/>
          <w:rFonts w:hint="eastAsia" w:ascii="仿宋" w:hAnsi="仿宋" w:eastAsia="仿宋" w:cs="仿宋"/>
          <w:color w:val="auto"/>
          <w:highlight w:val="none"/>
        </w:rPr>
        <w:t>。</w:t>
      </w:r>
      <w:r>
        <w:rPr>
          <w:rFonts w:hint="eastAsia" w:ascii="仿宋" w:hAnsi="仿宋" w:eastAsia="仿宋" w:cs="仿宋"/>
          <w:color w:val="auto"/>
          <w:szCs w:val="21"/>
          <w:highlight w:val="none"/>
        </w:rPr>
        <w:t>有下列情形之一的，</w:t>
      </w:r>
      <w:r>
        <w:rPr>
          <w:rFonts w:hint="eastAsia" w:ascii="仿宋" w:hAnsi="仿宋" w:eastAsia="仿宋" w:cs="仿宋"/>
          <w:color w:val="auto"/>
          <w:szCs w:val="21"/>
          <w:highlight w:val="none"/>
          <w:lang w:eastAsia="zh-CN"/>
        </w:rPr>
        <w:t>响应无效</w:t>
      </w:r>
      <w:r>
        <w:rPr>
          <w:rFonts w:hint="eastAsia" w:ascii="仿宋" w:hAnsi="仿宋" w:eastAsia="仿宋" w:cs="仿宋"/>
          <w:color w:val="auto"/>
          <w:szCs w:val="21"/>
          <w:highlight w:val="none"/>
        </w:rPr>
        <w:t>：</w:t>
      </w:r>
    </w:p>
    <w:p w14:paraId="724D0E51">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不具备</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中规定的资格要求的（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未提供有效的资格文件的，视为</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不具备</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中规定的资格要求）；</w:t>
      </w:r>
    </w:p>
    <w:p w14:paraId="5B382185">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未按照</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要求签署、盖章的；</w:t>
      </w:r>
    </w:p>
    <w:p w14:paraId="3AB6E189">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4.2.3</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含有</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不能接受的附加条件的；</w:t>
      </w:r>
    </w:p>
    <w:p w14:paraId="485C4350">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4.2.4</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中承诺的</w:t>
      </w:r>
      <w:r>
        <w:rPr>
          <w:rFonts w:hint="eastAsia" w:cs="仿宋"/>
          <w:color w:val="auto"/>
          <w:highlight w:val="none"/>
          <w:lang w:eastAsia="zh-CN"/>
        </w:rPr>
        <w:t>响应</w:t>
      </w:r>
      <w:r>
        <w:rPr>
          <w:rFonts w:hint="eastAsia" w:ascii="仿宋" w:hAnsi="仿宋" w:eastAsia="仿宋" w:cs="仿宋"/>
          <w:color w:val="auto"/>
          <w:highlight w:val="none"/>
        </w:rPr>
        <w:t>有效期少于</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中载明的</w:t>
      </w:r>
      <w:r>
        <w:rPr>
          <w:rFonts w:hint="eastAsia" w:cs="仿宋"/>
          <w:color w:val="auto"/>
          <w:highlight w:val="none"/>
          <w:lang w:eastAsia="zh-CN"/>
        </w:rPr>
        <w:t>响应</w:t>
      </w:r>
      <w:r>
        <w:rPr>
          <w:rFonts w:hint="eastAsia" w:ascii="仿宋" w:hAnsi="仿宋" w:eastAsia="仿宋" w:cs="仿宋"/>
          <w:color w:val="auto"/>
          <w:highlight w:val="none"/>
        </w:rPr>
        <w:t>有效期的；</w:t>
      </w:r>
    </w:p>
    <w:p w14:paraId="162FF0FA">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4.2.5</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出现不是唯一的、有选择性</w:t>
      </w:r>
      <w:r>
        <w:rPr>
          <w:rFonts w:hint="eastAsia" w:ascii="仿宋" w:hAnsi="仿宋" w:eastAsia="仿宋" w:cs="仿宋"/>
          <w:color w:val="auto"/>
          <w:highlight w:val="none"/>
          <w:lang w:eastAsia="zh-CN"/>
        </w:rPr>
        <w:t>响应报价</w:t>
      </w:r>
      <w:r>
        <w:rPr>
          <w:rFonts w:hint="eastAsia" w:ascii="仿宋" w:hAnsi="仿宋" w:eastAsia="仿宋" w:cs="仿宋"/>
          <w:color w:val="auto"/>
          <w:highlight w:val="none"/>
        </w:rPr>
        <w:t>的;</w:t>
      </w:r>
    </w:p>
    <w:p w14:paraId="1BCA00E5">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4.2.6</w:t>
      </w:r>
      <w:r>
        <w:rPr>
          <w:rFonts w:hint="eastAsia" w:ascii="仿宋" w:hAnsi="仿宋" w:eastAsia="仿宋" w:cs="仿宋"/>
          <w:color w:val="auto"/>
          <w:highlight w:val="none"/>
          <w:lang w:val="zh-CN"/>
        </w:rPr>
        <w:t>响应报价未按交易文件中规定的价格进行报价的</w:t>
      </w:r>
      <w:r>
        <w:rPr>
          <w:rFonts w:hint="eastAsia" w:ascii="仿宋" w:hAnsi="仿宋" w:eastAsia="仿宋" w:cs="仿宋"/>
          <w:color w:val="auto"/>
          <w:highlight w:val="none"/>
        </w:rPr>
        <w:t>;</w:t>
      </w:r>
    </w:p>
    <w:p w14:paraId="3AD39E68">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4.2.7报价明显低于其他通过符合性审查</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的报价，有可能影响产品质量或者不能诚信履约的，未能按要求提供书面说明或者提交相关证明材料，不能证明其报价合理性的;</w:t>
      </w:r>
    </w:p>
    <w:p w14:paraId="5ACBE951">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4.2.8</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对根据修正原则修正后的报价不确认的；</w:t>
      </w:r>
    </w:p>
    <w:p w14:paraId="7753385C">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4.2.9</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提供虚假材料</w:t>
      </w:r>
      <w:r>
        <w:rPr>
          <w:rFonts w:hint="eastAsia" w:cs="仿宋"/>
          <w:color w:val="auto"/>
          <w:highlight w:val="none"/>
          <w:lang w:eastAsia="zh-CN"/>
        </w:rPr>
        <w:t>响应</w:t>
      </w:r>
      <w:r>
        <w:rPr>
          <w:rFonts w:hint="eastAsia" w:ascii="仿宋" w:hAnsi="仿宋" w:eastAsia="仿宋" w:cs="仿宋"/>
          <w:color w:val="auto"/>
          <w:highlight w:val="none"/>
        </w:rPr>
        <w:t>的；</w:t>
      </w:r>
    </w:p>
    <w:p w14:paraId="19E0AEC9">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4.2.10</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有恶意串通、妨碍其他</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的竞争行为、损害</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或者其他</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的合法权益情形的；</w:t>
      </w:r>
    </w:p>
    <w:p w14:paraId="1AAEF69D">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4.2.11</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仅提交备份</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，未在电子交易平台传输递交</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12F3D766">
      <w:pPr>
        <w:snapToGrid w:val="0"/>
        <w:spacing w:after="0" w:line="360" w:lineRule="auto"/>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4.2.12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不满足</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的其它实质性要求的；</w:t>
      </w:r>
    </w:p>
    <w:p w14:paraId="3D9CB130">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4.2.13法律、法规、规章（适用本市的）及省级以上规范性文件（适用本市的）规定的其他无效情形。</w:t>
      </w:r>
    </w:p>
    <w:p w14:paraId="4482C123">
      <w:pPr>
        <w:pStyle w:val="19"/>
        <w:snapToGrid w:val="0"/>
        <w:spacing w:line="360" w:lineRule="auto"/>
        <w:ind w:firstLine="472" w:firstLineChars="196"/>
        <w:rPr>
          <w:rFonts w:hint="eastAsia" w:ascii="仿宋" w:hAnsi="仿宋" w:eastAsia="仿宋" w:cs="仿宋"/>
          <w:color w:val="auto"/>
          <w:highlight w:val="none"/>
        </w:rPr>
      </w:pPr>
      <w:r>
        <w:rPr>
          <w:rStyle w:val="48"/>
          <w:rFonts w:hint="eastAsia" w:ascii="仿宋" w:hAnsi="仿宋" w:eastAsia="仿宋" w:cs="仿宋"/>
          <w:color w:val="auto"/>
          <w:highlight w:val="none"/>
        </w:rPr>
        <w:t>5.废标。</w:t>
      </w:r>
      <w:r>
        <w:rPr>
          <w:rFonts w:hint="eastAsia" w:ascii="仿宋" w:hAnsi="仿宋" w:eastAsia="仿宋" w:cs="仿宋"/>
          <w:color w:val="auto"/>
          <w:highlight w:val="none"/>
        </w:rPr>
        <w:t>在</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中，出现下列情形之一的，应予废标：</w:t>
      </w:r>
    </w:p>
    <w:p w14:paraId="2F826D3A">
      <w:pPr>
        <w:pStyle w:val="1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或者对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作实质响应的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不足3家的；</w:t>
      </w:r>
    </w:p>
    <w:p w14:paraId="7D6F56E2">
      <w:pPr>
        <w:pStyle w:val="1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公正的违法、违规行为的；</w:t>
      </w:r>
    </w:p>
    <w:p w14:paraId="3FB71FFA">
      <w:pPr>
        <w:pStyle w:val="1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的报价均超过了</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预算，</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不能支付的；</w:t>
      </w:r>
    </w:p>
    <w:p w14:paraId="1F90E6E4">
      <w:pPr>
        <w:pStyle w:val="1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任务取消的。</w:t>
      </w:r>
    </w:p>
    <w:p w14:paraId="2441336A">
      <w:pPr>
        <w:pStyle w:val="1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应当将废标理由通知所有</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w:t>
      </w:r>
    </w:p>
    <w:p w14:paraId="7E864F7B">
      <w:pPr>
        <w:pStyle w:val="19"/>
        <w:snapToGrid w:val="0"/>
        <w:spacing w:line="360" w:lineRule="auto"/>
        <w:ind w:firstLine="472" w:firstLineChars="196"/>
        <w:rPr>
          <w:rFonts w:hint="eastAsia" w:ascii="仿宋" w:hAnsi="仿宋" w:eastAsia="仿宋" w:cs="仿宋"/>
          <w:color w:val="auto"/>
          <w:highlight w:val="none"/>
        </w:rPr>
      </w:pPr>
      <w:r>
        <w:rPr>
          <w:rStyle w:val="48"/>
          <w:rFonts w:hint="eastAsia" w:ascii="仿宋" w:hAnsi="仿宋" w:eastAsia="仿宋" w:cs="仿宋"/>
          <w:color w:val="auto"/>
          <w:highlight w:val="none"/>
        </w:rPr>
        <w:t>6.修改</w:t>
      </w:r>
      <w:r>
        <w:rPr>
          <w:rStyle w:val="48"/>
          <w:rFonts w:hint="eastAsia" w:ascii="仿宋" w:hAnsi="仿宋" w:eastAsia="仿宋" w:cs="仿宋"/>
          <w:color w:val="auto"/>
          <w:highlight w:val="none"/>
          <w:lang w:eastAsia="zh-CN"/>
        </w:rPr>
        <w:t>交易文件</w:t>
      </w:r>
      <w:r>
        <w:rPr>
          <w:rStyle w:val="48"/>
          <w:rFonts w:hint="eastAsia" w:ascii="仿宋" w:hAnsi="仿宋" w:eastAsia="仿宋" w:cs="仿宋"/>
          <w:color w:val="auto"/>
          <w:highlight w:val="none"/>
        </w:rPr>
        <w:t>，重新组织</w:t>
      </w:r>
      <w:r>
        <w:rPr>
          <w:rStyle w:val="48"/>
          <w:rFonts w:hint="eastAsia" w:ascii="仿宋" w:hAnsi="仿宋" w:eastAsia="仿宋" w:cs="仿宋"/>
          <w:color w:val="auto"/>
          <w:highlight w:val="none"/>
          <w:lang w:eastAsia="zh-CN"/>
        </w:rPr>
        <w:t>交易活动</w:t>
      </w:r>
      <w:r>
        <w:rPr>
          <w:rStyle w:val="48"/>
          <w:rFonts w:hint="eastAsia" w:ascii="仿宋" w:hAnsi="仿宋" w:eastAsia="仿宋" w:cs="仿宋"/>
          <w:color w:val="auto"/>
          <w:highlight w:val="none"/>
        </w:rPr>
        <w:t>。</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委员会发现</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存在歧义、重大缺陷导致</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工作无法进行，或者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内容违反国家有关强制性规定的，将停止</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工作，并与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沟通并作书面记录。</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交易机构</w:t>
      </w:r>
      <w:r>
        <w:rPr>
          <w:rFonts w:hint="eastAsia" w:ascii="仿宋" w:hAnsi="仿宋" w:eastAsia="仿宋" w:cs="仿宋"/>
          <w:color w:val="auto"/>
          <w:highlight w:val="none"/>
        </w:rPr>
        <w:t>确认后，将修改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，重新组织</w:t>
      </w:r>
      <w:r>
        <w:rPr>
          <w:rFonts w:hint="eastAsia" w:ascii="仿宋" w:hAnsi="仿宋" w:eastAsia="仿宋" w:cs="仿宋"/>
          <w:color w:val="auto"/>
          <w:highlight w:val="none"/>
          <w:lang w:eastAsia="zh-CN"/>
        </w:rPr>
        <w:t>交易活动</w:t>
      </w:r>
      <w:r>
        <w:rPr>
          <w:rFonts w:hint="eastAsia" w:ascii="仿宋" w:hAnsi="仿宋" w:eastAsia="仿宋" w:cs="仿宋"/>
          <w:color w:val="auto"/>
          <w:highlight w:val="none"/>
        </w:rPr>
        <w:t>。</w:t>
      </w:r>
    </w:p>
    <w:p w14:paraId="383DF092">
      <w:pPr>
        <w:pStyle w:val="19"/>
        <w:snapToGrid w:val="0"/>
        <w:spacing w:line="360" w:lineRule="auto"/>
        <w:ind w:firstLine="472" w:firstLineChars="196"/>
        <w:rPr>
          <w:rFonts w:hint="eastAsia" w:ascii="仿宋" w:hAnsi="仿宋" w:eastAsia="仿宋" w:cs="仿宋"/>
          <w:color w:val="auto"/>
          <w:highlight w:val="none"/>
        </w:rPr>
      </w:pPr>
      <w:r>
        <w:rPr>
          <w:rStyle w:val="48"/>
          <w:rFonts w:hint="eastAsia" w:ascii="仿宋" w:hAnsi="仿宋" w:eastAsia="仿宋" w:cs="仿宋"/>
          <w:color w:val="auto"/>
          <w:highlight w:val="none"/>
        </w:rPr>
        <w:t>7.重新开展</w:t>
      </w:r>
      <w:r>
        <w:rPr>
          <w:rStyle w:val="48"/>
          <w:rFonts w:hint="eastAsia" w:ascii="仿宋" w:hAnsi="仿宋" w:eastAsia="仿宋" w:cs="仿宋"/>
          <w:color w:val="auto"/>
          <w:highlight w:val="none"/>
          <w:lang w:eastAsia="zh-CN"/>
        </w:rPr>
        <w:t>交易</w:t>
      </w:r>
      <w:r>
        <w:rPr>
          <w:rStyle w:val="48"/>
          <w:rFonts w:hint="eastAsia" w:ascii="仿宋" w:hAnsi="仿宋" w:eastAsia="仿宋" w:cs="仿宋"/>
          <w:color w:val="auto"/>
          <w:highlight w:val="none"/>
        </w:rPr>
        <w:t>。</w:t>
      </w:r>
      <w:r>
        <w:rPr>
          <w:rFonts w:hint="eastAsia" w:ascii="仿宋" w:hAnsi="仿宋" w:eastAsia="仿宋" w:cs="仿宋"/>
          <w:color w:val="auto"/>
          <w:highlight w:val="none"/>
        </w:rPr>
        <w:t>有下列违法行为之一，影响或者可能影响</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、成交结果的，依照下列规定处理：</w:t>
      </w:r>
    </w:p>
    <w:p w14:paraId="5EE30F24">
      <w:pPr>
        <w:pStyle w:val="1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人的，终止本次</w:t>
      </w:r>
      <w:r>
        <w:rPr>
          <w:rFonts w:hint="eastAsia" w:ascii="仿宋" w:hAnsi="仿宋" w:eastAsia="仿宋" w:cs="仿宋"/>
          <w:color w:val="auto"/>
          <w:highlight w:val="none"/>
          <w:lang w:eastAsia="zh-CN"/>
        </w:rPr>
        <w:t>交易活动</w:t>
      </w:r>
      <w:r>
        <w:rPr>
          <w:rFonts w:hint="eastAsia" w:ascii="仿宋" w:hAnsi="仿宋" w:eastAsia="仿宋" w:cs="仿宋"/>
          <w:color w:val="auto"/>
          <w:highlight w:val="none"/>
        </w:rPr>
        <w:t>，重新开展</w:t>
      </w:r>
      <w:r>
        <w:rPr>
          <w:rFonts w:hint="eastAsia" w:ascii="仿宋" w:hAnsi="仿宋" w:eastAsia="仿宋" w:cs="仿宋"/>
          <w:color w:val="auto"/>
          <w:highlight w:val="none"/>
          <w:lang w:eastAsia="zh-CN"/>
        </w:rPr>
        <w:t>交易活动</w:t>
      </w:r>
      <w:r>
        <w:rPr>
          <w:rFonts w:hint="eastAsia" w:ascii="仿宋" w:hAnsi="仿宋" w:eastAsia="仿宋" w:cs="仿宋"/>
          <w:color w:val="auto"/>
          <w:highlight w:val="none"/>
        </w:rPr>
        <w:t>。</w:t>
      </w:r>
    </w:p>
    <w:p w14:paraId="6FDE65E8">
      <w:pPr>
        <w:pStyle w:val="1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人但尚未签订</w:t>
      </w:r>
      <w:r>
        <w:rPr>
          <w:rFonts w:hint="eastAsia" w:ascii="仿宋" w:hAnsi="仿宋" w:eastAsia="仿宋" w:cs="仿宋"/>
          <w:color w:val="auto"/>
          <w:highlight w:val="none"/>
          <w:lang w:eastAsia="zh-CN"/>
        </w:rPr>
        <w:t>合同</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或者成交结果无效，从合格的</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或者成交候选人中另行确定</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人；没有合格的</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或者成交候选人的，重新开展</w:t>
      </w:r>
      <w:r>
        <w:rPr>
          <w:rFonts w:hint="eastAsia" w:ascii="仿宋" w:hAnsi="仿宋" w:eastAsia="仿宋" w:cs="仿宋"/>
          <w:color w:val="auto"/>
          <w:highlight w:val="none"/>
          <w:lang w:eastAsia="zh-CN"/>
        </w:rPr>
        <w:t>交易活动</w:t>
      </w:r>
      <w:r>
        <w:rPr>
          <w:rFonts w:hint="eastAsia" w:ascii="仿宋" w:hAnsi="仿宋" w:eastAsia="仿宋" w:cs="仿宋"/>
          <w:color w:val="auto"/>
          <w:highlight w:val="none"/>
        </w:rPr>
        <w:t>。</w:t>
      </w:r>
    </w:p>
    <w:p w14:paraId="2034CC17">
      <w:pPr>
        <w:pStyle w:val="1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w:t>
      </w:r>
      <w:r>
        <w:rPr>
          <w:rFonts w:hint="eastAsia" w:ascii="仿宋" w:hAnsi="仿宋" w:eastAsia="仿宋" w:cs="仿宋"/>
          <w:color w:val="auto"/>
          <w:highlight w:val="none"/>
          <w:lang w:eastAsia="zh-CN"/>
        </w:rPr>
        <w:t>合同</w:t>
      </w:r>
      <w:r>
        <w:rPr>
          <w:rFonts w:hint="eastAsia" w:ascii="仿宋" w:hAnsi="仿宋" w:eastAsia="仿宋" w:cs="仿宋"/>
          <w:color w:val="auto"/>
          <w:highlight w:val="none"/>
        </w:rPr>
        <w:t>已签订但尚未履行的，撤销合同，从合格的</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或者成交候选人中另行确定</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人；没有合格的</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或者成交候选人的，重新开展</w:t>
      </w:r>
      <w:r>
        <w:rPr>
          <w:rFonts w:hint="eastAsia" w:ascii="仿宋" w:hAnsi="仿宋" w:eastAsia="仿宋" w:cs="仿宋"/>
          <w:color w:val="auto"/>
          <w:highlight w:val="none"/>
          <w:lang w:eastAsia="zh-CN"/>
        </w:rPr>
        <w:t>交易活动</w:t>
      </w:r>
      <w:r>
        <w:rPr>
          <w:rFonts w:hint="eastAsia" w:ascii="仿宋" w:hAnsi="仿宋" w:eastAsia="仿宋" w:cs="仿宋"/>
          <w:color w:val="auto"/>
          <w:highlight w:val="none"/>
        </w:rPr>
        <w:t>。</w:t>
      </w:r>
    </w:p>
    <w:p w14:paraId="55E7006A">
      <w:pPr>
        <w:pStyle w:val="1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w:t>
      </w:r>
      <w:r>
        <w:rPr>
          <w:rFonts w:hint="eastAsia" w:ascii="仿宋" w:hAnsi="仿宋" w:eastAsia="仿宋" w:cs="仿宋"/>
          <w:color w:val="auto"/>
          <w:highlight w:val="none"/>
          <w:lang w:eastAsia="zh-CN"/>
        </w:rPr>
        <w:t>合同</w:t>
      </w:r>
      <w:r>
        <w:rPr>
          <w:rFonts w:hint="eastAsia" w:ascii="仿宋" w:hAnsi="仿宋" w:eastAsia="仿宋" w:cs="仿宋"/>
          <w:color w:val="auto"/>
          <w:highlight w:val="none"/>
        </w:rPr>
        <w:t>已经履行，给</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造成损失的，由责任人承担赔偿责任。</w:t>
      </w:r>
    </w:p>
    <w:p w14:paraId="1B4236B9">
      <w:pPr>
        <w:pStyle w:val="19"/>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当事人有其他违反</w:t>
      </w:r>
      <w:r>
        <w:rPr>
          <w:rFonts w:hint="eastAsia" w:ascii="仿宋" w:hAnsi="仿宋" w:eastAsia="仿宋" w:cs="仿宋"/>
          <w:color w:val="auto"/>
          <w:highlight w:val="none"/>
          <w:lang w:val="en-US" w:eastAsia="zh-CN"/>
        </w:rPr>
        <w:t>相关</w:t>
      </w:r>
      <w:r>
        <w:rPr>
          <w:rFonts w:hint="eastAsia" w:ascii="仿宋" w:hAnsi="仿宋" w:eastAsia="仿宋" w:cs="仿宋"/>
          <w:color w:val="auto"/>
          <w:highlight w:val="none"/>
        </w:rPr>
        <w:t>法律法规规定的行为，经改正后仍然影响或者可能影响</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、成交结果或者依法被认定为</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、成交无效的，依照7.1-7.4规定处理。</w:t>
      </w:r>
    </w:p>
    <w:p w14:paraId="7F385638">
      <w:pPr>
        <w:spacing w:line="276" w:lineRule="auto"/>
        <w:rPr>
          <w:rFonts w:hint="eastAsia" w:ascii="仿宋" w:hAnsi="仿宋" w:eastAsia="仿宋" w:cs="仿宋"/>
          <w:b/>
          <w:smallCaps/>
          <w:color w:val="auto"/>
          <w:spacing w:val="5"/>
          <w:sz w:val="36"/>
          <w:szCs w:val="36"/>
          <w:highlight w:val="none"/>
        </w:rPr>
      </w:pPr>
      <w:r>
        <w:rPr>
          <w:rFonts w:hint="eastAsia" w:ascii="仿宋" w:hAnsi="仿宋" w:eastAsia="仿宋" w:cs="仿宋"/>
          <w:color w:val="auto"/>
          <w:highlight w:val="none"/>
        </w:rPr>
        <w:br w:type="page"/>
      </w:r>
    </w:p>
    <w:p w14:paraId="17368285">
      <w:pPr>
        <w:pStyle w:val="5"/>
        <w:rPr>
          <w:rFonts w:hint="eastAsia" w:ascii="仿宋" w:hAnsi="仿宋" w:eastAsia="仿宋" w:cs="仿宋"/>
          <w:color w:val="auto"/>
          <w:kern w:val="2"/>
          <w:highlight w:val="none"/>
        </w:rPr>
      </w:pPr>
      <w:r>
        <w:rPr>
          <w:rFonts w:hint="eastAsia" w:ascii="仿宋" w:hAnsi="仿宋" w:eastAsia="仿宋" w:cs="仿宋"/>
          <w:color w:val="auto"/>
          <w:highlight w:val="none"/>
        </w:rPr>
        <w:t>第五部分 拟签订的合同文本</w:t>
      </w:r>
    </w:p>
    <w:p w14:paraId="62E2214C">
      <w:pPr>
        <w:pStyle w:val="6"/>
        <w:keepNext w:val="0"/>
        <w:keepLines w:val="0"/>
        <w:pageBreakBefore w:val="0"/>
        <w:widowControl/>
        <w:kinsoku/>
        <w:wordWrap/>
        <w:overflowPunct/>
        <w:topLinePunct w:val="0"/>
        <w:autoSpaceDE/>
        <w:autoSpaceDN/>
        <w:bidi w:val="0"/>
        <w:adjustRightInd/>
        <w:snapToGrid/>
        <w:spacing w:before="0" w:line="240" w:lineRule="auto"/>
        <w:textAlignment w:val="auto"/>
        <w:rPr>
          <w:rFonts w:hint="eastAsia" w:ascii="仿宋" w:hAnsi="仿宋" w:eastAsia="仿宋" w:cs="仿宋"/>
          <w:color w:val="auto"/>
          <w:highlight w:val="none"/>
          <w:lang w:val="en-US" w:eastAsia="zh-CN"/>
        </w:rPr>
      </w:pPr>
    </w:p>
    <w:p w14:paraId="22B6CDB3">
      <w:pPr>
        <w:pStyle w:val="6"/>
        <w:keepNext w:val="0"/>
        <w:keepLines w:val="0"/>
        <w:pageBreakBefore w:val="0"/>
        <w:widowControl/>
        <w:kinsoku/>
        <w:wordWrap/>
        <w:overflowPunct/>
        <w:topLinePunct w:val="0"/>
        <w:autoSpaceDE/>
        <w:autoSpaceDN/>
        <w:bidi w:val="0"/>
        <w:adjustRightInd/>
        <w:snapToGrid/>
        <w:spacing w:before="0" w:line="24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类参考范本</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具体以实际签订为准</w:t>
      </w:r>
      <w:r>
        <w:rPr>
          <w:rFonts w:hint="eastAsia" w:ascii="仿宋" w:hAnsi="仿宋" w:eastAsia="仿宋" w:cs="仿宋"/>
          <w:color w:val="auto"/>
          <w:highlight w:val="none"/>
          <w:lang w:eastAsia="zh-CN"/>
        </w:rPr>
        <w:t>）</w:t>
      </w:r>
    </w:p>
    <w:p w14:paraId="7F7AC198">
      <w:pPr>
        <w:pStyle w:val="83"/>
        <w:ind w:firstLine="2843" w:firstLineChars="1180"/>
        <w:rPr>
          <w:rFonts w:hint="eastAsia" w:ascii="仿宋" w:hAnsi="仿宋" w:eastAsia="仿宋" w:cs="仿宋"/>
          <w:b/>
          <w:color w:val="auto"/>
          <w:szCs w:val="24"/>
          <w:highlight w:val="none"/>
        </w:rPr>
      </w:pPr>
    </w:p>
    <w:p w14:paraId="5EA6E8D1">
      <w:pPr>
        <w:pStyle w:val="83"/>
        <w:ind w:firstLine="2843" w:firstLineChars="1180"/>
        <w:rPr>
          <w:rFonts w:hint="eastAsia" w:ascii="仿宋" w:hAnsi="仿宋" w:eastAsia="仿宋" w:cs="仿宋"/>
          <w:b/>
          <w:color w:val="auto"/>
          <w:szCs w:val="24"/>
          <w:highlight w:val="none"/>
        </w:rPr>
      </w:pPr>
    </w:p>
    <w:p w14:paraId="361EE00F">
      <w:pPr>
        <w:pStyle w:val="83"/>
        <w:ind w:firstLine="2843" w:firstLineChars="1180"/>
        <w:rPr>
          <w:rFonts w:hint="eastAsia" w:ascii="仿宋" w:hAnsi="仿宋" w:eastAsia="仿宋" w:cs="仿宋"/>
          <w:b/>
          <w:color w:val="auto"/>
          <w:szCs w:val="24"/>
          <w:highlight w:val="none"/>
        </w:rPr>
      </w:pPr>
    </w:p>
    <w:p w14:paraId="32ED5DEC">
      <w:pPr>
        <w:pStyle w:val="83"/>
        <w:ind w:left="0" w:leftChars="0" w:firstLine="2853" w:firstLineChars="1184"/>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72B27AA0">
      <w:pPr>
        <w:spacing w:before="120" w:line="22" w:lineRule="atLeast"/>
        <w:rPr>
          <w:rFonts w:ascii="仿宋" w:hAnsi="仿宋" w:eastAsia="仿宋" w:cs="仿宋"/>
          <w:color w:val="auto"/>
          <w:sz w:val="24"/>
          <w:highlight w:val="none"/>
        </w:rPr>
      </w:pPr>
    </w:p>
    <w:p w14:paraId="0E288726">
      <w:pPr>
        <w:pStyle w:val="6"/>
        <w:tabs>
          <w:tab w:val="left" w:pos="432"/>
        </w:tabs>
        <w:rPr>
          <w:rFonts w:ascii="仿宋" w:eastAsia="仿宋" w:cs="仿宋"/>
          <w:color w:val="auto"/>
          <w:highlight w:val="none"/>
        </w:rPr>
      </w:pPr>
    </w:p>
    <w:p w14:paraId="67CC5D94">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540C072">
      <w:pPr>
        <w:pStyle w:val="82"/>
        <w:spacing w:before="120" w:line="22" w:lineRule="atLeast"/>
        <w:rPr>
          <w:rFonts w:ascii="仿宋" w:hAnsi="仿宋" w:eastAsia="仿宋" w:cs="仿宋"/>
          <w:color w:val="auto"/>
          <w:szCs w:val="24"/>
          <w:highlight w:val="none"/>
        </w:rPr>
      </w:pPr>
    </w:p>
    <w:p w14:paraId="687BF3A3">
      <w:pPr>
        <w:pStyle w:val="82"/>
        <w:spacing w:before="120" w:line="22" w:lineRule="atLeast"/>
        <w:rPr>
          <w:rFonts w:ascii="仿宋" w:hAnsi="仿宋" w:eastAsia="仿宋" w:cs="仿宋"/>
          <w:color w:val="auto"/>
          <w:szCs w:val="24"/>
          <w:highlight w:val="none"/>
        </w:rPr>
      </w:pPr>
    </w:p>
    <w:p w14:paraId="1DCF241E">
      <w:pPr>
        <w:rPr>
          <w:rFonts w:ascii="仿宋" w:hAnsi="仿宋" w:eastAsia="仿宋" w:cs="仿宋"/>
          <w:color w:val="auto"/>
          <w:sz w:val="24"/>
          <w:highlight w:val="none"/>
        </w:rPr>
      </w:pPr>
    </w:p>
    <w:p w14:paraId="5F8E13E8">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12139FD7">
      <w:pPr>
        <w:spacing w:before="120" w:line="22" w:lineRule="atLeast"/>
        <w:rPr>
          <w:rFonts w:ascii="仿宋" w:hAnsi="仿宋" w:eastAsia="仿宋" w:cs="仿宋"/>
          <w:color w:val="auto"/>
          <w:sz w:val="24"/>
          <w:highlight w:val="none"/>
        </w:rPr>
      </w:pPr>
    </w:p>
    <w:p w14:paraId="352CE662">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70040474">
      <w:pPr>
        <w:spacing w:before="120" w:line="22" w:lineRule="atLeast"/>
        <w:rPr>
          <w:rFonts w:ascii="仿宋" w:hAnsi="仿宋" w:eastAsia="仿宋" w:cs="仿宋"/>
          <w:color w:val="auto"/>
          <w:sz w:val="24"/>
          <w:highlight w:val="none"/>
        </w:rPr>
      </w:pPr>
    </w:p>
    <w:p w14:paraId="4270B91D">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286A9EAE">
      <w:pPr>
        <w:spacing w:before="120" w:line="22" w:lineRule="atLeast"/>
        <w:rPr>
          <w:rFonts w:ascii="仿宋" w:hAnsi="仿宋" w:eastAsia="仿宋" w:cs="仿宋"/>
          <w:color w:val="auto"/>
          <w:sz w:val="24"/>
          <w:highlight w:val="none"/>
        </w:rPr>
      </w:pPr>
    </w:p>
    <w:p w14:paraId="24D1D675">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6B30E4E">
      <w:pPr>
        <w:widowControl/>
        <w:jc w:val="left"/>
        <w:rPr>
          <w:rFonts w:ascii="仿宋" w:hAnsi="仿宋" w:eastAsia="仿宋" w:cs="仿宋"/>
          <w:color w:val="auto"/>
          <w:kern w:val="0"/>
          <w:sz w:val="24"/>
          <w:highlight w:val="none"/>
        </w:rPr>
        <w:sectPr>
          <w:pgSz w:w="11907" w:h="16840"/>
          <w:pgMar w:top="1474" w:right="1814" w:bottom="1474" w:left="1814" w:header="851" w:footer="851" w:gutter="0"/>
          <w:cols w:space="720" w:num="1"/>
        </w:sectPr>
      </w:pPr>
    </w:p>
    <w:p w14:paraId="4A5B5D4B">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4040A8C3">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4C2364F8">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color w:val="auto"/>
          <w:sz w:val="24"/>
          <w:highlight w:val="none"/>
        </w:rPr>
      </w:pPr>
      <w:bookmarkStart w:id="371" w:name="_Toc20421"/>
      <w:bookmarkStart w:id="372" w:name="_Toc19273"/>
      <w:bookmarkStart w:id="373" w:name="_Toc15367"/>
      <w:bookmarkStart w:id="374" w:name="_Toc28855"/>
      <w:bookmarkStart w:id="375" w:name="_Toc22967"/>
      <w:r>
        <w:rPr>
          <w:rFonts w:hint="eastAsia" w:ascii="仿宋" w:hAnsi="仿宋" w:eastAsia="仿宋" w:cs="仿宋"/>
          <w:b/>
          <w:color w:val="auto"/>
          <w:sz w:val="24"/>
          <w:highlight w:val="none"/>
        </w:rPr>
        <w:t>1.1 合同组成部分</w:t>
      </w:r>
      <w:bookmarkEnd w:id="371"/>
      <w:bookmarkEnd w:id="372"/>
      <w:bookmarkEnd w:id="373"/>
      <w:bookmarkEnd w:id="374"/>
      <w:bookmarkEnd w:id="375"/>
    </w:p>
    <w:p w14:paraId="5B0B36CA">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A30AF4">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FA63FF7">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28344FD7">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0F2F924F">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7EF7B822">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09C309E">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bookmarkStart w:id="376" w:name="_Toc18585"/>
      <w:bookmarkStart w:id="377" w:name="_Toc22185"/>
      <w:bookmarkStart w:id="378" w:name="_Toc6311"/>
      <w:bookmarkStart w:id="379" w:name="_Toc2918"/>
      <w:bookmarkStart w:id="380" w:name="_Toc6773"/>
      <w:r>
        <w:rPr>
          <w:rFonts w:hint="eastAsia" w:ascii="仿宋" w:hAnsi="仿宋" w:eastAsia="仿宋" w:cs="仿宋"/>
          <w:b/>
          <w:color w:val="auto"/>
          <w:sz w:val="24"/>
          <w:highlight w:val="none"/>
        </w:rPr>
        <w:t>1.2 标的</w:t>
      </w:r>
      <w:bookmarkEnd w:id="376"/>
      <w:bookmarkEnd w:id="377"/>
      <w:bookmarkEnd w:id="378"/>
      <w:bookmarkEnd w:id="379"/>
      <w:bookmarkEnd w:id="380"/>
    </w:p>
    <w:p w14:paraId="49A9A324">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C425704">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CD37806">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E26B273">
      <w:pPr>
        <w:keepNext w:val="0"/>
        <w:keepLines w:val="0"/>
        <w:pageBreakBefore w:val="0"/>
        <w:kinsoku/>
        <w:wordWrap/>
        <w:overflowPunct/>
        <w:topLinePunct w:val="0"/>
        <w:bidi w:val="0"/>
        <w:spacing w:after="0"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CA4B71E">
      <w:pPr>
        <w:pStyle w:val="84"/>
        <w:keepNext w:val="0"/>
        <w:keepLines w:val="0"/>
        <w:pageBreakBefore w:val="0"/>
        <w:kinsoku/>
        <w:wordWrap/>
        <w:overflowPunct/>
        <w:topLinePunct w:val="0"/>
        <w:bidi w:val="0"/>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61704C6D">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u w:val="single"/>
        </w:rPr>
      </w:pPr>
      <w:bookmarkStart w:id="381" w:name="_Toc5635"/>
      <w:bookmarkStart w:id="382" w:name="_Toc21124"/>
      <w:bookmarkStart w:id="383" w:name="_Toc4929"/>
      <w:bookmarkStart w:id="384" w:name="_Toc13918"/>
      <w:bookmarkStart w:id="385" w:name="_Toc1386"/>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5BA8F0D">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A1D7D03">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375B32C">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381"/>
      <w:bookmarkEnd w:id="382"/>
      <w:bookmarkEnd w:id="383"/>
      <w:bookmarkEnd w:id="384"/>
      <w:bookmarkEnd w:id="385"/>
    </w:p>
    <w:p w14:paraId="506BC61D">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3B293F3E">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0DC4B89B">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3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4286"/>
        <w:gridCol w:w="2552"/>
      </w:tblGrid>
      <w:tr w14:paraId="7598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95" w:type="dxa"/>
            <w:vAlign w:val="center"/>
          </w:tcPr>
          <w:p w14:paraId="5D1DDD0B">
            <w:pPr>
              <w:pStyle w:val="79"/>
              <w:keepNext w:val="0"/>
              <w:keepLines w:val="0"/>
              <w:pageBreakBefore w:val="0"/>
              <w:kinsoku/>
              <w:wordWrap/>
              <w:overflowPunct/>
              <w:topLinePunct w:val="0"/>
              <w:bidi w:val="0"/>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286" w:type="dxa"/>
            <w:vAlign w:val="center"/>
          </w:tcPr>
          <w:p w14:paraId="03A4EB34">
            <w:pPr>
              <w:pStyle w:val="79"/>
              <w:keepNext w:val="0"/>
              <w:keepLines w:val="0"/>
              <w:pageBreakBefore w:val="0"/>
              <w:kinsoku/>
              <w:wordWrap/>
              <w:overflowPunct/>
              <w:topLinePunct w:val="0"/>
              <w:bidi w:val="0"/>
              <w:spacing w:after="0" w:line="360" w:lineRule="auto"/>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1726D21C">
            <w:pPr>
              <w:pStyle w:val="79"/>
              <w:keepNext w:val="0"/>
              <w:keepLines w:val="0"/>
              <w:pageBreakBefore w:val="0"/>
              <w:kinsoku/>
              <w:wordWrap/>
              <w:overflowPunct/>
              <w:topLinePunct w:val="0"/>
              <w:bidi w:val="0"/>
              <w:spacing w:after="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2628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95" w:type="dxa"/>
            <w:vAlign w:val="center"/>
          </w:tcPr>
          <w:p w14:paraId="451B1889">
            <w:pPr>
              <w:pStyle w:val="79"/>
              <w:keepNext w:val="0"/>
              <w:keepLines w:val="0"/>
              <w:pageBreakBefore w:val="0"/>
              <w:kinsoku/>
              <w:wordWrap/>
              <w:overflowPunct/>
              <w:topLinePunct w:val="0"/>
              <w:bidi w:val="0"/>
              <w:spacing w:after="0" w:line="360" w:lineRule="auto"/>
              <w:ind w:firstLine="200"/>
              <w:jc w:val="center"/>
              <w:textAlignment w:val="auto"/>
              <w:rPr>
                <w:rFonts w:hint="eastAsia" w:ascii="仿宋" w:hAnsi="仿宋" w:eastAsia="仿宋" w:cs="仿宋"/>
                <w:color w:val="auto"/>
                <w:sz w:val="24"/>
                <w:szCs w:val="24"/>
                <w:highlight w:val="none"/>
              </w:rPr>
            </w:pPr>
          </w:p>
        </w:tc>
        <w:tc>
          <w:tcPr>
            <w:tcW w:w="4286" w:type="dxa"/>
            <w:vAlign w:val="center"/>
          </w:tcPr>
          <w:p w14:paraId="003A4EC2">
            <w:pPr>
              <w:pStyle w:val="79"/>
              <w:keepNext w:val="0"/>
              <w:keepLines w:val="0"/>
              <w:pageBreakBefore w:val="0"/>
              <w:kinsoku/>
              <w:wordWrap/>
              <w:overflowPunct/>
              <w:topLinePunct w:val="0"/>
              <w:bidi w:val="0"/>
              <w:spacing w:after="0" w:line="360" w:lineRule="auto"/>
              <w:ind w:firstLine="200"/>
              <w:jc w:val="center"/>
              <w:textAlignment w:val="auto"/>
              <w:rPr>
                <w:rFonts w:hint="eastAsia" w:ascii="仿宋" w:hAnsi="仿宋" w:eastAsia="仿宋" w:cs="仿宋"/>
                <w:color w:val="auto"/>
                <w:sz w:val="24"/>
                <w:szCs w:val="24"/>
                <w:highlight w:val="none"/>
              </w:rPr>
            </w:pPr>
          </w:p>
        </w:tc>
        <w:tc>
          <w:tcPr>
            <w:tcW w:w="2552" w:type="dxa"/>
            <w:vAlign w:val="center"/>
          </w:tcPr>
          <w:p w14:paraId="17A5221C">
            <w:pPr>
              <w:pStyle w:val="79"/>
              <w:keepNext w:val="0"/>
              <w:keepLines w:val="0"/>
              <w:pageBreakBefore w:val="0"/>
              <w:kinsoku/>
              <w:wordWrap/>
              <w:overflowPunct/>
              <w:topLinePunct w:val="0"/>
              <w:bidi w:val="0"/>
              <w:spacing w:after="0" w:line="360" w:lineRule="auto"/>
              <w:ind w:firstLine="200"/>
              <w:jc w:val="center"/>
              <w:textAlignment w:val="auto"/>
              <w:rPr>
                <w:rFonts w:hint="eastAsia" w:ascii="仿宋" w:hAnsi="仿宋" w:eastAsia="仿宋" w:cs="仿宋"/>
                <w:color w:val="auto"/>
                <w:sz w:val="24"/>
                <w:szCs w:val="24"/>
                <w:highlight w:val="none"/>
              </w:rPr>
            </w:pPr>
          </w:p>
        </w:tc>
      </w:tr>
      <w:tr w14:paraId="62F4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95" w:type="dxa"/>
            <w:vAlign w:val="center"/>
          </w:tcPr>
          <w:p w14:paraId="65C61295">
            <w:pPr>
              <w:pStyle w:val="79"/>
              <w:keepNext w:val="0"/>
              <w:keepLines w:val="0"/>
              <w:pageBreakBefore w:val="0"/>
              <w:kinsoku/>
              <w:wordWrap/>
              <w:overflowPunct/>
              <w:topLinePunct w:val="0"/>
              <w:bidi w:val="0"/>
              <w:spacing w:after="0" w:line="360" w:lineRule="auto"/>
              <w:ind w:firstLine="200"/>
              <w:jc w:val="center"/>
              <w:textAlignment w:val="auto"/>
              <w:rPr>
                <w:rFonts w:hint="eastAsia" w:ascii="仿宋" w:hAnsi="仿宋" w:eastAsia="仿宋" w:cs="仿宋"/>
                <w:color w:val="auto"/>
                <w:sz w:val="24"/>
                <w:szCs w:val="24"/>
                <w:highlight w:val="none"/>
              </w:rPr>
            </w:pPr>
          </w:p>
        </w:tc>
        <w:tc>
          <w:tcPr>
            <w:tcW w:w="4286" w:type="dxa"/>
            <w:vAlign w:val="center"/>
          </w:tcPr>
          <w:p w14:paraId="524381DB">
            <w:pPr>
              <w:pStyle w:val="79"/>
              <w:keepNext w:val="0"/>
              <w:keepLines w:val="0"/>
              <w:pageBreakBefore w:val="0"/>
              <w:kinsoku/>
              <w:wordWrap/>
              <w:overflowPunct/>
              <w:topLinePunct w:val="0"/>
              <w:bidi w:val="0"/>
              <w:spacing w:after="0" w:line="360" w:lineRule="auto"/>
              <w:ind w:firstLine="200"/>
              <w:jc w:val="center"/>
              <w:textAlignment w:val="auto"/>
              <w:rPr>
                <w:rFonts w:hint="eastAsia" w:ascii="仿宋" w:hAnsi="仿宋" w:eastAsia="仿宋" w:cs="仿宋"/>
                <w:color w:val="auto"/>
                <w:sz w:val="24"/>
                <w:szCs w:val="24"/>
                <w:highlight w:val="none"/>
              </w:rPr>
            </w:pPr>
          </w:p>
        </w:tc>
        <w:tc>
          <w:tcPr>
            <w:tcW w:w="2552" w:type="dxa"/>
            <w:vAlign w:val="center"/>
          </w:tcPr>
          <w:p w14:paraId="0F081D4D">
            <w:pPr>
              <w:pStyle w:val="79"/>
              <w:keepNext w:val="0"/>
              <w:keepLines w:val="0"/>
              <w:pageBreakBefore w:val="0"/>
              <w:kinsoku/>
              <w:wordWrap/>
              <w:overflowPunct/>
              <w:topLinePunct w:val="0"/>
              <w:bidi w:val="0"/>
              <w:spacing w:after="0" w:line="360" w:lineRule="auto"/>
              <w:ind w:firstLine="200"/>
              <w:jc w:val="center"/>
              <w:textAlignment w:val="auto"/>
              <w:rPr>
                <w:rFonts w:hint="eastAsia" w:ascii="仿宋" w:hAnsi="仿宋" w:eastAsia="仿宋" w:cs="仿宋"/>
                <w:color w:val="auto"/>
                <w:sz w:val="24"/>
                <w:szCs w:val="24"/>
                <w:highlight w:val="none"/>
              </w:rPr>
            </w:pPr>
          </w:p>
        </w:tc>
      </w:tr>
      <w:tr w14:paraId="0FC5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95" w:type="dxa"/>
            <w:vAlign w:val="center"/>
          </w:tcPr>
          <w:p w14:paraId="3FD8AB36">
            <w:pPr>
              <w:pStyle w:val="79"/>
              <w:keepNext w:val="0"/>
              <w:keepLines w:val="0"/>
              <w:pageBreakBefore w:val="0"/>
              <w:kinsoku/>
              <w:wordWrap/>
              <w:overflowPunct/>
              <w:topLinePunct w:val="0"/>
              <w:bidi w:val="0"/>
              <w:spacing w:after="0" w:line="360" w:lineRule="auto"/>
              <w:ind w:firstLine="200"/>
              <w:jc w:val="center"/>
              <w:textAlignment w:val="auto"/>
              <w:rPr>
                <w:rFonts w:hint="eastAsia" w:ascii="仿宋" w:hAnsi="仿宋" w:eastAsia="仿宋" w:cs="仿宋"/>
                <w:color w:val="auto"/>
                <w:sz w:val="24"/>
                <w:szCs w:val="24"/>
                <w:highlight w:val="none"/>
              </w:rPr>
            </w:pPr>
          </w:p>
        </w:tc>
        <w:tc>
          <w:tcPr>
            <w:tcW w:w="4286" w:type="dxa"/>
            <w:vAlign w:val="center"/>
          </w:tcPr>
          <w:p w14:paraId="68BA4750">
            <w:pPr>
              <w:pStyle w:val="79"/>
              <w:keepNext w:val="0"/>
              <w:keepLines w:val="0"/>
              <w:pageBreakBefore w:val="0"/>
              <w:kinsoku/>
              <w:wordWrap/>
              <w:overflowPunct/>
              <w:topLinePunct w:val="0"/>
              <w:bidi w:val="0"/>
              <w:spacing w:after="0" w:line="360" w:lineRule="auto"/>
              <w:ind w:firstLine="200"/>
              <w:jc w:val="center"/>
              <w:textAlignment w:val="auto"/>
              <w:rPr>
                <w:rFonts w:hint="eastAsia" w:ascii="仿宋" w:hAnsi="仿宋" w:eastAsia="仿宋" w:cs="仿宋"/>
                <w:color w:val="auto"/>
                <w:sz w:val="24"/>
                <w:szCs w:val="24"/>
                <w:highlight w:val="none"/>
              </w:rPr>
            </w:pPr>
          </w:p>
        </w:tc>
        <w:tc>
          <w:tcPr>
            <w:tcW w:w="2552" w:type="dxa"/>
            <w:vAlign w:val="center"/>
          </w:tcPr>
          <w:p w14:paraId="5E2389E0">
            <w:pPr>
              <w:pStyle w:val="79"/>
              <w:keepNext w:val="0"/>
              <w:keepLines w:val="0"/>
              <w:pageBreakBefore w:val="0"/>
              <w:kinsoku/>
              <w:wordWrap/>
              <w:overflowPunct/>
              <w:topLinePunct w:val="0"/>
              <w:bidi w:val="0"/>
              <w:spacing w:after="0" w:line="360" w:lineRule="auto"/>
              <w:ind w:firstLine="200"/>
              <w:jc w:val="center"/>
              <w:textAlignment w:val="auto"/>
              <w:rPr>
                <w:rFonts w:hint="eastAsia" w:ascii="仿宋" w:hAnsi="仿宋" w:eastAsia="仿宋" w:cs="仿宋"/>
                <w:color w:val="auto"/>
                <w:sz w:val="24"/>
                <w:szCs w:val="24"/>
                <w:highlight w:val="none"/>
              </w:rPr>
            </w:pPr>
          </w:p>
        </w:tc>
      </w:tr>
      <w:tr w14:paraId="5829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95" w:type="dxa"/>
            <w:vAlign w:val="center"/>
          </w:tcPr>
          <w:p w14:paraId="58F2CF2A">
            <w:pPr>
              <w:pStyle w:val="79"/>
              <w:keepNext w:val="0"/>
              <w:keepLines w:val="0"/>
              <w:pageBreakBefore w:val="0"/>
              <w:kinsoku/>
              <w:wordWrap/>
              <w:overflowPunct/>
              <w:topLinePunct w:val="0"/>
              <w:bidi w:val="0"/>
              <w:spacing w:after="0" w:line="360" w:lineRule="auto"/>
              <w:ind w:firstLine="200"/>
              <w:jc w:val="center"/>
              <w:textAlignment w:val="auto"/>
              <w:rPr>
                <w:rFonts w:hint="eastAsia" w:ascii="仿宋" w:hAnsi="仿宋" w:eastAsia="仿宋" w:cs="仿宋"/>
                <w:color w:val="auto"/>
                <w:sz w:val="24"/>
                <w:szCs w:val="24"/>
                <w:highlight w:val="none"/>
              </w:rPr>
            </w:pPr>
          </w:p>
        </w:tc>
        <w:tc>
          <w:tcPr>
            <w:tcW w:w="4286" w:type="dxa"/>
            <w:vAlign w:val="center"/>
          </w:tcPr>
          <w:p w14:paraId="13196689">
            <w:pPr>
              <w:pStyle w:val="79"/>
              <w:keepNext w:val="0"/>
              <w:keepLines w:val="0"/>
              <w:pageBreakBefore w:val="0"/>
              <w:kinsoku/>
              <w:wordWrap/>
              <w:overflowPunct/>
              <w:topLinePunct w:val="0"/>
              <w:bidi w:val="0"/>
              <w:spacing w:after="0" w:line="360" w:lineRule="auto"/>
              <w:ind w:firstLine="200"/>
              <w:jc w:val="center"/>
              <w:textAlignment w:val="auto"/>
              <w:rPr>
                <w:rFonts w:hint="eastAsia" w:ascii="仿宋" w:hAnsi="仿宋" w:eastAsia="仿宋" w:cs="仿宋"/>
                <w:color w:val="auto"/>
                <w:sz w:val="24"/>
                <w:szCs w:val="24"/>
                <w:highlight w:val="none"/>
              </w:rPr>
            </w:pPr>
          </w:p>
        </w:tc>
        <w:tc>
          <w:tcPr>
            <w:tcW w:w="2552" w:type="dxa"/>
            <w:vAlign w:val="center"/>
          </w:tcPr>
          <w:p w14:paraId="0B98E7A7">
            <w:pPr>
              <w:pStyle w:val="79"/>
              <w:keepNext w:val="0"/>
              <w:keepLines w:val="0"/>
              <w:pageBreakBefore w:val="0"/>
              <w:kinsoku/>
              <w:wordWrap/>
              <w:overflowPunct/>
              <w:topLinePunct w:val="0"/>
              <w:bidi w:val="0"/>
              <w:spacing w:after="0" w:line="360" w:lineRule="auto"/>
              <w:ind w:firstLine="200"/>
              <w:jc w:val="center"/>
              <w:textAlignment w:val="auto"/>
              <w:rPr>
                <w:rFonts w:hint="eastAsia" w:ascii="仿宋" w:hAnsi="仿宋" w:eastAsia="仿宋" w:cs="仿宋"/>
                <w:color w:val="auto"/>
                <w:sz w:val="24"/>
                <w:szCs w:val="24"/>
                <w:highlight w:val="none"/>
              </w:rPr>
            </w:pPr>
          </w:p>
        </w:tc>
      </w:tr>
      <w:tr w14:paraId="699B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981" w:type="dxa"/>
            <w:gridSpan w:val="2"/>
            <w:vAlign w:val="center"/>
          </w:tcPr>
          <w:p w14:paraId="317A4306">
            <w:pPr>
              <w:pStyle w:val="79"/>
              <w:keepNext w:val="0"/>
              <w:keepLines w:val="0"/>
              <w:pageBreakBefore w:val="0"/>
              <w:kinsoku/>
              <w:wordWrap/>
              <w:overflowPunct/>
              <w:topLinePunct w:val="0"/>
              <w:bidi w:val="0"/>
              <w:spacing w:after="0" w:line="360" w:lineRule="auto"/>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4F635112">
            <w:pPr>
              <w:pStyle w:val="79"/>
              <w:keepNext w:val="0"/>
              <w:keepLines w:val="0"/>
              <w:pageBreakBefore w:val="0"/>
              <w:kinsoku/>
              <w:wordWrap/>
              <w:overflowPunct/>
              <w:topLinePunct w:val="0"/>
              <w:bidi w:val="0"/>
              <w:spacing w:after="0" w:line="360" w:lineRule="auto"/>
              <w:ind w:firstLine="200"/>
              <w:jc w:val="center"/>
              <w:textAlignment w:val="auto"/>
              <w:rPr>
                <w:rFonts w:hint="eastAsia" w:ascii="仿宋" w:hAnsi="仿宋" w:eastAsia="仿宋" w:cs="仿宋"/>
                <w:color w:val="auto"/>
                <w:sz w:val="24"/>
                <w:szCs w:val="24"/>
                <w:highlight w:val="none"/>
              </w:rPr>
            </w:pPr>
          </w:p>
        </w:tc>
      </w:tr>
    </w:tbl>
    <w:p w14:paraId="5FA34143">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bookmarkStart w:id="386" w:name="_Toc26916"/>
      <w:bookmarkStart w:id="387" w:name="_Toc30506"/>
      <w:bookmarkStart w:id="388" w:name="_Toc3654"/>
      <w:bookmarkStart w:id="389" w:name="_Toc14993"/>
      <w:bookmarkStart w:id="390" w:name="_Toc30158"/>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4921773">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highlight w:val="none"/>
          <w:lang w:val="en-US"/>
        </w:rPr>
      </w:pP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386"/>
    <w:bookmarkEnd w:id="387"/>
    <w:bookmarkEnd w:id="388"/>
    <w:bookmarkEnd w:id="389"/>
    <w:bookmarkEnd w:id="390"/>
    <w:p w14:paraId="51A53787">
      <w:pPr>
        <w:pStyle w:val="84"/>
        <w:keepNext w:val="0"/>
        <w:keepLines w:val="0"/>
        <w:pageBreakBefore w:val="0"/>
        <w:kinsoku/>
        <w:wordWrap/>
        <w:overflowPunct/>
        <w:topLinePunct w:val="0"/>
        <w:bidi w:val="0"/>
        <w:spacing w:before="0" w:beforeAutospacing="0" w:after="0" w:afterAutospacing="0" w:line="360" w:lineRule="auto"/>
        <w:ind w:firstLine="480"/>
        <w:textAlignment w:val="auto"/>
        <w:rPr>
          <w:rFonts w:hint="eastAsia" w:ascii="仿宋" w:hAnsi="仿宋" w:eastAsia="仿宋" w:cs="仿宋"/>
          <w:b/>
          <w:color w:val="auto"/>
          <w:highlight w:val="none"/>
        </w:rPr>
      </w:pPr>
      <w:bookmarkStart w:id="391" w:name="_Toc22618"/>
      <w:bookmarkStart w:id="392" w:name="_Toc1814"/>
      <w:bookmarkStart w:id="393" w:name="_Toc10340"/>
      <w:bookmarkStart w:id="394" w:name="_Toc3625"/>
      <w:bookmarkStart w:id="395" w:name="_Toc31421"/>
      <w:bookmarkStart w:id="396" w:name="_Toc4760"/>
      <w:bookmarkStart w:id="397" w:name="_Toc11108"/>
      <w:bookmarkStart w:id="398" w:name="_Toc8772"/>
      <w:r>
        <w:rPr>
          <w:rFonts w:hint="eastAsia" w:ascii="仿宋" w:hAnsi="仿宋" w:eastAsia="仿宋" w:cs="仿宋"/>
          <w:b/>
          <w:color w:val="auto"/>
          <w:highlight w:val="none"/>
        </w:rPr>
        <w:t>1.4履约保证金</w:t>
      </w:r>
    </w:p>
    <w:p w14:paraId="08621C3C">
      <w:pPr>
        <w:pStyle w:val="84"/>
        <w:keepNext w:val="0"/>
        <w:keepLines w:val="0"/>
        <w:pageBreakBefore w:val="0"/>
        <w:kinsoku/>
        <w:wordWrap/>
        <w:overflowPunct/>
        <w:topLinePunct w:val="0"/>
        <w:bidi w:val="0"/>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7CCCFE91">
      <w:pPr>
        <w:keepNext w:val="0"/>
        <w:keepLines w:val="0"/>
        <w:pageBreakBefore w:val="0"/>
        <w:kinsoku/>
        <w:wordWrap/>
        <w:overflowPunct/>
        <w:topLinePunct w:val="0"/>
        <w:bidi w:val="0"/>
        <w:spacing w:after="0" w:line="360" w:lineRule="auto"/>
        <w:ind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169E2DE">
      <w:pPr>
        <w:keepNext w:val="0"/>
        <w:keepLines w:val="0"/>
        <w:pageBreakBefore w:val="0"/>
        <w:kinsoku/>
        <w:wordWrap/>
        <w:overflowPunct/>
        <w:topLinePunct w:val="0"/>
        <w:bidi w:val="0"/>
        <w:spacing w:after="0" w:line="360" w:lineRule="auto"/>
        <w:ind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EFC7115">
      <w:pPr>
        <w:pStyle w:val="6"/>
        <w:keepNext w:val="0"/>
        <w:keepLines w:val="0"/>
        <w:pageBreakBefore w:val="0"/>
        <w:tabs>
          <w:tab w:val="left" w:pos="0"/>
          <w:tab w:val="left" w:pos="432"/>
        </w:tabs>
        <w:kinsoku/>
        <w:wordWrap/>
        <w:overflowPunct/>
        <w:topLinePunct w:val="0"/>
        <w:bidi w:val="0"/>
        <w:spacing w:before="0" w:after="0" w:line="360" w:lineRule="auto"/>
        <w:ind w:left="0" w:firstLine="480" w:firstLineChars="200"/>
        <w:jc w:val="left"/>
        <w:textAlignment w:val="auto"/>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141464">
      <w:pPr>
        <w:keepNext w:val="0"/>
        <w:keepLines w:val="0"/>
        <w:pageBreakBefore w:val="0"/>
        <w:kinsoku/>
        <w:wordWrap/>
        <w:overflowPunct/>
        <w:topLinePunct w:val="0"/>
        <w:bidi w:val="0"/>
        <w:spacing w:after="0" w:line="360" w:lineRule="auto"/>
        <w:ind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51D26E22">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391"/>
      <w:bookmarkEnd w:id="392"/>
      <w:bookmarkEnd w:id="393"/>
      <w:r>
        <w:rPr>
          <w:rFonts w:hint="eastAsia" w:ascii="仿宋" w:hAnsi="仿宋" w:eastAsia="仿宋" w:cs="仿宋"/>
          <w:b/>
          <w:color w:val="auto"/>
          <w:sz w:val="24"/>
          <w:highlight w:val="none"/>
        </w:rPr>
        <w:t>预付款</w:t>
      </w:r>
    </w:p>
    <w:p w14:paraId="5F901C29">
      <w:pPr>
        <w:pStyle w:val="84"/>
        <w:keepNext w:val="0"/>
        <w:keepLines w:val="0"/>
        <w:pageBreakBefore w:val="0"/>
        <w:kinsoku/>
        <w:wordWrap/>
        <w:overflowPunct/>
        <w:topLinePunct w:val="0"/>
        <w:bidi w:val="0"/>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5652707C">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CBBC13E">
      <w:pPr>
        <w:pStyle w:val="84"/>
        <w:keepNext w:val="0"/>
        <w:keepLines w:val="0"/>
        <w:pageBreakBefore w:val="0"/>
        <w:kinsoku/>
        <w:wordWrap/>
        <w:overflowPunct/>
        <w:topLinePunct w:val="0"/>
        <w:bidi w:val="0"/>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71F2834">
      <w:pPr>
        <w:pStyle w:val="84"/>
        <w:keepNext w:val="0"/>
        <w:keepLines w:val="0"/>
        <w:pageBreakBefore w:val="0"/>
        <w:kinsoku/>
        <w:wordWrap/>
        <w:overflowPunct/>
        <w:topLinePunct w:val="0"/>
        <w:bidi w:val="0"/>
        <w:spacing w:before="0" w:beforeAutospacing="0" w:after="0" w:afterAutospacing="0" w:line="360" w:lineRule="auto"/>
        <w:ind w:firstLine="48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4F6EE6D">
      <w:pPr>
        <w:pStyle w:val="84"/>
        <w:keepNext w:val="0"/>
        <w:keepLines w:val="0"/>
        <w:pageBreakBefore w:val="0"/>
        <w:kinsoku/>
        <w:wordWrap/>
        <w:overflowPunct/>
        <w:topLinePunct w:val="0"/>
        <w:bidi w:val="0"/>
        <w:spacing w:before="0" w:beforeAutospacing="0" w:after="0" w:afterAutospacing="0" w:line="360" w:lineRule="auto"/>
        <w:ind w:firstLine="48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219041F4">
      <w:pPr>
        <w:pStyle w:val="84"/>
        <w:keepNext w:val="0"/>
        <w:keepLines w:val="0"/>
        <w:pageBreakBefore w:val="0"/>
        <w:kinsoku/>
        <w:wordWrap/>
        <w:overflowPunct/>
        <w:topLinePunct w:val="0"/>
        <w:bidi w:val="0"/>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97BD563">
      <w:pPr>
        <w:keepNext w:val="0"/>
        <w:keepLines w:val="0"/>
        <w:pageBreakBefore w:val="0"/>
        <w:kinsoku/>
        <w:wordWrap/>
        <w:overflowPunct/>
        <w:topLinePunct w:val="0"/>
        <w:bidi w:val="0"/>
        <w:spacing w:after="0" w:line="360" w:lineRule="auto"/>
        <w:ind w:firstLine="480" w:firstLineChars="20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AD03363">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394"/>
      <w:bookmarkEnd w:id="395"/>
      <w:bookmarkEnd w:id="396"/>
      <w:bookmarkEnd w:id="397"/>
      <w:bookmarkEnd w:id="398"/>
    </w:p>
    <w:p w14:paraId="56658D45">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5C097AA">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6B9318E">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3F4C5FD">
      <w:pPr>
        <w:keepNext w:val="0"/>
        <w:keepLines w:val="0"/>
        <w:pageBreakBefore w:val="0"/>
        <w:kinsoku/>
        <w:wordWrap/>
        <w:overflowPunct/>
        <w:topLinePunct w:val="0"/>
        <w:bidi w:val="0"/>
        <w:spacing w:after="0" w:line="360" w:lineRule="auto"/>
        <w:ind w:firstLine="480" w:firstLineChars="200"/>
        <w:textAlignment w:val="auto"/>
        <w:outlineLvl w:val="0"/>
        <w:rPr>
          <w:rFonts w:hint="eastAsia" w:ascii="仿宋" w:hAnsi="仿宋" w:eastAsia="仿宋" w:cs="仿宋"/>
          <w:bCs/>
          <w:color w:val="auto"/>
          <w:sz w:val="24"/>
          <w:highlight w:val="none"/>
        </w:rPr>
      </w:pPr>
      <w:bookmarkStart w:id="399" w:name="_Toc5698"/>
      <w:bookmarkStart w:id="400" w:name="_Toc2375"/>
      <w:bookmarkStart w:id="401" w:name="_Toc24662"/>
      <w:bookmarkStart w:id="402" w:name="_Toc3079"/>
      <w:bookmarkStart w:id="403" w:name="_Toc8586"/>
      <w:r>
        <w:rPr>
          <w:rFonts w:hint="eastAsia" w:ascii="仿宋" w:hAnsi="仿宋" w:eastAsia="仿宋" w:cs="仿宋"/>
          <w:bCs/>
          <w:color w:val="auto"/>
          <w:sz w:val="24"/>
          <w:highlight w:val="none"/>
        </w:rPr>
        <w:t>1.7.4若服务涉及货物的，则货物的：</w:t>
      </w:r>
    </w:p>
    <w:p w14:paraId="0B2D387D">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FA18ABF">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65EAC3C">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EFE2403">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399"/>
      <w:bookmarkEnd w:id="400"/>
      <w:bookmarkEnd w:id="401"/>
      <w:bookmarkEnd w:id="402"/>
      <w:bookmarkEnd w:id="403"/>
    </w:p>
    <w:p w14:paraId="4654F543">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0A832E9C">
      <w:pPr>
        <w:pStyle w:val="6"/>
        <w:keepNext w:val="0"/>
        <w:keepLines w:val="0"/>
        <w:pageBreakBefore w:val="0"/>
        <w:tabs>
          <w:tab w:val="left" w:pos="432"/>
        </w:tabs>
        <w:kinsoku/>
        <w:wordWrap/>
        <w:overflowPunct/>
        <w:topLinePunct w:val="0"/>
        <w:bidi w:val="0"/>
        <w:spacing w:before="0" w:after="0" w:line="360" w:lineRule="auto"/>
        <w:ind w:left="0" w:firstLine="480" w:firstLineChars="200"/>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68C49AF">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0A56FB78">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bookmarkStart w:id="404" w:name="_Toc18683"/>
      <w:bookmarkStart w:id="405" w:name="_Toc30329"/>
      <w:bookmarkStart w:id="406" w:name="_Toc26807"/>
      <w:bookmarkStart w:id="407" w:name="_Toc32454"/>
      <w:bookmarkStart w:id="408"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F53286A">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A4E344C">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42FDB45">
      <w:pPr>
        <w:keepNext w:val="0"/>
        <w:keepLines w:val="0"/>
        <w:pageBreakBefore w:val="0"/>
        <w:kinsoku/>
        <w:wordWrap/>
        <w:overflowPunct/>
        <w:topLinePunct w:val="0"/>
        <w:bidi w:val="0"/>
        <w:spacing w:after="0" w:line="360" w:lineRule="auto"/>
        <w:ind w:right="-480" w:rightChars="-20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04"/>
    <w:bookmarkEnd w:id="405"/>
    <w:bookmarkEnd w:id="406"/>
    <w:bookmarkEnd w:id="407"/>
    <w:bookmarkEnd w:id="408"/>
    <w:p w14:paraId="5EFA084B">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bookmarkStart w:id="409" w:name="_Toc16021"/>
      <w:bookmarkStart w:id="410" w:name="_Toc28375"/>
      <w:bookmarkStart w:id="411" w:name="_Toc15583"/>
      <w:r>
        <w:rPr>
          <w:rFonts w:hint="eastAsia" w:ascii="仿宋" w:hAnsi="仿宋" w:eastAsia="仿宋" w:cs="仿宋"/>
          <w:b/>
          <w:color w:val="auto"/>
          <w:sz w:val="24"/>
          <w:highlight w:val="none"/>
        </w:rPr>
        <w:t>1.9合同争议的解决</w:t>
      </w:r>
      <w:bookmarkEnd w:id="409"/>
      <w:bookmarkEnd w:id="410"/>
      <w:bookmarkEnd w:id="411"/>
    </w:p>
    <w:p w14:paraId="17876C0A">
      <w:pPr>
        <w:keepNext w:val="0"/>
        <w:keepLines w:val="0"/>
        <w:pageBreakBefore w:val="0"/>
        <w:kinsoku/>
        <w:wordWrap/>
        <w:overflowPunct/>
        <w:topLinePunct w:val="0"/>
        <w:bidi w:val="0"/>
        <w:spacing w:after="0" w:line="360" w:lineRule="auto"/>
        <w:ind w:right="-480" w:righ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6D9A5DD8">
      <w:pPr>
        <w:keepNext w:val="0"/>
        <w:keepLines w:val="0"/>
        <w:pageBreakBefore w:val="0"/>
        <w:kinsoku/>
        <w:wordWrap/>
        <w:overflowPunct/>
        <w:topLinePunct w:val="0"/>
        <w:bidi w:val="0"/>
        <w:spacing w:after="0" w:line="360" w:lineRule="auto"/>
        <w:ind w:left="-480" w:leftChars="-200" w:right="-480" w:rightChars="-200" w:firstLine="600" w:firstLineChars="2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6D239F07">
      <w:pPr>
        <w:keepNext w:val="0"/>
        <w:keepLines w:val="0"/>
        <w:pageBreakBefore w:val="0"/>
        <w:kinsoku/>
        <w:wordWrap/>
        <w:overflowPunct/>
        <w:topLinePunct w:val="0"/>
        <w:bidi w:val="0"/>
        <w:spacing w:after="0" w:line="360" w:lineRule="auto"/>
        <w:ind w:left="-480" w:leftChars="-200" w:right="-480" w:rightChars="-200" w:firstLine="600" w:firstLineChars="2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79FC3F82">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bookmarkStart w:id="412" w:name="_Toc11173"/>
      <w:bookmarkStart w:id="413" w:name="_Toc7245"/>
      <w:bookmarkStart w:id="414" w:name="_Toc15322"/>
      <w:r>
        <w:rPr>
          <w:rFonts w:hint="eastAsia" w:ascii="仿宋" w:hAnsi="仿宋" w:eastAsia="仿宋" w:cs="仿宋"/>
          <w:b/>
          <w:color w:val="auto"/>
          <w:sz w:val="24"/>
          <w:highlight w:val="none"/>
        </w:rPr>
        <w:t>2.0 合同生效</w:t>
      </w:r>
      <w:bookmarkEnd w:id="412"/>
      <w:bookmarkEnd w:id="413"/>
      <w:bookmarkEnd w:id="414"/>
    </w:p>
    <w:p w14:paraId="36161F86">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623DC094">
      <w:pPr>
        <w:keepNext w:val="0"/>
        <w:keepLines w:val="0"/>
        <w:pageBreakBefore w:val="0"/>
        <w:kinsoku/>
        <w:wordWrap/>
        <w:overflowPunct/>
        <w:topLinePunct w:val="0"/>
        <w:autoSpaceDE w:val="0"/>
        <w:autoSpaceDN w:val="0"/>
        <w:bidi w:val="0"/>
        <w:spacing w:after="0" w:line="360" w:lineRule="auto"/>
        <w:textAlignment w:val="auto"/>
        <w:rPr>
          <w:rFonts w:hint="eastAsia" w:ascii="仿宋" w:hAnsi="仿宋" w:eastAsia="仿宋" w:cs="仿宋"/>
          <w:color w:val="auto"/>
          <w:sz w:val="24"/>
          <w:highlight w:val="none"/>
          <w:lang w:val="zh-CN"/>
        </w:rPr>
      </w:pPr>
    </w:p>
    <w:p w14:paraId="0C2BAE43">
      <w:pPr>
        <w:keepNext w:val="0"/>
        <w:keepLines w:val="0"/>
        <w:pageBreakBefore w:val="0"/>
        <w:kinsoku/>
        <w:wordWrap/>
        <w:overflowPunct/>
        <w:topLinePunct w:val="0"/>
        <w:autoSpaceDE w:val="0"/>
        <w:autoSpaceDN w:val="0"/>
        <w:bidi w:val="0"/>
        <w:spacing w:after="0" w:line="360" w:lineRule="auto"/>
        <w:textAlignment w:val="auto"/>
        <w:rPr>
          <w:rFonts w:hint="eastAsia" w:ascii="仿宋" w:hAnsi="仿宋" w:eastAsia="仿宋" w:cs="仿宋"/>
          <w:b/>
          <w:color w:val="auto"/>
          <w:sz w:val="24"/>
          <w:highlight w:val="none"/>
          <w:lang w:val="zh-CN"/>
        </w:rPr>
      </w:pPr>
    </w:p>
    <w:p w14:paraId="00D796BE">
      <w:pPr>
        <w:keepNext w:val="0"/>
        <w:keepLines w:val="0"/>
        <w:pageBreakBefore w:val="0"/>
        <w:kinsoku/>
        <w:wordWrap/>
        <w:overflowPunct/>
        <w:topLinePunct w:val="0"/>
        <w:autoSpaceDE w:val="0"/>
        <w:autoSpaceDN w:val="0"/>
        <w:bidi w:val="0"/>
        <w:spacing w:after="0"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B781030">
      <w:pPr>
        <w:keepNext w:val="0"/>
        <w:keepLines w:val="0"/>
        <w:pageBreakBefore w:val="0"/>
        <w:kinsoku/>
        <w:wordWrap/>
        <w:overflowPunct/>
        <w:topLinePunct w:val="0"/>
        <w:autoSpaceDE w:val="0"/>
        <w:autoSpaceDN w:val="0"/>
        <w:bidi w:val="0"/>
        <w:spacing w:after="0"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4DA9C90">
      <w:pPr>
        <w:keepNext w:val="0"/>
        <w:keepLines w:val="0"/>
        <w:pageBreakBefore w:val="0"/>
        <w:kinsoku/>
        <w:wordWrap/>
        <w:overflowPunct/>
        <w:topLinePunct w:val="0"/>
        <w:autoSpaceDE w:val="0"/>
        <w:autoSpaceDN w:val="0"/>
        <w:bidi w:val="0"/>
        <w:spacing w:after="0" w:line="360" w:lineRule="auto"/>
        <w:textAlignment w:val="auto"/>
        <w:rPr>
          <w:rFonts w:hint="eastAsia" w:ascii="仿宋" w:hAnsi="仿宋" w:eastAsia="仿宋" w:cs="仿宋"/>
          <w:color w:val="auto"/>
          <w:sz w:val="24"/>
          <w:highlight w:val="none"/>
          <w:lang w:val="zh-CN"/>
        </w:rPr>
      </w:pPr>
    </w:p>
    <w:p w14:paraId="20C3790D">
      <w:pPr>
        <w:keepNext w:val="0"/>
        <w:keepLines w:val="0"/>
        <w:pageBreakBefore w:val="0"/>
        <w:kinsoku/>
        <w:wordWrap/>
        <w:overflowPunct/>
        <w:topLinePunct w:val="0"/>
        <w:autoSpaceDE w:val="0"/>
        <w:autoSpaceDN w:val="0"/>
        <w:bidi w:val="0"/>
        <w:spacing w:after="0"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40F8A20">
      <w:pPr>
        <w:keepNext w:val="0"/>
        <w:keepLines w:val="0"/>
        <w:pageBreakBefore w:val="0"/>
        <w:kinsoku/>
        <w:wordWrap/>
        <w:overflowPunct/>
        <w:topLinePunct w:val="0"/>
        <w:autoSpaceDE w:val="0"/>
        <w:autoSpaceDN w:val="0"/>
        <w:bidi w:val="0"/>
        <w:spacing w:after="0"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51F7C0CB">
      <w:pPr>
        <w:keepNext w:val="0"/>
        <w:keepLines w:val="0"/>
        <w:pageBreakBefore w:val="0"/>
        <w:kinsoku/>
        <w:wordWrap/>
        <w:overflowPunct/>
        <w:topLinePunct w:val="0"/>
        <w:autoSpaceDE w:val="0"/>
        <w:autoSpaceDN w:val="0"/>
        <w:bidi w:val="0"/>
        <w:spacing w:after="0"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3D5B86E4">
      <w:pPr>
        <w:keepNext w:val="0"/>
        <w:keepLines w:val="0"/>
        <w:pageBreakBefore w:val="0"/>
        <w:kinsoku/>
        <w:wordWrap/>
        <w:overflowPunct/>
        <w:topLinePunct w:val="0"/>
        <w:autoSpaceDE w:val="0"/>
        <w:autoSpaceDN w:val="0"/>
        <w:bidi w:val="0"/>
        <w:spacing w:after="0"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5AEFFAB9">
      <w:pPr>
        <w:keepNext w:val="0"/>
        <w:keepLines w:val="0"/>
        <w:pageBreakBefore w:val="0"/>
        <w:kinsoku/>
        <w:wordWrap/>
        <w:overflowPunct/>
        <w:topLinePunct w:val="0"/>
        <w:autoSpaceDE w:val="0"/>
        <w:autoSpaceDN w:val="0"/>
        <w:bidi w:val="0"/>
        <w:spacing w:after="0"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D5D42AD">
      <w:pPr>
        <w:keepNext w:val="0"/>
        <w:keepLines w:val="0"/>
        <w:pageBreakBefore w:val="0"/>
        <w:kinsoku/>
        <w:wordWrap/>
        <w:overflowPunct/>
        <w:topLinePunct w:val="0"/>
        <w:autoSpaceDE w:val="0"/>
        <w:autoSpaceDN w:val="0"/>
        <w:bidi w:val="0"/>
        <w:spacing w:after="0"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D812174">
      <w:pPr>
        <w:keepNext w:val="0"/>
        <w:keepLines w:val="0"/>
        <w:pageBreakBefore w:val="0"/>
        <w:kinsoku/>
        <w:wordWrap/>
        <w:overflowPunct/>
        <w:topLinePunct w:val="0"/>
        <w:autoSpaceDE w:val="0"/>
        <w:autoSpaceDN w:val="0"/>
        <w:bidi w:val="0"/>
        <w:spacing w:after="0"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44BF6C2">
      <w:pPr>
        <w:keepNext w:val="0"/>
        <w:keepLines w:val="0"/>
        <w:pageBreakBefore w:val="0"/>
        <w:kinsoku/>
        <w:wordWrap/>
        <w:overflowPunct/>
        <w:topLinePunct w:val="0"/>
        <w:autoSpaceDE w:val="0"/>
        <w:autoSpaceDN w:val="0"/>
        <w:bidi w:val="0"/>
        <w:spacing w:after="0" w:line="360" w:lineRule="auto"/>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CA75F1A">
      <w:pPr>
        <w:keepNext w:val="0"/>
        <w:keepLines w:val="0"/>
        <w:pageBreakBefore w:val="0"/>
        <w:kinsoku/>
        <w:wordWrap/>
        <w:overflowPunct/>
        <w:topLinePunct w:val="0"/>
        <w:autoSpaceDE w:val="0"/>
        <w:autoSpaceDN w:val="0"/>
        <w:bidi w:val="0"/>
        <w:spacing w:after="0"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439E9DB">
      <w:pPr>
        <w:keepNext w:val="0"/>
        <w:keepLines w:val="0"/>
        <w:pageBreakBefore w:val="0"/>
        <w:kinsoku/>
        <w:wordWrap/>
        <w:overflowPunct/>
        <w:topLinePunct w:val="0"/>
        <w:autoSpaceDE w:val="0"/>
        <w:autoSpaceDN w:val="0"/>
        <w:bidi w:val="0"/>
        <w:spacing w:after="0"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F21B96D">
      <w:pPr>
        <w:keepNext w:val="0"/>
        <w:keepLines w:val="0"/>
        <w:pageBreakBefore w:val="0"/>
        <w:kinsoku/>
        <w:wordWrap/>
        <w:overflowPunct/>
        <w:topLinePunct w:val="0"/>
        <w:autoSpaceDE w:val="0"/>
        <w:autoSpaceDN w:val="0"/>
        <w:bidi w:val="0"/>
        <w:spacing w:after="0"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AA1C69D">
      <w:pPr>
        <w:keepNext w:val="0"/>
        <w:keepLines w:val="0"/>
        <w:pageBreakBefore w:val="0"/>
        <w:kinsoku/>
        <w:wordWrap/>
        <w:overflowPunct/>
        <w:topLinePunct w:val="0"/>
        <w:autoSpaceDE w:val="0"/>
        <w:autoSpaceDN w:val="0"/>
        <w:bidi w:val="0"/>
        <w:spacing w:after="0"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3CE5DE1E">
      <w:pPr>
        <w:keepNext w:val="0"/>
        <w:keepLines w:val="0"/>
        <w:pageBreakBefore w:val="0"/>
        <w:widowControl/>
        <w:kinsoku/>
        <w:wordWrap/>
        <w:overflowPunct/>
        <w:topLinePunct w:val="0"/>
        <w:bidi w:val="0"/>
        <w:spacing w:after="0" w:line="360" w:lineRule="auto"/>
        <w:jc w:val="left"/>
        <w:textAlignment w:val="auto"/>
        <w:rPr>
          <w:rFonts w:hint="eastAsia" w:ascii="仿宋" w:hAnsi="仿宋" w:eastAsia="仿宋" w:cs="仿宋"/>
          <w:b/>
          <w:color w:val="auto"/>
          <w:sz w:val="24"/>
          <w:highlight w:val="none"/>
        </w:rPr>
      </w:pPr>
    </w:p>
    <w:p w14:paraId="63277521">
      <w:pPr>
        <w:keepNext w:val="0"/>
        <w:keepLines w:val="0"/>
        <w:pageBreakBefore w:val="0"/>
        <w:widowControl/>
        <w:kinsoku/>
        <w:wordWrap/>
        <w:overflowPunct/>
        <w:topLinePunct w:val="0"/>
        <w:bidi w:val="0"/>
        <w:adjustRightInd/>
        <w:spacing w:after="0" w:line="360" w:lineRule="auto"/>
        <w:jc w:val="left"/>
        <w:textAlignment w:val="auto"/>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194356A4">
      <w:pPr>
        <w:pStyle w:val="83"/>
        <w:keepNext w:val="0"/>
        <w:keepLines w:val="0"/>
        <w:pageBreakBefore w:val="0"/>
        <w:kinsoku/>
        <w:wordWrap/>
        <w:overflowPunct/>
        <w:topLinePunct w:val="0"/>
        <w:bidi w:val="0"/>
        <w:spacing w:after="0" w:line="360" w:lineRule="auto"/>
        <w:ind w:left="0" w:leftChars="0" w:firstLine="0" w:firstLineChars="0"/>
        <w:jc w:val="center"/>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0C858501">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bookmarkStart w:id="415" w:name="_Toc5228"/>
      <w:bookmarkStart w:id="416" w:name="_Toc25079"/>
      <w:bookmarkStart w:id="417" w:name="_Toc14021"/>
      <w:bookmarkStart w:id="418" w:name="_Toc19680"/>
      <w:bookmarkStart w:id="419" w:name="_Toc31297"/>
      <w:r>
        <w:rPr>
          <w:rFonts w:hint="eastAsia" w:ascii="仿宋" w:hAnsi="仿宋" w:eastAsia="仿宋" w:cs="仿宋"/>
          <w:b/>
          <w:color w:val="auto"/>
          <w:sz w:val="24"/>
          <w:highlight w:val="none"/>
        </w:rPr>
        <w:t>2.1 定义</w:t>
      </w:r>
      <w:bookmarkEnd w:id="415"/>
      <w:bookmarkEnd w:id="416"/>
      <w:bookmarkEnd w:id="417"/>
      <w:bookmarkEnd w:id="418"/>
      <w:bookmarkEnd w:id="419"/>
    </w:p>
    <w:p w14:paraId="5153D8DC">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0F0E5E2D">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3DDB663F">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661D4ABB">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“服务”系指中标或成交供应商根据合同约定应向采购人履行的除货物和工程以外的其他采购对象，包括采购人自身需要的服务和向社会公众提供的公共服务。</w:t>
      </w:r>
    </w:p>
    <w:p w14:paraId="751F4825">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041734F6">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采购的，联合体各方均应为乙方或者与乙方相同地位的合同当事人，并就合同约定的事项对甲方承担连带责任。</w:t>
      </w:r>
    </w:p>
    <w:p w14:paraId="74439892">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25ABE6ED">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bookmarkStart w:id="420" w:name="_Toc31402"/>
      <w:bookmarkStart w:id="421" w:name="_Toc19539"/>
      <w:bookmarkStart w:id="422" w:name="_Toc23289"/>
      <w:bookmarkStart w:id="423" w:name="_Toc16752"/>
      <w:bookmarkStart w:id="424" w:name="_Toc3769"/>
      <w:r>
        <w:rPr>
          <w:rFonts w:hint="eastAsia" w:ascii="仿宋" w:hAnsi="仿宋" w:eastAsia="仿宋" w:cs="仿宋"/>
          <w:b/>
          <w:color w:val="auto"/>
          <w:sz w:val="24"/>
          <w:highlight w:val="none"/>
        </w:rPr>
        <w:t>2.2 技术规范</w:t>
      </w:r>
      <w:bookmarkEnd w:id="420"/>
      <w:bookmarkEnd w:id="421"/>
      <w:bookmarkEnd w:id="422"/>
      <w:bookmarkEnd w:id="423"/>
      <w:bookmarkEnd w:id="424"/>
    </w:p>
    <w:p w14:paraId="0DAA01F0">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759F898">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bookmarkStart w:id="425" w:name="_Toc12412"/>
      <w:bookmarkStart w:id="426" w:name="_Toc27945"/>
      <w:bookmarkStart w:id="427" w:name="_Toc13673"/>
      <w:bookmarkStart w:id="428" w:name="_Toc9161"/>
      <w:bookmarkStart w:id="429" w:name="_Toc4133"/>
      <w:r>
        <w:rPr>
          <w:rFonts w:hint="eastAsia" w:ascii="仿宋" w:hAnsi="仿宋" w:eastAsia="仿宋" w:cs="仿宋"/>
          <w:b/>
          <w:color w:val="auto"/>
          <w:sz w:val="24"/>
          <w:highlight w:val="none"/>
        </w:rPr>
        <w:t>2.3 知识产权</w:t>
      </w:r>
      <w:bookmarkEnd w:id="425"/>
      <w:bookmarkEnd w:id="426"/>
      <w:bookmarkEnd w:id="427"/>
      <w:bookmarkEnd w:id="428"/>
      <w:bookmarkEnd w:id="429"/>
    </w:p>
    <w:p w14:paraId="14AC8B2B">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7D0EAC9">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CD52853">
      <w:pPr>
        <w:keepNext w:val="0"/>
        <w:keepLines w:val="0"/>
        <w:pageBreakBefore w:val="0"/>
        <w:kinsoku/>
        <w:wordWrap/>
        <w:overflowPunct/>
        <w:topLinePunct w:val="0"/>
        <w:bidi w:val="0"/>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F83B7D7">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42D9E57">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6279C062">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bookmarkStart w:id="430" w:name="_Toc31233"/>
      <w:bookmarkStart w:id="431" w:name="_Toc15447"/>
      <w:bookmarkStart w:id="432" w:name="_Toc26555"/>
      <w:bookmarkStart w:id="433" w:name="_Toc32670"/>
      <w:bookmarkStart w:id="434" w:name="_Toc22011"/>
      <w:r>
        <w:rPr>
          <w:rFonts w:hint="eastAsia" w:ascii="仿宋" w:hAnsi="仿宋" w:eastAsia="仿宋" w:cs="仿宋"/>
          <w:b/>
          <w:color w:val="auto"/>
          <w:sz w:val="24"/>
          <w:highlight w:val="none"/>
        </w:rPr>
        <w:t>2.5 结算方式和付款条件</w:t>
      </w:r>
      <w:bookmarkEnd w:id="430"/>
      <w:bookmarkEnd w:id="431"/>
      <w:bookmarkEnd w:id="432"/>
      <w:bookmarkEnd w:id="433"/>
      <w:bookmarkEnd w:id="434"/>
    </w:p>
    <w:p w14:paraId="12675707">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2E41D3A">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bookmarkStart w:id="435" w:name="_Toc13154"/>
      <w:bookmarkStart w:id="436" w:name="_Toc30507"/>
      <w:bookmarkStart w:id="437" w:name="_Toc13467"/>
      <w:bookmarkStart w:id="438" w:name="_Toc18990"/>
      <w:bookmarkStart w:id="439" w:name="_Toc16163"/>
      <w:r>
        <w:rPr>
          <w:rFonts w:hint="eastAsia" w:ascii="仿宋" w:hAnsi="仿宋" w:eastAsia="仿宋" w:cs="仿宋"/>
          <w:b/>
          <w:color w:val="auto"/>
          <w:sz w:val="24"/>
          <w:highlight w:val="none"/>
        </w:rPr>
        <w:t>2.6 技术资料和保密义务</w:t>
      </w:r>
      <w:bookmarkEnd w:id="435"/>
      <w:bookmarkEnd w:id="436"/>
      <w:bookmarkEnd w:id="437"/>
      <w:bookmarkEnd w:id="438"/>
      <w:bookmarkEnd w:id="439"/>
    </w:p>
    <w:p w14:paraId="1591E8BD">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3CC52891">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3CC6050C">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ABBEF20">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bookmarkStart w:id="440" w:name="_Toc19069"/>
      <w:r>
        <w:rPr>
          <w:rFonts w:hint="eastAsia" w:ascii="仿宋" w:hAnsi="仿宋" w:eastAsia="仿宋" w:cs="仿宋"/>
          <w:b/>
          <w:color w:val="auto"/>
          <w:sz w:val="24"/>
          <w:highlight w:val="none"/>
        </w:rPr>
        <w:t>2.7 质量保证</w:t>
      </w:r>
      <w:bookmarkEnd w:id="440"/>
    </w:p>
    <w:p w14:paraId="17D85277">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4F2AA7B7">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51225E89">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bookmarkStart w:id="441" w:name="_Toc22267"/>
      <w:r>
        <w:rPr>
          <w:rFonts w:hint="eastAsia" w:ascii="仿宋" w:hAnsi="仿宋" w:eastAsia="仿宋" w:cs="仿宋"/>
          <w:b/>
          <w:color w:val="auto"/>
          <w:sz w:val="24"/>
          <w:highlight w:val="none"/>
        </w:rPr>
        <w:t>2.8 延迟履行</w:t>
      </w:r>
      <w:bookmarkEnd w:id="441"/>
    </w:p>
    <w:p w14:paraId="3BEF813C">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CF80B02">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bookmarkStart w:id="442" w:name="_Toc10611"/>
      <w:r>
        <w:rPr>
          <w:rFonts w:hint="eastAsia" w:ascii="仿宋" w:hAnsi="仿宋" w:eastAsia="仿宋" w:cs="仿宋"/>
          <w:b/>
          <w:color w:val="auto"/>
          <w:sz w:val="24"/>
          <w:highlight w:val="none"/>
        </w:rPr>
        <w:t>2.9 合同变更</w:t>
      </w:r>
      <w:bookmarkEnd w:id="442"/>
    </w:p>
    <w:p w14:paraId="539F0EA0">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ADE7274">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bookmarkStart w:id="443" w:name="_Toc10663"/>
      <w:bookmarkStart w:id="444" w:name="_Toc23368"/>
      <w:bookmarkStart w:id="445" w:name="_Toc42"/>
      <w:bookmarkStart w:id="446" w:name="_Toc21830"/>
      <w:bookmarkStart w:id="447" w:name="_Toc26689"/>
      <w:r>
        <w:rPr>
          <w:rFonts w:hint="eastAsia" w:ascii="仿宋" w:hAnsi="仿宋" w:eastAsia="仿宋" w:cs="仿宋"/>
          <w:b/>
          <w:color w:val="auto"/>
          <w:sz w:val="24"/>
          <w:highlight w:val="none"/>
        </w:rPr>
        <w:t>2.10 合同转让和分包</w:t>
      </w:r>
      <w:bookmarkEnd w:id="443"/>
      <w:bookmarkEnd w:id="444"/>
      <w:bookmarkEnd w:id="445"/>
      <w:bookmarkEnd w:id="446"/>
      <w:bookmarkEnd w:id="447"/>
    </w:p>
    <w:p w14:paraId="15BB5791">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2ABA6EF">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bookmarkStart w:id="448" w:name="_Toc25571"/>
      <w:bookmarkStart w:id="449" w:name="_Toc32494"/>
      <w:bookmarkStart w:id="450" w:name="_Toc14371"/>
      <w:bookmarkStart w:id="451" w:name="_Toc26633"/>
      <w:bookmarkStart w:id="452" w:name="_Toc4720"/>
      <w:r>
        <w:rPr>
          <w:rFonts w:hint="eastAsia" w:ascii="仿宋" w:hAnsi="仿宋" w:eastAsia="仿宋" w:cs="仿宋"/>
          <w:b/>
          <w:color w:val="auto"/>
          <w:sz w:val="24"/>
          <w:highlight w:val="none"/>
        </w:rPr>
        <w:t>2.11 不可抗力</w:t>
      </w:r>
      <w:bookmarkEnd w:id="448"/>
      <w:bookmarkEnd w:id="449"/>
      <w:bookmarkEnd w:id="450"/>
      <w:bookmarkEnd w:id="451"/>
      <w:bookmarkEnd w:id="452"/>
    </w:p>
    <w:p w14:paraId="13A88032">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2AB006EA">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19A7772D">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551A11A">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17E21D15">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bookmarkStart w:id="453" w:name="_Toc14115"/>
      <w:bookmarkStart w:id="454" w:name="_Toc23854"/>
      <w:bookmarkStart w:id="455" w:name="_Toc24465"/>
      <w:bookmarkStart w:id="456" w:name="_Toc25783"/>
      <w:bookmarkStart w:id="457" w:name="_Toc3638"/>
      <w:r>
        <w:rPr>
          <w:rFonts w:hint="eastAsia" w:ascii="仿宋" w:hAnsi="仿宋" w:eastAsia="仿宋" w:cs="仿宋"/>
          <w:b/>
          <w:color w:val="auto"/>
          <w:sz w:val="24"/>
          <w:highlight w:val="none"/>
        </w:rPr>
        <w:t>2.12 税费</w:t>
      </w:r>
      <w:bookmarkEnd w:id="453"/>
      <w:bookmarkEnd w:id="454"/>
      <w:bookmarkEnd w:id="455"/>
      <w:bookmarkEnd w:id="456"/>
      <w:bookmarkEnd w:id="457"/>
    </w:p>
    <w:p w14:paraId="0C405A39">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3D50152">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bookmarkStart w:id="458" w:name="_Toc7315"/>
      <w:bookmarkStart w:id="459" w:name="_Toc14814"/>
      <w:bookmarkStart w:id="460" w:name="_Toc25525"/>
      <w:bookmarkStart w:id="461" w:name="_Toc26883"/>
      <w:bookmarkStart w:id="462" w:name="_Toc30105"/>
      <w:r>
        <w:rPr>
          <w:rFonts w:hint="eastAsia" w:ascii="仿宋" w:hAnsi="仿宋" w:eastAsia="仿宋" w:cs="仿宋"/>
          <w:b/>
          <w:color w:val="auto"/>
          <w:sz w:val="24"/>
          <w:highlight w:val="none"/>
        </w:rPr>
        <w:t>2.13 乙方破产</w:t>
      </w:r>
      <w:bookmarkEnd w:id="458"/>
      <w:bookmarkEnd w:id="459"/>
      <w:bookmarkEnd w:id="460"/>
      <w:bookmarkEnd w:id="461"/>
      <w:bookmarkEnd w:id="462"/>
    </w:p>
    <w:p w14:paraId="43F6F26A">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E3263DD">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bookmarkStart w:id="463" w:name="_Toc2016"/>
      <w:bookmarkStart w:id="464" w:name="_Toc1123"/>
      <w:bookmarkStart w:id="465" w:name="_Toc23323"/>
      <w:r>
        <w:rPr>
          <w:rFonts w:hint="eastAsia" w:ascii="仿宋" w:hAnsi="仿宋" w:eastAsia="仿宋" w:cs="仿宋"/>
          <w:b/>
          <w:color w:val="auto"/>
          <w:sz w:val="24"/>
          <w:highlight w:val="none"/>
        </w:rPr>
        <w:t>2.14 合同中止、终止</w:t>
      </w:r>
      <w:bookmarkEnd w:id="463"/>
      <w:bookmarkEnd w:id="464"/>
      <w:bookmarkEnd w:id="465"/>
    </w:p>
    <w:p w14:paraId="28F3DB75">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6FF231EB">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6168DCE">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bookmarkStart w:id="466" w:name="_Toc17363"/>
      <w:bookmarkStart w:id="467" w:name="_Toc14525"/>
      <w:bookmarkStart w:id="468" w:name="_Toc1969"/>
      <w:r>
        <w:rPr>
          <w:rFonts w:hint="eastAsia" w:ascii="仿宋" w:hAnsi="仿宋" w:eastAsia="仿宋" w:cs="仿宋"/>
          <w:b/>
          <w:color w:val="auto"/>
          <w:sz w:val="24"/>
          <w:highlight w:val="none"/>
        </w:rPr>
        <w:t>2.15 检验和验收</w:t>
      </w:r>
      <w:bookmarkEnd w:id="466"/>
      <w:bookmarkEnd w:id="467"/>
      <w:bookmarkEnd w:id="468"/>
    </w:p>
    <w:p w14:paraId="56DE74CC">
      <w:pPr>
        <w:keepNext w:val="0"/>
        <w:keepLines w:val="0"/>
        <w:pageBreakBefore w:val="0"/>
        <w:tabs>
          <w:tab w:val="left" w:pos="360"/>
          <w:tab w:val="left" w:pos="540"/>
          <w:tab w:val="left" w:pos="1080"/>
        </w:tabs>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614A75CE">
      <w:pPr>
        <w:keepNext w:val="0"/>
        <w:keepLines w:val="0"/>
        <w:pageBreakBefore w:val="0"/>
        <w:tabs>
          <w:tab w:val="left" w:pos="360"/>
          <w:tab w:val="left" w:pos="540"/>
          <w:tab w:val="left" w:pos="1080"/>
        </w:tabs>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F281EA0">
      <w:pPr>
        <w:keepNext w:val="0"/>
        <w:keepLines w:val="0"/>
        <w:pageBreakBefore w:val="0"/>
        <w:tabs>
          <w:tab w:val="left" w:pos="360"/>
          <w:tab w:val="left" w:pos="540"/>
          <w:tab w:val="left" w:pos="1080"/>
        </w:tabs>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38E4C507">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bookmarkStart w:id="469" w:name="_Toc9808"/>
      <w:bookmarkStart w:id="470" w:name="_Toc25198"/>
      <w:bookmarkStart w:id="471" w:name="_Toc12666"/>
      <w:bookmarkStart w:id="472" w:name="_Toc31892"/>
      <w:bookmarkStart w:id="473" w:name="_Toc2308"/>
      <w:r>
        <w:rPr>
          <w:rFonts w:hint="eastAsia" w:ascii="仿宋" w:hAnsi="仿宋" w:eastAsia="仿宋" w:cs="仿宋"/>
          <w:b/>
          <w:color w:val="auto"/>
          <w:sz w:val="24"/>
          <w:highlight w:val="none"/>
        </w:rPr>
        <w:t>2.16 通知和送达</w:t>
      </w:r>
      <w:bookmarkEnd w:id="469"/>
      <w:bookmarkEnd w:id="470"/>
      <w:bookmarkEnd w:id="471"/>
      <w:bookmarkEnd w:id="472"/>
      <w:bookmarkEnd w:id="473"/>
    </w:p>
    <w:p w14:paraId="3FA8AE82">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bookmarkStart w:id="474" w:name="_Toc27674"/>
      <w:bookmarkStart w:id="475"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0AF6C27E">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4"/>
      <w:bookmarkEnd w:id="475"/>
    </w:p>
    <w:p w14:paraId="6110FFE3">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bookmarkStart w:id="476" w:name="_Toc20808"/>
      <w:bookmarkStart w:id="477" w:name="_Toc28906"/>
      <w:bookmarkStart w:id="478" w:name="_Toc27644"/>
      <w:bookmarkStart w:id="479" w:name="_Toc12254"/>
      <w:bookmarkStart w:id="480" w:name="_Toc5063"/>
      <w:r>
        <w:rPr>
          <w:rFonts w:hint="eastAsia" w:ascii="仿宋" w:hAnsi="仿宋" w:eastAsia="仿宋" w:cs="仿宋"/>
          <w:b/>
          <w:color w:val="auto"/>
          <w:sz w:val="24"/>
          <w:highlight w:val="none"/>
        </w:rPr>
        <w:t>2.17 合同使用的文字和适用的法律</w:t>
      </w:r>
      <w:bookmarkEnd w:id="476"/>
      <w:bookmarkEnd w:id="477"/>
      <w:bookmarkEnd w:id="478"/>
      <w:bookmarkEnd w:id="479"/>
      <w:bookmarkEnd w:id="480"/>
    </w:p>
    <w:p w14:paraId="44301733">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0C00FC52">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46343913">
      <w:pPr>
        <w:keepNext w:val="0"/>
        <w:keepLines w:val="0"/>
        <w:pageBreakBefore w:val="0"/>
        <w:kinsoku/>
        <w:wordWrap/>
        <w:overflowPunct/>
        <w:topLinePunct w:val="0"/>
        <w:bidi w:val="0"/>
        <w:spacing w:after="0" w:line="360" w:lineRule="auto"/>
        <w:ind w:firstLine="482" w:firstLineChars="200"/>
        <w:textAlignment w:val="auto"/>
        <w:outlineLvl w:val="0"/>
        <w:rPr>
          <w:rFonts w:hint="eastAsia" w:ascii="仿宋" w:hAnsi="仿宋" w:eastAsia="仿宋" w:cs="仿宋"/>
          <w:b/>
          <w:color w:val="auto"/>
          <w:sz w:val="24"/>
          <w:highlight w:val="none"/>
        </w:rPr>
      </w:pPr>
      <w:bookmarkStart w:id="481" w:name="_Toc4355"/>
      <w:bookmarkStart w:id="482" w:name="_Toc18540"/>
      <w:bookmarkStart w:id="483" w:name="_Toc30599"/>
      <w:r>
        <w:rPr>
          <w:rFonts w:hint="eastAsia" w:ascii="仿宋" w:hAnsi="仿宋" w:eastAsia="仿宋" w:cs="仿宋"/>
          <w:b/>
          <w:color w:val="auto"/>
          <w:sz w:val="24"/>
          <w:highlight w:val="none"/>
        </w:rPr>
        <w:t>2.18 计量单位</w:t>
      </w:r>
      <w:bookmarkEnd w:id="481"/>
      <w:bookmarkEnd w:id="482"/>
      <w:bookmarkEnd w:id="483"/>
    </w:p>
    <w:p w14:paraId="5104C7E0">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2FA5599">
      <w:pPr>
        <w:keepNext w:val="0"/>
        <w:keepLines w:val="0"/>
        <w:pageBreakBefore w:val="0"/>
        <w:kinsoku/>
        <w:wordWrap/>
        <w:overflowPunct/>
        <w:topLinePunct w:val="0"/>
        <w:bidi w:val="0"/>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6403191B">
      <w:pPr>
        <w:keepNext w:val="0"/>
        <w:keepLines w:val="0"/>
        <w:pageBreakBefore w:val="0"/>
        <w:kinsoku/>
        <w:wordWrap/>
        <w:overflowPunct/>
        <w:topLinePunct w:val="0"/>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4916598C">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484" w:name="_Toc331685784"/>
      <w:r>
        <w:rPr>
          <w:rFonts w:hint="eastAsia" w:ascii="仿宋" w:hAnsi="仿宋" w:eastAsia="仿宋" w:cs="仿宋"/>
          <w:b/>
          <w:color w:val="auto"/>
          <w:sz w:val="24"/>
          <w:highlight w:val="none"/>
        </w:rPr>
        <w:t xml:space="preserve"> </w:t>
      </w:r>
      <w:bookmarkEnd w:id="484"/>
      <w:r>
        <w:rPr>
          <w:rFonts w:hint="eastAsia" w:ascii="仿宋" w:hAnsi="仿宋" w:eastAsia="仿宋" w:cs="仿宋"/>
          <w:b/>
          <w:color w:val="auto"/>
          <w:sz w:val="24"/>
          <w:highlight w:val="none"/>
        </w:rPr>
        <w:t>第三部分  合同专用条款</w:t>
      </w:r>
    </w:p>
    <w:p w14:paraId="5FEBC18F">
      <w:pPr>
        <w:keepNext w:val="0"/>
        <w:keepLines w:val="0"/>
        <w:pageBreakBefore w:val="0"/>
        <w:kinsoku/>
        <w:wordWrap/>
        <w:overflowPunct/>
        <w:topLinePunct w:val="0"/>
        <w:bidi w:val="0"/>
        <w:spacing w:after="0"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3"/>
        <w:tblW w:w="840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7437"/>
      </w:tblGrid>
      <w:tr w14:paraId="1E69D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vAlign w:val="center"/>
          </w:tcPr>
          <w:p w14:paraId="306065F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7437" w:type="dxa"/>
            <w:vAlign w:val="center"/>
          </w:tcPr>
          <w:p w14:paraId="6347CFC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672F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vAlign w:val="center"/>
          </w:tcPr>
          <w:p w14:paraId="0F976132">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7437" w:type="dxa"/>
            <w:vAlign w:val="center"/>
          </w:tcPr>
          <w:p w14:paraId="12E97201">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p>
        </w:tc>
      </w:tr>
      <w:tr w14:paraId="0364F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vAlign w:val="center"/>
          </w:tcPr>
          <w:p w14:paraId="096B6ED3">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7437" w:type="dxa"/>
            <w:vAlign w:val="center"/>
          </w:tcPr>
          <w:p w14:paraId="5B909DC1">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p>
        </w:tc>
      </w:tr>
      <w:tr w14:paraId="1ECAF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vAlign w:val="center"/>
          </w:tcPr>
          <w:p w14:paraId="7D3038BD">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7437" w:type="dxa"/>
            <w:vAlign w:val="center"/>
          </w:tcPr>
          <w:p w14:paraId="60C1CEC7">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p>
        </w:tc>
      </w:tr>
      <w:tr w14:paraId="50D45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vAlign w:val="center"/>
          </w:tcPr>
          <w:p w14:paraId="5E15164A">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7437" w:type="dxa"/>
            <w:vAlign w:val="center"/>
          </w:tcPr>
          <w:p w14:paraId="75DD389F">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p>
        </w:tc>
      </w:tr>
      <w:tr w14:paraId="6016F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vAlign w:val="center"/>
          </w:tcPr>
          <w:p w14:paraId="3B6FF45E">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7437" w:type="dxa"/>
            <w:vAlign w:val="center"/>
          </w:tcPr>
          <w:p w14:paraId="40807706">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p>
        </w:tc>
      </w:tr>
      <w:tr w14:paraId="78333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vAlign w:val="center"/>
          </w:tcPr>
          <w:p w14:paraId="3F3B0103">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7437" w:type="dxa"/>
            <w:vAlign w:val="center"/>
          </w:tcPr>
          <w:p w14:paraId="3C81C9E9">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p>
        </w:tc>
      </w:tr>
      <w:tr w14:paraId="1FBA8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vAlign w:val="center"/>
          </w:tcPr>
          <w:p w14:paraId="4D430FEE">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7437" w:type="dxa"/>
            <w:vAlign w:val="center"/>
          </w:tcPr>
          <w:p w14:paraId="5CB39DBC">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p>
        </w:tc>
      </w:tr>
      <w:tr w14:paraId="4D086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vAlign w:val="center"/>
          </w:tcPr>
          <w:p w14:paraId="42C08744">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7437" w:type="dxa"/>
            <w:vAlign w:val="center"/>
          </w:tcPr>
          <w:p w14:paraId="4322BBEF">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p>
        </w:tc>
      </w:tr>
      <w:tr w14:paraId="3EC46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vAlign w:val="center"/>
          </w:tcPr>
          <w:p w14:paraId="2291E823">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7437" w:type="dxa"/>
            <w:vAlign w:val="center"/>
          </w:tcPr>
          <w:p w14:paraId="6515AB6F">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p>
        </w:tc>
      </w:tr>
      <w:tr w14:paraId="60770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vAlign w:val="center"/>
          </w:tcPr>
          <w:p w14:paraId="785C018D">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7437" w:type="dxa"/>
            <w:vAlign w:val="center"/>
          </w:tcPr>
          <w:p w14:paraId="3CAA4155">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p>
        </w:tc>
      </w:tr>
      <w:tr w14:paraId="49707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vAlign w:val="center"/>
          </w:tcPr>
          <w:p w14:paraId="5FB49359">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7437" w:type="dxa"/>
            <w:vAlign w:val="center"/>
          </w:tcPr>
          <w:p w14:paraId="19D021E1">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p>
        </w:tc>
      </w:tr>
      <w:tr w14:paraId="0641C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vAlign w:val="center"/>
          </w:tcPr>
          <w:p w14:paraId="6237830C">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7437" w:type="dxa"/>
            <w:vAlign w:val="center"/>
          </w:tcPr>
          <w:p w14:paraId="5C10D017">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p>
        </w:tc>
      </w:tr>
      <w:tr w14:paraId="441E5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vAlign w:val="center"/>
          </w:tcPr>
          <w:p w14:paraId="0ABE9756">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7437" w:type="dxa"/>
            <w:vAlign w:val="center"/>
          </w:tcPr>
          <w:p w14:paraId="01437379">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p>
        </w:tc>
      </w:tr>
      <w:tr w14:paraId="3FD22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vAlign w:val="center"/>
          </w:tcPr>
          <w:p w14:paraId="2B03BDD0">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7437" w:type="dxa"/>
            <w:vAlign w:val="center"/>
          </w:tcPr>
          <w:p w14:paraId="76333D9D">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p>
        </w:tc>
      </w:tr>
      <w:tr w14:paraId="6253B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vAlign w:val="center"/>
          </w:tcPr>
          <w:p w14:paraId="5D005BB9">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7437" w:type="dxa"/>
            <w:vAlign w:val="center"/>
          </w:tcPr>
          <w:p w14:paraId="4A025674">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p>
        </w:tc>
      </w:tr>
      <w:tr w14:paraId="47A09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vAlign w:val="center"/>
          </w:tcPr>
          <w:p w14:paraId="1616D585">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7437" w:type="dxa"/>
            <w:vAlign w:val="center"/>
          </w:tcPr>
          <w:p w14:paraId="104E4B68">
            <w:pPr>
              <w:keepNext w:val="0"/>
              <w:keepLines w:val="0"/>
              <w:pageBreakBefore w:val="0"/>
              <w:widowControl/>
              <w:kinsoku/>
              <w:wordWrap/>
              <w:overflowPunct/>
              <w:topLinePunct w:val="0"/>
              <w:autoSpaceDE/>
              <w:autoSpaceDN/>
              <w:bidi w:val="0"/>
              <w:adjustRightInd/>
              <w:snapToGrid/>
              <w:spacing w:after="0" w:line="240" w:lineRule="auto"/>
              <w:ind w:left="-480" w:leftChars="-200" w:right="-480" w:rightChars="-200" w:firstLine="480" w:firstLineChars="200"/>
              <w:textAlignment w:val="auto"/>
              <w:rPr>
                <w:rFonts w:ascii="仿宋" w:hAnsi="仿宋" w:eastAsia="仿宋" w:cs="仿宋"/>
                <w:color w:val="auto"/>
                <w:sz w:val="24"/>
                <w:highlight w:val="none"/>
              </w:rPr>
            </w:pPr>
          </w:p>
        </w:tc>
      </w:tr>
      <w:tr w14:paraId="22328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vAlign w:val="center"/>
          </w:tcPr>
          <w:p w14:paraId="7727E5A6">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7437" w:type="dxa"/>
            <w:vAlign w:val="center"/>
          </w:tcPr>
          <w:p w14:paraId="7F53751C">
            <w:pPr>
              <w:keepNext w:val="0"/>
              <w:keepLines w:val="0"/>
              <w:pageBreakBefore w:val="0"/>
              <w:widowControl/>
              <w:kinsoku/>
              <w:wordWrap/>
              <w:overflowPunct/>
              <w:topLinePunct w:val="0"/>
              <w:autoSpaceDE/>
              <w:autoSpaceDN/>
              <w:bidi w:val="0"/>
              <w:adjustRightInd/>
              <w:snapToGrid/>
              <w:spacing w:after="0" w:line="240" w:lineRule="auto"/>
              <w:ind w:left="-480" w:leftChars="-200" w:right="-480" w:rightChars="-200" w:firstLine="480" w:firstLineChars="200"/>
              <w:textAlignment w:val="auto"/>
              <w:rPr>
                <w:rFonts w:ascii="仿宋" w:hAnsi="仿宋" w:eastAsia="仿宋" w:cs="仿宋"/>
                <w:color w:val="auto"/>
                <w:sz w:val="24"/>
                <w:highlight w:val="none"/>
              </w:rPr>
            </w:pPr>
          </w:p>
        </w:tc>
      </w:tr>
      <w:tr w14:paraId="2D812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vAlign w:val="center"/>
          </w:tcPr>
          <w:p w14:paraId="1919BE99">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7437" w:type="dxa"/>
            <w:vAlign w:val="center"/>
          </w:tcPr>
          <w:p w14:paraId="36A93340">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p>
        </w:tc>
      </w:tr>
      <w:tr w14:paraId="19101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tcPr>
          <w:p w14:paraId="400B4CC3">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7437" w:type="dxa"/>
          </w:tcPr>
          <w:p w14:paraId="2A8528B4">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p>
        </w:tc>
      </w:tr>
      <w:tr w14:paraId="6CDC8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vAlign w:val="center"/>
          </w:tcPr>
          <w:p w14:paraId="5FBF593E">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7437" w:type="dxa"/>
            <w:vAlign w:val="center"/>
          </w:tcPr>
          <w:p w14:paraId="317CF1A3">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p>
        </w:tc>
      </w:tr>
      <w:tr w14:paraId="7FFB9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vAlign w:val="center"/>
          </w:tcPr>
          <w:p w14:paraId="3D692420">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7437" w:type="dxa"/>
            <w:vAlign w:val="center"/>
          </w:tcPr>
          <w:p w14:paraId="5B25676F">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p>
        </w:tc>
      </w:tr>
      <w:tr w14:paraId="79B84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69" w:type="dxa"/>
            <w:tcBorders>
              <w:left w:val="single" w:color="auto" w:sz="4" w:space="0"/>
            </w:tcBorders>
          </w:tcPr>
          <w:p w14:paraId="59363DFD">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7437" w:type="dxa"/>
          </w:tcPr>
          <w:p w14:paraId="54867C13">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仿宋"/>
                <w:color w:val="auto"/>
                <w:sz w:val="24"/>
                <w:highlight w:val="none"/>
              </w:rPr>
            </w:pPr>
          </w:p>
        </w:tc>
      </w:tr>
    </w:tbl>
    <w:p w14:paraId="653D312D">
      <w:pPr>
        <w:spacing w:after="0" w:line="360" w:lineRule="auto"/>
        <w:rPr>
          <w:rFonts w:hint="eastAsia" w:ascii="仿宋" w:hAnsi="仿宋" w:eastAsia="仿宋" w:cs="仿宋"/>
          <w:b/>
          <w:color w:val="auto"/>
          <w:highlight w:val="none"/>
        </w:rPr>
      </w:pPr>
    </w:p>
    <w:p w14:paraId="03B43E5F">
      <w:pPr>
        <w:spacing w:after="0" w:line="360" w:lineRule="auto"/>
        <w:rPr>
          <w:rFonts w:hint="eastAsia" w:ascii="仿宋" w:hAnsi="仿宋" w:eastAsia="仿宋" w:cs="仿宋"/>
          <w:color w:val="auto"/>
          <w:highlight w:val="none"/>
        </w:rPr>
      </w:pPr>
      <w:r>
        <w:rPr>
          <w:rFonts w:hint="eastAsia" w:ascii="仿宋" w:hAnsi="仿宋" w:eastAsia="仿宋" w:cs="仿宋"/>
          <w:b/>
          <w:color w:val="auto"/>
          <w:highlight w:val="none"/>
        </w:rPr>
        <w:t>注：本合同仅作示范文本，具体以双方签定的正式合同为准，合同内容不得违背本</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实质性要求。</w:t>
      </w:r>
    </w:p>
    <w:p w14:paraId="032C5A50">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9690AE0">
      <w:pPr>
        <w:pStyle w:val="5"/>
        <w:rPr>
          <w:rFonts w:hint="eastAsia" w:ascii="仿宋" w:hAnsi="仿宋" w:eastAsia="仿宋" w:cs="仿宋"/>
          <w:color w:val="auto"/>
          <w:highlight w:val="none"/>
        </w:rPr>
      </w:pPr>
      <w:r>
        <w:rPr>
          <w:rFonts w:hint="eastAsia" w:ascii="仿宋" w:hAnsi="仿宋" w:eastAsia="仿宋" w:cs="仿宋"/>
          <w:color w:val="auto"/>
          <w:highlight w:val="none"/>
        </w:rPr>
        <w:t>第六部分 应提交的有关格式范例</w:t>
      </w:r>
    </w:p>
    <w:p w14:paraId="40CC7FDD">
      <w:pPr>
        <w:pStyle w:val="6"/>
        <w:rPr>
          <w:rFonts w:hint="eastAsia" w:ascii="仿宋" w:hAnsi="仿宋" w:eastAsia="仿宋" w:cs="仿宋"/>
          <w:color w:val="auto"/>
          <w:highlight w:val="none"/>
        </w:rPr>
      </w:pPr>
      <w:r>
        <w:rPr>
          <w:rFonts w:hint="eastAsia" w:ascii="仿宋" w:hAnsi="仿宋" w:eastAsia="仿宋" w:cs="仿宋"/>
          <w:color w:val="auto"/>
          <w:highlight w:val="none"/>
        </w:rPr>
        <w:t>资格文件部分</w:t>
      </w:r>
    </w:p>
    <w:p w14:paraId="501BFCE7">
      <w:pPr>
        <w:jc w:val="center"/>
        <w:rPr>
          <w:rFonts w:hint="eastAsia" w:ascii="仿宋" w:hAnsi="仿宋" w:eastAsia="仿宋" w:cs="仿宋"/>
          <w:b/>
          <w:color w:val="auto"/>
          <w:sz w:val="40"/>
          <w:highlight w:val="none"/>
        </w:rPr>
      </w:pPr>
      <w:r>
        <w:rPr>
          <w:rFonts w:hint="eastAsia" w:ascii="仿宋" w:hAnsi="仿宋" w:eastAsia="仿宋" w:cs="仿宋"/>
          <w:b/>
          <w:color w:val="auto"/>
          <w:sz w:val="40"/>
          <w:highlight w:val="none"/>
        </w:rPr>
        <w:t>目录</w:t>
      </w:r>
    </w:p>
    <w:p w14:paraId="445540B2">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（1）符合参加</w:t>
      </w:r>
      <w:r>
        <w:rPr>
          <w:rFonts w:hint="eastAsia" w:ascii="仿宋" w:hAnsi="仿宋" w:eastAsia="仿宋" w:cs="仿宋"/>
          <w:color w:val="auto"/>
          <w:highlight w:val="none"/>
          <w:lang w:eastAsia="zh-CN"/>
        </w:rPr>
        <w:t>交易活动</w:t>
      </w:r>
      <w:r>
        <w:rPr>
          <w:rFonts w:hint="eastAsia" w:ascii="仿宋" w:hAnsi="仿宋" w:eastAsia="仿宋" w:cs="仿宋"/>
          <w:color w:val="auto"/>
          <w:highlight w:val="none"/>
        </w:rPr>
        <w:t>应当具备的一般条件的承诺函…………………（页码）</w:t>
      </w:r>
    </w:p>
    <w:p w14:paraId="1B95DBC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（2）落实</w:t>
      </w:r>
      <w:r>
        <w:rPr>
          <w:rFonts w:hint="eastAsia" w:cs="仿宋"/>
          <w:color w:val="auto"/>
          <w:highlight w:val="none"/>
          <w:lang w:eastAsia="zh-CN"/>
        </w:rPr>
        <w:t>交易</w:t>
      </w:r>
      <w:r>
        <w:rPr>
          <w:rFonts w:hint="eastAsia" w:ascii="仿宋" w:hAnsi="仿宋" w:eastAsia="仿宋" w:cs="仿宋"/>
          <w:color w:val="auto"/>
          <w:highlight w:val="none"/>
        </w:rPr>
        <w:t>政策需满足的资格要求……………………………………（页码）</w:t>
      </w:r>
    </w:p>
    <w:p w14:paraId="6E77EBA1">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（3）本项目的特定资格要求………………………………………………（页码）</w:t>
      </w:r>
    </w:p>
    <w:p w14:paraId="7E428AF7">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0B88C59">
      <w:pPr>
        <w:pStyle w:val="6"/>
        <w:rPr>
          <w:rFonts w:hint="eastAsia" w:ascii="仿宋" w:hAnsi="仿宋" w:eastAsia="仿宋" w:cs="仿宋"/>
          <w:color w:val="auto"/>
          <w:highlight w:val="none"/>
        </w:rPr>
      </w:pPr>
      <w:r>
        <w:rPr>
          <w:rFonts w:hint="eastAsia" w:ascii="仿宋" w:hAnsi="仿宋" w:eastAsia="仿宋" w:cs="仿宋"/>
          <w:color w:val="auto"/>
          <w:highlight w:val="none"/>
        </w:rPr>
        <w:t>一、符合参加</w:t>
      </w:r>
      <w:r>
        <w:rPr>
          <w:rFonts w:hint="eastAsia" w:ascii="仿宋" w:hAnsi="仿宋" w:eastAsia="仿宋" w:cs="仿宋"/>
          <w:color w:val="auto"/>
          <w:highlight w:val="none"/>
          <w:lang w:eastAsia="zh-CN"/>
        </w:rPr>
        <w:t>交易活动</w:t>
      </w:r>
      <w:r>
        <w:rPr>
          <w:rFonts w:hint="eastAsia" w:ascii="仿宋" w:hAnsi="仿宋" w:eastAsia="仿宋" w:cs="仿宋"/>
          <w:color w:val="auto"/>
          <w:highlight w:val="none"/>
        </w:rPr>
        <w:t>应当具备的一般条件的承诺函</w:t>
      </w:r>
    </w:p>
    <w:p w14:paraId="07155A9D">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交易组织机构</w:t>
      </w:r>
      <w:r>
        <w:rPr>
          <w:rFonts w:hint="eastAsia" w:ascii="仿宋" w:hAnsi="仿宋" w:eastAsia="仿宋" w:cs="仿宋"/>
          <w:color w:val="auto"/>
          <w:highlight w:val="none"/>
        </w:rPr>
        <w:t>）：</w:t>
      </w:r>
    </w:p>
    <w:p w14:paraId="73D4D8B9">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我方参与</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rPr>
        <w:t>【</w:t>
      </w:r>
      <w:r>
        <w:rPr>
          <w:rFonts w:hint="eastAsia" w:cs="仿宋"/>
          <w:color w:val="auto"/>
          <w:highlight w:val="none"/>
          <w:lang w:eastAsia="zh-CN"/>
        </w:rPr>
        <w:t>交易编号</w:t>
      </w:r>
      <w:r>
        <w:rPr>
          <w:rFonts w:hint="eastAsia" w:ascii="仿宋" w:hAnsi="仿宋" w:eastAsia="仿宋" w:cs="仿宋"/>
          <w:color w:val="auto"/>
          <w:highlight w:val="none"/>
        </w:rPr>
        <w:t>：</w:t>
      </w:r>
      <w:r>
        <w:rPr>
          <w:rFonts w:hint="eastAsia" w:ascii="仿宋" w:hAnsi="仿宋" w:eastAsia="仿宋" w:cs="仿宋"/>
          <w:color w:val="auto"/>
          <w:highlight w:val="none"/>
          <w:u w:val="single"/>
        </w:rPr>
        <w:t>（</w:t>
      </w:r>
      <w:r>
        <w:rPr>
          <w:rFonts w:hint="eastAsia" w:cs="仿宋"/>
          <w:color w:val="auto"/>
          <w:highlight w:val="none"/>
          <w:u w:val="single"/>
          <w:lang w:eastAsia="zh-CN"/>
        </w:rPr>
        <w:t>交易编号</w:t>
      </w:r>
      <w:r>
        <w:rPr>
          <w:rFonts w:hint="eastAsia" w:ascii="仿宋" w:hAnsi="仿宋" w:eastAsia="仿宋" w:cs="仿宋"/>
          <w:color w:val="auto"/>
          <w:highlight w:val="none"/>
          <w:u w:val="single"/>
        </w:rPr>
        <w:t>）</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交易活动</w:t>
      </w:r>
      <w:r>
        <w:rPr>
          <w:rFonts w:hint="eastAsia" w:ascii="仿宋" w:hAnsi="仿宋" w:eastAsia="仿宋" w:cs="仿宋"/>
          <w:color w:val="auto"/>
          <w:highlight w:val="none"/>
        </w:rPr>
        <w:t>，郑重承诺：</w:t>
      </w:r>
    </w:p>
    <w:p w14:paraId="2DC540C1">
      <w:pPr>
        <w:snapToGrid w:val="0"/>
        <w:spacing w:after="0"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（一）具备参加</w:t>
      </w:r>
      <w:r>
        <w:rPr>
          <w:rFonts w:hint="eastAsia" w:ascii="仿宋" w:hAnsi="仿宋" w:eastAsia="仿宋" w:cs="仿宋"/>
          <w:color w:val="auto"/>
          <w:highlight w:val="none"/>
          <w:lang w:eastAsia="zh-CN"/>
        </w:rPr>
        <w:t>交易活动</w:t>
      </w:r>
      <w:r>
        <w:rPr>
          <w:rFonts w:hint="eastAsia" w:ascii="仿宋" w:hAnsi="仿宋" w:eastAsia="仿宋" w:cs="仿宋"/>
          <w:color w:val="auto"/>
          <w:highlight w:val="none"/>
        </w:rPr>
        <w:t>的条件：</w:t>
      </w:r>
    </w:p>
    <w:p w14:paraId="1571D12D">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14:paraId="3E812861">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2、具有良好的商业信誉和健全的财务会计制度； </w:t>
      </w:r>
    </w:p>
    <w:p w14:paraId="6C01A1B1">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14:paraId="378F85D3">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14:paraId="644AAC3F">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5、参加</w:t>
      </w:r>
      <w:r>
        <w:rPr>
          <w:rFonts w:hint="eastAsia" w:ascii="仿宋" w:hAnsi="仿宋" w:eastAsia="仿宋" w:cs="仿宋"/>
          <w:color w:val="auto"/>
          <w:highlight w:val="none"/>
          <w:lang w:eastAsia="zh-CN"/>
        </w:rPr>
        <w:t>交易活动</w:t>
      </w:r>
      <w:r>
        <w:rPr>
          <w:rFonts w:hint="eastAsia" w:ascii="仿宋" w:hAnsi="仿宋" w:eastAsia="仿宋" w:cs="仿宋"/>
          <w:color w:val="auto"/>
          <w:highlight w:val="none"/>
        </w:rPr>
        <w:t>前三年内，在经营活动中没有重大违法记录；</w:t>
      </w:r>
    </w:p>
    <w:p w14:paraId="2A5EDF3B">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6、具有法律、行政法规规定的其他条件。</w:t>
      </w:r>
    </w:p>
    <w:p w14:paraId="6DB6BDE8">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（二）未被信用中国（www.creditchina.gov.cn)、中国政府采购网（www.ccgp.gov.cn）列入失信被执行人、重大税收违法案件当事人名单、采购严重违法失信行为记录名单。</w:t>
      </w:r>
    </w:p>
    <w:p w14:paraId="59E34ACC">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（三）不存在以下情况：</w:t>
      </w:r>
    </w:p>
    <w:p w14:paraId="30AC65EB">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1、单位负责人为同一人或者存在直接控股、管理关系的不同</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参加同一合同项下的</w:t>
      </w:r>
      <w:r>
        <w:rPr>
          <w:rFonts w:hint="eastAsia" w:ascii="仿宋" w:hAnsi="仿宋" w:eastAsia="仿宋" w:cs="仿宋"/>
          <w:color w:val="auto"/>
          <w:highlight w:val="none"/>
          <w:lang w:eastAsia="zh-CN"/>
        </w:rPr>
        <w:t>交易活动</w:t>
      </w:r>
      <w:r>
        <w:rPr>
          <w:rFonts w:hint="eastAsia" w:ascii="仿宋" w:hAnsi="仿宋" w:eastAsia="仿宋" w:cs="仿宋"/>
          <w:color w:val="auto"/>
          <w:highlight w:val="none"/>
        </w:rPr>
        <w:t>的；</w:t>
      </w:r>
    </w:p>
    <w:p w14:paraId="2037E924">
      <w:pPr>
        <w:snapToGrid w:val="0"/>
        <w:spacing w:after="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2、为</w:t>
      </w:r>
      <w:r>
        <w:rPr>
          <w:rFonts w:hint="eastAsia" w:cs="仿宋"/>
          <w:color w:val="auto"/>
          <w:highlight w:val="none"/>
          <w:lang w:val="en-US" w:eastAsia="zh-CN"/>
        </w:rPr>
        <w:t>交易</w:t>
      </w:r>
      <w:r>
        <w:rPr>
          <w:rFonts w:hint="eastAsia" w:ascii="仿宋" w:hAnsi="仿宋" w:eastAsia="仿宋" w:cs="仿宋"/>
          <w:color w:val="auto"/>
          <w:highlight w:val="none"/>
        </w:rPr>
        <w:t>项目提供整体设计、规范编制或者项目管理、监理、检测等服务后再参加该</w:t>
      </w:r>
      <w:r>
        <w:rPr>
          <w:rFonts w:hint="eastAsia" w:cs="仿宋"/>
          <w:color w:val="auto"/>
          <w:highlight w:val="none"/>
          <w:lang w:eastAsia="zh-CN"/>
        </w:rPr>
        <w:t>交易</w:t>
      </w:r>
      <w:r>
        <w:rPr>
          <w:rFonts w:hint="eastAsia" w:ascii="仿宋" w:hAnsi="仿宋" w:eastAsia="仿宋" w:cs="仿宋"/>
          <w:color w:val="auto"/>
          <w:highlight w:val="none"/>
        </w:rPr>
        <w:t>项目的其他</w:t>
      </w:r>
      <w:r>
        <w:rPr>
          <w:rFonts w:hint="eastAsia" w:ascii="仿宋" w:hAnsi="仿宋" w:eastAsia="仿宋" w:cs="仿宋"/>
          <w:color w:val="auto"/>
          <w:highlight w:val="none"/>
          <w:lang w:eastAsia="zh-CN"/>
        </w:rPr>
        <w:t>交易活动</w:t>
      </w:r>
      <w:r>
        <w:rPr>
          <w:rFonts w:hint="eastAsia" w:ascii="仿宋" w:hAnsi="仿宋" w:eastAsia="仿宋" w:cs="仿宋"/>
          <w:color w:val="auto"/>
          <w:highlight w:val="none"/>
        </w:rPr>
        <w:t>的。</w:t>
      </w:r>
    </w:p>
    <w:p w14:paraId="72C8FBC8">
      <w:pPr>
        <w:snapToGrid w:val="0"/>
        <w:spacing w:after="0" w:line="360" w:lineRule="auto"/>
        <w:ind w:firstLine="5520" w:firstLineChars="2300"/>
        <w:rPr>
          <w:rFonts w:hint="eastAsia" w:ascii="仿宋" w:hAnsi="仿宋" w:eastAsia="仿宋" w:cs="仿宋"/>
          <w:color w:val="auto"/>
          <w:highlight w:val="none"/>
        </w:rPr>
      </w:pPr>
      <w:r>
        <w:rPr>
          <w:rFonts w:hint="eastAsia" w:ascii="仿宋" w:hAnsi="仿宋" w:eastAsia="仿宋" w:cs="仿宋"/>
          <w:color w:val="auto"/>
          <w:highlight w:val="none"/>
          <w:lang w:val="zh-CN"/>
        </w:rPr>
        <w:t>响应人名称(电子签名)：</w:t>
      </w:r>
    </w:p>
    <w:p w14:paraId="4C779850">
      <w:pPr>
        <w:snapToGrid w:val="0"/>
        <w:spacing w:after="0" w:line="360" w:lineRule="auto"/>
        <w:ind w:firstLine="5520" w:firstLineChars="2300"/>
        <w:rPr>
          <w:rFonts w:hint="eastAsia" w:ascii="仿宋" w:hAnsi="仿宋" w:eastAsia="仿宋" w:cs="仿宋"/>
          <w:color w:val="auto"/>
          <w:highlight w:val="none"/>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 xml:space="preserve">：  年  </w:t>
      </w:r>
      <w:r>
        <w:rPr>
          <w:rFonts w:hint="eastAsia" w:ascii="仿宋" w:hAnsi="仿宋" w:eastAsia="仿宋" w:cs="仿宋"/>
          <w:color w:val="auto"/>
          <w:highlight w:val="none"/>
          <w:lang w:val="zh-CN"/>
        </w:rPr>
        <w:t>月日</w:t>
      </w:r>
    </w:p>
    <w:p w14:paraId="0673CB83">
      <w:pPr>
        <w:snapToGrid w:val="0"/>
        <w:spacing w:line="360" w:lineRule="auto"/>
        <w:ind w:right="480"/>
        <w:jc w:val="center"/>
        <w:rPr>
          <w:rFonts w:hint="eastAsia" w:ascii="仿宋" w:hAnsi="仿宋" w:eastAsia="仿宋" w:cs="仿宋"/>
          <w:b/>
          <w:color w:val="auto"/>
          <w:sz w:val="32"/>
          <w:szCs w:val="32"/>
          <w:highlight w:val="none"/>
        </w:rPr>
      </w:pPr>
    </w:p>
    <w:p w14:paraId="54A0186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8D2BD27">
      <w:pPr>
        <w:pStyle w:val="6"/>
        <w:rPr>
          <w:rFonts w:hint="eastAsia" w:ascii="仿宋" w:hAnsi="仿宋" w:eastAsia="仿宋" w:cs="仿宋"/>
          <w:color w:val="auto"/>
          <w:highlight w:val="none"/>
        </w:rPr>
      </w:pPr>
      <w:r>
        <w:rPr>
          <w:rFonts w:hint="eastAsia" w:ascii="仿宋" w:hAnsi="仿宋" w:eastAsia="仿宋" w:cs="仿宋"/>
          <w:color w:val="auto"/>
          <w:highlight w:val="none"/>
        </w:rPr>
        <w:t>二、落实</w:t>
      </w:r>
      <w:r>
        <w:rPr>
          <w:rFonts w:hint="eastAsia" w:cs="仿宋"/>
          <w:color w:val="auto"/>
          <w:highlight w:val="none"/>
          <w:lang w:eastAsia="zh-CN"/>
        </w:rPr>
        <w:t>交易</w:t>
      </w:r>
      <w:r>
        <w:rPr>
          <w:rFonts w:hint="eastAsia" w:ascii="仿宋" w:hAnsi="仿宋" w:eastAsia="仿宋" w:cs="仿宋"/>
          <w:color w:val="auto"/>
          <w:highlight w:val="none"/>
        </w:rPr>
        <w:t>政策需满足的资格要求</w:t>
      </w:r>
    </w:p>
    <w:p w14:paraId="5AF9A94A">
      <w:pPr>
        <w:rPr>
          <w:rFonts w:hint="eastAsia" w:ascii="仿宋" w:hAnsi="仿宋" w:eastAsia="仿宋" w:cs="仿宋"/>
          <w:color w:val="auto"/>
          <w:highlight w:val="none"/>
        </w:rPr>
      </w:pPr>
      <w:r>
        <w:rPr>
          <w:rFonts w:hint="eastAsia" w:ascii="仿宋" w:hAnsi="仿宋" w:eastAsia="仿宋" w:cs="仿宋"/>
          <w:color w:val="auto"/>
          <w:highlight w:val="none"/>
        </w:rPr>
        <w:t>（根据</w:t>
      </w:r>
      <w:r>
        <w:rPr>
          <w:rFonts w:hint="eastAsia" w:ascii="仿宋" w:hAnsi="仿宋" w:eastAsia="仿宋" w:cs="仿宋"/>
          <w:color w:val="auto"/>
          <w:highlight w:val="none"/>
          <w:lang w:eastAsia="zh-CN"/>
        </w:rPr>
        <w:t>交易公告</w:t>
      </w:r>
      <w:r>
        <w:rPr>
          <w:rFonts w:hint="eastAsia" w:ascii="仿宋" w:hAnsi="仿宋" w:eastAsia="仿宋" w:cs="仿宋"/>
          <w:color w:val="auto"/>
          <w:highlight w:val="none"/>
        </w:rPr>
        <w:t>落实</w:t>
      </w:r>
      <w:r>
        <w:rPr>
          <w:rFonts w:hint="eastAsia" w:cs="仿宋"/>
          <w:color w:val="auto"/>
          <w:highlight w:val="none"/>
          <w:lang w:eastAsia="zh-CN"/>
        </w:rPr>
        <w:t>交易</w:t>
      </w:r>
      <w:r>
        <w:rPr>
          <w:rFonts w:hint="eastAsia" w:ascii="仿宋" w:hAnsi="仿宋" w:eastAsia="仿宋" w:cs="仿宋"/>
          <w:color w:val="auto"/>
          <w:highlight w:val="none"/>
        </w:rPr>
        <w:t>政策需满足的资格要求选择提供相应的材料；未要求的，无需提供）</w:t>
      </w:r>
    </w:p>
    <w:p w14:paraId="7B7011AC">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757AA8A">
      <w:pPr>
        <w:pStyle w:val="6"/>
        <w:rPr>
          <w:rFonts w:hint="eastAsia" w:ascii="仿宋" w:hAnsi="仿宋" w:eastAsia="仿宋" w:cs="仿宋"/>
          <w:color w:val="auto"/>
          <w:highlight w:val="none"/>
        </w:rPr>
      </w:pPr>
      <w:r>
        <w:rPr>
          <w:rFonts w:hint="eastAsia" w:ascii="仿宋" w:hAnsi="仿宋" w:eastAsia="仿宋" w:cs="仿宋"/>
          <w:color w:val="auto"/>
          <w:highlight w:val="none"/>
        </w:rPr>
        <w:t>三、本项目的特定资格要求</w:t>
      </w:r>
    </w:p>
    <w:p w14:paraId="1AFAEE68">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（根据</w:t>
      </w:r>
      <w:r>
        <w:rPr>
          <w:rFonts w:hint="eastAsia" w:ascii="仿宋" w:hAnsi="仿宋" w:eastAsia="仿宋" w:cs="仿宋"/>
          <w:color w:val="auto"/>
          <w:highlight w:val="none"/>
          <w:lang w:eastAsia="zh-CN"/>
        </w:rPr>
        <w:t>交易公告</w:t>
      </w:r>
      <w:r>
        <w:rPr>
          <w:rFonts w:hint="eastAsia" w:ascii="仿宋" w:hAnsi="仿宋" w:eastAsia="仿宋" w:cs="仿宋"/>
          <w:color w:val="auto"/>
          <w:highlight w:val="none"/>
        </w:rPr>
        <w:t>本项目的特定资格要求提供相应的材料；未要求的，无需提供）</w:t>
      </w:r>
    </w:p>
    <w:p w14:paraId="40BAB948">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9E31849">
      <w:pPr>
        <w:pStyle w:val="6"/>
        <w:rPr>
          <w:rFonts w:hint="eastAsia" w:ascii="仿宋" w:hAnsi="仿宋" w:eastAsia="仿宋" w:cs="仿宋"/>
          <w:color w:val="auto"/>
          <w:highlight w:val="none"/>
        </w:rPr>
      </w:pPr>
      <w:r>
        <w:rPr>
          <w:rFonts w:hint="eastAsia" w:ascii="仿宋" w:hAnsi="仿宋" w:eastAsia="仿宋" w:cs="仿宋"/>
          <w:color w:val="auto"/>
          <w:highlight w:val="none"/>
        </w:rPr>
        <w:t>商务技术文件部分</w:t>
      </w:r>
    </w:p>
    <w:p w14:paraId="257A7A6C">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目录</w:t>
      </w:r>
    </w:p>
    <w:p w14:paraId="2F49A645">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响应函</w:t>
      </w:r>
      <w:r>
        <w:rPr>
          <w:rFonts w:hint="eastAsia" w:ascii="仿宋" w:hAnsi="仿宋" w:eastAsia="仿宋" w:cs="仿宋"/>
          <w:color w:val="auto"/>
          <w:highlight w:val="none"/>
        </w:rPr>
        <w:t>……………………………………………………………………（页码）</w:t>
      </w:r>
    </w:p>
    <w:p w14:paraId="033F50AD">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（2）授权委托书或法定代表人（单位负责人、自然人本人）身份证明……（页码）</w:t>
      </w:r>
    </w:p>
    <w:p w14:paraId="1649BFAD">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）符合性审查资料……………………………………………………………（页码）</w:t>
      </w:r>
    </w:p>
    <w:p w14:paraId="1B8AFA66">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标准相应的商务技术资料……………………………………………（页码）</w:t>
      </w:r>
    </w:p>
    <w:p w14:paraId="2CE751FD">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w:t>
      </w:r>
      <w:r>
        <w:rPr>
          <w:rFonts w:hint="eastAsia" w:cs="仿宋"/>
          <w:color w:val="auto"/>
          <w:highlight w:val="none"/>
          <w:lang w:eastAsia="zh-CN"/>
        </w:rPr>
        <w:t>响应</w:t>
      </w:r>
      <w:r>
        <w:rPr>
          <w:rFonts w:hint="eastAsia" w:ascii="仿宋" w:hAnsi="仿宋" w:eastAsia="仿宋" w:cs="仿宋"/>
          <w:color w:val="auto"/>
          <w:highlight w:val="none"/>
        </w:rPr>
        <w:t>标的清单………………………………………………………………（页码）</w:t>
      </w:r>
    </w:p>
    <w:p w14:paraId="09957324">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）商务技术偏离表……………………………………………………………（页码）</w:t>
      </w:r>
    </w:p>
    <w:p w14:paraId="73C285BB">
      <w:pPr>
        <w:snapToGrid w:val="0"/>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val="zh-CN"/>
        </w:rPr>
        <w:t>）交易响应人廉洁自律承诺书</w:t>
      </w:r>
      <w:r>
        <w:rPr>
          <w:rFonts w:hint="eastAsia" w:ascii="仿宋" w:hAnsi="仿宋" w:eastAsia="仿宋" w:cs="仿宋"/>
          <w:color w:val="auto"/>
          <w:highlight w:val="none"/>
        </w:rPr>
        <w:t>………………………………………………（页码）</w:t>
      </w:r>
    </w:p>
    <w:p w14:paraId="7AC4B37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EDE9DC6">
      <w:pPr>
        <w:pStyle w:val="6"/>
        <w:rPr>
          <w:rFonts w:hint="eastAsia" w:ascii="仿宋" w:hAnsi="仿宋" w:eastAsia="仿宋" w:cs="仿宋"/>
          <w:color w:val="auto"/>
          <w:highlight w:val="none"/>
          <w:lang w:eastAsia="zh-CN"/>
        </w:rPr>
      </w:pPr>
      <w:r>
        <w:rPr>
          <w:rFonts w:hint="eastAsia" w:ascii="仿宋" w:hAnsi="仿宋" w:eastAsia="仿宋" w:cs="仿宋"/>
          <w:color w:val="auto"/>
          <w:highlight w:val="none"/>
        </w:rPr>
        <w:t>一、</w:t>
      </w:r>
      <w:r>
        <w:rPr>
          <w:rFonts w:hint="eastAsia" w:ascii="仿宋" w:hAnsi="仿宋" w:eastAsia="仿宋" w:cs="仿宋"/>
          <w:color w:val="auto"/>
          <w:highlight w:val="none"/>
          <w:lang w:eastAsia="zh-CN"/>
        </w:rPr>
        <w:t>响应函</w:t>
      </w:r>
    </w:p>
    <w:p w14:paraId="3F6CD3E0">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交易组织机构</w:t>
      </w:r>
      <w:r>
        <w:rPr>
          <w:rFonts w:hint="eastAsia" w:ascii="仿宋" w:hAnsi="仿宋" w:eastAsia="仿宋" w:cs="仿宋"/>
          <w:color w:val="auto"/>
          <w:highlight w:val="none"/>
        </w:rPr>
        <w:t>）：</w:t>
      </w:r>
    </w:p>
    <w:p w14:paraId="13CF16CD">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我方参加你方组织的（</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rPr>
        <w:t>）【</w:t>
      </w:r>
      <w:r>
        <w:rPr>
          <w:rFonts w:hint="eastAsia" w:cs="仿宋"/>
          <w:color w:val="auto"/>
          <w:highlight w:val="none"/>
          <w:lang w:eastAsia="zh-CN"/>
        </w:rPr>
        <w:t>交易编号</w:t>
      </w:r>
      <w:r>
        <w:rPr>
          <w:rFonts w:hint="eastAsia" w:ascii="仿宋" w:hAnsi="仿宋" w:eastAsia="仿宋" w:cs="仿宋"/>
          <w:color w:val="auto"/>
          <w:highlight w:val="none"/>
        </w:rPr>
        <w:t>：</w:t>
      </w:r>
      <w:r>
        <w:rPr>
          <w:rFonts w:hint="eastAsia" w:ascii="仿宋" w:hAnsi="仿宋" w:eastAsia="仿宋" w:cs="仿宋"/>
          <w:color w:val="auto"/>
          <w:highlight w:val="none"/>
          <w:u w:val="single"/>
        </w:rPr>
        <w:t>（</w:t>
      </w:r>
      <w:r>
        <w:rPr>
          <w:rFonts w:hint="eastAsia" w:cs="仿宋"/>
          <w:color w:val="auto"/>
          <w:highlight w:val="none"/>
          <w:u w:val="single"/>
          <w:lang w:eastAsia="zh-CN"/>
        </w:rPr>
        <w:t>交易编号</w:t>
      </w:r>
      <w:r>
        <w:rPr>
          <w:rFonts w:hint="eastAsia" w:ascii="仿宋" w:hAnsi="仿宋" w:eastAsia="仿宋" w:cs="仿宋"/>
          <w:color w:val="auto"/>
          <w:highlight w:val="none"/>
          <w:u w:val="single"/>
        </w:rPr>
        <w:t>）</w:t>
      </w:r>
      <w:r>
        <w:rPr>
          <w:rFonts w:hint="eastAsia" w:ascii="仿宋" w:hAnsi="仿宋" w:eastAsia="仿宋" w:cs="仿宋"/>
          <w:color w:val="auto"/>
          <w:highlight w:val="none"/>
        </w:rPr>
        <w:t>】</w:t>
      </w:r>
      <w:r>
        <w:rPr>
          <w:rFonts w:hint="eastAsia" w:cs="仿宋"/>
          <w:color w:val="auto"/>
          <w:highlight w:val="none"/>
          <w:lang w:eastAsia="zh-CN"/>
        </w:rPr>
        <w:t>交易</w:t>
      </w:r>
      <w:r>
        <w:rPr>
          <w:rFonts w:hint="eastAsia" w:ascii="仿宋" w:hAnsi="仿宋" w:eastAsia="仿宋" w:cs="仿宋"/>
          <w:color w:val="auto"/>
          <w:highlight w:val="none"/>
        </w:rPr>
        <w:t>的有关活动，并对此项目进行</w:t>
      </w:r>
      <w:r>
        <w:rPr>
          <w:rFonts w:hint="eastAsia" w:cs="仿宋"/>
          <w:color w:val="auto"/>
          <w:highlight w:val="none"/>
          <w:lang w:eastAsia="zh-CN"/>
        </w:rPr>
        <w:t>响应</w:t>
      </w:r>
      <w:r>
        <w:rPr>
          <w:rFonts w:hint="eastAsia" w:ascii="仿宋" w:hAnsi="仿宋" w:eastAsia="仿宋" w:cs="仿宋"/>
          <w:color w:val="auto"/>
          <w:highlight w:val="none"/>
        </w:rPr>
        <w:t>。为此：</w:t>
      </w:r>
    </w:p>
    <w:p w14:paraId="3B98A5EB">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1、我方承诺</w:t>
      </w:r>
      <w:r>
        <w:rPr>
          <w:rFonts w:hint="eastAsia" w:cs="仿宋"/>
          <w:color w:val="auto"/>
          <w:highlight w:val="none"/>
          <w:lang w:eastAsia="zh-CN"/>
        </w:rPr>
        <w:t>响应</w:t>
      </w:r>
      <w:r>
        <w:rPr>
          <w:rFonts w:hint="eastAsia" w:ascii="仿宋" w:hAnsi="仿宋" w:eastAsia="仿宋" w:cs="仿宋"/>
          <w:color w:val="auto"/>
          <w:highlight w:val="none"/>
        </w:rPr>
        <w:t>有效期从提交</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的截止之日起</w:t>
      </w:r>
      <w:r>
        <w:rPr>
          <w:rFonts w:hint="eastAsia" w:ascii="仿宋" w:hAnsi="仿宋" w:eastAsia="仿宋" w:cs="仿宋"/>
          <w:color w:val="auto"/>
          <w:kern w:val="2"/>
          <w:highlight w:val="none"/>
          <w:u w:val="single"/>
          <w:lang w:val="zh-CN"/>
        </w:rPr>
        <w:t xml:space="preserve">    </w:t>
      </w:r>
      <w:r>
        <w:rPr>
          <w:rFonts w:hint="eastAsia" w:ascii="仿宋" w:hAnsi="仿宋" w:eastAsia="仿宋" w:cs="仿宋"/>
          <w:color w:val="auto"/>
          <w:highlight w:val="none"/>
        </w:rPr>
        <w:t>天（不少于90天），本</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在</w:t>
      </w:r>
      <w:r>
        <w:rPr>
          <w:rFonts w:hint="eastAsia" w:cs="仿宋"/>
          <w:color w:val="auto"/>
          <w:highlight w:val="none"/>
          <w:lang w:eastAsia="zh-CN"/>
        </w:rPr>
        <w:t>响应</w:t>
      </w:r>
      <w:r>
        <w:rPr>
          <w:rFonts w:hint="eastAsia" w:ascii="仿宋" w:hAnsi="仿宋" w:eastAsia="仿宋" w:cs="仿宋"/>
          <w:color w:val="auto"/>
          <w:highlight w:val="none"/>
        </w:rPr>
        <w:t>有效期满之前均具有约束力。</w:t>
      </w:r>
    </w:p>
    <w:p w14:paraId="76580B6C">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2、我方的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包括以下内容：</w:t>
      </w:r>
    </w:p>
    <w:p w14:paraId="286E9107">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2.1资格文件：</w:t>
      </w:r>
    </w:p>
    <w:p w14:paraId="0AF83465">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2.1.1承诺函；</w:t>
      </w:r>
    </w:p>
    <w:p w14:paraId="2186FEDC">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2.1.2落实</w:t>
      </w:r>
      <w:r>
        <w:rPr>
          <w:rFonts w:hint="eastAsia" w:cs="仿宋"/>
          <w:color w:val="auto"/>
          <w:highlight w:val="none"/>
          <w:lang w:eastAsia="zh-CN"/>
        </w:rPr>
        <w:t>交易</w:t>
      </w:r>
      <w:r>
        <w:rPr>
          <w:rFonts w:hint="eastAsia" w:ascii="仿宋" w:hAnsi="仿宋" w:eastAsia="仿宋" w:cs="仿宋"/>
          <w:color w:val="auto"/>
          <w:highlight w:val="none"/>
        </w:rPr>
        <w:t>政策需满足的资格要求（如果有）；</w:t>
      </w:r>
    </w:p>
    <w:p w14:paraId="70F8CF56">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2.1.3本项目的特定资格要求（如果有）。</w:t>
      </w:r>
    </w:p>
    <w:p w14:paraId="1361178B">
      <w:pPr>
        <w:spacing w:after="0"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2商务技术</w:t>
      </w:r>
      <w:r>
        <w:rPr>
          <w:rFonts w:hint="eastAsia" w:ascii="仿宋" w:hAnsi="仿宋" w:eastAsia="仿宋" w:cs="仿宋"/>
          <w:color w:val="auto"/>
          <w:highlight w:val="none"/>
          <w:lang w:val="zh-CN"/>
        </w:rPr>
        <w:t>文件：</w:t>
      </w:r>
    </w:p>
    <w:p w14:paraId="098073AC">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2.2.1</w:t>
      </w:r>
      <w:r>
        <w:rPr>
          <w:rFonts w:hint="eastAsia" w:ascii="仿宋" w:hAnsi="仿宋" w:eastAsia="仿宋" w:cs="仿宋"/>
          <w:color w:val="auto"/>
          <w:highlight w:val="none"/>
          <w:lang w:eastAsia="zh-CN"/>
        </w:rPr>
        <w:t>响应函</w:t>
      </w:r>
      <w:r>
        <w:rPr>
          <w:rFonts w:hint="eastAsia" w:ascii="仿宋" w:hAnsi="仿宋" w:eastAsia="仿宋" w:cs="仿宋"/>
          <w:color w:val="auto"/>
          <w:highlight w:val="none"/>
        </w:rPr>
        <w:t>；</w:t>
      </w:r>
    </w:p>
    <w:p w14:paraId="3ACD99AC">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2.2.2授权委托书或法定代表人（单位负责人）身份证明；</w:t>
      </w:r>
    </w:p>
    <w:p w14:paraId="4BDF2259">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符合性审查资料；</w:t>
      </w:r>
    </w:p>
    <w:p w14:paraId="4D48FAC5">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标准相应的商务技术资料；</w:t>
      </w:r>
    </w:p>
    <w:p w14:paraId="7AB7EAD6">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val="en-US" w:eastAsia="zh-CN"/>
        </w:rPr>
        <w:t>5</w:t>
      </w:r>
      <w:r>
        <w:rPr>
          <w:rFonts w:hint="eastAsia" w:cs="仿宋"/>
          <w:color w:val="auto"/>
          <w:highlight w:val="none"/>
          <w:lang w:eastAsia="zh-CN"/>
        </w:rPr>
        <w:t>响应</w:t>
      </w:r>
      <w:r>
        <w:rPr>
          <w:rFonts w:hint="eastAsia" w:ascii="仿宋" w:hAnsi="仿宋" w:eastAsia="仿宋" w:cs="仿宋"/>
          <w:color w:val="auto"/>
          <w:highlight w:val="none"/>
        </w:rPr>
        <w:t>标的清单；</w:t>
      </w:r>
    </w:p>
    <w:p w14:paraId="19FC2853">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商务技术偏离表；</w:t>
      </w:r>
    </w:p>
    <w:p w14:paraId="286A0938">
      <w:pPr>
        <w:spacing w:after="0"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val="zh-CN"/>
        </w:rPr>
        <w:t>交易响应人廉洁自律承诺书；</w:t>
      </w:r>
    </w:p>
    <w:p w14:paraId="12F76EE3">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w:t>
      </w:r>
      <w:r>
        <w:rPr>
          <w:rFonts w:hint="eastAsia" w:ascii="仿宋" w:hAnsi="仿宋" w:eastAsia="仿宋" w:cs="仿宋"/>
          <w:color w:val="auto"/>
          <w:highlight w:val="none"/>
        </w:rPr>
        <w:t>3报价文件</w:t>
      </w:r>
    </w:p>
    <w:p w14:paraId="56B3918E">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2.3.1</w:t>
      </w:r>
      <w:r>
        <w:rPr>
          <w:rFonts w:hint="eastAsia" w:ascii="仿宋" w:hAnsi="仿宋" w:eastAsia="仿宋" w:cs="仿宋"/>
          <w:color w:val="auto"/>
          <w:highlight w:val="none"/>
          <w:lang w:eastAsia="zh-CN"/>
        </w:rPr>
        <w:t>交易一览表</w:t>
      </w:r>
      <w:r>
        <w:rPr>
          <w:rFonts w:hint="eastAsia" w:ascii="仿宋" w:hAnsi="仿宋" w:eastAsia="仿宋" w:cs="仿宋"/>
          <w:color w:val="auto"/>
          <w:highlight w:val="none"/>
        </w:rPr>
        <w:t>（报价表）；</w:t>
      </w:r>
    </w:p>
    <w:p w14:paraId="2DF95990">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3、我方承诺除商务技术偏离表列出的偏离外，我方响应</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的全部要求。</w:t>
      </w:r>
    </w:p>
    <w:p w14:paraId="3C44E4CE">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4、如我方</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，我方承诺：</w:t>
      </w:r>
    </w:p>
    <w:p w14:paraId="130DA1AC">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4.1在收到</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通知书后，在</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 xml:space="preserve">通知书规定的期限内与你方签订合同； </w:t>
      </w:r>
    </w:p>
    <w:p w14:paraId="06DDDB0C">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4.2在签订合同时不向你方提出附加条件； </w:t>
      </w:r>
    </w:p>
    <w:p w14:paraId="7F6FF80E">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4.3按照</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 xml:space="preserve">要求提交履约保证金； </w:t>
      </w:r>
    </w:p>
    <w:p w14:paraId="7E3C0640">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4.4在合同约定的期限内完成合同规定的全部义务。 </w:t>
      </w:r>
    </w:p>
    <w:p w14:paraId="75634256">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5、其他补充说明:。</w:t>
      </w:r>
    </w:p>
    <w:p w14:paraId="64DFC3A9">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名称（电子签名）：</w:t>
      </w:r>
    </w:p>
    <w:p w14:paraId="52B3CDA7">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0FFBC3E4">
      <w:pPr>
        <w:spacing w:after="0" w:line="360" w:lineRule="auto"/>
        <w:rPr>
          <w:rFonts w:hint="eastAsia" w:ascii="仿宋" w:hAnsi="仿宋" w:eastAsia="仿宋" w:cs="仿宋"/>
          <w:color w:val="auto"/>
          <w:highlight w:val="none"/>
          <w:u w:val="single"/>
        </w:rPr>
      </w:pPr>
    </w:p>
    <w:p w14:paraId="62B1ADFC">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19EE88FC">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8E2EB1D">
      <w:pPr>
        <w:pStyle w:val="6"/>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二、授权委托书或法定代表人（单位负责人、自然人本人）身份证明</w:t>
      </w:r>
    </w:p>
    <w:p w14:paraId="39D4B09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注：▲响应人委派不在本单位缴纳社保的人员作为授权代表（代理人）的，应当在响应文件中，说明具体原因、授权代表缴纳社保的单位，并附列该授权代表缴纳社保清单。</w:t>
      </w:r>
    </w:p>
    <w:p w14:paraId="3EE8025D">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sz w:val="32"/>
          <w:szCs w:val="32"/>
          <w:highlight w:val="none"/>
          <w:lang w:val="zh-CN"/>
        </w:rPr>
        <w:t>授权委托书</w:t>
      </w:r>
    </w:p>
    <w:p w14:paraId="03C9493F">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交易组织机构</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p>
    <w:p w14:paraId="494F65D9">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现</w:t>
      </w:r>
      <w:r>
        <w:rPr>
          <w:rFonts w:hint="eastAsia" w:ascii="仿宋" w:hAnsi="仿宋" w:eastAsia="仿宋" w:cs="仿宋"/>
          <w:color w:val="auto"/>
          <w:highlight w:val="none"/>
          <w:lang w:val="zh-CN"/>
        </w:rPr>
        <w:t>委托</w:t>
      </w:r>
      <w:r>
        <w:rPr>
          <w:rFonts w:hint="eastAsia" w:ascii="仿宋" w:hAnsi="仿宋" w:eastAsia="仿宋" w:cs="仿宋"/>
          <w:color w:val="auto"/>
          <w:kern w:val="2"/>
          <w:highlight w:val="none"/>
          <w:u w:val="single"/>
          <w:lang w:val="zh-CN"/>
        </w:rPr>
        <w:t xml:space="preserve">        </w:t>
      </w:r>
      <w:r>
        <w:rPr>
          <w:rFonts w:hint="eastAsia" w:ascii="仿宋" w:hAnsi="仿宋" w:eastAsia="仿宋" w:cs="仿宋"/>
          <w:color w:val="auto"/>
          <w:highlight w:val="none"/>
          <w:lang w:val="zh-CN"/>
        </w:rPr>
        <w:t>（姓名）为我方代理人（身份证号码：</w:t>
      </w:r>
      <w:r>
        <w:rPr>
          <w:rFonts w:hint="eastAsia" w:ascii="仿宋" w:hAnsi="仿宋" w:eastAsia="仿宋" w:cs="仿宋"/>
          <w:color w:val="auto"/>
          <w:kern w:val="2"/>
          <w:highlight w:val="none"/>
          <w:u w:val="single"/>
          <w:lang w:val="zh-CN"/>
        </w:rPr>
        <w:t xml:space="preserve">        </w:t>
      </w:r>
      <w:r>
        <w:rPr>
          <w:rFonts w:hint="eastAsia" w:ascii="仿宋" w:hAnsi="仿宋" w:eastAsia="仿宋" w:cs="仿宋"/>
          <w:color w:val="auto"/>
          <w:highlight w:val="none"/>
          <w:lang w:val="zh-CN"/>
        </w:rPr>
        <w:t>，手机：</w:t>
      </w:r>
      <w:r>
        <w:rPr>
          <w:rFonts w:hint="eastAsia" w:ascii="仿宋" w:hAnsi="仿宋" w:eastAsia="仿宋" w:cs="仿宋"/>
          <w:color w:val="auto"/>
          <w:kern w:val="2"/>
          <w:highlight w:val="none"/>
          <w:u w:val="single"/>
          <w:lang w:val="zh-CN"/>
        </w:rPr>
        <w:t xml:space="preserve">        </w:t>
      </w:r>
      <w:r>
        <w:rPr>
          <w:rFonts w:hint="eastAsia" w:ascii="仿宋" w:hAnsi="仿宋" w:eastAsia="仿宋" w:cs="仿宋"/>
          <w:color w:val="auto"/>
          <w:highlight w:val="none"/>
          <w:lang w:val="zh-CN"/>
        </w:rPr>
        <w:t>），以我方名义处理</w:t>
      </w:r>
      <w:r>
        <w:rPr>
          <w:rFonts w:hint="eastAsia" w:ascii="仿宋" w:hAnsi="仿宋" w:eastAsia="仿宋" w:cs="仿宋"/>
          <w:color w:val="auto"/>
          <w:highlight w:val="none"/>
        </w:rPr>
        <w:t>（</w:t>
      </w:r>
      <w:r>
        <w:rPr>
          <w:rFonts w:hint="eastAsia" w:ascii="仿宋" w:hAnsi="仿宋" w:eastAsia="仿宋" w:cs="仿宋"/>
          <w:color w:val="auto"/>
          <w:kern w:val="2"/>
          <w:highlight w:val="none"/>
          <w:u w:val="single"/>
          <w:lang w:val="zh-CN"/>
        </w:rPr>
        <w:t xml:space="preserve">    </w:t>
      </w:r>
      <w:r>
        <w:rPr>
          <w:rFonts w:hint="eastAsia" w:ascii="仿宋" w:hAnsi="仿宋" w:eastAsia="仿宋" w:cs="仿宋"/>
          <w:color w:val="auto"/>
          <w:highlight w:val="none"/>
          <w:u w:val="single"/>
        </w:rPr>
        <w:t>项目名称</w:t>
      </w:r>
      <w:r>
        <w:rPr>
          <w:rFonts w:hint="eastAsia" w:ascii="仿宋" w:hAnsi="仿宋" w:eastAsia="仿宋" w:cs="仿宋"/>
          <w:color w:val="auto"/>
          <w:kern w:val="2"/>
          <w:highlight w:val="none"/>
          <w:u w:val="single"/>
          <w:lang w:val="zh-CN"/>
        </w:rPr>
        <w:t xml:space="preserve">    </w:t>
      </w:r>
      <w:r>
        <w:rPr>
          <w:rFonts w:hint="eastAsia" w:ascii="仿宋" w:hAnsi="仿宋" w:eastAsia="仿宋" w:cs="仿宋"/>
          <w:color w:val="auto"/>
          <w:highlight w:val="none"/>
        </w:rPr>
        <w:t>）【</w:t>
      </w:r>
      <w:r>
        <w:rPr>
          <w:rFonts w:hint="eastAsia" w:cs="仿宋"/>
          <w:color w:val="auto"/>
          <w:highlight w:val="none"/>
          <w:lang w:eastAsia="zh-CN"/>
        </w:rPr>
        <w:t>交易编号</w:t>
      </w:r>
      <w:r>
        <w:rPr>
          <w:rFonts w:hint="eastAsia" w:ascii="仿宋" w:hAnsi="仿宋" w:eastAsia="仿宋" w:cs="仿宋"/>
          <w:color w:val="auto"/>
          <w:highlight w:val="none"/>
        </w:rPr>
        <w:t>：</w:t>
      </w:r>
      <w:r>
        <w:rPr>
          <w:rFonts w:hint="eastAsia" w:ascii="仿宋" w:hAnsi="仿宋" w:eastAsia="仿宋" w:cs="仿宋"/>
          <w:color w:val="auto"/>
          <w:kern w:val="2"/>
          <w:highlight w:val="none"/>
          <w:u w:val="single"/>
          <w:lang w:val="zh-CN"/>
        </w:rPr>
        <w:t xml:space="preserve">    </w:t>
      </w:r>
      <w:r>
        <w:rPr>
          <w:rFonts w:hint="eastAsia" w:ascii="仿宋" w:hAnsi="仿宋" w:eastAsia="仿宋" w:cs="仿宋"/>
          <w:color w:val="auto"/>
          <w:highlight w:val="none"/>
          <w:u w:val="single"/>
        </w:rPr>
        <w:t>（</w:t>
      </w:r>
      <w:r>
        <w:rPr>
          <w:rFonts w:hint="eastAsia" w:cs="仿宋"/>
          <w:color w:val="auto"/>
          <w:highlight w:val="none"/>
          <w:u w:val="single"/>
          <w:lang w:eastAsia="zh-CN"/>
        </w:rPr>
        <w:t>交易编号</w:t>
      </w:r>
      <w:r>
        <w:rPr>
          <w:rFonts w:hint="eastAsia" w:ascii="仿宋" w:hAnsi="仿宋" w:eastAsia="仿宋" w:cs="仿宋"/>
          <w:color w:val="auto"/>
          <w:highlight w:val="none"/>
          <w:u w:val="single"/>
        </w:rPr>
        <w:t>）</w:t>
      </w:r>
      <w:r>
        <w:rPr>
          <w:rFonts w:hint="eastAsia" w:ascii="仿宋" w:hAnsi="仿宋" w:eastAsia="仿宋" w:cs="仿宋"/>
          <w:color w:val="auto"/>
          <w:kern w:val="2"/>
          <w:highlight w:val="none"/>
          <w:u w:val="single"/>
          <w:lang w:val="zh-CN"/>
        </w:rPr>
        <w:t xml:space="preserve">    </w:t>
      </w:r>
      <w:r>
        <w:rPr>
          <w:rFonts w:hint="eastAsia" w:ascii="仿宋" w:hAnsi="仿宋" w:eastAsia="仿宋" w:cs="仿宋"/>
          <w:color w:val="auto"/>
          <w:highlight w:val="none"/>
        </w:rPr>
        <w:t>】</w:t>
      </w:r>
      <w:r>
        <w:rPr>
          <w:rFonts w:hint="eastAsia" w:cs="仿宋"/>
          <w:color w:val="auto"/>
          <w:highlight w:val="none"/>
          <w:lang w:val="zh-CN"/>
        </w:rPr>
        <w:t>交易</w:t>
      </w:r>
      <w:r>
        <w:rPr>
          <w:rFonts w:hint="eastAsia" w:cs="仿宋"/>
          <w:color w:val="auto"/>
          <w:highlight w:val="none"/>
          <w:lang w:val="en-US" w:eastAsia="zh-CN"/>
        </w:rPr>
        <w:t>响应</w:t>
      </w:r>
      <w:r>
        <w:rPr>
          <w:rFonts w:hint="eastAsia" w:ascii="仿宋" w:hAnsi="仿宋" w:eastAsia="仿宋" w:cs="仿宋"/>
          <w:color w:val="auto"/>
          <w:highlight w:val="none"/>
          <w:lang w:val="zh-CN"/>
        </w:rPr>
        <w:t>的一切事项，其法律后果由我方承担。</w:t>
      </w:r>
    </w:p>
    <w:p w14:paraId="19A3265E">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委托期限</w:t>
      </w:r>
      <w:r>
        <w:rPr>
          <w:rFonts w:hint="eastAsia" w:ascii="仿宋" w:hAnsi="仿宋" w:eastAsia="仿宋" w:cs="仿宋"/>
          <w:color w:val="auto"/>
          <w:highlight w:val="none"/>
        </w:rPr>
        <w:t>：</w:t>
      </w:r>
      <w:r>
        <w:rPr>
          <w:rFonts w:hint="eastAsia" w:ascii="仿宋" w:hAnsi="仿宋" w:eastAsia="仿宋" w:cs="仿宋"/>
          <w:color w:val="auto"/>
          <w:highlight w:val="none"/>
          <w:lang w:val="zh-CN"/>
        </w:rPr>
        <w:t>自</w:t>
      </w:r>
      <w:r>
        <w:rPr>
          <w:rFonts w:hint="eastAsia" w:ascii="仿宋" w:hAnsi="仿宋" w:eastAsia="仿宋" w:cs="仿宋"/>
          <w:color w:val="auto"/>
          <w:kern w:val="2"/>
          <w:highlight w:val="none"/>
          <w:u w:val="single"/>
          <w:lang w:val="zh-CN"/>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kern w:val="2"/>
          <w:highlight w:val="none"/>
          <w:u w:val="single"/>
          <w:lang w:val="zh-CN"/>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kern w:val="2"/>
          <w:highlight w:val="none"/>
          <w:u w:val="single"/>
          <w:lang w:val="zh-CN"/>
        </w:rPr>
        <w:t xml:space="preserve">    </w:t>
      </w:r>
      <w:r>
        <w:rPr>
          <w:rFonts w:hint="eastAsia" w:ascii="仿宋" w:hAnsi="仿宋" w:eastAsia="仿宋" w:cs="仿宋"/>
          <w:color w:val="auto"/>
          <w:highlight w:val="none"/>
          <w:lang w:val="zh-CN"/>
        </w:rPr>
        <w:t>日起至</w:t>
      </w:r>
      <w:r>
        <w:rPr>
          <w:rFonts w:hint="eastAsia" w:ascii="仿宋" w:hAnsi="仿宋" w:eastAsia="仿宋" w:cs="仿宋"/>
          <w:color w:val="auto"/>
          <w:kern w:val="2"/>
          <w:highlight w:val="none"/>
          <w:u w:val="single"/>
          <w:lang w:val="zh-CN"/>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kern w:val="2"/>
          <w:highlight w:val="none"/>
          <w:u w:val="single"/>
          <w:lang w:val="zh-CN"/>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kern w:val="2"/>
          <w:highlight w:val="none"/>
          <w:u w:val="single"/>
          <w:lang w:val="zh-CN"/>
        </w:rPr>
        <w:t xml:space="preserve">    </w:t>
      </w:r>
      <w:r>
        <w:rPr>
          <w:rFonts w:hint="eastAsia" w:ascii="仿宋" w:hAnsi="仿宋" w:eastAsia="仿宋" w:cs="仿宋"/>
          <w:color w:val="auto"/>
          <w:highlight w:val="none"/>
          <w:lang w:val="zh-CN"/>
        </w:rPr>
        <w:t>日止。</w:t>
      </w:r>
    </w:p>
    <w:p w14:paraId="38C462DF">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特此告知。</w:t>
      </w:r>
    </w:p>
    <w:p w14:paraId="40206819">
      <w:pPr>
        <w:keepNext w:val="0"/>
        <w:keepLines w:val="0"/>
        <w:pageBreakBefore w:val="0"/>
        <w:widowControl/>
        <w:kinsoku/>
        <w:wordWrap/>
        <w:overflowPunct/>
        <w:topLinePunct w:val="0"/>
        <w:autoSpaceDE/>
        <w:autoSpaceDN/>
        <w:bidi w:val="0"/>
        <w:adjustRightInd/>
        <w:snapToGrid/>
        <w:spacing w:after="0" w:line="360" w:lineRule="auto"/>
        <w:jc w:val="right"/>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响应人名称(电子签名)：</w:t>
      </w:r>
    </w:p>
    <w:p w14:paraId="69DE3A1A">
      <w:pPr>
        <w:keepNext w:val="0"/>
        <w:keepLines w:val="0"/>
        <w:pageBreakBefore w:val="0"/>
        <w:widowControl/>
        <w:kinsoku/>
        <w:wordWrap/>
        <w:overflowPunct/>
        <w:topLinePunct w:val="0"/>
        <w:autoSpaceDE/>
        <w:autoSpaceDN/>
        <w:bidi w:val="0"/>
        <w:adjustRightInd/>
        <w:snapToGrid/>
        <w:spacing w:after="0" w:line="360" w:lineRule="auto"/>
        <w:jc w:val="right"/>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00DAE6F0">
      <w:pPr>
        <w:spacing w:line="276" w:lineRule="auto"/>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br w:type="page"/>
      </w:r>
    </w:p>
    <w:p w14:paraId="19F0790E">
      <w:pPr>
        <w:autoSpaceDE w:val="0"/>
        <w:autoSpaceDN w:val="0"/>
        <w:spacing w:line="360" w:lineRule="auto"/>
        <w:jc w:val="center"/>
        <w:rPr>
          <w:rFonts w:hint="eastAsia" w:ascii="仿宋" w:hAnsi="仿宋" w:eastAsia="仿宋" w:cs="仿宋"/>
          <w:b/>
          <w:color w:val="auto"/>
          <w:highlight w:val="none"/>
        </w:rPr>
      </w:pPr>
      <w:r>
        <w:rPr>
          <w:rFonts w:hint="eastAsia" w:ascii="仿宋" w:hAnsi="仿宋" w:eastAsia="仿宋" w:cs="仿宋"/>
          <w:b/>
          <w:color w:val="auto"/>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响应人</w:t>
      </w:r>
      <w:r>
        <w:rPr>
          <w:rFonts w:hint="eastAsia" w:ascii="仿宋" w:hAnsi="仿宋" w:eastAsia="仿宋" w:cs="仿宋"/>
          <w:b/>
          <w:color w:val="auto"/>
          <w:sz w:val="30"/>
          <w:szCs w:val="30"/>
          <w:highlight w:val="none"/>
        </w:rPr>
        <w:t>参加</w:t>
      </w:r>
      <w:r>
        <w:rPr>
          <w:rFonts w:hint="eastAsia" w:cs="仿宋"/>
          <w:b/>
          <w:color w:val="auto"/>
          <w:sz w:val="30"/>
          <w:szCs w:val="30"/>
          <w:highlight w:val="none"/>
          <w:lang w:val="en-US" w:eastAsia="zh-CN"/>
        </w:rPr>
        <w:t>响应</w:t>
      </w:r>
      <w:r>
        <w:rPr>
          <w:rFonts w:hint="eastAsia" w:ascii="仿宋" w:hAnsi="仿宋" w:eastAsia="仿宋" w:cs="仿宋"/>
          <w:b/>
          <w:color w:val="auto"/>
          <w:sz w:val="30"/>
          <w:szCs w:val="30"/>
          <w:highlight w:val="none"/>
        </w:rPr>
        <w:t>）</w:t>
      </w:r>
    </w:p>
    <w:p w14:paraId="75994248">
      <w:pPr>
        <w:pStyle w:val="8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33"/>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1"/>
      </w:tblGrid>
      <w:tr w14:paraId="6682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81" w:type="dxa"/>
          </w:tcPr>
          <w:p w14:paraId="43C6B7E9">
            <w:pPr>
              <w:pStyle w:val="8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6E06D20">
            <w:pPr>
              <w:pStyle w:val="86"/>
              <w:adjustRightInd w:val="0"/>
              <w:spacing w:line="360" w:lineRule="auto"/>
              <w:rPr>
                <w:rFonts w:hint="eastAsia" w:ascii="仿宋" w:hAnsi="仿宋" w:eastAsia="仿宋" w:cs="仿宋"/>
                <w:bCs/>
                <w:color w:val="auto"/>
                <w:sz w:val="24"/>
                <w:highlight w:val="none"/>
              </w:rPr>
            </w:pPr>
          </w:p>
        </w:tc>
      </w:tr>
    </w:tbl>
    <w:p w14:paraId="789BD029">
      <w:pPr>
        <w:snapToGrid w:val="0"/>
        <w:spacing w:line="360" w:lineRule="auto"/>
        <w:ind w:firstLine="576"/>
        <w:jc w:val="center"/>
        <w:rPr>
          <w:rFonts w:hint="eastAsia" w:ascii="仿宋" w:hAnsi="仿宋" w:eastAsia="仿宋" w:cs="仿宋"/>
          <w:color w:val="auto"/>
          <w:highlight w:val="none"/>
          <w:lang w:val="zh-CN"/>
        </w:rPr>
      </w:pPr>
    </w:p>
    <w:p w14:paraId="532565B5">
      <w:pPr>
        <w:snapToGrid w:val="0"/>
        <w:spacing w:line="360" w:lineRule="auto"/>
        <w:ind w:firstLine="576"/>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响应人名称(电子签名)：</w:t>
      </w:r>
    </w:p>
    <w:p w14:paraId="656BE7AB">
      <w:pPr>
        <w:spacing w:line="360" w:lineRule="auto"/>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日期：  年  月  日</w:t>
      </w:r>
    </w:p>
    <w:p w14:paraId="58DD0CF9">
      <w:pPr>
        <w:spacing w:line="276"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p>
    <w:p w14:paraId="505F5A2C">
      <w:pPr>
        <w:pStyle w:val="6"/>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、符合性审查资料</w:t>
      </w:r>
    </w:p>
    <w:tbl>
      <w:tblPr>
        <w:tblStyle w:val="3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14:paraId="4043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40FB090">
            <w:pPr>
              <w:snapToGrid w:val="0"/>
              <w:spacing w:after="0"/>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4140" w:type="dxa"/>
            <w:vAlign w:val="center"/>
          </w:tcPr>
          <w:p w14:paraId="15E417C1">
            <w:pPr>
              <w:snapToGrid w:val="0"/>
              <w:spacing w:after="0"/>
              <w:jc w:val="center"/>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2410" w:type="dxa"/>
            <w:vAlign w:val="center"/>
          </w:tcPr>
          <w:p w14:paraId="66C5CA64">
            <w:pPr>
              <w:snapToGrid w:val="0"/>
              <w:spacing w:after="0"/>
              <w:jc w:val="center"/>
              <w:rPr>
                <w:rFonts w:hint="eastAsia" w:ascii="仿宋" w:hAnsi="仿宋" w:eastAsia="仿宋" w:cs="仿宋"/>
                <w:b/>
                <w:color w:val="auto"/>
                <w:highlight w:val="none"/>
              </w:rPr>
            </w:pPr>
            <w:r>
              <w:rPr>
                <w:rFonts w:hint="eastAsia" w:ascii="仿宋" w:hAnsi="仿宋" w:eastAsia="仿宋" w:cs="仿宋"/>
                <w:b/>
                <w:color w:val="auto"/>
                <w:highlight w:val="none"/>
              </w:rPr>
              <w:t>需要提供的符合性审查资料</w:t>
            </w:r>
          </w:p>
        </w:tc>
        <w:tc>
          <w:tcPr>
            <w:tcW w:w="1701" w:type="dxa"/>
            <w:vAlign w:val="center"/>
          </w:tcPr>
          <w:p w14:paraId="7A3B47D8">
            <w:pPr>
              <w:snapToGrid w:val="0"/>
              <w:spacing w:after="0"/>
              <w:jc w:val="center"/>
              <w:rPr>
                <w:rFonts w:hint="eastAsia" w:ascii="仿宋" w:hAnsi="仿宋" w:eastAsia="仿宋" w:cs="仿宋"/>
                <w:b/>
                <w:color w:val="auto"/>
                <w:highlight w:val="none"/>
              </w:rPr>
            </w:pP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中的</w:t>
            </w:r>
          </w:p>
          <w:p w14:paraId="0889C2C5">
            <w:pPr>
              <w:snapToGrid w:val="0"/>
              <w:spacing w:after="0"/>
              <w:jc w:val="center"/>
              <w:rPr>
                <w:rFonts w:hint="eastAsia" w:ascii="仿宋" w:hAnsi="仿宋" w:eastAsia="仿宋" w:cs="仿宋"/>
                <w:b/>
                <w:color w:val="auto"/>
                <w:highlight w:val="none"/>
              </w:rPr>
            </w:pPr>
            <w:r>
              <w:rPr>
                <w:rFonts w:hint="eastAsia" w:ascii="仿宋" w:hAnsi="仿宋" w:eastAsia="仿宋" w:cs="仿宋"/>
                <w:b/>
                <w:color w:val="auto"/>
                <w:highlight w:val="none"/>
              </w:rPr>
              <w:t>页码位置</w:t>
            </w:r>
          </w:p>
        </w:tc>
      </w:tr>
      <w:tr w14:paraId="51DD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031F09">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4140" w:type="dxa"/>
            <w:vAlign w:val="center"/>
          </w:tcPr>
          <w:p w14:paraId="531EAB1C">
            <w:pPr>
              <w:spacing w:after="0"/>
              <w:jc w:val="both"/>
              <w:rPr>
                <w:rFonts w:hint="eastAsia" w:ascii="仿宋" w:hAnsi="仿宋" w:eastAsia="仿宋" w:cs="仿宋"/>
                <w:color w:val="auto"/>
                <w:highlight w:val="none"/>
              </w:rPr>
            </w:pP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按照</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要求签署、盖章。</w:t>
            </w:r>
          </w:p>
        </w:tc>
        <w:tc>
          <w:tcPr>
            <w:tcW w:w="2410" w:type="dxa"/>
            <w:vAlign w:val="center"/>
          </w:tcPr>
          <w:p w14:paraId="608C6454">
            <w:pPr>
              <w:spacing w:after="0"/>
              <w:rPr>
                <w:rFonts w:hint="eastAsia" w:ascii="仿宋" w:hAnsi="仿宋" w:eastAsia="仿宋" w:cs="仿宋"/>
                <w:color w:val="auto"/>
                <w:highlight w:val="none"/>
              </w:rPr>
            </w:pPr>
            <w:r>
              <w:rPr>
                <w:rFonts w:hint="eastAsia" w:ascii="仿宋" w:hAnsi="仿宋" w:eastAsia="仿宋" w:cs="仿宋"/>
                <w:color w:val="auto"/>
                <w:highlight w:val="none"/>
              </w:rPr>
              <w:t>需要使用电子签名或者签字盖章的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的组成部分</w:t>
            </w:r>
          </w:p>
        </w:tc>
        <w:tc>
          <w:tcPr>
            <w:tcW w:w="1701" w:type="dxa"/>
          </w:tcPr>
          <w:p w14:paraId="03ED1F9F">
            <w:pP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rPr>
              <w:t>见</w:t>
            </w:r>
            <w:r>
              <w:rPr>
                <w:rFonts w:hint="eastAsia" w:ascii="仿宋" w:hAnsi="仿宋" w:eastAsia="仿宋" w:cs="仿宋"/>
                <w:color w:val="auto"/>
                <w:highlight w:val="none"/>
                <w:lang w:eastAsia="zh-CN"/>
              </w:rPr>
              <w:t>响应文件</w:t>
            </w:r>
          </w:p>
          <w:p w14:paraId="2296FDC9">
            <w:pPr>
              <w:spacing w:after="0"/>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页</w:t>
            </w:r>
          </w:p>
        </w:tc>
      </w:tr>
      <w:tr w14:paraId="1AE5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C8977E">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4140" w:type="dxa"/>
            <w:vAlign w:val="center"/>
          </w:tcPr>
          <w:p w14:paraId="614B6893">
            <w:pPr>
              <w:spacing w:after="0"/>
              <w:jc w:val="both"/>
              <w:rPr>
                <w:rFonts w:hint="eastAsia" w:ascii="仿宋" w:hAnsi="仿宋" w:eastAsia="仿宋" w:cs="仿宋"/>
                <w:color w:val="auto"/>
                <w:highlight w:val="none"/>
              </w:rPr>
            </w:pP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中承诺的</w:t>
            </w:r>
            <w:r>
              <w:rPr>
                <w:rFonts w:hint="eastAsia" w:cs="仿宋"/>
                <w:color w:val="auto"/>
                <w:highlight w:val="none"/>
                <w:lang w:eastAsia="zh-CN"/>
              </w:rPr>
              <w:t>响应</w:t>
            </w:r>
            <w:r>
              <w:rPr>
                <w:rFonts w:hint="eastAsia" w:ascii="仿宋" w:hAnsi="仿宋" w:eastAsia="仿宋" w:cs="仿宋"/>
                <w:color w:val="auto"/>
                <w:highlight w:val="none"/>
              </w:rPr>
              <w:t>有效期不少于</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中载明的</w:t>
            </w:r>
            <w:r>
              <w:rPr>
                <w:rFonts w:hint="eastAsia" w:cs="仿宋"/>
                <w:color w:val="auto"/>
                <w:highlight w:val="none"/>
                <w:lang w:eastAsia="zh-CN"/>
              </w:rPr>
              <w:t>响应</w:t>
            </w:r>
            <w:r>
              <w:rPr>
                <w:rFonts w:hint="eastAsia" w:ascii="仿宋" w:hAnsi="仿宋" w:eastAsia="仿宋" w:cs="仿宋"/>
                <w:color w:val="auto"/>
                <w:highlight w:val="none"/>
              </w:rPr>
              <w:t>有效期。</w:t>
            </w:r>
          </w:p>
        </w:tc>
        <w:tc>
          <w:tcPr>
            <w:tcW w:w="2410" w:type="dxa"/>
            <w:vAlign w:val="center"/>
          </w:tcPr>
          <w:p w14:paraId="763BECC5">
            <w:pP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响应函</w:t>
            </w:r>
          </w:p>
        </w:tc>
        <w:tc>
          <w:tcPr>
            <w:tcW w:w="1701" w:type="dxa"/>
          </w:tcPr>
          <w:p w14:paraId="100E99CE">
            <w:pP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rPr>
              <w:t>见</w:t>
            </w:r>
            <w:r>
              <w:rPr>
                <w:rFonts w:hint="eastAsia" w:ascii="仿宋" w:hAnsi="仿宋" w:eastAsia="仿宋" w:cs="仿宋"/>
                <w:color w:val="auto"/>
                <w:highlight w:val="none"/>
                <w:lang w:eastAsia="zh-CN"/>
              </w:rPr>
              <w:t>响应文件</w:t>
            </w:r>
          </w:p>
          <w:p w14:paraId="1DD50CF2">
            <w:pPr>
              <w:spacing w:after="0"/>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页</w:t>
            </w:r>
          </w:p>
        </w:tc>
      </w:tr>
      <w:tr w14:paraId="7DA7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EA4A5E">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4140" w:type="dxa"/>
            <w:vAlign w:val="center"/>
          </w:tcPr>
          <w:p w14:paraId="6E73CCFF">
            <w:pPr>
              <w:spacing w:after="0"/>
              <w:jc w:val="both"/>
              <w:rPr>
                <w:rFonts w:hint="eastAsia" w:ascii="仿宋" w:hAnsi="仿宋" w:eastAsia="仿宋" w:cs="仿宋"/>
                <w:color w:val="auto"/>
                <w:highlight w:val="none"/>
              </w:rPr>
            </w:pP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满足</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的其它实质性要求。</w:t>
            </w:r>
          </w:p>
        </w:tc>
        <w:tc>
          <w:tcPr>
            <w:tcW w:w="2410" w:type="dxa"/>
            <w:vAlign w:val="center"/>
          </w:tcPr>
          <w:p w14:paraId="59BA4F17">
            <w:pPr>
              <w:spacing w:after="0"/>
              <w:rPr>
                <w:rFonts w:hint="eastAsia" w:ascii="仿宋" w:hAnsi="仿宋" w:eastAsia="仿宋" w:cs="仿宋"/>
                <w:color w:val="auto"/>
                <w:highlight w:val="none"/>
              </w:rPr>
            </w:pP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其它实质性要求相应的材料（“▲” 系指实质性要求条款，</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无其它实质性要求的，无需提供）</w:t>
            </w:r>
          </w:p>
        </w:tc>
        <w:tc>
          <w:tcPr>
            <w:tcW w:w="1701" w:type="dxa"/>
          </w:tcPr>
          <w:p w14:paraId="565B8223">
            <w:pPr>
              <w:spacing w:after="0"/>
              <w:rPr>
                <w:rFonts w:hint="eastAsia" w:ascii="仿宋" w:hAnsi="仿宋" w:eastAsia="仿宋" w:cs="仿宋"/>
                <w:color w:val="auto"/>
                <w:highlight w:val="none"/>
                <w:lang w:eastAsia="zh-CN"/>
              </w:rPr>
            </w:pPr>
            <w:r>
              <w:rPr>
                <w:rFonts w:hint="eastAsia" w:ascii="仿宋" w:hAnsi="仿宋" w:eastAsia="仿宋" w:cs="仿宋"/>
                <w:color w:val="auto"/>
                <w:highlight w:val="none"/>
              </w:rPr>
              <w:t>见</w:t>
            </w:r>
            <w:r>
              <w:rPr>
                <w:rFonts w:hint="eastAsia" w:ascii="仿宋" w:hAnsi="仿宋" w:eastAsia="仿宋" w:cs="仿宋"/>
                <w:color w:val="auto"/>
                <w:highlight w:val="none"/>
                <w:lang w:eastAsia="zh-CN"/>
              </w:rPr>
              <w:t>响应文件</w:t>
            </w:r>
          </w:p>
          <w:p w14:paraId="422A8534">
            <w:pPr>
              <w:spacing w:after="0"/>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页</w:t>
            </w:r>
          </w:p>
        </w:tc>
      </w:tr>
    </w:tbl>
    <w:p w14:paraId="2C053960">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5DFC1F78">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B42D204">
      <w:pPr>
        <w:pStyle w:val="6"/>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标准相应的商务技术资料</w:t>
      </w:r>
    </w:p>
    <w:p w14:paraId="24D17A68">
      <w:pPr>
        <w:snapToGrid w:val="0"/>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（按</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第四部分</w:t>
      </w:r>
      <w:r>
        <w:rPr>
          <w:rFonts w:hint="eastAsia" w:ascii="仿宋" w:hAnsi="仿宋" w:eastAsia="仿宋" w:cs="仿宋"/>
          <w:b/>
          <w:color w:val="auto"/>
          <w:highlight w:val="none"/>
          <w:lang w:eastAsia="zh-CN"/>
        </w:rPr>
        <w:t>评审</w:t>
      </w:r>
      <w:r>
        <w:rPr>
          <w:rFonts w:hint="eastAsia" w:ascii="仿宋" w:hAnsi="仿宋" w:eastAsia="仿宋" w:cs="仿宋"/>
          <w:b/>
          <w:color w:val="auto"/>
          <w:highlight w:val="none"/>
        </w:rPr>
        <w:t>办法前附表中“</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中</w:t>
      </w:r>
      <w:r>
        <w:rPr>
          <w:rFonts w:hint="eastAsia" w:ascii="仿宋" w:hAnsi="仿宋" w:eastAsia="仿宋" w:cs="仿宋"/>
          <w:b/>
          <w:color w:val="auto"/>
          <w:highlight w:val="none"/>
          <w:lang w:eastAsia="zh-CN"/>
        </w:rPr>
        <w:t>评审</w:t>
      </w:r>
      <w:r>
        <w:rPr>
          <w:rFonts w:hint="eastAsia" w:ascii="仿宋" w:hAnsi="仿宋" w:eastAsia="仿宋" w:cs="仿宋"/>
          <w:b/>
          <w:color w:val="auto"/>
          <w:highlight w:val="none"/>
        </w:rPr>
        <w:t>标准相应的商务技术资料目录”提供资料。）</w:t>
      </w:r>
    </w:p>
    <w:p w14:paraId="739C8166">
      <w:pPr>
        <w:spacing w:line="276"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506E71E8">
      <w:pPr>
        <w:pStyle w:val="6"/>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rPr>
        <w:t>、</w:t>
      </w:r>
      <w:r>
        <w:rPr>
          <w:rFonts w:hint="eastAsia" w:cs="仿宋"/>
          <w:color w:val="auto"/>
          <w:highlight w:val="none"/>
          <w:lang w:eastAsia="zh-CN"/>
        </w:rPr>
        <w:t>响应</w:t>
      </w:r>
      <w:r>
        <w:rPr>
          <w:rFonts w:hint="eastAsia" w:ascii="仿宋" w:hAnsi="仿宋" w:eastAsia="仿宋" w:cs="仿宋"/>
          <w:color w:val="auto"/>
          <w:highlight w:val="none"/>
        </w:rPr>
        <w:t>标的清单</w:t>
      </w:r>
    </w:p>
    <w:tbl>
      <w:tblPr>
        <w:tblStyle w:val="33"/>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210"/>
        <w:gridCol w:w="930"/>
        <w:gridCol w:w="1120"/>
      </w:tblGrid>
      <w:tr w14:paraId="7022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2F5C9A">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936FD1E">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730BAD7">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E28B0B9">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型号（如果有）</w:t>
            </w:r>
          </w:p>
        </w:tc>
        <w:tc>
          <w:tcPr>
            <w:tcW w:w="2210" w:type="dxa"/>
            <w:tcBorders>
              <w:top w:val="single" w:color="auto" w:sz="4" w:space="0"/>
              <w:left w:val="single" w:color="auto" w:sz="4" w:space="0"/>
              <w:bottom w:val="single" w:color="auto" w:sz="4" w:space="0"/>
              <w:right w:val="single" w:color="auto" w:sz="4" w:space="0"/>
            </w:tcBorders>
            <w:vAlign w:val="center"/>
          </w:tcPr>
          <w:p w14:paraId="01D37ED7">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73BE1EDF">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120" w:type="dxa"/>
            <w:tcBorders>
              <w:top w:val="single" w:color="auto" w:sz="4" w:space="0"/>
              <w:left w:val="single" w:color="auto" w:sz="4" w:space="0"/>
              <w:bottom w:val="single" w:color="auto" w:sz="4" w:space="0"/>
              <w:right w:val="single" w:color="auto" w:sz="4" w:space="0"/>
            </w:tcBorders>
            <w:vAlign w:val="center"/>
          </w:tcPr>
          <w:p w14:paraId="71267ECD">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51D1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829948">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8872E39">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8B9A75">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2509C63">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highlight w:val="none"/>
              </w:rPr>
            </w:pPr>
          </w:p>
        </w:tc>
        <w:tc>
          <w:tcPr>
            <w:tcW w:w="2210" w:type="dxa"/>
            <w:tcBorders>
              <w:top w:val="single" w:color="auto" w:sz="4" w:space="0"/>
              <w:left w:val="single" w:color="auto" w:sz="4" w:space="0"/>
              <w:bottom w:val="single" w:color="auto" w:sz="4" w:space="0"/>
              <w:right w:val="single" w:color="auto" w:sz="4" w:space="0"/>
            </w:tcBorders>
            <w:vAlign w:val="center"/>
          </w:tcPr>
          <w:p w14:paraId="0C9B9D36">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B563F68">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highlight w:val="none"/>
              </w:rPr>
            </w:pPr>
          </w:p>
        </w:tc>
        <w:tc>
          <w:tcPr>
            <w:tcW w:w="1120" w:type="dxa"/>
            <w:tcBorders>
              <w:top w:val="single" w:color="auto" w:sz="4" w:space="0"/>
              <w:left w:val="single" w:color="auto" w:sz="4" w:space="0"/>
              <w:bottom w:val="single" w:color="auto" w:sz="4" w:space="0"/>
              <w:right w:val="single" w:color="auto" w:sz="4" w:space="0"/>
            </w:tcBorders>
            <w:vAlign w:val="center"/>
          </w:tcPr>
          <w:p w14:paraId="72ECA846">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highlight w:val="none"/>
              </w:rPr>
            </w:pPr>
          </w:p>
        </w:tc>
      </w:tr>
      <w:tr w14:paraId="3392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3B9974">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C07727A">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B0CC76F">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1583241">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highlight w:val="none"/>
              </w:rPr>
            </w:pPr>
          </w:p>
        </w:tc>
        <w:tc>
          <w:tcPr>
            <w:tcW w:w="2210" w:type="dxa"/>
            <w:tcBorders>
              <w:top w:val="single" w:color="auto" w:sz="4" w:space="0"/>
              <w:left w:val="single" w:color="auto" w:sz="4" w:space="0"/>
              <w:bottom w:val="single" w:color="auto" w:sz="4" w:space="0"/>
              <w:right w:val="single" w:color="auto" w:sz="4" w:space="0"/>
            </w:tcBorders>
            <w:vAlign w:val="center"/>
          </w:tcPr>
          <w:p w14:paraId="624AF28D">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FF397A6">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highlight w:val="none"/>
              </w:rPr>
            </w:pPr>
          </w:p>
        </w:tc>
        <w:tc>
          <w:tcPr>
            <w:tcW w:w="1120" w:type="dxa"/>
            <w:tcBorders>
              <w:top w:val="single" w:color="auto" w:sz="4" w:space="0"/>
              <w:left w:val="single" w:color="auto" w:sz="4" w:space="0"/>
              <w:bottom w:val="single" w:color="auto" w:sz="4" w:space="0"/>
              <w:right w:val="single" w:color="auto" w:sz="4" w:space="0"/>
            </w:tcBorders>
            <w:vAlign w:val="center"/>
          </w:tcPr>
          <w:p w14:paraId="5CEC90F0">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highlight w:val="none"/>
              </w:rPr>
            </w:pPr>
          </w:p>
        </w:tc>
      </w:tr>
      <w:tr w14:paraId="1A99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63DFAD">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3577719">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E59A0DE">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55D8E0">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highlight w:val="none"/>
              </w:rPr>
            </w:pPr>
          </w:p>
        </w:tc>
        <w:tc>
          <w:tcPr>
            <w:tcW w:w="2210" w:type="dxa"/>
            <w:tcBorders>
              <w:top w:val="single" w:color="auto" w:sz="4" w:space="0"/>
              <w:left w:val="single" w:color="auto" w:sz="4" w:space="0"/>
              <w:bottom w:val="single" w:color="auto" w:sz="4" w:space="0"/>
              <w:right w:val="single" w:color="auto" w:sz="4" w:space="0"/>
            </w:tcBorders>
            <w:vAlign w:val="center"/>
          </w:tcPr>
          <w:p w14:paraId="5C52FBC2">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8119A2A">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highlight w:val="none"/>
              </w:rPr>
            </w:pPr>
          </w:p>
        </w:tc>
        <w:tc>
          <w:tcPr>
            <w:tcW w:w="1120" w:type="dxa"/>
            <w:tcBorders>
              <w:top w:val="single" w:color="auto" w:sz="4" w:space="0"/>
              <w:left w:val="single" w:color="auto" w:sz="4" w:space="0"/>
              <w:bottom w:val="single" w:color="auto" w:sz="4" w:space="0"/>
              <w:right w:val="single" w:color="auto" w:sz="4" w:space="0"/>
            </w:tcBorders>
            <w:vAlign w:val="center"/>
          </w:tcPr>
          <w:p w14:paraId="47BCA19D">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highlight w:val="none"/>
              </w:rPr>
            </w:pPr>
          </w:p>
        </w:tc>
      </w:tr>
    </w:tbl>
    <w:p w14:paraId="589DCE04">
      <w:pPr>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1007A3E2">
      <w:pPr>
        <w:pStyle w:val="6"/>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六</w:t>
      </w:r>
      <w:r>
        <w:rPr>
          <w:rFonts w:hint="eastAsia" w:ascii="仿宋" w:hAnsi="仿宋" w:eastAsia="仿宋" w:cs="仿宋"/>
          <w:color w:val="auto"/>
          <w:highlight w:val="none"/>
        </w:rPr>
        <w:t>、商务技术偏离表</w:t>
      </w:r>
    </w:p>
    <w:tbl>
      <w:tblPr>
        <w:tblStyle w:val="34"/>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510"/>
        <w:gridCol w:w="3246"/>
        <w:gridCol w:w="1276"/>
      </w:tblGrid>
      <w:tr w14:paraId="08CD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59" w:type="dxa"/>
            <w:vAlign w:val="center"/>
          </w:tcPr>
          <w:p w14:paraId="2E6F2212">
            <w:pPr>
              <w:spacing w:after="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3510" w:type="dxa"/>
            <w:vAlign w:val="center"/>
          </w:tcPr>
          <w:p w14:paraId="2CACBAD2">
            <w:pPr>
              <w:spacing w:after="0"/>
              <w:jc w:val="center"/>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交易文件</w:t>
            </w:r>
            <w:r>
              <w:rPr>
                <w:rFonts w:hint="eastAsia" w:ascii="仿宋" w:hAnsi="仿宋" w:eastAsia="仿宋" w:cs="仿宋"/>
                <w:b/>
                <w:bCs/>
                <w:color w:val="auto"/>
                <w:highlight w:val="none"/>
              </w:rPr>
              <w:t>章节及具体内容</w:t>
            </w:r>
          </w:p>
        </w:tc>
        <w:tc>
          <w:tcPr>
            <w:tcW w:w="3246" w:type="dxa"/>
            <w:vAlign w:val="center"/>
          </w:tcPr>
          <w:p w14:paraId="0D6E99CD">
            <w:pPr>
              <w:spacing w:after="0"/>
              <w:jc w:val="center"/>
              <w:rPr>
                <w:rFonts w:hint="eastAsia" w:ascii="仿宋" w:hAnsi="仿宋" w:eastAsia="仿宋" w:cs="仿宋"/>
                <w:b/>
                <w:bCs/>
                <w:color w:val="auto"/>
                <w:highlight w:val="none"/>
              </w:rPr>
            </w:pPr>
            <w:r>
              <w:rPr>
                <w:rFonts w:hint="eastAsia" w:ascii="仿宋" w:hAnsi="仿宋" w:eastAsia="仿宋" w:cs="仿宋"/>
                <w:b/>
                <w:bCs/>
                <w:color w:val="auto"/>
                <w:highlight w:val="none"/>
                <w:lang w:eastAsia="zh-CN"/>
              </w:rPr>
              <w:t>响应文件</w:t>
            </w:r>
            <w:r>
              <w:rPr>
                <w:rFonts w:hint="eastAsia" w:ascii="仿宋" w:hAnsi="仿宋" w:eastAsia="仿宋" w:cs="仿宋"/>
                <w:b/>
                <w:bCs/>
                <w:color w:val="auto"/>
                <w:highlight w:val="none"/>
              </w:rPr>
              <w:t>章节及具体内容</w:t>
            </w:r>
          </w:p>
        </w:tc>
        <w:tc>
          <w:tcPr>
            <w:tcW w:w="1276" w:type="dxa"/>
            <w:vAlign w:val="center"/>
          </w:tcPr>
          <w:p w14:paraId="02321758">
            <w:pPr>
              <w:spacing w:after="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偏离说明</w:t>
            </w:r>
          </w:p>
        </w:tc>
      </w:tr>
      <w:tr w14:paraId="6B27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9046A58">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510" w:type="dxa"/>
          </w:tcPr>
          <w:p w14:paraId="42EE352F">
            <w:pPr>
              <w:spacing w:after="0"/>
              <w:jc w:val="center"/>
              <w:rPr>
                <w:rFonts w:hint="eastAsia" w:ascii="仿宋" w:hAnsi="仿宋" w:eastAsia="仿宋" w:cs="仿宋"/>
                <w:b/>
                <w:color w:val="auto"/>
                <w:sz w:val="32"/>
                <w:szCs w:val="32"/>
                <w:highlight w:val="none"/>
              </w:rPr>
            </w:pPr>
          </w:p>
        </w:tc>
        <w:tc>
          <w:tcPr>
            <w:tcW w:w="3246" w:type="dxa"/>
          </w:tcPr>
          <w:p w14:paraId="4CF941D0">
            <w:pPr>
              <w:spacing w:after="0"/>
              <w:jc w:val="center"/>
              <w:rPr>
                <w:rFonts w:hint="eastAsia" w:ascii="仿宋" w:hAnsi="仿宋" w:eastAsia="仿宋" w:cs="仿宋"/>
                <w:b/>
                <w:color w:val="auto"/>
                <w:sz w:val="32"/>
                <w:szCs w:val="32"/>
                <w:highlight w:val="none"/>
              </w:rPr>
            </w:pPr>
          </w:p>
        </w:tc>
        <w:tc>
          <w:tcPr>
            <w:tcW w:w="1276" w:type="dxa"/>
          </w:tcPr>
          <w:p w14:paraId="337D50CA">
            <w:pPr>
              <w:spacing w:after="0"/>
              <w:jc w:val="center"/>
              <w:rPr>
                <w:rFonts w:hint="eastAsia" w:ascii="仿宋" w:hAnsi="仿宋" w:eastAsia="仿宋" w:cs="仿宋"/>
                <w:b/>
                <w:color w:val="auto"/>
                <w:sz w:val="32"/>
                <w:szCs w:val="32"/>
                <w:highlight w:val="none"/>
              </w:rPr>
            </w:pPr>
          </w:p>
        </w:tc>
      </w:tr>
      <w:tr w14:paraId="4368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2FE1975">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510" w:type="dxa"/>
          </w:tcPr>
          <w:p w14:paraId="4EB08FDB">
            <w:pPr>
              <w:spacing w:after="0"/>
              <w:jc w:val="center"/>
              <w:rPr>
                <w:rFonts w:hint="eastAsia" w:ascii="仿宋" w:hAnsi="仿宋" w:eastAsia="仿宋" w:cs="仿宋"/>
                <w:b/>
                <w:color w:val="auto"/>
                <w:sz w:val="32"/>
                <w:szCs w:val="32"/>
                <w:highlight w:val="none"/>
              </w:rPr>
            </w:pPr>
          </w:p>
        </w:tc>
        <w:tc>
          <w:tcPr>
            <w:tcW w:w="3246" w:type="dxa"/>
          </w:tcPr>
          <w:p w14:paraId="1813CFD6">
            <w:pPr>
              <w:spacing w:after="0"/>
              <w:jc w:val="center"/>
              <w:rPr>
                <w:rFonts w:hint="eastAsia" w:ascii="仿宋" w:hAnsi="仿宋" w:eastAsia="仿宋" w:cs="仿宋"/>
                <w:b/>
                <w:color w:val="auto"/>
                <w:sz w:val="32"/>
                <w:szCs w:val="32"/>
                <w:highlight w:val="none"/>
              </w:rPr>
            </w:pPr>
          </w:p>
        </w:tc>
        <w:tc>
          <w:tcPr>
            <w:tcW w:w="1276" w:type="dxa"/>
          </w:tcPr>
          <w:p w14:paraId="0AE2D84F">
            <w:pPr>
              <w:spacing w:after="0"/>
              <w:jc w:val="center"/>
              <w:rPr>
                <w:rFonts w:hint="eastAsia" w:ascii="仿宋" w:hAnsi="仿宋" w:eastAsia="仿宋" w:cs="仿宋"/>
                <w:b/>
                <w:color w:val="auto"/>
                <w:sz w:val="32"/>
                <w:szCs w:val="32"/>
                <w:highlight w:val="none"/>
              </w:rPr>
            </w:pPr>
          </w:p>
        </w:tc>
      </w:tr>
      <w:tr w14:paraId="5718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74AC12E">
            <w:pPr>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3510" w:type="dxa"/>
          </w:tcPr>
          <w:p w14:paraId="40C19E0E">
            <w:pPr>
              <w:spacing w:after="0"/>
              <w:jc w:val="center"/>
              <w:rPr>
                <w:rFonts w:hint="eastAsia" w:ascii="仿宋" w:hAnsi="仿宋" w:eastAsia="仿宋" w:cs="仿宋"/>
                <w:b/>
                <w:color w:val="auto"/>
                <w:sz w:val="32"/>
                <w:szCs w:val="32"/>
                <w:highlight w:val="none"/>
              </w:rPr>
            </w:pPr>
          </w:p>
        </w:tc>
        <w:tc>
          <w:tcPr>
            <w:tcW w:w="3246" w:type="dxa"/>
          </w:tcPr>
          <w:p w14:paraId="6DD8EAFF">
            <w:pPr>
              <w:spacing w:after="0"/>
              <w:jc w:val="center"/>
              <w:rPr>
                <w:rFonts w:hint="eastAsia" w:ascii="仿宋" w:hAnsi="仿宋" w:eastAsia="仿宋" w:cs="仿宋"/>
                <w:b/>
                <w:color w:val="auto"/>
                <w:sz w:val="32"/>
                <w:szCs w:val="32"/>
                <w:highlight w:val="none"/>
              </w:rPr>
            </w:pPr>
          </w:p>
        </w:tc>
        <w:tc>
          <w:tcPr>
            <w:tcW w:w="1276" w:type="dxa"/>
          </w:tcPr>
          <w:p w14:paraId="3458131F">
            <w:pPr>
              <w:spacing w:after="0"/>
              <w:jc w:val="center"/>
              <w:rPr>
                <w:rFonts w:hint="eastAsia" w:ascii="仿宋" w:hAnsi="仿宋" w:eastAsia="仿宋" w:cs="仿宋"/>
                <w:b/>
                <w:color w:val="auto"/>
                <w:sz w:val="32"/>
                <w:szCs w:val="32"/>
                <w:highlight w:val="none"/>
              </w:rPr>
            </w:pPr>
          </w:p>
        </w:tc>
      </w:tr>
    </w:tbl>
    <w:p w14:paraId="7572C31D">
      <w:pPr>
        <w:rPr>
          <w:rFonts w:hint="eastAsia" w:ascii="仿宋" w:hAnsi="仿宋" w:eastAsia="仿宋" w:cs="仿宋"/>
          <w:color w:val="auto"/>
          <w:highlight w:val="none"/>
        </w:rPr>
      </w:pP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保证：除商务技术偏离表列出的偏离外，</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响应</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的全部要求</w:t>
      </w:r>
    </w:p>
    <w:p w14:paraId="69BB150F">
      <w:pPr>
        <w:spacing w:line="360" w:lineRule="auto"/>
        <w:ind w:right="42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47182F6C">
      <w:pPr>
        <w:spacing w:line="276"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706AA794">
      <w:pPr>
        <w:pStyle w:val="6"/>
        <w:rPr>
          <w:rFonts w:hint="eastAsia" w:ascii="仿宋" w:hAnsi="仿宋" w:eastAsia="仿宋" w:cs="仿宋"/>
          <w:color w:val="auto"/>
          <w:highlight w:val="none"/>
        </w:rPr>
      </w:pPr>
      <w:r>
        <w:rPr>
          <w:rFonts w:hint="eastAsia" w:ascii="仿宋" w:hAnsi="仿宋" w:eastAsia="仿宋" w:cs="仿宋"/>
          <w:bCs/>
          <w:color w:val="auto"/>
          <w:highlight w:val="none"/>
          <w:lang w:val="en-US" w:eastAsia="zh-CN"/>
        </w:rPr>
        <w:t>七</w:t>
      </w:r>
      <w:r>
        <w:rPr>
          <w:rFonts w:hint="eastAsia" w:ascii="仿宋" w:hAnsi="仿宋" w:eastAsia="仿宋" w:cs="仿宋"/>
          <w:color w:val="auto"/>
          <w:highlight w:val="none"/>
        </w:rPr>
        <w:t>、</w:t>
      </w:r>
      <w:r>
        <w:rPr>
          <w:rFonts w:hint="eastAsia" w:ascii="仿宋" w:hAnsi="仿宋" w:eastAsia="仿宋" w:cs="仿宋"/>
          <w:color w:val="auto"/>
          <w:highlight w:val="none"/>
          <w:lang w:val="zh-CN"/>
        </w:rPr>
        <w:t>交易响应人廉洁自律承诺书</w:t>
      </w:r>
    </w:p>
    <w:p w14:paraId="69B78061">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交易组织机构</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p>
    <w:p w14:paraId="790BA2DA">
      <w:pPr>
        <w:spacing w:after="0"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我单位响应你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项目</w:t>
      </w:r>
      <w:r>
        <w:rPr>
          <w:rFonts w:hint="eastAsia" w:cs="仿宋"/>
          <w:color w:val="auto"/>
          <w:highlight w:val="none"/>
          <w:lang w:val="zh-CN"/>
        </w:rPr>
        <w:t>交易</w:t>
      </w:r>
      <w:r>
        <w:rPr>
          <w:rFonts w:hint="eastAsia" w:ascii="仿宋" w:hAnsi="仿宋" w:eastAsia="仿宋" w:cs="仿宋"/>
          <w:color w:val="auto"/>
          <w:highlight w:val="none"/>
          <w:lang w:val="zh-CN"/>
        </w:rPr>
        <w:t>要求参加</w:t>
      </w:r>
      <w:r>
        <w:rPr>
          <w:rFonts w:hint="eastAsia" w:cs="仿宋"/>
          <w:color w:val="auto"/>
          <w:highlight w:val="none"/>
          <w:lang w:val="zh-CN"/>
        </w:rPr>
        <w:t>响应</w:t>
      </w:r>
      <w:r>
        <w:rPr>
          <w:rFonts w:hint="eastAsia" w:ascii="仿宋" w:hAnsi="仿宋" w:eastAsia="仿宋" w:cs="仿宋"/>
          <w:color w:val="auto"/>
          <w:highlight w:val="none"/>
          <w:lang w:val="zh-CN"/>
        </w:rPr>
        <w:t>。在这次</w:t>
      </w:r>
      <w:r>
        <w:rPr>
          <w:rFonts w:hint="eastAsia" w:cs="仿宋"/>
          <w:color w:val="auto"/>
          <w:highlight w:val="none"/>
          <w:lang w:val="zh-CN"/>
        </w:rPr>
        <w:t>响应</w:t>
      </w:r>
      <w:r>
        <w:rPr>
          <w:rFonts w:hint="eastAsia" w:ascii="仿宋" w:hAnsi="仿宋" w:eastAsia="仿宋" w:cs="仿宋"/>
          <w:color w:val="auto"/>
          <w:highlight w:val="none"/>
          <w:lang w:val="zh-CN"/>
        </w:rPr>
        <w:t>过程中和成交后，我们将严格遵守国家法律法规要求，并郑重承诺：</w:t>
      </w:r>
    </w:p>
    <w:p w14:paraId="37A5C6DF">
      <w:pPr>
        <w:spacing w:after="0"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一、不向项目有关人员及部门赠送礼金礼物、有价证券、回扣以及中介费、介绍费、咨询费等好处费； </w:t>
      </w:r>
    </w:p>
    <w:p w14:paraId="323F7DB9">
      <w:pPr>
        <w:spacing w:after="0"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二、不为项目有关人员及部门报销应由你方单位或个人支付的费用； </w:t>
      </w:r>
    </w:p>
    <w:p w14:paraId="55EC7CEC">
      <w:pPr>
        <w:spacing w:after="0"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三、不向项目有关人员及部门提供有可能影响公正的宴请和健身娱乐等活动； </w:t>
      </w:r>
    </w:p>
    <w:p w14:paraId="26A0CC8F">
      <w:pPr>
        <w:spacing w:after="0"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四、不为项目有关人员及部门出国（境）、旅游等提供方便；</w:t>
      </w:r>
    </w:p>
    <w:p w14:paraId="14E8D340">
      <w:pPr>
        <w:spacing w:after="0"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五、不为项目有关人员个人装修住房、婚丧嫁娶、配偶子女工作安排等提供</w:t>
      </w:r>
    </w:p>
    <w:p w14:paraId="4C6C3282">
      <w:pPr>
        <w:spacing w:after="0"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好处；</w:t>
      </w:r>
    </w:p>
    <w:p w14:paraId="7E2828A9">
      <w:pPr>
        <w:spacing w:after="0"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六、严格遵守《中华人民共和国招标投标法》《中华人民共和国民法典》等法律法规，诚实守信，合法经营，坚决抵制各种违法违纪行为。 </w:t>
      </w:r>
    </w:p>
    <w:p w14:paraId="1D04C958">
      <w:pPr>
        <w:spacing w:after="0"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如违反上述承诺，你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有权立即取消我单位</w:t>
      </w:r>
      <w:r>
        <w:rPr>
          <w:rFonts w:hint="eastAsia" w:cs="仿宋"/>
          <w:color w:val="auto"/>
          <w:highlight w:val="none"/>
          <w:lang w:val="zh-CN"/>
        </w:rPr>
        <w:t>响应</w:t>
      </w:r>
      <w:r>
        <w:rPr>
          <w:rFonts w:hint="eastAsia" w:ascii="仿宋" w:hAnsi="仿宋" w:eastAsia="仿宋" w:cs="仿宋"/>
          <w:color w:val="auto"/>
          <w:highlight w:val="none"/>
          <w:lang w:val="zh-CN"/>
        </w:rPr>
        <w:t>、成交或在建项目的建设资格，有权拒绝我单位在一定时期内进入你</w:t>
      </w:r>
      <w:r>
        <w:rPr>
          <w:rFonts w:hint="eastAsia" w:ascii="仿宋" w:hAnsi="仿宋" w:eastAsia="仿宋" w:cs="仿宋"/>
          <w:color w:val="auto"/>
          <w:highlight w:val="none"/>
        </w:rPr>
        <w:t>单位</w:t>
      </w:r>
      <w:r>
        <w:rPr>
          <w:rFonts w:hint="eastAsia" w:ascii="仿宋" w:hAnsi="仿宋" w:eastAsia="仿宋" w:cs="仿宋"/>
          <w:color w:val="auto"/>
          <w:highlight w:val="none"/>
          <w:lang w:val="zh-CN"/>
        </w:rPr>
        <w:t>进行项目建设或其他经营活动，并通报市财政局。由此引起的相应损失均由我单位承担。</w:t>
      </w:r>
    </w:p>
    <w:p w14:paraId="705C0939">
      <w:pPr>
        <w:spacing w:after="0" w:line="360" w:lineRule="auto"/>
        <w:rPr>
          <w:rFonts w:hint="eastAsia" w:ascii="仿宋" w:hAnsi="仿宋" w:eastAsia="仿宋" w:cs="仿宋"/>
          <w:color w:val="auto"/>
          <w:highlight w:val="none"/>
          <w:lang w:val="zh-CN"/>
        </w:rPr>
      </w:pPr>
    </w:p>
    <w:p w14:paraId="1F237818">
      <w:pPr>
        <w:spacing w:after="0" w:line="360" w:lineRule="auto"/>
        <w:rPr>
          <w:rFonts w:hint="eastAsia" w:ascii="仿宋" w:hAnsi="仿宋" w:eastAsia="仿宋" w:cs="仿宋"/>
          <w:color w:val="auto"/>
          <w:highlight w:val="none"/>
          <w:lang w:val="zh-CN"/>
        </w:rPr>
      </w:pPr>
    </w:p>
    <w:p w14:paraId="0D738CBF">
      <w:pPr>
        <w:spacing w:after="0" w:line="360" w:lineRule="auto"/>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响应人名称（</w:t>
      </w:r>
      <w:r>
        <w:rPr>
          <w:rFonts w:hint="eastAsia" w:ascii="仿宋" w:hAnsi="仿宋" w:eastAsia="仿宋" w:cs="仿宋"/>
          <w:color w:val="auto"/>
          <w:highlight w:val="none"/>
        </w:rPr>
        <w:t>电子签名</w:t>
      </w:r>
      <w:r>
        <w:rPr>
          <w:rFonts w:hint="eastAsia" w:ascii="仿宋" w:hAnsi="仿宋" w:eastAsia="仿宋" w:cs="仿宋"/>
          <w:color w:val="auto"/>
          <w:highlight w:val="none"/>
          <w:lang w:val="zh-CN"/>
        </w:rPr>
        <w:t xml:space="preserve">）： </w:t>
      </w:r>
    </w:p>
    <w:p w14:paraId="7960B95B">
      <w:pPr>
        <w:spacing w:after="0" w:line="360" w:lineRule="auto"/>
        <w:jc w:val="right"/>
        <w:rPr>
          <w:rFonts w:hint="eastAsia" w:ascii="仿宋" w:hAnsi="仿宋" w:eastAsia="仿宋" w:cs="仿宋"/>
          <w:color w:val="auto"/>
          <w:highlight w:val="none"/>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年   月   日</w:t>
      </w:r>
    </w:p>
    <w:p w14:paraId="11489CBD">
      <w:pPr>
        <w:spacing w:after="0" w:line="360" w:lineRule="auto"/>
        <w:rPr>
          <w:rFonts w:hint="eastAsia" w:ascii="仿宋" w:hAnsi="仿宋" w:eastAsia="仿宋" w:cs="仿宋"/>
          <w:b/>
          <w:bCs/>
          <w:color w:val="auto"/>
          <w:highlight w:val="none"/>
        </w:rPr>
      </w:pPr>
    </w:p>
    <w:p w14:paraId="48463087">
      <w:pPr>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2B3135FA">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336C6F3">
      <w:pPr>
        <w:pStyle w:val="6"/>
        <w:rPr>
          <w:rFonts w:hint="eastAsia" w:ascii="仿宋" w:hAnsi="仿宋" w:eastAsia="仿宋" w:cs="仿宋"/>
          <w:color w:val="auto"/>
          <w:highlight w:val="none"/>
        </w:rPr>
      </w:pPr>
      <w:r>
        <w:rPr>
          <w:rFonts w:hint="eastAsia" w:ascii="仿宋" w:hAnsi="仿宋" w:eastAsia="仿宋" w:cs="仿宋"/>
          <w:color w:val="auto"/>
          <w:highlight w:val="none"/>
        </w:rPr>
        <w:t>报价文件部分</w:t>
      </w:r>
    </w:p>
    <w:p w14:paraId="7463FF1B">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目录</w:t>
      </w:r>
    </w:p>
    <w:p w14:paraId="4B8E4E6A">
      <w:pPr>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交易一览表</w:t>
      </w:r>
      <w:r>
        <w:rPr>
          <w:rFonts w:hint="eastAsia" w:ascii="仿宋" w:hAnsi="仿宋" w:eastAsia="仿宋" w:cs="仿宋"/>
          <w:color w:val="auto"/>
          <w:highlight w:val="none"/>
        </w:rPr>
        <w:t>（报价表）…………………………………………………（页码）</w:t>
      </w:r>
    </w:p>
    <w:p w14:paraId="29D7485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579CABB">
      <w:pPr>
        <w:pStyle w:val="6"/>
        <w:rPr>
          <w:rFonts w:hint="eastAsia" w:ascii="仿宋" w:hAnsi="仿宋" w:eastAsia="仿宋" w:cs="仿宋"/>
          <w:color w:val="auto"/>
          <w:highlight w:val="none"/>
        </w:rPr>
      </w:pPr>
      <w:r>
        <w:rPr>
          <w:rFonts w:hint="eastAsia" w:ascii="仿宋" w:hAnsi="仿宋" w:eastAsia="仿宋" w:cs="仿宋"/>
          <w:color w:val="auto"/>
          <w:highlight w:val="none"/>
        </w:rPr>
        <w:t>一、</w:t>
      </w:r>
      <w:r>
        <w:rPr>
          <w:rFonts w:hint="eastAsia" w:ascii="仿宋" w:hAnsi="仿宋" w:eastAsia="仿宋" w:cs="仿宋"/>
          <w:color w:val="auto"/>
          <w:highlight w:val="none"/>
          <w:lang w:eastAsia="zh-CN"/>
        </w:rPr>
        <w:t>交易一览表</w:t>
      </w:r>
      <w:r>
        <w:rPr>
          <w:rFonts w:hint="eastAsia" w:ascii="仿宋" w:hAnsi="仿宋" w:eastAsia="仿宋" w:cs="仿宋"/>
          <w:color w:val="auto"/>
          <w:highlight w:val="none"/>
        </w:rPr>
        <w:t>（报价表）</w:t>
      </w:r>
    </w:p>
    <w:p w14:paraId="5DD23E07">
      <w:pP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交易组织机构</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p>
    <w:p w14:paraId="3523C854">
      <w:pPr>
        <w:ind w:firstLine="48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按你方交易文件要求，我们，本响应文件签字方，谨此向你方发出要约如下：如你方接受本</w:t>
      </w:r>
      <w:r>
        <w:rPr>
          <w:rFonts w:hint="eastAsia" w:cs="仿宋"/>
          <w:color w:val="auto"/>
          <w:highlight w:val="none"/>
          <w:lang w:val="zh-CN"/>
        </w:rPr>
        <w:t>响应</w:t>
      </w:r>
      <w:r>
        <w:rPr>
          <w:rFonts w:hint="eastAsia" w:ascii="仿宋" w:hAnsi="仿宋" w:eastAsia="仿宋" w:cs="仿宋"/>
          <w:color w:val="auto"/>
          <w:highlight w:val="none"/>
          <w:lang w:val="zh-CN"/>
        </w:rPr>
        <w:t>，我方承诺按照如下交易一览表（报价表）的价格完成</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highlight w:val="none"/>
        </w:rPr>
        <w:t>（项目名称）</w:t>
      </w:r>
      <w:r>
        <w:rPr>
          <w:rFonts w:hint="eastAsia" w:ascii="仿宋" w:hAnsi="仿宋" w:eastAsia="仿宋" w:cs="仿宋"/>
          <w:color w:val="auto"/>
          <w:highlight w:val="none"/>
          <w:lang w:val="zh-CN"/>
        </w:rPr>
        <w:t>【</w:t>
      </w:r>
      <w:r>
        <w:rPr>
          <w:rFonts w:hint="eastAsia" w:cs="仿宋"/>
          <w:color w:val="auto"/>
          <w:highlight w:val="none"/>
          <w:lang w:val="zh-CN"/>
        </w:rPr>
        <w:t>交易编号</w:t>
      </w:r>
      <w:r>
        <w:rPr>
          <w:rFonts w:hint="eastAsia" w:ascii="仿宋" w:hAnsi="仿宋" w:eastAsia="仿宋" w:cs="仿宋"/>
          <w:color w:val="auto"/>
          <w:highlight w:val="none"/>
          <w:lang w:val="zh-CN"/>
        </w:rPr>
        <w:t>：</w:t>
      </w:r>
      <w:r>
        <w:rPr>
          <w:rFonts w:hint="eastAsia" w:ascii="仿宋" w:hAnsi="仿宋" w:eastAsia="仿宋" w:cs="仿宋"/>
          <w:color w:val="auto"/>
          <w:highlight w:val="none"/>
          <w:u w:val="single"/>
        </w:rPr>
        <w:t>（</w:t>
      </w:r>
      <w:r>
        <w:rPr>
          <w:rFonts w:hint="eastAsia" w:cs="仿宋"/>
          <w:color w:val="auto"/>
          <w:highlight w:val="none"/>
          <w:u w:val="single"/>
          <w:lang w:eastAsia="zh-CN"/>
        </w:rPr>
        <w:t>交易编号</w:t>
      </w:r>
      <w:r>
        <w:rPr>
          <w:rFonts w:hint="eastAsia" w:ascii="仿宋" w:hAnsi="仿宋" w:eastAsia="仿宋" w:cs="仿宋"/>
          <w:color w:val="auto"/>
          <w:highlight w:val="none"/>
          <w:u w:val="single"/>
        </w:rPr>
        <w:t>）</w:t>
      </w:r>
      <w:r>
        <w:rPr>
          <w:rFonts w:hint="eastAsia" w:ascii="仿宋" w:hAnsi="仿宋" w:eastAsia="仿宋" w:cs="仿宋"/>
          <w:color w:val="auto"/>
          <w:highlight w:val="none"/>
        </w:rPr>
        <w:t>】的实施</w:t>
      </w:r>
      <w:r>
        <w:rPr>
          <w:rFonts w:hint="eastAsia" w:ascii="仿宋" w:hAnsi="仿宋" w:eastAsia="仿宋" w:cs="仿宋"/>
          <w:color w:val="auto"/>
          <w:highlight w:val="none"/>
          <w:lang w:val="zh-CN"/>
        </w:rPr>
        <w:t>。</w:t>
      </w:r>
    </w:p>
    <w:p w14:paraId="703E3CAC">
      <w:pPr>
        <w:spacing w:after="0" w:line="360" w:lineRule="auto"/>
        <w:jc w:val="center"/>
        <w:rPr>
          <w:rFonts w:hint="eastAsia" w:ascii="仿宋" w:hAnsi="仿宋" w:eastAsia="仿宋" w:cs="仿宋"/>
          <w:b/>
          <w:color w:val="auto"/>
          <w:sz w:val="30"/>
          <w:szCs w:val="30"/>
          <w:highlight w:val="none"/>
          <w:lang w:val="zh-CN"/>
        </w:rPr>
      </w:pPr>
      <w:r>
        <w:rPr>
          <w:rFonts w:hint="eastAsia" w:ascii="仿宋" w:hAnsi="仿宋" w:eastAsia="仿宋" w:cs="仿宋"/>
          <w:b/>
          <w:color w:val="auto"/>
          <w:sz w:val="30"/>
          <w:szCs w:val="30"/>
          <w:highlight w:val="none"/>
          <w:lang w:val="zh-CN"/>
        </w:rPr>
        <w:t>交易一览表（报价表）</w:t>
      </w:r>
    </w:p>
    <w:p w14:paraId="34B1E6EA">
      <w:pPr>
        <w:spacing w:after="0" w:line="360" w:lineRule="auto"/>
        <w:jc w:val="right"/>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(单位均为人民币元)</w:t>
      </w:r>
    </w:p>
    <w:tbl>
      <w:tblPr>
        <w:tblStyle w:val="33"/>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069"/>
        <w:gridCol w:w="1687"/>
        <w:gridCol w:w="995"/>
        <w:gridCol w:w="1053"/>
        <w:gridCol w:w="1185"/>
        <w:gridCol w:w="1185"/>
      </w:tblGrid>
      <w:tr w14:paraId="25DC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35" w:type="dxa"/>
            <w:vAlign w:val="center"/>
          </w:tcPr>
          <w:p w14:paraId="45170D3B">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069" w:type="dxa"/>
            <w:vAlign w:val="center"/>
          </w:tcPr>
          <w:p w14:paraId="1B4C92F2">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687" w:type="dxa"/>
            <w:vAlign w:val="center"/>
          </w:tcPr>
          <w:p w14:paraId="7298952B">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zh-CN"/>
              </w:rPr>
              <w:t>具体服务</w:t>
            </w:r>
          </w:p>
        </w:tc>
        <w:tc>
          <w:tcPr>
            <w:tcW w:w="995" w:type="dxa"/>
            <w:vAlign w:val="center"/>
          </w:tcPr>
          <w:p w14:paraId="6397E819">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053" w:type="dxa"/>
            <w:vAlign w:val="center"/>
          </w:tcPr>
          <w:p w14:paraId="391ABE33">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tc>
        <w:tc>
          <w:tcPr>
            <w:tcW w:w="1185" w:type="dxa"/>
            <w:vAlign w:val="center"/>
          </w:tcPr>
          <w:p w14:paraId="0653C1B1">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b/>
                <w:color w:val="auto"/>
                <w:sz w:val="24"/>
                <w:szCs w:val="24"/>
                <w:highlight w:val="none"/>
                <w:lang w:val="en-US" w:eastAsia="zh-CN"/>
              </w:rPr>
            </w:pPr>
            <w:r>
              <w:rPr>
                <w:rFonts w:hint="eastAsia" w:cs="仿宋"/>
                <w:b/>
                <w:color w:val="auto"/>
                <w:sz w:val="24"/>
                <w:szCs w:val="24"/>
                <w:highlight w:val="none"/>
                <w:lang w:val="en-US" w:eastAsia="zh-CN"/>
              </w:rPr>
              <w:t>合价</w:t>
            </w:r>
          </w:p>
        </w:tc>
        <w:tc>
          <w:tcPr>
            <w:tcW w:w="1185" w:type="dxa"/>
            <w:vAlign w:val="center"/>
          </w:tcPr>
          <w:p w14:paraId="7B7C6B63">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b/>
                <w:color w:val="auto"/>
                <w:sz w:val="24"/>
                <w:szCs w:val="24"/>
                <w:highlight w:val="none"/>
                <w:lang w:eastAsia="zh-CN"/>
              </w:rPr>
            </w:pPr>
            <w:r>
              <w:rPr>
                <w:rFonts w:hint="eastAsia" w:cs="仿宋"/>
                <w:b/>
                <w:color w:val="auto"/>
                <w:sz w:val="24"/>
                <w:szCs w:val="24"/>
                <w:highlight w:val="none"/>
                <w:lang w:val="en-US" w:eastAsia="zh-CN"/>
              </w:rPr>
              <w:t>备注</w:t>
            </w:r>
          </w:p>
        </w:tc>
      </w:tr>
      <w:tr w14:paraId="6AC4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35" w:type="dxa"/>
            <w:vAlign w:val="center"/>
          </w:tcPr>
          <w:p w14:paraId="0ED3DA26">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4"/>
                <w:szCs w:val="24"/>
                <w:highlight w:val="none"/>
                <w:lang w:val="en-US" w:eastAsia="zh-CN"/>
              </w:rPr>
            </w:pPr>
          </w:p>
        </w:tc>
        <w:tc>
          <w:tcPr>
            <w:tcW w:w="2069" w:type="dxa"/>
            <w:vAlign w:val="center"/>
          </w:tcPr>
          <w:p w14:paraId="397FC0D9">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color w:val="auto"/>
                <w:sz w:val="24"/>
                <w:szCs w:val="24"/>
                <w:highlight w:val="none"/>
              </w:rPr>
            </w:pPr>
          </w:p>
        </w:tc>
        <w:tc>
          <w:tcPr>
            <w:tcW w:w="1687" w:type="dxa"/>
            <w:vAlign w:val="center"/>
          </w:tcPr>
          <w:p w14:paraId="06418E7D">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4"/>
                <w:szCs w:val="24"/>
                <w:highlight w:val="none"/>
              </w:rPr>
            </w:pPr>
          </w:p>
        </w:tc>
        <w:tc>
          <w:tcPr>
            <w:tcW w:w="995" w:type="dxa"/>
            <w:vAlign w:val="center"/>
          </w:tcPr>
          <w:p w14:paraId="728A284C">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4"/>
                <w:szCs w:val="24"/>
                <w:highlight w:val="none"/>
                <w:lang w:val="en-US" w:eastAsia="zh-CN"/>
              </w:rPr>
            </w:pPr>
          </w:p>
        </w:tc>
        <w:tc>
          <w:tcPr>
            <w:tcW w:w="1053" w:type="dxa"/>
            <w:vAlign w:val="center"/>
          </w:tcPr>
          <w:p w14:paraId="40A53639">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4"/>
                <w:szCs w:val="24"/>
                <w:highlight w:val="none"/>
                <w:lang w:val="en-US"/>
              </w:rPr>
            </w:pPr>
          </w:p>
        </w:tc>
        <w:tc>
          <w:tcPr>
            <w:tcW w:w="1185" w:type="dxa"/>
            <w:vAlign w:val="center"/>
          </w:tcPr>
          <w:p w14:paraId="391D64D5">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4"/>
                <w:szCs w:val="24"/>
                <w:highlight w:val="none"/>
              </w:rPr>
            </w:pPr>
          </w:p>
        </w:tc>
        <w:tc>
          <w:tcPr>
            <w:tcW w:w="1185" w:type="dxa"/>
            <w:vAlign w:val="center"/>
          </w:tcPr>
          <w:p w14:paraId="1709C27B">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4"/>
                <w:szCs w:val="24"/>
                <w:highlight w:val="none"/>
              </w:rPr>
            </w:pPr>
          </w:p>
        </w:tc>
      </w:tr>
      <w:tr w14:paraId="1A27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35" w:type="dxa"/>
            <w:vAlign w:val="center"/>
          </w:tcPr>
          <w:p w14:paraId="0C667498">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4"/>
                <w:szCs w:val="24"/>
                <w:highlight w:val="none"/>
                <w:lang w:val="en-US" w:eastAsia="zh-CN"/>
              </w:rPr>
            </w:pPr>
          </w:p>
        </w:tc>
        <w:tc>
          <w:tcPr>
            <w:tcW w:w="2069" w:type="dxa"/>
            <w:vAlign w:val="center"/>
          </w:tcPr>
          <w:p w14:paraId="62028E3A">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color w:val="auto"/>
                <w:sz w:val="24"/>
                <w:szCs w:val="24"/>
                <w:highlight w:val="none"/>
              </w:rPr>
            </w:pPr>
          </w:p>
        </w:tc>
        <w:tc>
          <w:tcPr>
            <w:tcW w:w="1687" w:type="dxa"/>
            <w:vAlign w:val="center"/>
          </w:tcPr>
          <w:p w14:paraId="76FDA3FE">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4"/>
                <w:szCs w:val="24"/>
                <w:highlight w:val="none"/>
              </w:rPr>
            </w:pPr>
          </w:p>
        </w:tc>
        <w:tc>
          <w:tcPr>
            <w:tcW w:w="995" w:type="dxa"/>
            <w:vAlign w:val="center"/>
          </w:tcPr>
          <w:p w14:paraId="472E373E">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4"/>
                <w:szCs w:val="24"/>
                <w:highlight w:val="none"/>
                <w:lang w:val="en-US" w:eastAsia="zh-CN"/>
              </w:rPr>
            </w:pPr>
          </w:p>
        </w:tc>
        <w:tc>
          <w:tcPr>
            <w:tcW w:w="1053" w:type="dxa"/>
            <w:vAlign w:val="center"/>
          </w:tcPr>
          <w:p w14:paraId="1A21299C">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4"/>
                <w:szCs w:val="24"/>
                <w:highlight w:val="none"/>
              </w:rPr>
            </w:pPr>
          </w:p>
        </w:tc>
        <w:tc>
          <w:tcPr>
            <w:tcW w:w="1185" w:type="dxa"/>
            <w:vAlign w:val="center"/>
          </w:tcPr>
          <w:p w14:paraId="4EC64427">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4"/>
                <w:szCs w:val="24"/>
                <w:highlight w:val="none"/>
              </w:rPr>
            </w:pPr>
          </w:p>
        </w:tc>
        <w:tc>
          <w:tcPr>
            <w:tcW w:w="1185" w:type="dxa"/>
            <w:vAlign w:val="center"/>
          </w:tcPr>
          <w:p w14:paraId="1C78B0E0">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4"/>
                <w:szCs w:val="24"/>
                <w:highlight w:val="none"/>
              </w:rPr>
            </w:pPr>
          </w:p>
        </w:tc>
      </w:tr>
      <w:tr w14:paraId="5F88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35" w:type="dxa"/>
            <w:vAlign w:val="center"/>
          </w:tcPr>
          <w:p w14:paraId="074F0FC2">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4"/>
                <w:szCs w:val="24"/>
                <w:highlight w:val="none"/>
                <w:lang w:val="en-US" w:eastAsia="zh-CN"/>
              </w:rPr>
            </w:pPr>
          </w:p>
        </w:tc>
        <w:tc>
          <w:tcPr>
            <w:tcW w:w="2069" w:type="dxa"/>
            <w:vAlign w:val="center"/>
          </w:tcPr>
          <w:p w14:paraId="45C44D95">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color w:val="auto"/>
                <w:sz w:val="24"/>
                <w:szCs w:val="24"/>
                <w:highlight w:val="none"/>
              </w:rPr>
            </w:pPr>
          </w:p>
        </w:tc>
        <w:tc>
          <w:tcPr>
            <w:tcW w:w="1687" w:type="dxa"/>
            <w:vAlign w:val="center"/>
          </w:tcPr>
          <w:p w14:paraId="6D77395E">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4"/>
                <w:szCs w:val="24"/>
                <w:highlight w:val="none"/>
              </w:rPr>
            </w:pPr>
          </w:p>
        </w:tc>
        <w:tc>
          <w:tcPr>
            <w:tcW w:w="995" w:type="dxa"/>
            <w:vAlign w:val="center"/>
          </w:tcPr>
          <w:p w14:paraId="4AB5E8B1">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4"/>
                <w:szCs w:val="24"/>
                <w:highlight w:val="none"/>
                <w:lang w:val="en-US" w:eastAsia="zh-CN"/>
              </w:rPr>
            </w:pPr>
          </w:p>
        </w:tc>
        <w:tc>
          <w:tcPr>
            <w:tcW w:w="1053" w:type="dxa"/>
            <w:vAlign w:val="center"/>
          </w:tcPr>
          <w:p w14:paraId="0E789990">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4"/>
                <w:szCs w:val="24"/>
                <w:highlight w:val="none"/>
              </w:rPr>
            </w:pPr>
          </w:p>
        </w:tc>
        <w:tc>
          <w:tcPr>
            <w:tcW w:w="1185" w:type="dxa"/>
            <w:vAlign w:val="center"/>
          </w:tcPr>
          <w:p w14:paraId="101DF408">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4"/>
                <w:szCs w:val="24"/>
                <w:highlight w:val="none"/>
              </w:rPr>
            </w:pPr>
          </w:p>
        </w:tc>
        <w:tc>
          <w:tcPr>
            <w:tcW w:w="1185" w:type="dxa"/>
            <w:vAlign w:val="center"/>
          </w:tcPr>
          <w:p w14:paraId="7564DF2A">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4"/>
                <w:szCs w:val="24"/>
                <w:highlight w:val="none"/>
              </w:rPr>
            </w:pPr>
          </w:p>
        </w:tc>
      </w:tr>
      <w:tr w14:paraId="7EFD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339" w:type="dxa"/>
            <w:gridSpan w:val="5"/>
            <w:vAlign w:val="center"/>
          </w:tcPr>
          <w:p w14:paraId="125ABBAE">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报价（小写）</w:t>
            </w:r>
          </w:p>
        </w:tc>
        <w:tc>
          <w:tcPr>
            <w:tcW w:w="2370" w:type="dxa"/>
            <w:gridSpan w:val="2"/>
            <w:vAlign w:val="center"/>
          </w:tcPr>
          <w:p w14:paraId="3DA6CFA1">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4"/>
                <w:szCs w:val="24"/>
                <w:highlight w:val="none"/>
              </w:rPr>
            </w:pPr>
          </w:p>
        </w:tc>
      </w:tr>
      <w:tr w14:paraId="3A13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339" w:type="dxa"/>
            <w:gridSpan w:val="5"/>
            <w:vAlign w:val="center"/>
          </w:tcPr>
          <w:p w14:paraId="67D3FE18">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报价（大写）</w:t>
            </w:r>
          </w:p>
        </w:tc>
        <w:tc>
          <w:tcPr>
            <w:tcW w:w="2370" w:type="dxa"/>
            <w:gridSpan w:val="2"/>
            <w:vAlign w:val="center"/>
          </w:tcPr>
          <w:p w14:paraId="4B5BED87">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4"/>
                <w:szCs w:val="24"/>
                <w:highlight w:val="none"/>
              </w:rPr>
            </w:pPr>
          </w:p>
        </w:tc>
      </w:tr>
    </w:tbl>
    <w:p w14:paraId="06246284">
      <w:pPr>
        <w:snapToGrid/>
        <w:spacing w:after="0" w:line="360" w:lineRule="auto"/>
        <w:ind w:left="0" w:firstLine="480" w:firstLineChars="200"/>
        <w:rPr>
          <w:rFonts w:hint="eastAsia" w:ascii="仿宋" w:hAnsi="仿宋" w:eastAsia="仿宋" w:cs="仿宋"/>
          <w:b w:val="0"/>
          <w:color w:val="auto"/>
          <w:kern w:val="0"/>
          <w:sz w:val="24"/>
          <w:highlight w:val="none"/>
          <w:lang w:val="zh-CN"/>
        </w:rPr>
      </w:pPr>
      <w:r>
        <w:rPr>
          <w:rFonts w:hint="eastAsia" w:ascii="仿宋" w:hAnsi="仿宋" w:eastAsia="仿宋" w:cs="仿宋"/>
          <w:b w:val="0"/>
          <w:color w:val="auto"/>
          <w:kern w:val="0"/>
          <w:sz w:val="24"/>
          <w:highlight w:val="none"/>
          <w:lang w:val="zh-CN"/>
        </w:rPr>
        <w:t>注：</w:t>
      </w:r>
    </w:p>
    <w:p w14:paraId="19B69DFA">
      <w:pPr>
        <w:spacing w:after="0" w:line="360" w:lineRule="auto"/>
        <w:ind w:left="0" w:leftChars="0"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1、响应人需按本表格式填写，不得自行更改。</w:t>
      </w:r>
    </w:p>
    <w:p w14:paraId="647C98FD">
      <w:pPr>
        <w:snapToGrid/>
        <w:spacing w:after="0" w:line="360" w:lineRule="auto"/>
        <w:ind w:left="0"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val="0"/>
          <w:color w:val="auto"/>
          <w:kern w:val="0"/>
          <w:sz w:val="24"/>
          <w:highlight w:val="none"/>
          <w:lang w:val="zh-CN"/>
        </w:rPr>
        <w:t>交易发起人将以合同形式有偿取得货物或服务，不接受响应人给予的赠品、回扣或者与采购无关的其他商品、服务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val="0"/>
          <w:color w:val="auto"/>
          <w:kern w:val="0"/>
          <w:sz w:val="24"/>
          <w:highlight w:val="none"/>
          <w:lang w:val="zh-CN"/>
        </w:rPr>
        <w:t>各项明细费用请按实填写（不得出现“0元”“免费赠送”等形式的无偿报价）。</w:t>
      </w:r>
    </w:p>
    <w:p w14:paraId="429D16C6">
      <w:pPr>
        <w:spacing w:after="0" w:line="360" w:lineRule="auto"/>
        <w:ind w:firstLine="480" w:firstLineChars="200"/>
        <w:jc w:val="left"/>
        <w:rPr>
          <w:rFonts w:hint="eastAsia" w:ascii="仿宋" w:hAnsi="仿宋" w:eastAsia="仿宋" w:cs="仿宋"/>
          <w:color w:val="auto"/>
          <w:highlight w:val="none"/>
          <w:lang w:val="zh-CN"/>
        </w:rPr>
      </w:pPr>
      <w:r>
        <w:rPr>
          <w:rFonts w:hint="eastAsia" w:ascii="仿宋" w:hAnsi="仿宋" w:eastAsia="仿宋" w:cs="仿宋"/>
          <w:color w:val="auto"/>
          <w:kern w:val="0"/>
          <w:sz w:val="24"/>
          <w:highlight w:val="none"/>
          <w:lang w:val="zh-CN"/>
        </w:rPr>
        <w:t>3、特别提示：交易组织机构将对项目名称和项目编号，成交人名称、地址和成交金额，主要成交标的的名称、数量、单价、服务要求等予以公示。</w:t>
      </w:r>
    </w:p>
    <w:p w14:paraId="6797E668">
      <w:pPr>
        <w:spacing w:after="0" w:line="360" w:lineRule="auto"/>
        <w:jc w:val="right"/>
        <w:rPr>
          <w:rFonts w:hint="eastAsia" w:ascii="仿宋" w:hAnsi="仿宋" w:eastAsia="仿宋" w:cs="仿宋"/>
          <w:color w:val="auto"/>
          <w:highlight w:val="none"/>
          <w:lang w:val="zh-CN"/>
        </w:rPr>
      </w:pPr>
    </w:p>
    <w:p w14:paraId="268FC214">
      <w:pPr>
        <w:spacing w:after="0" w:line="360" w:lineRule="auto"/>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响应人名称（</w:t>
      </w:r>
      <w:r>
        <w:rPr>
          <w:rFonts w:hint="eastAsia" w:ascii="仿宋" w:hAnsi="仿宋" w:eastAsia="仿宋" w:cs="仿宋"/>
          <w:color w:val="auto"/>
          <w:highlight w:val="none"/>
        </w:rPr>
        <w:t>电子签名</w:t>
      </w:r>
      <w:r>
        <w:rPr>
          <w:rFonts w:hint="eastAsia" w:ascii="仿宋" w:hAnsi="仿宋" w:eastAsia="仿宋" w:cs="仿宋"/>
          <w:color w:val="auto"/>
          <w:highlight w:val="none"/>
          <w:lang w:val="zh-CN"/>
        </w:rPr>
        <w:t xml:space="preserve">）： </w:t>
      </w:r>
    </w:p>
    <w:p w14:paraId="4FC56FE5">
      <w:pPr>
        <w:spacing w:after="0" w:line="360" w:lineRule="auto"/>
        <w:jc w:val="right"/>
        <w:rPr>
          <w:rFonts w:hint="eastAsia" w:ascii="仿宋" w:hAnsi="仿宋" w:eastAsia="仿宋" w:cs="仿宋"/>
          <w:color w:val="auto"/>
          <w:highlight w:val="none"/>
        </w:rPr>
      </w:pPr>
      <w:r>
        <w:rPr>
          <w:rFonts w:hint="eastAsia" w:ascii="仿宋" w:hAnsi="仿宋" w:eastAsia="仿宋" w:cs="仿宋"/>
          <w:color w:val="auto"/>
          <w:highlight w:val="none"/>
          <w:lang w:val="zh-CN"/>
        </w:rPr>
        <w:t>日期</w:t>
      </w:r>
      <w:r>
        <w:rPr>
          <w:rFonts w:hint="eastAsia" w:ascii="仿宋" w:hAnsi="仿宋" w:eastAsia="仿宋" w:cs="仿宋"/>
          <w:color w:val="auto"/>
          <w:highlight w:val="none"/>
        </w:rPr>
        <w:t>：</w:t>
      </w:r>
      <w:r>
        <w:rPr>
          <w:rFonts w:hint="eastAsia" w:ascii="仿宋" w:hAnsi="仿宋" w:eastAsia="仿宋" w:cs="仿宋"/>
          <w:color w:val="auto"/>
          <w:highlight w:val="none"/>
          <w:lang w:val="zh-CN"/>
        </w:rPr>
        <w:t xml:space="preserve">   年   月   日</w:t>
      </w:r>
    </w:p>
    <w:p w14:paraId="2F036D68">
      <w:pPr>
        <w:pStyle w:val="2"/>
        <w:rPr>
          <w:rFonts w:hint="eastAsia" w:ascii="仿宋" w:hAnsi="仿宋" w:eastAsia="仿宋" w:cs="仿宋"/>
          <w:color w:val="auto"/>
          <w:highlight w:val="none"/>
        </w:rPr>
        <w:sectPr>
          <w:headerReference r:id="rId4" w:type="default"/>
          <w:footerReference r:id="rId5" w:type="default"/>
          <w:pgSz w:w="11906" w:h="16838"/>
          <w:pgMar w:top="1440" w:right="1700" w:bottom="1440" w:left="1800" w:header="851" w:footer="992" w:gutter="0"/>
          <w:pgBorders>
            <w:top w:val="none" w:sz="0" w:space="0"/>
            <w:left w:val="none" w:sz="0" w:space="0"/>
            <w:bottom w:val="none" w:sz="0" w:space="0"/>
            <w:right w:val="none" w:sz="0" w:space="0"/>
          </w:pgBorders>
          <w:cols w:space="425" w:num="1"/>
          <w:docGrid w:type="lines" w:linePitch="326" w:charSpace="0"/>
        </w:sectPr>
      </w:pPr>
    </w:p>
    <w:p w14:paraId="1CEE67D9">
      <w:pPr>
        <w:pStyle w:val="6"/>
        <w:jc w:val="left"/>
        <w:rPr>
          <w:rFonts w:hint="eastAsia" w:ascii="仿宋" w:hAnsi="仿宋" w:eastAsia="仿宋" w:cs="仿宋"/>
          <w:color w:val="auto"/>
          <w:highlight w:val="none"/>
        </w:rPr>
      </w:pPr>
      <w:r>
        <w:rPr>
          <w:rFonts w:hint="eastAsia" w:ascii="仿宋" w:hAnsi="仿宋" w:eastAsia="仿宋" w:cs="仿宋"/>
          <w:color w:val="auto"/>
          <w:highlight w:val="none"/>
        </w:rPr>
        <w:t>附件：质疑函范本及制作说明</w:t>
      </w:r>
    </w:p>
    <w:p w14:paraId="4E1869D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F3DC667">
      <w:pPr>
        <w:pStyle w:val="72"/>
        <w:spacing w:after="0"/>
        <w:rPr>
          <w:rFonts w:hint="eastAsia" w:ascii="仿宋" w:hAnsi="仿宋" w:eastAsia="仿宋" w:cs="仿宋"/>
          <w:color w:val="auto"/>
          <w:highlight w:val="none"/>
        </w:rPr>
      </w:pPr>
      <w:r>
        <w:rPr>
          <w:rFonts w:hint="eastAsia" w:ascii="仿宋" w:hAnsi="仿宋" w:eastAsia="仿宋" w:cs="仿宋"/>
          <w:color w:val="auto"/>
          <w:highlight w:val="none"/>
        </w:rPr>
        <w:t>一、质疑</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基本信息</w:t>
      </w:r>
    </w:p>
    <w:p w14:paraId="71AB4406">
      <w:pPr>
        <w:pStyle w:val="72"/>
        <w:spacing w:after="0"/>
        <w:rPr>
          <w:rFonts w:hint="eastAsia" w:ascii="仿宋" w:hAnsi="仿宋" w:eastAsia="仿宋" w:cs="仿宋"/>
          <w:color w:val="auto"/>
          <w:highlight w:val="none"/>
          <w:u w:val="dotted"/>
        </w:rPr>
      </w:pPr>
      <w:r>
        <w:rPr>
          <w:rFonts w:hint="eastAsia" w:ascii="仿宋" w:hAnsi="仿宋" w:eastAsia="仿宋" w:cs="仿宋"/>
          <w:color w:val="auto"/>
          <w:highlight w:val="none"/>
        </w:rPr>
        <w:t>质疑</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w:t>
      </w:r>
    </w:p>
    <w:p w14:paraId="31C23585">
      <w:pPr>
        <w:pStyle w:val="72"/>
        <w:spacing w:after="0"/>
        <w:rPr>
          <w:rFonts w:hint="eastAsia" w:ascii="仿宋" w:hAnsi="仿宋" w:eastAsia="仿宋" w:cs="仿宋"/>
          <w:color w:val="auto"/>
          <w:highlight w:val="none"/>
        </w:rPr>
      </w:pPr>
      <w:r>
        <w:rPr>
          <w:rFonts w:hint="eastAsia" w:ascii="仿宋" w:hAnsi="仿宋" w:eastAsia="仿宋" w:cs="仿宋"/>
          <w:color w:val="auto"/>
          <w:highlight w:val="none"/>
        </w:rPr>
        <w:t>地址：邮编：</w:t>
      </w:r>
    </w:p>
    <w:p w14:paraId="52F2B2AC">
      <w:pPr>
        <w:pStyle w:val="72"/>
        <w:spacing w:after="0"/>
        <w:rPr>
          <w:rFonts w:hint="eastAsia" w:ascii="仿宋" w:hAnsi="仿宋" w:eastAsia="仿宋" w:cs="仿宋"/>
          <w:color w:val="auto"/>
          <w:highlight w:val="none"/>
        </w:rPr>
      </w:pPr>
      <w:r>
        <w:rPr>
          <w:rFonts w:hint="eastAsia" w:ascii="仿宋" w:hAnsi="仿宋" w:eastAsia="仿宋" w:cs="仿宋"/>
          <w:color w:val="auto"/>
          <w:highlight w:val="none"/>
        </w:rPr>
        <w:t>联系人：联系电话：</w:t>
      </w:r>
    </w:p>
    <w:p w14:paraId="41DE1DBA">
      <w:pPr>
        <w:pStyle w:val="72"/>
        <w:spacing w:after="0"/>
        <w:rPr>
          <w:rFonts w:hint="eastAsia" w:ascii="仿宋" w:hAnsi="仿宋" w:eastAsia="仿宋" w:cs="仿宋"/>
          <w:color w:val="auto"/>
          <w:highlight w:val="none"/>
          <w:u w:val="dotted"/>
        </w:rPr>
      </w:pPr>
      <w:r>
        <w:rPr>
          <w:rFonts w:hint="eastAsia" w:ascii="仿宋" w:hAnsi="仿宋" w:eastAsia="仿宋" w:cs="仿宋"/>
          <w:color w:val="auto"/>
          <w:highlight w:val="none"/>
        </w:rPr>
        <w:t>授权代表：</w:t>
      </w:r>
    </w:p>
    <w:p w14:paraId="5DF00967">
      <w:pPr>
        <w:pStyle w:val="72"/>
        <w:spacing w:after="0"/>
        <w:rPr>
          <w:rFonts w:hint="eastAsia" w:ascii="仿宋" w:hAnsi="仿宋" w:eastAsia="仿宋" w:cs="仿宋"/>
          <w:color w:val="auto"/>
          <w:highlight w:val="none"/>
        </w:rPr>
      </w:pPr>
      <w:r>
        <w:rPr>
          <w:rFonts w:hint="eastAsia" w:ascii="仿宋" w:hAnsi="仿宋" w:eastAsia="仿宋" w:cs="仿宋"/>
          <w:color w:val="auto"/>
          <w:highlight w:val="none"/>
        </w:rPr>
        <w:t>联系电话：</w:t>
      </w:r>
    </w:p>
    <w:p w14:paraId="6E589AC2">
      <w:pPr>
        <w:pStyle w:val="72"/>
        <w:spacing w:after="0"/>
        <w:rPr>
          <w:rFonts w:hint="eastAsia" w:ascii="仿宋" w:hAnsi="仿宋" w:eastAsia="仿宋" w:cs="仿宋"/>
          <w:color w:val="auto"/>
          <w:highlight w:val="none"/>
        </w:rPr>
      </w:pPr>
      <w:r>
        <w:rPr>
          <w:rFonts w:hint="eastAsia" w:ascii="仿宋" w:hAnsi="仿宋" w:eastAsia="仿宋" w:cs="仿宋"/>
          <w:color w:val="auto"/>
          <w:highlight w:val="none"/>
        </w:rPr>
        <w:t>地址： 邮编：</w:t>
      </w:r>
    </w:p>
    <w:p w14:paraId="01B8F8DD">
      <w:pPr>
        <w:pStyle w:val="72"/>
        <w:spacing w:after="0"/>
        <w:rPr>
          <w:rFonts w:hint="eastAsia" w:ascii="仿宋" w:hAnsi="仿宋" w:eastAsia="仿宋" w:cs="仿宋"/>
          <w:color w:val="auto"/>
          <w:highlight w:val="none"/>
        </w:rPr>
      </w:pPr>
      <w:r>
        <w:rPr>
          <w:rFonts w:hint="eastAsia" w:ascii="仿宋" w:hAnsi="仿宋" w:eastAsia="仿宋" w:cs="仿宋"/>
          <w:color w:val="auto"/>
          <w:highlight w:val="none"/>
        </w:rPr>
        <w:t>二、质疑项目基本情况</w:t>
      </w:r>
    </w:p>
    <w:p w14:paraId="6C88DEC1">
      <w:pPr>
        <w:pStyle w:val="72"/>
        <w:spacing w:after="0"/>
        <w:rPr>
          <w:rFonts w:hint="eastAsia" w:ascii="仿宋" w:hAnsi="仿宋" w:eastAsia="仿宋" w:cs="仿宋"/>
          <w:color w:val="auto"/>
          <w:highlight w:val="none"/>
        </w:rPr>
      </w:pPr>
      <w:r>
        <w:rPr>
          <w:rFonts w:hint="eastAsia" w:ascii="仿宋" w:hAnsi="仿宋" w:eastAsia="仿宋" w:cs="仿宋"/>
          <w:color w:val="auto"/>
          <w:highlight w:val="none"/>
        </w:rPr>
        <w:t>质疑项目的名称：</w:t>
      </w:r>
    </w:p>
    <w:p w14:paraId="3D7FE139">
      <w:pPr>
        <w:pStyle w:val="72"/>
        <w:spacing w:after="0"/>
        <w:rPr>
          <w:rFonts w:hint="eastAsia" w:ascii="仿宋" w:hAnsi="仿宋" w:eastAsia="仿宋" w:cs="仿宋"/>
          <w:color w:val="auto"/>
          <w:highlight w:val="none"/>
        </w:rPr>
      </w:pPr>
      <w:r>
        <w:rPr>
          <w:rFonts w:hint="eastAsia" w:ascii="仿宋" w:hAnsi="仿宋" w:eastAsia="仿宋" w:cs="仿宋"/>
          <w:color w:val="auto"/>
          <w:highlight w:val="none"/>
        </w:rPr>
        <w:t>质疑项目的编号：包号：</w:t>
      </w:r>
    </w:p>
    <w:p w14:paraId="70A5602A">
      <w:pPr>
        <w:pStyle w:val="72"/>
        <w:spacing w:after="0"/>
        <w:rPr>
          <w:rFonts w:hint="eastAsia" w:ascii="仿宋" w:hAnsi="仿宋" w:eastAsia="仿宋" w:cs="仿宋"/>
          <w:color w:val="auto"/>
          <w:highlight w:val="none"/>
          <w:u w:val="dotted"/>
        </w:rPr>
      </w:pP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名称：</w:t>
      </w:r>
    </w:p>
    <w:p w14:paraId="46AC7EFA">
      <w:pPr>
        <w:pStyle w:val="72"/>
        <w:spacing w:after="0"/>
        <w:rPr>
          <w:rFonts w:hint="eastAsia" w:ascii="仿宋" w:hAnsi="仿宋" w:eastAsia="仿宋" w:cs="仿宋"/>
          <w:color w:val="auto"/>
          <w:highlight w:val="none"/>
        </w:rPr>
      </w:pP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获取日期：</w:t>
      </w:r>
    </w:p>
    <w:p w14:paraId="119B8C22">
      <w:pPr>
        <w:pStyle w:val="72"/>
        <w:spacing w:after="0"/>
        <w:rPr>
          <w:rFonts w:hint="eastAsia" w:ascii="仿宋" w:hAnsi="仿宋" w:eastAsia="仿宋" w:cs="仿宋"/>
          <w:color w:val="auto"/>
          <w:highlight w:val="none"/>
        </w:rPr>
      </w:pPr>
      <w:r>
        <w:rPr>
          <w:rFonts w:hint="eastAsia" w:ascii="仿宋" w:hAnsi="仿宋" w:eastAsia="仿宋" w:cs="仿宋"/>
          <w:color w:val="auto"/>
          <w:highlight w:val="none"/>
        </w:rPr>
        <w:t>三、质疑事项具体内容</w:t>
      </w:r>
    </w:p>
    <w:p w14:paraId="04A4F732">
      <w:pPr>
        <w:pStyle w:val="72"/>
        <w:spacing w:after="0"/>
        <w:rPr>
          <w:rFonts w:hint="eastAsia" w:ascii="仿宋" w:hAnsi="仿宋" w:eastAsia="仿宋" w:cs="仿宋"/>
          <w:color w:val="auto"/>
          <w:highlight w:val="none"/>
          <w:u w:val="dotted"/>
        </w:rPr>
      </w:pPr>
      <w:r>
        <w:rPr>
          <w:rFonts w:hint="eastAsia" w:ascii="仿宋" w:hAnsi="仿宋" w:eastAsia="仿宋" w:cs="仿宋"/>
          <w:color w:val="auto"/>
          <w:highlight w:val="none"/>
        </w:rPr>
        <w:t>质疑事项1：</w:t>
      </w:r>
    </w:p>
    <w:p w14:paraId="330B588D">
      <w:pPr>
        <w:pStyle w:val="72"/>
        <w:spacing w:after="0"/>
        <w:rPr>
          <w:rFonts w:hint="eastAsia" w:ascii="仿宋" w:hAnsi="仿宋" w:eastAsia="仿宋" w:cs="仿宋"/>
          <w:color w:val="auto"/>
          <w:highlight w:val="none"/>
          <w:u w:val="dotted"/>
        </w:rPr>
      </w:pPr>
      <w:r>
        <w:rPr>
          <w:rFonts w:hint="eastAsia" w:ascii="仿宋" w:hAnsi="仿宋" w:eastAsia="仿宋" w:cs="仿宋"/>
          <w:color w:val="auto"/>
          <w:highlight w:val="none"/>
        </w:rPr>
        <w:t>事实依据：</w:t>
      </w:r>
    </w:p>
    <w:p w14:paraId="3D18D4A0">
      <w:pPr>
        <w:pStyle w:val="72"/>
        <w:spacing w:after="0"/>
        <w:rPr>
          <w:rFonts w:hint="eastAsia" w:ascii="仿宋" w:hAnsi="仿宋" w:eastAsia="仿宋" w:cs="仿宋"/>
          <w:color w:val="auto"/>
          <w:highlight w:val="none"/>
        </w:rPr>
      </w:pPr>
    </w:p>
    <w:p w14:paraId="66A138EE">
      <w:pPr>
        <w:pStyle w:val="72"/>
        <w:spacing w:after="0"/>
        <w:rPr>
          <w:rFonts w:hint="eastAsia" w:ascii="仿宋" w:hAnsi="仿宋" w:eastAsia="仿宋" w:cs="仿宋"/>
          <w:color w:val="auto"/>
          <w:highlight w:val="none"/>
          <w:u w:val="dotted"/>
        </w:rPr>
      </w:pPr>
      <w:r>
        <w:rPr>
          <w:rFonts w:hint="eastAsia" w:ascii="仿宋" w:hAnsi="仿宋" w:eastAsia="仿宋" w:cs="仿宋"/>
          <w:color w:val="auto"/>
          <w:highlight w:val="none"/>
        </w:rPr>
        <w:t>法律依据：</w:t>
      </w:r>
    </w:p>
    <w:p w14:paraId="2AE1FD4C">
      <w:pPr>
        <w:pStyle w:val="72"/>
        <w:spacing w:after="0"/>
        <w:rPr>
          <w:rFonts w:hint="eastAsia" w:ascii="仿宋" w:hAnsi="仿宋" w:eastAsia="仿宋" w:cs="仿宋"/>
          <w:color w:val="auto"/>
          <w:highlight w:val="none"/>
          <w:u w:val="dotted"/>
        </w:rPr>
      </w:pPr>
    </w:p>
    <w:p w14:paraId="251256F1">
      <w:pPr>
        <w:pStyle w:val="72"/>
        <w:spacing w:after="0"/>
        <w:rPr>
          <w:rFonts w:hint="eastAsia" w:ascii="仿宋" w:hAnsi="仿宋" w:eastAsia="仿宋" w:cs="仿宋"/>
          <w:color w:val="auto"/>
          <w:highlight w:val="none"/>
          <w:u w:val="dotted"/>
        </w:rPr>
      </w:pPr>
      <w:r>
        <w:rPr>
          <w:rFonts w:hint="eastAsia" w:ascii="仿宋" w:hAnsi="仿宋" w:eastAsia="仿宋" w:cs="仿宋"/>
          <w:color w:val="auto"/>
          <w:highlight w:val="none"/>
        </w:rPr>
        <w:t>质疑事项2</w:t>
      </w:r>
    </w:p>
    <w:p w14:paraId="38A4664B">
      <w:pPr>
        <w:pStyle w:val="72"/>
        <w:spacing w:after="0"/>
        <w:rPr>
          <w:rFonts w:hint="eastAsia" w:ascii="仿宋" w:hAnsi="仿宋" w:eastAsia="仿宋" w:cs="仿宋"/>
          <w:color w:val="auto"/>
          <w:highlight w:val="none"/>
        </w:rPr>
      </w:pPr>
      <w:r>
        <w:rPr>
          <w:rFonts w:hint="eastAsia" w:ascii="仿宋" w:hAnsi="仿宋" w:eastAsia="仿宋" w:cs="仿宋"/>
          <w:color w:val="auto"/>
          <w:highlight w:val="none"/>
        </w:rPr>
        <w:t>……</w:t>
      </w:r>
    </w:p>
    <w:p w14:paraId="071036AC">
      <w:pPr>
        <w:pStyle w:val="72"/>
        <w:spacing w:after="0"/>
        <w:rPr>
          <w:rFonts w:hint="eastAsia" w:ascii="仿宋" w:hAnsi="仿宋" w:eastAsia="仿宋" w:cs="仿宋"/>
          <w:color w:val="auto"/>
          <w:highlight w:val="none"/>
        </w:rPr>
      </w:pPr>
      <w:r>
        <w:rPr>
          <w:rFonts w:hint="eastAsia" w:ascii="仿宋" w:hAnsi="仿宋" w:eastAsia="仿宋" w:cs="仿宋"/>
          <w:color w:val="auto"/>
          <w:highlight w:val="none"/>
        </w:rPr>
        <w:t>四、与质疑事项相关的质疑请求</w:t>
      </w:r>
    </w:p>
    <w:p w14:paraId="52A20039">
      <w:pPr>
        <w:pStyle w:val="72"/>
        <w:spacing w:after="0"/>
        <w:rPr>
          <w:rFonts w:hint="eastAsia" w:ascii="仿宋" w:hAnsi="仿宋" w:eastAsia="仿宋" w:cs="仿宋"/>
          <w:color w:val="auto"/>
          <w:highlight w:val="none"/>
          <w:u w:val="dotted"/>
        </w:rPr>
      </w:pPr>
      <w:r>
        <w:rPr>
          <w:rFonts w:hint="eastAsia" w:ascii="仿宋" w:hAnsi="仿宋" w:eastAsia="仿宋" w:cs="仿宋"/>
          <w:color w:val="auto"/>
          <w:highlight w:val="none"/>
        </w:rPr>
        <w:t>请求：</w:t>
      </w:r>
    </w:p>
    <w:p w14:paraId="4E33311D">
      <w:pPr>
        <w:pStyle w:val="72"/>
        <w:spacing w:after="0"/>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14:paraId="26D928F7">
      <w:pPr>
        <w:pStyle w:val="72"/>
        <w:spacing w:after="0"/>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14:paraId="635775E5">
      <w:pPr>
        <w:spacing w:after="0"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质疑函制作说明：</w:t>
      </w:r>
    </w:p>
    <w:p w14:paraId="2F3EF786">
      <w:pPr>
        <w:pStyle w:val="72"/>
        <w:spacing w:after="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提出质疑时，应提交质疑函和必要的证明材料。</w:t>
      </w:r>
    </w:p>
    <w:p w14:paraId="7EF0E9B2">
      <w:pPr>
        <w:pStyle w:val="72"/>
        <w:spacing w:after="0"/>
        <w:rPr>
          <w:rFonts w:hint="eastAsia" w:ascii="仿宋" w:hAnsi="仿宋" w:eastAsia="仿宋" w:cs="仿宋"/>
          <w:color w:val="auto"/>
          <w:highlight w:val="none"/>
        </w:rPr>
      </w:pPr>
      <w:r>
        <w:rPr>
          <w:rFonts w:hint="eastAsia" w:ascii="仿宋" w:hAnsi="仿宋" w:eastAsia="仿宋" w:cs="仿宋"/>
          <w:color w:val="auto"/>
          <w:highlight w:val="none"/>
        </w:rPr>
        <w:t>2.质疑</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若委托代理人进行质疑的，质疑函应按要求列明“授权代表”的有关内容，并在附件中提交由质疑</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签署的授权委托书。授权委托书应载明代理人的姓名或者名称、代理事项、具体权限、期限和相关事项。</w:t>
      </w:r>
    </w:p>
    <w:p w14:paraId="27F1E259">
      <w:pPr>
        <w:pStyle w:val="72"/>
        <w:spacing w:after="0"/>
        <w:rPr>
          <w:rFonts w:hint="eastAsia" w:ascii="仿宋" w:hAnsi="仿宋" w:eastAsia="仿宋" w:cs="仿宋"/>
          <w:color w:val="auto"/>
          <w:highlight w:val="none"/>
        </w:rPr>
      </w:pPr>
      <w:r>
        <w:rPr>
          <w:rFonts w:hint="eastAsia" w:ascii="仿宋" w:hAnsi="仿宋" w:eastAsia="仿宋" w:cs="仿宋"/>
          <w:color w:val="auto"/>
          <w:highlight w:val="none"/>
        </w:rPr>
        <w:t>3.质疑</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若对项目的某一分包进行质疑，质疑函中应列明具体分包号。</w:t>
      </w:r>
    </w:p>
    <w:p w14:paraId="204ED6B0">
      <w:pPr>
        <w:pStyle w:val="72"/>
        <w:spacing w:after="0"/>
        <w:rPr>
          <w:rFonts w:hint="eastAsia" w:ascii="仿宋" w:hAnsi="仿宋" w:eastAsia="仿宋" w:cs="仿宋"/>
          <w:color w:val="auto"/>
          <w:highlight w:val="none"/>
        </w:rPr>
      </w:pPr>
      <w:r>
        <w:rPr>
          <w:rFonts w:hint="eastAsia" w:ascii="仿宋" w:hAnsi="仿宋" w:eastAsia="仿宋" w:cs="仿宋"/>
          <w:color w:val="auto"/>
          <w:highlight w:val="none"/>
        </w:rPr>
        <w:t>4.质疑函的质疑事项应具体、明确，并有必要的事实依据和法律依据。</w:t>
      </w:r>
    </w:p>
    <w:p w14:paraId="490270ED">
      <w:pPr>
        <w:pStyle w:val="72"/>
        <w:spacing w:after="0"/>
        <w:rPr>
          <w:rFonts w:hint="eastAsia" w:ascii="仿宋" w:hAnsi="仿宋" w:eastAsia="仿宋" w:cs="仿宋"/>
          <w:color w:val="auto"/>
          <w:highlight w:val="none"/>
        </w:rPr>
      </w:pPr>
      <w:r>
        <w:rPr>
          <w:rFonts w:hint="eastAsia" w:ascii="仿宋" w:hAnsi="仿宋" w:eastAsia="仿宋" w:cs="仿宋"/>
          <w:color w:val="auto"/>
          <w:highlight w:val="none"/>
        </w:rPr>
        <w:t>5.质疑函的质疑请求应与质疑事项相关。</w:t>
      </w:r>
    </w:p>
    <w:p w14:paraId="086A6E05">
      <w:pPr>
        <w:pStyle w:val="72"/>
        <w:spacing w:after="0"/>
        <w:rPr>
          <w:rFonts w:hint="eastAsia" w:ascii="仿宋" w:hAnsi="仿宋" w:eastAsia="仿宋" w:cs="仿宋"/>
          <w:color w:val="auto"/>
          <w:highlight w:val="none"/>
        </w:rPr>
      </w:pPr>
      <w:r>
        <w:rPr>
          <w:rFonts w:hint="eastAsia" w:ascii="仿宋" w:hAnsi="仿宋" w:eastAsia="仿宋" w:cs="仿宋"/>
          <w:color w:val="auto"/>
          <w:highlight w:val="none"/>
        </w:rPr>
        <w:t>6.质疑</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为自然人的，质疑函应由本人签字；质疑</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为法人或者其他组织的，质疑函应由法定代表人、主要负责人，或者其授权代表签字或者盖章，并加盖公章。</w:t>
      </w:r>
    </w:p>
    <w:p w14:paraId="099D4D48">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66B4C7D">
      <w:pPr>
        <w:pStyle w:val="6"/>
        <w:jc w:val="left"/>
        <w:rPr>
          <w:rFonts w:hint="eastAsia" w:ascii="仿宋" w:hAnsi="仿宋" w:eastAsia="仿宋" w:cs="仿宋"/>
          <w:color w:val="auto"/>
          <w:highlight w:val="none"/>
        </w:rPr>
      </w:pPr>
      <w:r>
        <w:rPr>
          <w:rFonts w:hint="eastAsia" w:ascii="仿宋" w:hAnsi="仿宋" w:eastAsia="仿宋" w:cs="仿宋"/>
          <w:color w:val="auto"/>
          <w:highlight w:val="none"/>
        </w:rPr>
        <w:t>附件：投诉书范本及制作说明</w:t>
      </w:r>
    </w:p>
    <w:p w14:paraId="5B4A59EC">
      <w:pPr>
        <w:spacing w:line="360" w:lineRule="auto"/>
        <w:jc w:val="center"/>
        <w:rPr>
          <w:rFonts w:hint="eastAsia" w:ascii="仿宋" w:hAnsi="仿宋" w:eastAsia="仿宋" w:cs="仿宋"/>
          <w:b/>
          <w:color w:val="auto"/>
          <w:highlight w:val="none"/>
        </w:rPr>
      </w:pPr>
    </w:p>
    <w:p w14:paraId="65F996D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8900C81">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一、投诉相关主体基本情况</w:t>
      </w:r>
    </w:p>
    <w:p w14:paraId="008C7D3C">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投诉人：</w:t>
      </w:r>
    </w:p>
    <w:p w14:paraId="4BE7CB6D">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地     址：邮编：</w:t>
      </w:r>
    </w:p>
    <w:p w14:paraId="10FD5F8E">
      <w:pPr>
        <w:keepNext w:val="0"/>
        <w:keepLines w:val="0"/>
        <w:pageBreakBefore w:val="0"/>
        <w:widowControl/>
        <w:tabs>
          <w:tab w:val="left" w:pos="6510"/>
        </w:tabs>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法定代表人/主要负责人：</w:t>
      </w:r>
    </w:p>
    <w:p w14:paraId="5301655F">
      <w:pPr>
        <w:keepNext w:val="0"/>
        <w:keepLines w:val="0"/>
        <w:pageBreakBefore w:val="0"/>
        <w:widowControl/>
        <w:tabs>
          <w:tab w:val="left" w:pos="6510"/>
        </w:tabs>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联系电话：</w:t>
      </w:r>
    </w:p>
    <w:p w14:paraId="6F916572">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授权代表：联系电话</w:t>
      </w:r>
      <w:r>
        <w:rPr>
          <w:rFonts w:hint="eastAsia" w:ascii="仿宋" w:hAnsi="仿宋" w:eastAsia="仿宋" w:cs="仿宋"/>
          <w:color w:val="auto"/>
          <w:highlight w:val="none"/>
          <w:u w:val="dotted"/>
        </w:rPr>
        <w:t xml:space="preserve">：                  </w:t>
      </w:r>
    </w:p>
    <w:p w14:paraId="2235CDD3">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地     址：邮编：</w:t>
      </w:r>
    </w:p>
    <w:p w14:paraId="320D7C71">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被投诉人1：</w:t>
      </w:r>
    </w:p>
    <w:p w14:paraId="64B522EC">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地     址：邮编：</w:t>
      </w:r>
    </w:p>
    <w:p w14:paraId="634ED0FA">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联系人：联系电话：</w:t>
      </w:r>
    </w:p>
    <w:p w14:paraId="007888B5">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被投诉人2</w:t>
      </w:r>
    </w:p>
    <w:p w14:paraId="398D41D0">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w:t>
      </w:r>
    </w:p>
    <w:p w14:paraId="2B5B7DEC">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相关</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w:t>
      </w:r>
    </w:p>
    <w:p w14:paraId="0D49B7EA">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地     址：邮编：</w:t>
      </w:r>
    </w:p>
    <w:p w14:paraId="1B288875">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联系人：联系电话：</w:t>
      </w:r>
    </w:p>
    <w:p w14:paraId="59075AF2">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二、投诉项目基本情况</w:t>
      </w:r>
    </w:p>
    <w:p w14:paraId="381ACC6A">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u w:val="dotted"/>
        </w:rPr>
      </w:pPr>
      <w:r>
        <w:rPr>
          <w:rFonts w:hint="eastAsia" w:cs="仿宋"/>
          <w:color w:val="auto"/>
          <w:highlight w:val="none"/>
          <w:lang w:eastAsia="zh-CN"/>
        </w:rPr>
        <w:t>交易</w:t>
      </w:r>
      <w:r>
        <w:rPr>
          <w:rFonts w:hint="eastAsia" w:ascii="仿宋" w:hAnsi="仿宋" w:eastAsia="仿宋" w:cs="仿宋"/>
          <w:color w:val="auto"/>
          <w:highlight w:val="none"/>
        </w:rPr>
        <w:t>项目名称：</w:t>
      </w:r>
    </w:p>
    <w:p w14:paraId="18C83001">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u w:val="single"/>
        </w:rPr>
      </w:pPr>
      <w:r>
        <w:rPr>
          <w:rFonts w:hint="eastAsia" w:cs="仿宋"/>
          <w:color w:val="auto"/>
          <w:highlight w:val="none"/>
          <w:lang w:eastAsia="zh-CN"/>
        </w:rPr>
        <w:t>交易</w:t>
      </w:r>
      <w:r>
        <w:rPr>
          <w:rFonts w:hint="eastAsia" w:ascii="仿宋" w:hAnsi="仿宋" w:eastAsia="仿宋" w:cs="仿宋"/>
          <w:color w:val="auto"/>
          <w:highlight w:val="none"/>
        </w:rPr>
        <w:t>项目编号：包号：</w:t>
      </w:r>
    </w:p>
    <w:p w14:paraId="4475BA33">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名称：</w:t>
      </w:r>
    </w:p>
    <w:p w14:paraId="2C6260C2">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代理机构名称：</w:t>
      </w:r>
    </w:p>
    <w:p w14:paraId="08F354FE">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p>
    <w:p w14:paraId="606FD840">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lang w:eastAsia="zh-CN"/>
        </w:rPr>
        <w:t>交易结果</w:t>
      </w:r>
      <w:r>
        <w:rPr>
          <w:rFonts w:hint="eastAsia" w:ascii="仿宋" w:hAnsi="仿宋" w:eastAsia="仿宋" w:cs="仿宋"/>
          <w:color w:val="auto"/>
          <w:highlight w:val="none"/>
        </w:rPr>
        <w:t>公告:</w:t>
      </w:r>
      <w:r>
        <w:rPr>
          <w:rFonts w:hint="eastAsia" w:ascii="仿宋" w:hAnsi="仿宋" w:eastAsia="仿宋" w:cs="仿宋"/>
          <w:color w:val="auto"/>
          <w:highlight w:val="none"/>
          <w:u w:val="dotted"/>
        </w:rPr>
        <w:t xml:space="preserve">是/否 </w:t>
      </w:r>
      <w:r>
        <w:rPr>
          <w:rFonts w:hint="eastAsia" w:ascii="仿宋" w:hAnsi="仿宋" w:eastAsia="仿宋" w:cs="仿宋"/>
          <w:color w:val="auto"/>
          <w:highlight w:val="none"/>
        </w:rPr>
        <w:t>公告期限：</w:t>
      </w:r>
    </w:p>
    <w:p w14:paraId="1332DA8A">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三、质疑基本情况</w:t>
      </w:r>
    </w:p>
    <w:p w14:paraId="38B6CF4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投诉人于年月日,向提出质疑，质疑事项为：</w:t>
      </w:r>
    </w:p>
    <w:p w14:paraId="0B8D32F7">
      <w:pPr>
        <w:keepNext w:val="0"/>
        <w:keepLines w:val="0"/>
        <w:pageBreakBefore w:val="0"/>
        <w:widowControl/>
        <w:kinsoku/>
        <w:wordWrap/>
        <w:overflowPunct/>
        <w:topLinePunct w:val="0"/>
        <w:autoSpaceDE/>
        <w:autoSpaceDN/>
        <w:bidi w:val="0"/>
        <w:adjustRightInd/>
        <w:snapToGrid/>
        <w:spacing w:after="0" w:line="360" w:lineRule="auto"/>
        <w:ind w:firstLine="360" w:firstLineChars="150"/>
        <w:textAlignment w:val="auto"/>
        <w:rPr>
          <w:rFonts w:hint="eastAsia" w:ascii="仿宋" w:hAnsi="仿宋" w:eastAsia="仿宋" w:cs="仿宋"/>
          <w:color w:val="auto"/>
          <w:highlight w:val="none"/>
        </w:rPr>
      </w:pPr>
      <w:r>
        <w:rPr>
          <w:rFonts w:hint="eastAsia" w:ascii="仿宋" w:hAnsi="仿宋" w:eastAsia="仿宋" w:cs="仿宋"/>
          <w:color w:val="auto"/>
          <w:highlight w:val="none"/>
          <w:u w:val="dotted"/>
          <w:lang w:eastAsia="zh-CN"/>
        </w:rPr>
        <w:t>交易发起人</w:t>
      </w:r>
      <w:r>
        <w:rPr>
          <w:rFonts w:hint="eastAsia" w:ascii="仿宋" w:hAnsi="仿宋" w:eastAsia="仿宋" w:cs="仿宋"/>
          <w:color w:val="auto"/>
          <w:highlight w:val="none"/>
          <w:u w:val="dotted"/>
        </w:rPr>
        <w:t>/代理机构</w:t>
      </w:r>
      <w:r>
        <w:rPr>
          <w:rFonts w:hint="eastAsia" w:ascii="仿宋" w:hAnsi="仿宋" w:eastAsia="仿宋" w:cs="仿宋"/>
          <w:color w:val="auto"/>
          <w:highlight w:val="none"/>
        </w:rPr>
        <w:t>于年月日,就质疑事项作出了答复/没有在法定期限内作出答复。</w:t>
      </w:r>
    </w:p>
    <w:p w14:paraId="140EDAE8">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四、投诉事项具体内容</w:t>
      </w:r>
    </w:p>
    <w:p w14:paraId="7D6696BA">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投诉事项 1：</w:t>
      </w:r>
    </w:p>
    <w:p w14:paraId="05E47D3E">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事实依据：</w:t>
      </w:r>
    </w:p>
    <w:p w14:paraId="1DF90297">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法律依据：</w:t>
      </w:r>
    </w:p>
    <w:p w14:paraId="6C20F1F1">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投诉事项2</w:t>
      </w:r>
    </w:p>
    <w:p w14:paraId="591DAF2D">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u w:val="dotted"/>
        </w:rPr>
      </w:pPr>
      <w:r>
        <w:rPr>
          <w:rFonts w:hint="eastAsia" w:ascii="仿宋" w:hAnsi="仿宋" w:eastAsia="仿宋" w:cs="仿宋"/>
          <w:color w:val="auto"/>
          <w:highlight w:val="none"/>
        </w:rPr>
        <w:t>……</w:t>
      </w:r>
    </w:p>
    <w:p w14:paraId="19F637C6">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五、与投诉事项相关的投诉请求</w:t>
      </w:r>
    </w:p>
    <w:p w14:paraId="798C9E47">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请求：</w:t>
      </w:r>
    </w:p>
    <w:p w14:paraId="19125AFC">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p>
    <w:p w14:paraId="364073AC">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签字(签章)：                   公章：                      </w:t>
      </w:r>
    </w:p>
    <w:p w14:paraId="6DD0AF2A">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p>
    <w:p w14:paraId="64ED6C78">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投诉书制作说明：</w:t>
      </w:r>
    </w:p>
    <w:p w14:paraId="07E5C07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1.投诉人提起投诉时，应当提交投诉书和必要的证明材料，并按照被投诉人和与投诉事项有关的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数量提供投诉书副本。</w:t>
      </w:r>
    </w:p>
    <w:p w14:paraId="08B1950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7A7612F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3.投诉人若对项目的某一分包进行投诉，投诉书应列明具体分包号。</w:t>
      </w:r>
    </w:p>
    <w:p w14:paraId="41ADD70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4.投诉书应简要列明质疑事项，质疑函、质疑答复等作为附件材料提供。</w:t>
      </w:r>
    </w:p>
    <w:p w14:paraId="0C2357C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5.投诉书的投诉事项应具体、明确，并有必要的事实依据和法律依据。</w:t>
      </w:r>
    </w:p>
    <w:p w14:paraId="259C99B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6.投诉书的投诉请求应与投诉事项相关。</w:t>
      </w:r>
    </w:p>
    <w:p w14:paraId="05E155E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7.投诉人为自然人的，投诉书应当由本人签字；投诉人为法人或者其他组织的，投诉书应当由法定代表人、主要负责人，或者其授权代表签字或者盖章，并加盖公章。</w:t>
      </w:r>
    </w:p>
    <w:p w14:paraId="43B96BF7">
      <w:pPr>
        <w:spacing w:line="276"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69026E3B">
      <w:pPr>
        <w:pStyle w:val="6"/>
        <w:jc w:val="left"/>
        <w:rPr>
          <w:rFonts w:hint="eastAsia" w:ascii="仿宋" w:hAnsi="仿宋" w:eastAsia="仿宋" w:cs="仿宋"/>
          <w:color w:val="auto"/>
          <w:highlight w:val="none"/>
        </w:rPr>
      </w:pPr>
      <w:r>
        <w:rPr>
          <w:rFonts w:hint="eastAsia" w:ascii="仿宋" w:hAnsi="仿宋" w:eastAsia="仿宋" w:cs="仿宋"/>
          <w:color w:val="auto"/>
          <w:spacing w:val="6"/>
          <w:highlight w:val="none"/>
        </w:rPr>
        <w:t>附件4：</w:t>
      </w:r>
      <w:r>
        <w:rPr>
          <w:rFonts w:hint="eastAsia" w:ascii="仿宋" w:hAnsi="仿宋" w:eastAsia="仿宋" w:cs="仿宋"/>
          <w:color w:val="auto"/>
          <w:highlight w:val="none"/>
        </w:rPr>
        <w:t>业务专用章使用说明函</w:t>
      </w:r>
    </w:p>
    <w:p w14:paraId="4AE0B135">
      <w:pPr>
        <w:spacing w:line="276" w:lineRule="auto"/>
        <w:jc w:val="center"/>
        <w:rPr>
          <w:rFonts w:hint="eastAsia" w:ascii="仿宋" w:hAnsi="仿宋" w:eastAsia="仿宋" w:cs="仿宋"/>
          <w:b/>
          <w:smallCaps/>
          <w:color w:val="auto"/>
          <w:spacing w:val="6"/>
          <w:sz w:val="36"/>
          <w:szCs w:val="28"/>
          <w:highlight w:val="none"/>
        </w:rPr>
      </w:pPr>
      <w:r>
        <w:rPr>
          <w:rFonts w:hint="eastAsia" w:ascii="仿宋" w:hAnsi="仿宋" w:eastAsia="仿宋" w:cs="仿宋"/>
          <w:b/>
          <w:color w:val="auto"/>
          <w:sz w:val="32"/>
          <w:highlight w:val="none"/>
        </w:rPr>
        <w:t>业务专用章使用说明函</w:t>
      </w:r>
    </w:p>
    <w:p w14:paraId="26E4A05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u w:val="single"/>
        </w:rPr>
        <w:t>（</w:t>
      </w:r>
      <w:r>
        <w:rPr>
          <w:rFonts w:hint="eastAsia" w:ascii="仿宋" w:hAnsi="仿宋" w:eastAsia="仿宋" w:cs="仿宋"/>
          <w:color w:val="auto"/>
          <w:highlight w:val="none"/>
          <w:u w:val="single"/>
          <w:lang w:eastAsia="zh-CN"/>
        </w:rPr>
        <w:t>交易发起人</w:t>
      </w:r>
      <w:r>
        <w:rPr>
          <w:rFonts w:hint="eastAsia" w:ascii="仿宋" w:hAnsi="仿宋" w:eastAsia="仿宋" w:cs="仿宋"/>
          <w:color w:val="auto"/>
          <w:highlight w:val="none"/>
          <w:u w:val="single"/>
        </w:rPr>
        <w:t>）、（</w:t>
      </w:r>
      <w:r>
        <w:rPr>
          <w:rFonts w:hint="eastAsia" w:ascii="仿宋" w:hAnsi="仿宋" w:eastAsia="仿宋" w:cs="仿宋"/>
          <w:color w:val="auto"/>
          <w:highlight w:val="none"/>
          <w:u w:val="single"/>
          <w:lang w:eastAsia="zh-CN"/>
        </w:rPr>
        <w:t>交易组织机构</w:t>
      </w:r>
      <w:r>
        <w:rPr>
          <w:rFonts w:hint="eastAsia" w:ascii="仿宋" w:hAnsi="仿宋" w:eastAsia="仿宋" w:cs="仿宋"/>
          <w:color w:val="auto"/>
          <w:highlight w:val="none"/>
          <w:u w:val="single"/>
        </w:rPr>
        <w:t>）</w:t>
      </w:r>
    </w:p>
    <w:p w14:paraId="36C43303">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我方</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全称)是中华人民共和国依法登记注册的合法企业，</w:t>
      </w:r>
      <w:r>
        <w:rPr>
          <w:rFonts w:hint="eastAsia" w:ascii="仿宋" w:hAnsi="仿宋" w:eastAsia="仿宋" w:cs="仿宋"/>
          <w:bCs/>
          <w:color w:val="auto"/>
          <w:highlight w:val="none"/>
        </w:rPr>
        <w:t>在参加</w:t>
      </w:r>
      <w:r>
        <w:rPr>
          <w:rFonts w:hint="eastAsia" w:ascii="仿宋" w:hAnsi="仿宋" w:eastAsia="仿宋" w:cs="仿宋"/>
          <w:color w:val="auto"/>
          <w:highlight w:val="none"/>
        </w:rPr>
        <w:t>你方组织的（项目名称）项目【</w:t>
      </w:r>
      <w:r>
        <w:rPr>
          <w:rFonts w:hint="eastAsia" w:cs="仿宋"/>
          <w:color w:val="auto"/>
          <w:highlight w:val="none"/>
          <w:lang w:eastAsia="zh-CN"/>
        </w:rPr>
        <w:t>交易编号</w:t>
      </w:r>
      <w:r>
        <w:rPr>
          <w:rFonts w:hint="eastAsia" w:ascii="仿宋" w:hAnsi="仿宋" w:eastAsia="仿宋" w:cs="仿宋"/>
          <w:color w:val="auto"/>
          <w:highlight w:val="none"/>
        </w:rPr>
        <w:t>：（</w:t>
      </w:r>
      <w:r>
        <w:rPr>
          <w:rFonts w:hint="eastAsia" w:cs="仿宋"/>
          <w:color w:val="auto"/>
          <w:highlight w:val="none"/>
          <w:lang w:eastAsia="zh-CN"/>
        </w:rPr>
        <w:t>交易编号</w:t>
      </w:r>
      <w:r>
        <w:rPr>
          <w:rFonts w:hint="eastAsia" w:ascii="仿宋" w:hAnsi="仿宋" w:eastAsia="仿宋" w:cs="仿宋"/>
          <w:color w:val="auto"/>
          <w:highlight w:val="none"/>
        </w:rPr>
        <w:t>）】</w:t>
      </w:r>
      <w:r>
        <w:rPr>
          <w:rFonts w:hint="eastAsia" w:cs="仿宋"/>
          <w:bCs/>
          <w:color w:val="auto"/>
          <w:highlight w:val="none"/>
          <w:lang w:eastAsia="zh-CN"/>
        </w:rPr>
        <w:t>响应</w:t>
      </w:r>
      <w:r>
        <w:rPr>
          <w:rFonts w:hint="eastAsia" w:ascii="仿宋" w:hAnsi="仿宋" w:eastAsia="仿宋" w:cs="仿宋"/>
          <w:bCs/>
          <w:color w:val="auto"/>
          <w:highlight w:val="none"/>
        </w:rPr>
        <w:t>活动中作如下说明：</w:t>
      </w:r>
      <w:r>
        <w:rPr>
          <w:rFonts w:hint="eastAsia" w:ascii="仿宋" w:hAnsi="仿宋" w:eastAsia="仿宋" w:cs="仿宋"/>
          <w:color w:val="auto"/>
          <w:highlight w:val="none"/>
        </w:rPr>
        <w:t xml:space="preserve">我方所使用的“XX专用章”与法定名称章具有同等的法律效力，对使用“XX专用章”的行为予以完全承认，并愿意承担相应责任。   </w:t>
      </w:r>
    </w:p>
    <w:p w14:paraId="5F2BA7EE">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特此说明。</w:t>
      </w:r>
    </w:p>
    <w:p w14:paraId="2857D44F">
      <w:pPr>
        <w:spacing w:line="360" w:lineRule="auto"/>
        <w:ind w:right="480" w:firstLine="4080" w:firstLineChars="1700"/>
        <w:rPr>
          <w:rFonts w:hint="eastAsia" w:ascii="仿宋" w:hAnsi="仿宋" w:eastAsia="仿宋" w:cs="仿宋"/>
          <w:color w:val="auto"/>
          <w:highlight w:val="none"/>
        </w:rPr>
      </w:pPr>
      <w:r>
        <w:rPr>
          <w:rFonts w:hint="eastAsia" w:cs="仿宋"/>
          <w:color w:val="auto"/>
          <w:highlight w:val="none"/>
          <w:lang w:eastAsia="zh-CN"/>
        </w:rPr>
        <w:t>响应</w:t>
      </w:r>
      <w:r>
        <w:rPr>
          <w:rFonts w:hint="eastAsia" w:ascii="仿宋" w:hAnsi="仿宋" w:eastAsia="仿宋" w:cs="仿宋"/>
          <w:color w:val="auto"/>
          <w:highlight w:val="none"/>
        </w:rPr>
        <w:t>单位（法定名称章）：</w:t>
      </w:r>
    </w:p>
    <w:p w14:paraId="070E7F2C">
      <w:pPr>
        <w:spacing w:line="360" w:lineRule="auto"/>
        <w:ind w:right="480" w:firstLine="4080" w:firstLineChars="1700"/>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59FB6460">
      <w:pPr>
        <w:rPr>
          <w:rFonts w:hint="eastAsia" w:ascii="仿宋" w:hAnsi="仿宋" w:eastAsia="仿宋" w:cs="仿宋"/>
          <w:color w:val="auto"/>
          <w:highlight w:val="none"/>
        </w:rPr>
      </w:pPr>
      <w:r>
        <w:rPr>
          <w:rFonts w:hint="eastAsia" w:ascii="仿宋" w:hAnsi="仿宋" w:eastAsia="仿宋" w:cs="仿宋"/>
          <w:b/>
          <w:bCs/>
          <w:color w:val="auto"/>
          <w:highlight w:val="none"/>
        </w:rPr>
        <w:t>附：</w:t>
      </w:r>
    </w:p>
    <w:p w14:paraId="0E2DAD79">
      <w:pPr>
        <w:spacing w:line="360" w:lineRule="auto"/>
        <w:rPr>
          <w:rFonts w:hint="eastAsia" w:ascii="仿宋" w:hAnsi="仿宋" w:eastAsia="仿宋" w:cs="仿宋"/>
          <w:bCs/>
          <w:color w:val="auto"/>
          <w:highlight w:val="none"/>
        </w:rPr>
      </w:pPr>
      <w:r>
        <w:rPr>
          <w:rFonts w:hint="eastAsia" w:ascii="仿宋" w:hAnsi="仿宋" w:eastAsia="仿宋" w:cs="仿宋"/>
          <w:b/>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0606C62D">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0606C62D">
                      <w:pPr>
                        <w:jc w:val="center"/>
                      </w:pPr>
                    </w:p>
                  </w:txbxContent>
                </v:textbox>
              </v:rect>
            </w:pict>
          </mc:Fallback>
        </mc:AlternateContent>
      </w:r>
      <w:r>
        <w:rPr>
          <w:rFonts w:hint="eastAsia" w:ascii="仿宋" w:hAnsi="仿宋" w:eastAsia="仿宋" w:cs="仿宋"/>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5BF62EC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5BF62EC7">
                      <w:pPr>
                        <w:jc w:val="center"/>
                      </w:pPr>
                    </w:p>
                  </w:txbxContent>
                </v:textbox>
              </v:rect>
            </w:pict>
          </mc:Fallback>
        </mc:AlternateContent>
      </w:r>
      <w:r>
        <w:rPr>
          <w:rFonts w:hint="eastAsia" w:cs="仿宋"/>
          <w:color w:val="auto"/>
          <w:highlight w:val="none"/>
          <w:lang w:eastAsia="zh-CN"/>
        </w:rPr>
        <w:t>响应</w:t>
      </w:r>
      <w:r>
        <w:rPr>
          <w:rFonts w:hint="eastAsia" w:ascii="仿宋" w:hAnsi="仿宋" w:eastAsia="仿宋" w:cs="仿宋"/>
          <w:color w:val="auto"/>
          <w:highlight w:val="none"/>
        </w:rPr>
        <w:t xml:space="preserve">单位法定名称章（印模）                </w:t>
      </w:r>
      <w:r>
        <w:rPr>
          <w:rFonts w:hint="eastAsia" w:cs="仿宋"/>
          <w:color w:val="auto"/>
          <w:highlight w:val="none"/>
          <w:lang w:eastAsia="zh-CN"/>
        </w:rPr>
        <w:t>响应</w:t>
      </w:r>
      <w:r>
        <w:rPr>
          <w:rFonts w:hint="eastAsia" w:ascii="仿宋" w:hAnsi="仿宋" w:eastAsia="仿宋" w:cs="仿宋"/>
          <w:color w:val="auto"/>
          <w:highlight w:val="none"/>
        </w:rPr>
        <w:t>单位“XX专用章”（印模）</w:t>
      </w:r>
    </w:p>
    <w:p w14:paraId="1ED6AE30">
      <w:pPr>
        <w:spacing w:line="276" w:lineRule="auto"/>
        <w:rPr>
          <w:rFonts w:hint="eastAsia" w:ascii="仿宋" w:hAnsi="仿宋" w:eastAsia="仿宋" w:cs="仿宋"/>
          <w:b/>
          <w:color w:val="auto"/>
          <w:spacing w:val="6"/>
          <w:sz w:val="32"/>
          <w:szCs w:val="32"/>
          <w:highlight w:val="none"/>
        </w:rPr>
      </w:pPr>
    </w:p>
    <w:p w14:paraId="1B2AE6E4">
      <w:pPr>
        <w:spacing w:line="276" w:lineRule="auto"/>
        <w:rPr>
          <w:rFonts w:hint="eastAsia" w:ascii="仿宋" w:hAnsi="仿宋" w:eastAsia="仿宋" w:cs="仿宋"/>
          <w:b/>
          <w:smallCaps/>
          <w:color w:val="auto"/>
          <w:spacing w:val="6"/>
          <w:sz w:val="28"/>
          <w:szCs w:val="28"/>
          <w:highlight w:val="none"/>
        </w:rPr>
      </w:pPr>
    </w:p>
    <w:p w14:paraId="5442137B">
      <w:pPr>
        <w:spacing w:line="276" w:lineRule="auto"/>
        <w:rPr>
          <w:rFonts w:hint="eastAsia" w:ascii="仿宋" w:hAnsi="仿宋" w:eastAsia="仿宋" w:cs="仿宋"/>
          <w:b/>
          <w:smallCaps/>
          <w:color w:val="auto"/>
          <w:spacing w:val="6"/>
          <w:sz w:val="28"/>
          <w:szCs w:val="28"/>
          <w:highlight w:val="none"/>
        </w:rPr>
      </w:pPr>
    </w:p>
    <w:sectPr>
      <w:pgSz w:w="11906" w:h="16838"/>
      <w:pgMar w:top="1440" w:right="1700" w:bottom="1440" w:left="180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0E9E7">
    <w:pPr>
      <w:pStyle w:val="24"/>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42</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685AC">
    <w:pPr>
      <w:pStyle w:val="25"/>
      <w:spacing w:after="0"/>
      <w:jc w:val="right"/>
      <w:rPr>
        <w:rFonts w:hint="eastAsia"/>
        <w:lang w:eastAsia="zh-CN"/>
      </w:rPr>
    </w:pPr>
    <w:r>
      <w:rPr>
        <w:rFonts w:hint="eastAsia"/>
        <w:sz w:val="21"/>
        <w:szCs w:val="21"/>
        <w:lang w:val="en-US" w:eastAsia="zh-CN"/>
      </w:rPr>
      <w:t>浙江华耀建设咨询有限公司                            萧山区非政府采购</w:t>
    </w:r>
    <w:r>
      <w:rPr>
        <w:sz w:val="21"/>
        <w:szCs w:val="21"/>
      </w:rPr>
      <w:t>公开</w:t>
    </w:r>
    <w:r>
      <w:rPr>
        <w:rFonts w:hint="eastAsia"/>
        <w:sz w:val="21"/>
        <w:szCs w:val="21"/>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A45D5"/>
    <w:multiLevelType w:val="singleLevel"/>
    <w:tmpl w:val="DB6A45D5"/>
    <w:lvl w:ilvl="0" w:tentative="0">
      <w:start w:val="1"/>
      <w:numFmt w:val="chineseCounting"/>
      <w:suff w:val="nothing"/>
      <w:lvlText w:val="%1、"/>
      <w:lvlJc w:val="left"/>
      <w:rPr>
        <w:rFonts w:hint="eastAsia"/>
      </w:rPr>
    </w:lvl>
  </w:abstractNum>
  <w:abstractNum w:abstractNumId="1">
    <w:nsid w:val="1AB03E18"/>
    <w:multiLevelType w:val="singleLevel"/>
    <w:tmpl w:val="1AB03E18"/>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NDZiMmYyYzE4NDY3OTYwYWY1MGI1MDBkNTU1YWMifQ=="/>
  </w:docVars>
  <w:rsids>
    <w:rsidRoot w:val="004A31C0"/>
    <w:rsid w:val="00040E44"/>
    <w:rsid w:val="000506FE"/>
    <w:rsid w:val="00052F13"/>
    <w:rsid w:val="00055B3A"/>
    <w:rsid w:val="00062A5D"/>
    <w:rsid w:val="00083EEE"/>
    <w:rsid w:val="000C67BA"/>
    <w:rsid w:val="000E75F8"/>
    <w:rsid w:val="001375DB"/>
    <w:rsid w:val="001448FA"/>
    <w:rsid w:val="001478DA"/>
    <w:rsid w:val="00173428"/>
    <w:rsid w:val="001A3CF6"/>
    <w:rsid w:val="00240685"/>
    <w:rsid w:val="0024401D"/>
    <w:rsid w:val="002534A7"/>
    <w:rsid w:val="00286BCD"/>
    <w:rsid w:val="002E02E0"/>
    <w:rsid w:val="003169BC"/>
    <w:rsid w:val="0035778E"/>
    <w:rsid w:val="00380ED1"/>
    <w:rsid w:val="00381B1D"/>
    <w:rsid w:val="003A3435"/>
    <w:rsid w:val="004105E2"/>
    <w:rsid w:val="00424619"/>
    <w:rsid w:val="00424A1D"/>
    <w:rsid w:val="004A31C0"/>
    <w:rsid w:val="00501CA3"/>
    <w:rsid w:val="00581054"/>
    <w:rsid w:val="005A325A"/>
    <w:rsid w:val="005A3BF2"/>
    <w:rsid w:val="0060320D"/>
    <w:rsid w:val="006511DA"/>
    <w:rsid w:val="00652051"/>
    <w:rsid w:val="0065383E"/>
    <w:rsid w:val="00661973"/>
    <w:rsid w:val="006657BD"/>
    <w:rsid w:val="00693C40"/>
    <w:rsid w:val="006F2568"/>
    <w:rsid w:val="006F282E"/>
    <w:rsid w:val="007001F9"/>
    <w:rsid w:val="00706DC6"/>
    <w:rsid w:val="00711092"/>
    <w:rsid w:val="00716529"/>
    <w:rsid w:val="00725C59"/>
    <w:rsid w:val="00734973"/>
    <w:rsid w:val="00742C93"/>
    <w:rsid w:val="007B07B1"/>
    <w:rsid w:val="00825212"/>
    <w:rsid w:val="00843A59"/>
    <w:rsid w:val="00847A65"/>
    <w:rsid w:val="00852E70"/>
    <w:rsid w:val="00872DA1"/>
    <w:rsid w:val="00873B8A"/>
    <w:rsid w:val="008B1281"/>
    <w:rsid w:val="008C3320"/>
    <w:rsid w:val="008F729B"/>
    <w:rsid w:val="009040D0"/>
    <w:rsid w:val="009064F4"/>
    <w:rsid w:val="009823B1"/>
    <w:rsid w:val="009863A6"/>
    <w:rsid w:val="0098739B"/>
    <w:rsid w:val="009A7905"/>
    <w:rsid w:val="009B7259"/>
    <w:rsid w:val="009E6B47"/>
    <w:rsid w:val="00A5394E"/>
    <w:rsid w:val="00A955FA"/>
    <w:rsid w:val="00AB3C03"/>
    <w:rsid w:val="00AC5A89"/>
    <w:rsid w:val="00B34428"/>
    <w:rsid w:val="00B424E8"/>
    <w:rsid w:val="00B50722"/>
    <w:rsid w:val="00B638D9"/>
    <w:rsid w:val="00B8198E"/>
    <w:rsid w:val="00B94948"/>
    <w:rsid w:val="00C555C7"/>
    <w:rsid w:val="00C5636B"/>
    <w:rsid w:val="00CA5372"/>
    <w:rsid w:val="00CE2A24"/>
    <w:rsid w:val="00CF35F3"/>
    <w:rsid w:val="00D03E3B"/>
    <w:rsid w:val="00D901E0"/>
    <w:rsid w:val="00DE7F9D"/>
    <w:rsid w:val="00E01C27"/>
    <w:rsid w:val="00E428C8"/>
    <w:rsid w:val="00E81776"/>
    <w:rsid w:val="00E94AF3"/>
    <w:rsid w:val="00ED389E"/>
    <w:rsid w:val="00EE2D23"/>
    <w:rsid w:val="00F577A9"/>
    <w:rsid w:val="00F66F6C"/>
    <w:rsid w:val="00F82240"/>
    <w:rsid w:val="00F872C5"/>
    <w:rsid w:val="00F906B9"/>
    <w:rsid w:val="00FD5896"/>
    <w:rsid w:val="02842C34"/>
    <w:rsid w:val="037B7F97"/>
    <w:rsid w:val="03BC3290"/>
    <w:rsid w:val="04404C72"/>
    <w:rsid w:val="044B6CFA"/>
    <w:rsid w:val="05D07170"/>
    <w:rsid w:val="06DA1295"/>
    <w:rsid w:val="06E81F72"/>
    <w:rsid w:val="075E003A"/>
    <w:rsid w:val="08AB0E16"/>
    <w:rsid w:val="09387FD4"/>
    <w:rsid w:val="098B1F19"/>
    <w:rsid w:val="09A4428E"/>
    <w:rsid w:val="09F82A24"/>
    <w:rsid w:val="0A3769DD"/>
    <w:rsid w:val="0A5C7C5F"/>
    <w:rsid w:val="0B47509A"/>
    <w:rsid w:val="0C267AC7"/>
    <w:rsid w:val="0C985340"/>
    <w:rsid w:val="0CA80866"/>
    <w:rsid w:val="0CDB31C5"/>
    <w:rsid w:val="0D7B500F"/>
    <w:rsid w:val="0E113604"/>
    <w:rsid w:val="0E8A7189"/>
    <w:rsid w:val="0E900E78"/>
    <w:rsid w:val="0EE7315A"/>
    <w:rsid w:val="0EFB3964"/>
    <w:rsid w:val="0F1C739F"/>
    <w:rsid w:val="0FA73C03"/>
    <w:rsid w:val="0FBE1A70"/>
    <w:rsid w:val="10772505"/>
    <w:rsid w:val="116B6900"/>
    <w:rsid w:val="138906FA"/>
    <w:rsid w:val="13CB1D5A"/>
    <w:rsid w:val="158A6481"/>
    <w:rsid w:val="15E923E6"/>
    <w:rsid w:val="16141EFE"/>
    <w:rsid w:val="16B7001E"/>
    <w:rsid w:val="170512F9"/>
    <w:rsid w:val="172B5E2D"/>
    <w:rsid w:val="18344E47"/>
    <w:rsid w:val="18375EE0"/>
    <w:rsid w:val="190A2AE7"/>
    <w:rsid w:val="1D552398"/>
    <w:rsid w:val="1EB40A18"/>
    <w:rsid w:val="1F2F43B1"/>
    <w:rsid w:val="1F5B2704"/>
    <w:rsid w:val="20B8123F"/>
    <w:rsid w:val="20D476B9"/>
    <w:rsid w:val="22926D6B"/>
    <w:rsid w:val="23303E6C"/>
    <w:rsid w:val="23515F96"/>
    <w:rsid w:val="235F3D66"/>
    <w:rsid w:val="23C67F78"/>
    <w:rsid w:val="24820FE3"/>
    <w:rsid w:val="25A02F73"/>
    <w:rsid w:val="278015AD"/>
    <w:rsid w:val="279825DC"/>
    <w:rsid w:val="28621C6E"/>
    <w:rsid w:val="29E37756"/>
    <w:rsid w:val="2A7D127A"/>
    <w:rsid w:val="2ABC794B"/>
    <w:rsid w:val="2B67506E"/>
    <w:rsid w:val="2BC414EB"/>
    <w:rsid w:val="2CC70351"/>
    <w:rsid w:val="2F0F21F1"/>
    <w:rsid w:val="2F136BCF"/>
    <w:rsid w:val="31F44517"/>
    <w:rsid w:val="32401E36"/>
    <w:rsid w:val="328F5F4B"/>
    <w:rsid w:val="32AE2918"/>
    <w:rsid w:val="33353386"/>
    <w:rsid w:val="367B466E"/>
    <w:rsid w:val="378A4199"/>
    <w:rsid w:val="37DB0888"/>
    <w:rsid w:val="37E45782"/>
    <w:rsid w:val="38437F0E"/>
    <w:rsid w:val="38EE2C90"/>
    <w:rsid w:val="399028D9"/>
    <w:rsid w:val="39B02195"/>
    <w:rsid w:val="39E15780"/>
    <w:rsid w:val="3A2B738F"/>
    <w:rsid w:val="3A6A51CE"/>
    <w:rsid w:val="3AC04DEA"/>
    <w:rsid w:val="3AED2359"/>
    <w:rsid w:val="3B7A2218"/>
    <w:rsid w:val="3D5B1FD9"/>
    <w:rsid w:val="3E2148E6"/>
    <w:rsid w:val="3F6C299C"/>
    <w:rsid w:val="3F9F1464"/>
    <w:rsid w:val="402701B8"/>
    <w:rsid w:val="40937260"/>
    <w:rsid w:val="40C46EF6"/>
    <w:rsid w:val="41652D3C"/>
    <w:rsid w:val="416C06CB"/>
    <w:rsid w:val="41A45862"/>
    <w:rsid w:val="424D44AD"/>
    <w:rsid w:val="42CC4D73"/>
    <w:rsid w:val="43007027"/>
    <w:rsid w:val="433C24AF"/>
    <w:rsid w:val="45363FF1"/>
    <w:rsid w:val="45401AF6"/>
    <w:rsid w:val="457B4F5A"/>
    <w:rsid w:val="45FE72BB"/>
    <w:rsid w:val="47527FFB"/>
    <w:rsid w:val="47C016BB"/>
    <w:rsid w:val="481B52D3"/>
    <w:rsid w:val="48C00855"/>
    <w:rsid w:val="48FB59C5"/>
    <w:rsid w:val="49AD0AC0"/>
    <w:rsid w:val="4A1A17ED"/>
    <w:rsid w:val="4B182FF7"/>
    <w:rsid w:val="4C5D08B8"/>
    <w:rsid w:val="4DAC187F"/>
    <w:rsid w:val="4DE32461"/>
    <w:rsid w:val="4DFD33EC"/>
    <w:rsid w:val="4E681F69"/>
    <w:rsid w:val="4E91667E"/>
    <w:rsid w:val="4EE44552"/>
    <w:rsid w:val="502D35B8"/>
    <w:rsid w:val="506045C4"/>
    <w:rsid w:val="511934F4"/>
    <w:rsid w:val="51764B64"/>
    <w:rsid w:val="525E4DAA"/>
    <w:rsid w:val="52645F6E"/>
    <w:rsid w:val="53340E6B"/>
    <w:rsid w:val="53950402"/>
    <w:rsid w:val="53A0085B"/>
    <w:rsid w:val="53F137BF"/>
    <w:rsid w:val="553F7983"/>
    <w:rsid w:val="55437D86"/>
    <w:rsid w:val="57B75683"/>
    <w:rsid w:val="58D6146E"/>
    <w:rsid w:val="592B5ACC"/>
    <w:rsid w:val="596B31C2"/>
    <w:rsid w:val="5A3248B9"/>
    <w:rsid w:val="5A485D27"/>
    <w:rsid w:val="5A4F78ED"/>
    <w:rsid w:val="5AB1347B"/>
    <w:rsid w:val="5ACE302F"/>
    <w:rsid w:val="5B886465"/>
    <w:rsid w:val="5CF37396"/>
    <w:rsid w:val="5D1D0B69"/>
    <w:rsid w:val="5E2E10B1"/>
    <w:rsid w:val="5EF45D26"/>
    <w:rsid w:val="603A3C00"/>
    <w:rsid w:val="60581C10"/>
    <w:rsid w:val="60F936C4"/>
    <w:rsid w:val="6171111D"/>
    <w:rsid w:val="61B95C53"/>
    <w:rsid w:val="63162D1A"/>
    <w:rsid w:val="63204D6D"/>
    <w:rsid w:val="634E0140"/>
    <w:rsid w:val="63BA274C"/>
    <w:rsid w:val="63BC4EE4"/>
    <w:rsid w:val="6483554C"/>
    <w:rsid w:val="650869CE"/>
    <w:rsid w:val="657267BB"/>
    <w:rsid w:val="66154B19"/>
    <w:rsid w:val="679D0750"/>
    <w:rsid w:val="67B42ABB"/>
    <w:rsid w:val="681C6D09"/>
    <w:rsid w:val="686643A8"/>
    <w:rsid w:val="68926415"/>
    <w:rsid w:val="68CD4582"/>
    <w:rsid w:val="694F68EA"/>
    <w:rsid w:val="6A8E4CF1"/>
    <w:rsid w:val="6B6E48E6"/>
    <w:rsid w:val="6BBA47BE"/>
    <w:rsid w:val="6C1865EE"/>
    <w:rsid w:val="6D460E7C"/>
    <w:rsid w:val="6D8D2266"/>
    <w:rsid w:val="6D9B4EE1"/>
    <w:rsid w:val="6DF37AB2"/>
    <w:rsid w:val="6E465E92"/>
    <w:rsid w:val="6FB95F29"/>
    <w:rsid w:val="705F4D8E"/>
    <w:rsid w:val="708C008E"/>
    <w:rsid w:val="70D50A94"/>
    <w:rsid w:val="71F33BC4"/>
    <w:rsid w:val="749D7105"/>
    <w:rsid w:val="75BF3F26"/>
    <w:rsid w:val="768E1524"/>
    <w:rsid w:val="782939AC"/>
    <w:rsid w:val="78E55F35"/>
    <w:rsid w:val="793B6CDB"/>
    <w:rsid w:val="7A560E98"/>
    <w:rsid w:val="7ABC7C65"/>
    <w:rsid w:val="7C001663"/>
    <w:rsid w:val="7C3A372E"/>
    <w:rsid w:val="7C9036C1"/>
    <w:rsid w:val="7E9A3E9C"/>
    <w:rsid w:val="7EF63392"/>
    <w:rsid w:val="7F1A7CC8"/>
    <w:rsid w:val="7FC10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qFormat="1" w:unhideWhenUsed="0" w:uiPriority="0"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pPr>
    <w:rPr>
      <w:rFonts w:ascii="仿宋" w:hAnsi="仿宋" w:eastAsia="仿宋" w:cstheme="majorBidi"/>
      <w:sz w:val="24"/>
      <w:szCs w:val="24"/>
      <w:lang w:val="en-US" w:eastAsia="zh-CN" w:bidi="ar-SA"/>
    </w:rPr>
  </w:style>
  <w:style w:type="paragraph" w:styleId="5">
    <w:name w:val="heading 1"/>
    <w:basedOn w:val="1"/>
    <w:next w:val="1"/>
    <w:link w:val="47"/>
    <w:autoRedefine/>
    <w:qFormat/>
    <w:uiPriority w:val="9"/>
    <w:pPr>
      <w:spacing w:before="480" w:after="0"/>
      <w:contextualSpacing/>
      <w:jc w:val="center"/>
      <w:outlineLvl w:val="0"/>
    </w:pPr>
    <w:rPr>
      <w:rFonts w:ascii="仿宋_GB2312" w:eastAsia="仿宋_GB2312"/>
      <w:b/>
      <w:smallCaps/>
      <w:spacing w:val="5"/>
      <w:sz w:val="36"/>
      <w:szCs w:val="36"/>
    </w:rPr>
  </w:style>
  <w:style w:type="paragraph" w:styleId="6">
    <w:name w:val="heading 2"/>
    <w:basedOn w:val="1"/>
    <w:next w:val="1"/>
    <w:link w:val="41"/>
    <w:autoRedefine/>
    <w:unhideWhenUsed/>
    <w:qFormat/>
    <w:uiPriority w:val="9"/>
    <w:pPr>
      <w:spacing w:before="200" w:after="0" w:line="271" w:lineRule="auto"/>
      <w:jc w:val="center"/>
      <w:outlineLvl w:val="1"/>
    </w:pPr>
    <w:rPr>
      <w:b/>
      <w:smallCaps/>
      <w:sz w:val="28"/>
      <w:szCs w:val="28"/>
    </w:rPr>
  </w:style>
  <w:style w:type="paragraph" w:styleId="7">
    <w:name w:val="heading 3"/>
    <w:basedOn w:val="1"/>
    <w:next w:val="1"/>
    <w:link w:val="48"/>
    <w:autoRedefine/>
    <w:unhideWhenUsed/>
    <w:qFormat/>
    <w:uiPriority w:val="9"/>
    <w:pPr>
      <w:outlineLvl w:val="2"/>
    </w:pPr>
    <w:rPr>
      <w:b/>
    </w:rPr>
  </w:style>
  <w:style w:type="paragraph" w:styleId="8">
    <w:name w:val="heading 4"/>
    <w:basedOn w:val="1"/>
    <w:next w:val="1"/>
    <w:link w:val="49"/>
    <w:autoRedefine/>
    <w:unhideWhenUsed/>
    <w:qFormat/>
    <w:uiPriority w:val="9"/>
    <w:pPr>
      <w:spacing w:after="0" w:line="271" w:lineRule="auto"/>
      <w:outlineLvl w:val="3"/>
    </w:pPr>
    <w:rPr>
      <w:b/>
      <w:bCs/>
      <w:spacing w:val="5"/>
    </w:rPr>
  </w:style>
  <w:style w:type="paragraph" w:styleId="9">
    <w:name w:val="heading 5"/>
    <w:basedOn w:val="1"/>
    <w:next w:val="1"/>
    <w:link w:val="50"/>
    <w:autoRedefine/>
    <w:unhideWhenUsed/>
    <w:qFormat/>
    <w:uiPriority w:val="9"/>
    <w:pPr>
      <w:spacing w:after="0" w:line="271" w:lineRule="auto"/>
      <w:outlineLvl w:val="4"/>
    </w:pPr>
    <w:rPr>
      <w:i/>
      <w:iCs/>
    </w:rPr>
  </w:style>
  <w:style w:type="paragraph" w:styleId="10">
    <w:name w:val="heading 6"/>
    <w:basedOn w:val="1"/>
    <w:next w:val="1"/>
    <w:link w:val="51"/>
    <w:autoRedefine/>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11">
    <w:name w:val="heading 7"/>
    <w:basedOn w:val="1"/>
    <w:next w:val="1"/>
    <w:link w:val="52"/>
    <w:autoRedefine/>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2">
    <w:name w:val="heading 8"/>
    <w:basedOn w:val="1"/>
    <w:next w:val="1"/>
    <w:link w:val="53"/>
    <w:autoRedefine/>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3">
    <w:name w:val="heading 9"/>
    <w:basedOn w:val="1"/>
    <w:next w:val="1"/>
    <w:link w:val="54"/>
    <w:autoRedefine/>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uiPriority w:val="0"/>
    <w:pPr>
      <w:ind w:firstLine="420"/>
    </w:pPr>
    <w:rPr>
      <w:rFonts w:ascii="Times New Roman"/>
      <w:szCs w:val="20"/>
    </w:rPr>
  </w:style>
  <w:style w:type="paragraph" w:styleId="3">
    <w:name w:val="Body Text"/>
    <w:basedOn w:val="1"/>
    <w:next w:val="2"/>
    <w:autoRedefine/>
    <w:qFormat/>
    <w:uiPriority w:val="0"/>
    <w:pPr>
      <w:autoSpaceDE w:val="0"/>
      <w:autoSpaceDN w:val="0"/>
      <w:spacing w:line="360" w:lineRule="auto"/>
    </w:pPr>
    <w:rPr>
      <w:rFonts w:ascii="宋体"/>
      <w:szCs w:val="21"/>
      <w:lang w:val="zh-CN"/>
    </w:rPr>
  </w:style>
  <w:style w:type="paragraph" w:styleId="4">
    <w:name w:val="toc 6"/>
    <w:basedOn w:val="1"/>
    <w:next w:val="1"/>
    <w:autoRedefine/>
    <w:qFormat/>
    <w:uiPriority w:val="0"/>
    <w:pPr>
      <w:ind w:left="2100" w:leftChars="1000"/>
    </w:pPr>
  </w:style>
  <w:style w:type="paragraph" w:styleId="14">
    <w:name w:val="Normal Indent"/>
    <w:basedOn w:val="1"/>
    <w:next w:val="1"/>
    <w:link w:val="73"/>
    <w:autoRedefine/>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5">
    <w:name w:val="caption"/>
    <w:basedOn w:val="1"/>
    <w:next w:val="1"/>
    <w:autoRedefine/>
    <w:semiHidden/>
    <w:unhideWhenUsed/>
    <w:qFormat/>
    <w:uiPriority w:val="35"/>
    <w:rPr>
      <w:b/>
      <w:bCs/>
      <w:caps/>
      <w:sz w:val="16"/>
      <w:szCs w:val="18"/>
    </w:rPr>
  </w:style>
  <w:style w:type="paragraph" w:styleId="16">
    <w:name w:val="index 5"/>
    <w:basedOn w:val="1"/>
    <w:next w:val="1"/>
    <w:autoRedefine/>
    <w:qFormat/>
    <w:uiPriority w:val="0"/>
    <w:pPr>
      <w:ind w:left="800" w:leftChars="800" w:firstLine="200" w:firstLineChars="200"/>
    </w:pPr>
  </w:style>
  <w:style w:type="paragraph" w:styleId="17">
    <w:name w:val="Document Map"/>
    <w:basedOn w:val="1"/>
    <w:link w:val="98"/>
    <w:autoRedefine/>
    <w:semiHidden/>
    <w:unhideWhenUsed/>
    <w:qFormat/>
    <w:uiPriority w:val="99"/>
    <w:rPr>
      <w:rFonts w:ascii="宋体" w:eastAsia="宋体"/>
      <w:sz w:val="18"/>
      <w:szCs w:val="18"/>
    </w:rPr>
  </w:style>
  <w:style w:type="paragraph" w:styleId="18">
    <w:name w:val="annotation text"/>
    <w:basedOn w:val="1"/>
    <w:autoRedefine/>
    <w:qFormat/>
    <w:uiPriority w:val="99"/>
  </w:style>
  <w:style w:type="paragraph" w:styleId="19">
    <w:name w:val="Body Text Indent"/>
    <w:basedOn w:val="1"/>
    <w:next w:val="20"/>
    <w:link w:val="76"/>
    <w:autoRedefine/>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20">
    <w:name w:val="envelope return"/>
    <w:basedOn w:val="1"/>
    <w:autoRedefine/>
    <w:qFormat/>
    <w:uiPriority w:val="0"/>
    <w:pPr>
      <w:snapToGrid w:val="0"/>
    </w:pPr>
    <w:rPr>
      <w:rFonts w:ascii="Arial" w:hAnsi="Arial" w:eastAsia="宋体" w:cs="Arial"/>
    </w:rPr>
  </w:style>
  <w:style w:type="paragraph" w:styleId="21">
    <w:name w:val="index 4"/>
    <w:basedOn w:val="1"/>
    <w:next w:val="1"/>
    <w:autoRedefine/>
    <w:unhideWhenUsed/>
    <w:qFormat/>
    <w:uiPriority w:val="99"/>
    <w:pPr>
      <w:ind w:left="600" w:leftChars="600"/>
    </w:pPr>
    <w:rPr>
      <w:rFonts w:ascii="Calibri" w:hAnsi="Calibri"/>
    </w:rPr>
  </w:style>
  <w:style w:type="paragraph" w:styleId="22">
    <w:name w:val="Plain Text"/>
    <w:basedOn w:val="1"/>
    <w:next w:val="1"/>
    <w:link w:val="74"/>
    <w:autoRedefine/>
    <w:qFormat/>
    <w:uiPriority w:val="0"/>
    <w:pPr>
      <w:widowControl w:val="0"/>
      <w:adjustRightInd w:val="0"/>
      <w:spacing w:after="0"/>
      <w:jc w:val="both"/>
    </w:pPr>
    <w:rPr>
      <w:rFonts w:ascii="宋体" w:hAnsi="Courier New" w:eastAsia="宋体" w:cs="Arial"/>
      <w:snapToGrid w:val="0"/>
      <w:kern w:val="2"/>
      <w:sz w:val="21"/>
      <w:szCs w:val="21"/>
    </w:rPr>
  </w:style>
  <w:style w:type="paragraph" w:styleId="23">
    <w:name w:val="Balloon Text"/>
    <w:basedOn w:val="1"/>
    <w:link w:val="88"/>
    <w:autoRedefine/>
    <w:semiHidden/>
    <w:unhideWhenUsed/>
    <w:qFormat/>
    <w:uiPriority w:val="99"/>
    <w:pPr>
      <w:spacing w:after="0"/>
    </w:pPr>
    <w:rPr>
      <w:sz w:val="18"/>
      <w:szCs w:val="18"/>
    </w:rPr>
  </w:style>
  <w:style w:type="paragraph" w:styleId="24">
    <w:name w:val="footer"/>
    <w:basedOn w:val="1"/>
    <w:link w:val="46"/>
    <w:autoRedefine/>
    <w:unhideWhenUsed/>
    <w:qFormat/>
    <w:uiPriority w:val="99"/>
    <w:pPr>
      <w:tabs>
        <w:tab w:val="center" w:pos="4153"/>
        <w:tab w:val="right" w:pos="8306"/>
      </w:tabs>
      <w:snapToGrid w:val="0"/>
    </w:pPr>
    <w:rPr>
      <w:sz w:val="18"/>
      <w:szCs w:val="18"/>
    </w:rPr>
  </w:style>
  <w:style w:type="paragraph" w:styleId="25">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style>
  <w:style w:type="paragraph" w:styleId="27">
    <w:name w:val="toc 4"/>
    <w:basedOn w:val="1"/>
    <w:next w:val="1"/>
    <w:autoRedefine/>
    <w:qFormat/>
    <w:uiPriority w:val="0"/>
    <w:pPr>
      <w:ind w:left="1260" w:leftChars="600"/>
    </w:pPr>
    <w:rPr>
      <w:rFonts w:ascii="Calibri" w:hAnsi="Calibri" w:eastAsia="宋体" w:cs="Times New Roman"/>
      <w:szCs w:val="22"/>
    </w:rPr>
  </w:style>
  <w:style w:type="paragraph" w:styleId="28">
    <w:name w:val="Subtitle"/>
    <w:basedOn w:val="1"/>
    <w:next w:val="1"/>
    <w:link w:val="56"/>
    <w:autoRedefine/>
    <w:qFormat/>
    <w:uiPriority w:val="11"/>
    <w:rPr>
      <w:i/>
      <w:iCs/>
      <w:smallCaps/>
      <w:spacing w:val="10"/>
      <w:sz w:val="28"/>
      <w:szCs w:val="28"/>
    </w:rPr>
  </w:style>
  <w:style w:type="paragraph" w:styleId="29">
    <w:name w:val="footnote text"/>
    <w:basedOn w:val="1"/>
    <w:next w:val="16"/>
    <w:autoRedefine/>
    <w:qFormat/>
    <w:uiPriority w:val="0"/>
    <w:pPr>
      <w:spacing w:before="60" w:after="60" w:line="300" w:lineRule="exact"/>
    </w:pPr>
    <w:rPr>
      <w:rFonts w:ascii="Calibri"/>
      <w:color w:val="0000FF"/>
    </w:rPr>
  </w:style>
  <w:style w:type="paragraph" w:styleId="30">
    <w:name w:val="Normal (Web)"/>
    <w:basedOn w:val="1"/>
    <w:autoRedefine/>
    <w:semiHidden/>
    <w:unhideWhenUsed/>
    <w:qFormat/>
    <w:uiPriority w:val="99"/>
    <w:pPr>
      <w:spacing w:beforeAutospacing="1" w:after="0" w:afterAutospacing="1"/>
    </w:pPr>
    <w:rPr>
      <w:rFonts w:cs="Times New Roman"/>
    </w:rPr>
  </w:style>
  <w:style w:type="paragraph" w:styleId="31">
    <w:name w:val="Title"/>
    <w:basedOn w:val="1"/>
    <w:next w:val="1"/>
    <w:link w:val="55"/>
    <w:autoRedefine/>
    <w:qFormat/>
    <w:uiPriority w:val="10"/>
    <w:pPr>
      <w:spacing w:after="300"/>
      <w:contextualSpacing/>
    </w:pPr>
    <w:rPr>
      <w:smallCaps/>
      <w:sz w:val="52"/>
      <w:szCs w:val="52"/>
    </w:rPr>
  </w:style>
  <w:style w:type="paragraph" w:styleId="32">
    <w:name w:val="Body Text First Indent 2"/>
    <w:basedOn w:val="19"/>
    <w:next w:val="1"/>
    <w:autoRedefine/>
    <w:qFormat/>
    <w:uiPriority w:val="0"/>
    <w:pPr>
      <w:adjustRightInd/>
      <w:spacing w:after="120" w:line="240" w:lineRule="auto"/>
      <w:ind w:left="420" w:leftChars="200" w:firstLine="210"/>
    </w:pPr>
    <w:rPr>
      <w:sz w:val="21"/>
    </w:rPr>
  </w:style>
  <w:style w:type="table" w:styleId="34">
    <w:name w:val="Table Grid"/>
    <w:basedOn w:val="3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22"/>
    <w:rPr>
      <w:b/>
      <w:bCs/>
    </w:rPr>
  </w:style>
  <w:style w:type="character" w:styleId="37">
    <w:name w:val="Emphasis"/>
    <w:autoRedefine/>
    <w:qFormat/>
    <w:uiPriority w:val="20"/>
    <w:rPr>
      <w:b/>
      <w:bCs/>
      <w:i/>
      <w:iCs/>
      <w:spacing w:val="10"/>
    </w:rPr>
  </w:style>
  <w:style w:type="character" w:styleId="38">
    <w:name w:val="Hyperlink"/>
    <w:autoRedefine/>
    <w:qFormat/>
    <w:uiPriority w:val="99"/>
    <w:rPr>
      <w:rFonts w:ascii="Arial" w:hAnsi="Arial" w:eastAsia="黑体" w:cs="Arial"/>
      <w:snapToGrid w:val="0"/>
      <w:color w:val="000000"/>
      <w:kern w:val="0"/>
      <w:sz w:val="18"/>
      <w:szCs w:val="18"/>
      <w:u w:val="none"/>
    </w:rPr>
  </w:style>
  <w:style w:type="character" w:styleId="39">
    <w:name w:val="annotation reference"/>
    <w:autoRedefine/>
    <w:qFormat/>
    <w:uiPriority w:val="99"/>
    <w:rPr>
      <w:sz w:val="21"/>
      <w:szCs w:val="21"/>
    </w:rPr>
  </w:style>
  <w:style w:type="paragraph" w:customStyle="1" w:styleId="40">
    <w:name w:val="章正文"/>
    <w:basedOn w:val="1"/>
    <w:autoRedefine/>
    <w:qFormat/>
    <w:uiPriority w:val="0"/>
    <w:pPr>
      <w:spacing w:beforeLines="50" w:after="120" w:line="300" w:lineRule="auto"/>
      <w:ind w:firstLine="480" w:firstLineChars="200"/>
    </w:pPr>
    <w:rPr>
      <w:rFonts w:ascii="Helvetica" w:hAnsi="Helvetica"/>
    </w:rPr>
  </w:style>
  <w:style w:type="character" w:customStyle="1" w:styleId="41">
    <w:name w:val="标题 2 Char"/>
    <w:basedOn w:val="35"/>
    <w:link w:val="6"/>
    <w:autoRedefine/>
    <w:qFormat/>
    <w:uiPriority w:val="9"/>
    <w:rPr>
      <w:rFonts w:ascii="仿宋" w:hAnsi="仿宋" w:eastAsia="仿宋"/>
      <w:b/>
      <w:smallCaps/>
      <w:sz w:val="28"/>
      <w:szCs w:val="28"/>
    </w:rPr>
  </w:style>
  <w:style w:type="paragraph" w:customStyle="1" w:styleId="42">
    <w:name w:val="_Style 2"/>
    <w:basedOn w:val="1"/>
    <w:autoRedefine/>
    <w:qFormat/>
    <w:uiPriority w:val="0"/>
    <w:pPr>
      <w:ind w:firstLine="200" w:firstLineChars="200"/>
    </w:pPr>
    <w:rPr>
      <w:rFonts w:ascii="Calibri" w:hAnsi="Calibri"/>
      <w:sz w:val="28"/>
      <w:szCs w:val="22"/>
    </w:rPr>
  </w:style>
  <w:style w:type="paragraph" w:customStyle="1" w:styleId="43">
    <w:name w:val="Default"/>
    <w:next w:val="44"/>
    <w:autoRedefine/>
    <w:qFormat/>
    <w:uiPriority w:val="0"/>
    <w:pPr>
      <w:widowControl w:val="0"/>
      <w:autoSpaceDE w:val="0"/>
      <w:autoSpaceDN w:val="0"/>
      <w:adjustRightInd w:val="0"/>
    </w:pPr>
    <w:rPr>
      <w:rFonts w:ascii="Times New Roman" w:hAnsi="Times New Roman" w:eastAsia="宋体" w:cs="宋体"/>
      <w:color w:val="000000"/>
      <w:sz w:val="24"/>
      <w:szCs w:val="24"/>
      <w:lang w:val="en-US" w:eastAsia="zh-CN" w:bidi="ar-SA"/>
    </w:rPr>
  </w:style>
  <w:style w:type="paragraph" w:customStyle="1" w:styleId="44">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45">
    <w:name w:val="页眉 Char"/>
    <w:basedOn w:val="35"/>
    <w:link w:val="25"/>
    <w:autoRedefine/>
    <w:qFormat/>
    <w:uiPriority w:val="99"/>
    <w:rPr>
      <w:sz w:val="18"/>
      <w:szCs w:val="18"/>
    </w:rPr>
  </w:style>
  <w:style w:type="character" w:customStyle="1" w:styleId="46">
    <w:name w:val="页脚 Char"/>
    <w:basedOn w:val="35"/>
    <w:link w:val="24"/>
    <w:autoRedefine/>
    <w:qFormat/>
    <w:uiPriority w:val="99"/>
    <w:rPr>
      <w:sz w:val="18"/>
      <w:szCs w:val="18"/>
    </w:rPr>
  </w:style>
  <w:style w:type="character" w:customStyle="1" w:styleId="47">
    <w:name w:val="标题 1 Char"/>
    <w:basedOn w:val="35"/>
    <w:link w:val="5"/>
    <w:autoRedefine/>
    <w:qFormat/>
    <w:uiPriority w:val="9"/>
    <w:rPr>
      <w:rFonts w:ascii="仿宋_GB2312" w:hAnsi="仿宋" w:eastAsia="仿宋_GB2312"/>
      <w:b/>
      <w:smallCaps/>
      <w:spacing w:val="5"/>
      <w:sz w:val="36"/>
      <w:szCs w:val="36"/>
    </w:rPr>
  </w:style>
  <w:style w:type="character" w:customStyle="1" w:styleId="48">
    <w:name w:val="标题 3 Char"/>
    <w:basedOn w:val="35"/>
    <w:link w:val="7"/>
    <w:autoRedefine/>
    <w:qFormat/>
    <w:uiPriority w:val="9"/>
    <w:rPr>
      <w:rFonts w:ascii="仿宋" w:hAnsi="仿宋" w:eastAsia="仿宋"/>
      <w:b/>
      <w:sz w:val="24"/>
      <w:szCs w:val="24"/>
    </w:rPr>
  </w:style>
  <w:style w:type="character" w:customStyle="1" w:styleId="49">
    <w:name w:val="标题 4 Char"/>
    <w:basedOn w:val="35"/>
    <w:link w:val="8"/>
    <w:autoRedefine/>
    <w:qFormat/>
    <w:uiPriority w:val="9"/>
    <w:rPr>
      <w:b/>
      <w:bCs/>
      <w:spacing w:val="5"/>
      <w:sz w:val="24"/>
      <w:szCs w:val="24"/>
    </w:rPr>
  </w:style>
  <w:style w:type="character" w:customStyle="1" w:styleId="50">
    <w:name w:val="标题 5 Char"/>
    <w:basedOn w:val="35"/>
    <w:link w:val="9"/>
    <w:autoRedefine/>
    <w:qFormat/>
    <w:uiPriority w:val="9"/>
    <w:rPr>
      <w:i/>
      <w:iCs/>
      <w:sz w:val="24"/>
      <w:szCs w:val="24"/>
    </w:rPr>
  </w:style>
  <w:style w:type="character" w:customStyle="1" w:styleId="51">
    <w:name w:val="标题 6 Char"/>
    <w:basedOn w:val="35"/>
    <w:link w:val="10"/>
    <w:autoRedefine/>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52">
    <w:name w:val="标题 7 Char"/>
    <w:basedOn w:val="35"/>
    <w:link w:val="11"/>
    <w:autoRedefine/>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53">
    <w:name w:val="标题 8 Char"/>
    <w:basedOn w:val="35"/>
    <w:link w:val="12"/>
    <w:autoRedefine/>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54">
    <w:name w:val="标题 9 Char"/>
    <w:basedOn w:val="35"/>
    <w:link w:val="13"/>
    <w:autoRedefine/>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55">
    <w:name w:val="标题 Char"/>
    <w:basedOn w:val="35"/>
    <w:link w:val="31"/>
    <w:autoRedefine/>
    <w:qFormat/>
    <w:uiPriority w:val="10"/>
    <w:rPr>
      <w:smallCaps/>
      <w:sz w:val="52"/>
      <w:szCs w:val="52"/>
    </w:rPr>
  </w:style>
  <w:style w:type="character" w:customStyle="1" w:styleId="56">
    <w:name w:val="副标题 Char"/>
    <w:basedOn w:val="35"/>
    <w:link w:val="28"/>
    <w:autoRedefine/>
    <w:qFormat/>
    <w:uiPriority w:val="11"/>
    <w:rPr>
      <w:i/>
      <w:iCs/>
      <w:smallCaps/>
      <w:spacing w:val="10"/>
      <w:sz w:val="28"/>
      <w:szCs w:val="28"/>
    </w:rPr>
  </w:style>
  <w:style w:type="paragraph" w:styleId="57">
    <w:name w:val="No Spacing"/>
    <w:basedOn w:val="1"/>
    <w:link w:val="69"/>
    <w:autoRedefine/>
    <w:qFormat/>
    <w:uiPriority w:val="1"/>
    <w:pPr>
      <w:spacing w:after="0"/>
    </w:pPr>
  </w:style>
  <w:style w:type="paragraph" w:styleId="58">
    <w:name w:val="List Paragraph"/>
    <w:basedOn w:val="1"/>
    <w:autoRedefine/>
    <w:qFormat/>
    <w:uiPriority w:val="34"/>
    <w:pPr>
      <w:ind w:left="720"/>
      <w:contextualSpacing/>
    </w:pPr>
  </w:style>
  <w:style w:type="paragraph" w:styleId="59">
    <w:name w:val="Quote"/>
    <w:basedOn w:val="1"/>
    <w:next w:val="1"/>
    <w:link w:val="60"/>
    <w:autoRedefine/>
    <w:qFormat/>
    <w:uiPriority w:val="29"/>
    <w:rPr>
      <w:i/>
      <w:iCs/>
    </w:rPr>
  </w:style>
  <w:style w:type="character" w:customStyle="1" w:styleId="60">
    <w:name w:val="引用 Char"/>
    <w:basedOn w:val="35"/>
    <w:link w:val="59"/>
    <w:autoRedefine/>
    <w:qFormat/>
    <w:uiPriority w:val="29"/>
    <w:rPr>
      <w:i/>
      <w:iCs/>
    </w:rPr>
  </w:style>
  <w:style w:type="paragraph" w:styleId="61">
    <w:name w:val="Intense Quote"/>
    <w:basedOn w:val="1"/>
    <w:next w:val="1"/>
    <w:link w:val="62"/>
    <w:autoRedefine/>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62">
    <w:name w:val="明显引用 Char"/>
    <w:basedOn w:val="35"/>
    <w:link w:val="61"/>
    <w:autoRedefine/>
    <w:qFormat/>
    <w:uiPriority w:val="30"/>
    <w:rPr>
      <w:i/>
      <w:iCs/>
    </w:rPr>
  </w:style>
  <w:style w:type="character" w:customStyle="1" w:styleId="63">
    <w:name w:val="不明显强调1"/>
    <w:autoRedefine/>
    <w:qFormat/>
    <w:uiPriority w:val="19"/>
    <w:rPr>
      <w:i/>
      <w:iCs/>
    </w:rPr>
  </w:style>
  <w:style w:type="character" w:customStyle="1" w:styleId="64">
    <w:name w:val="明显强调1"/>
    <w:autoRedefine/>
    <w:qFormat/>
    <w:uiPriority w:val="21"/>
    <w:rPr>
      <w:b/>
      <w:bCs/>
      <w:i/>
      <w:iCs/>
    </w:rPr>
  </w:style>
  <w:style w:type="character" w:customStyle="1" w:styleId="65">
    <w:name w:val="不明显参考1"/>
    <w:basedOn w:val="35"/>
    <w:autoRedefine/>
    <w:qFormat/>
    <w:uiPriority w:val="31"/>
    <w:rPr>
      <w:smallCaps/>
    </w:rPr>
  </w:style>
  <w:style w:type="character" w:customStyle="1" w:styleId="66">
    <w:name w:val="明显参考1"/>
    <w:autoRedefine/>
    <w:qFormat/>
    <w:uiPriority w:val="32"/>
    <w:rPr>
      <w:b/>
      <w:bCs/>
      <w:smallCaps/>
    </w:rPr>
  </w:style>
  <w:style w:type="character" w:customStyle="1" w:styleId="67">
    <w:name w:val="书籍标题1"/>
    <w:basedOn w:val="35"/>
    <w:autoRedefine/>
    <w:qFormat/>
    <w:uiPriority w:val="33"/>
    <w:rPr>
      <w:i/>
      <w:iCs/>
      <w:smallCaps/>
      <w:spacing w:val="5"/>
    </w:rPr>
  </w:style>
  <w:style w:type="paragraph" w:customStyle="1" w:styleId="68">
    <w:name w:val="TOC 标题1"/>
    <w:basedOn w:val="5"/>
    <w:next w:val="1"/>
    <w:autoRedefine/>
    <w:semiHidden/>
    <w:unhideWhenUsed/>
    <w:qFormat/>
    <w:uiPriority w:val="39"/>
    <w:pPr>
      <w:outlineLvl w:val="9"/>
    </w:pPr>
    <w:rPr>
      <w:lang w:bidi="en-US"/>
    </w:rPr>
  </w:style>
  <w:style w:type="character" w:customStyle="1" w:styleId="69">
    <w:name w:val="无间隔 Char"/>
    <w:basedOn w:val="35"/>
    <w:link w:val="57"/>
    <w:autoRedefine/>
    <w:qFormat/>
    <w:uiPriority w:val="1"/>
  </w:style>
  <w:style w:type="paragraph" w:customStyle="1" w:styleId="70">
    <w:name w:val="Personal Name"/>
    <w:basedOn w:val="31"/>
    <w:autoRedefine/>
    <w:qFormat/>
    <w:uiPriority w:val="0"/>
    <w:rPr>
      <w:b/>
      <w:caps/>
      <w:color w:val="000000"/>
      <w:sz w:val="28"/>
      <w:szCs w:val="28"/>
    </w:rPr>
  </w:style>
  <w:style w:type="character" w:customStyle="1" w:styleId="71">
    <w:name w:val="正文2 Char Char"/>
    <w:link w:val="72"/>
    <w:autoRedefine/>
    <w:qFormat/>
    <w:uiPriority w:val="0"/>
    <w:rPr>
      <w:rFonts w:ascii="仿宋" w:hAnsi="仿宋" w:eastAsia="仿宋"/>
      <w:sz w:val="24"/>
      <w:szCs w:val="24"/>
    </w:rPr>
  </w:style>
  <w:style w:type="paragraph" w:customStyle="1" w:styleId="72">
    <w:name w:val="正文2"/>
    <w:basedOn w:val="1"/>
    <w:link w:val="71"/>
    <w:autoRedefine/>
    <w:qFormat/>
    <w:uiPriority w:val="0"/>
    <w:pPr>
      <w:spacing w:line="360" w:lineRule="auto"/>
    </w:pPr>
  </w:style>
  <w:style w:type="character" w:customStyle="1" w:styleId="73">
    <w:name w:val="正文缩进 Char"/>
    <w:link w:val="14"/>
    <w:autoRedefine/>
    <w:qFormat/>
    <w:uiPriority w:val="0"/>
    <w:rPr>
      <w:rFonts w:ascii="宋体" w:hAnsi="Times New Roman" w:eastAsia="宋体" w:cs="Times New Roman"/>
      <w:snapToGrid w:val="0"/>
      <w:color w:val="000000"/>
      <w:kern w:val="28"/>
      <w:sz w:val="28"/>
      <w:szCs w:val="20"/>
    </w:rPr>
  </w:style>
  <w:style w:type="character" w:customStyle="1" w:styleId="74">
    <w:name w:val="纯文本 Char"/>
    <w:basedOn w:val="35"/>
    <w:link w:val="22"/>
    <w:autoRedefine/>
    <w:qFormat/>
    <w:uiPriority w:val="0"/>
    <w:rPr>
      <w:rFonts w:ascii="宋体" w:hAnsi="Courier New" w:eastAsia="宋体" w:cs="Arial"/>
      <w:snapToGrid w:val="0"/>
      <w:kern w:val="2"/>
      <w:sz w:val="21"/>
      <w:szCs w:val="21"/>
    </w:rPr>
  </w:style>
  <w:style w:type="character" w:customStyle="1" w:styleId="75">
    <w:name w:val="正文文本缩进 Char"/>
    <w:basedOn w:val="35"/>
    <w:autoRedefine/>
    <w:semiHidden/>
    <w:qFormat/>
    <w:uiPriority w:val="99"/>
    <w:rPr>
      <w:rFonts w:ascii="仿宋" w:hAnsi="仿宋" w:eastAsia="仿宋"/>
      <w:sz w:val="24"/>
      <w:szCs w:val="24"/>
    </w:rPr>
  </w:style>
  <w:style w:type="character" w:customStyle="1" w:styleId="76">
    <w:name w:val="正文文本缩进 Char1"/>
    <w:link w:val="19"/>
    <w:autoRedefine/>
    <w:qFormat/>
    <w:uiPriority w:val="0"/>
    <w:rPr>
      <w:rFonts w:ascii="宋体" w:hAnsi="宋体" w:eastAsia="宋体" w:cs="Times New Roman"/>
      <w:kern w:val="2"/>
      <w:sz w:val="24"/>
      <w:szCs w:val="24"/>
    </w:rPr>
  </w:style>
  <w:style w:type="character" w:customStyle="1" w:styleId="77">
    <w:name w:val="标题 Char2"/>
    <w:autoRedefine/>
    <w:qFormat/>
    <w:uiPriority w:val="10"/>
    <w:rPr>
      <w:b/>
      <w:sz w:val="24"/>
      <w:lang w:val="en-GB"/>
    </w:rPr>
  </w:style>
  <w:style w:type="character" w:customStyle="1" w:styleId="78">
    <w:name w:val="纯文本 Char1"/>
    <w:link w:val="79"/>
    <w:autoRedefine/>
    <w:qFormat/>
    <w:uiPriority w:val="0"/>
    <w:rPr>
      <w:rFonts w:ascii="宋体" w:hAnsi="Courier New"/>
    </w:rPr>
  </w:style>
  <w:style w:type="paragraph" w:customStyle="1" w:styleId="79">
    <w:name w:val="纯文本1"/>
    <w:basedOn w:val="1"/>
    <w:link w:val="78"/>
    <w:autoRedefine/>
    <w:qFormat/>
    <w:uiPriority w:val="0"/>
    <w:pPr>
      <w:widowControl w:val="0"/>
      <w:spacing w:after="0"/>
      <w:jc w:val="both"/>
    </w:pPr>
    <w:rPr>
      <w:rFonts w:ascii="宋体" w:hAnsi="Courier New" w:eastAsiaTheme="majorEastAsia"/>
      <w:sz w:val="22"/>
      <w:szCs w:val="22"/>
    </w:rPr>
  </w:style>
  <w:style w:type="character" w:customStyle="1" w:styleId="80">
    <w:name w:val="页脚 Char2"/>
    <w:autoRedefine/>
    <w:qFormat/>
    <w:locked/>
    <w:uiPriority w:val="99"/>
    <w:rPr>
      <w:kern w:val="2"/>
      <w:sz w:val="18"/>
      <w:szCs w:val="18"/>
    </w:rPr>
  </w:style>
  <w:style w:type="character" w:customStyle="1" w:styleId="81">
    <w:name w:val="页眉 Char2"/>
    <w:autoRedefine/>
    <w:qFormat/>
    <w:uiPriority w:val="99"/>
    <w:rPr>
      <w:kern w:val="2"/>
      <w:sz w:val="18"/>
      <w:szCs w:val="18"/>
    </w:rPr>
  </w:style>
  <w:style w:type="paragraph" w:customStyle="1" w:styleId="82">
    <w:name w:val="索引 11"/>
    <w:basedOn w:val="1"/>
    <w:next w:val="1"/>
    <w:autoRedefine/>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83">
    <w:name w:val="正文缩进1"/>
    <w:basedOn w:val="1"/>
    <w:next w:val="19"/>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84">
    <w:name w:val="text-tag"/>
    <w:basedOn w:val="1"/>
    <w:autoRedefine/>
    <w:semiHidden/>
    <w:qFormat/>
    <w:uiPriority w:val="99"/>
    <w:pPr>
      <w:spacing w:before="100" w:beforeAutospacing="1" w:after="100" w:afterAutospacing="1"/>
    </w:pPr>
    <w:rPr>
      <w:rFonts w:ascii="宋体" w:hAnsi="宋体" w:eastAsia="宋体" w:cs="宋体"/>
    </w:rPr>
  </w:style>
  <w:style w:type="character" w:customStyle="1" w:styleId="85">
    <w:name w:val="纯文本 Char_0"/>
    <w:link w:val="86"/>
    <w:autoRedefine/>
    <w:qFormat/>
    <w:uiPriority w:val="0"/>
    <w:rPr>
      <w:rFonts w:ascii="宋体" w:hAnsi="Courier New"/>
      <w:kern w:val="2"/>
      <w:sz w:val="21"/>
      <w:szCs w:val="21"/>
    </w:rPr>
  </w:style>
  <w:style w:type="paragraph" w:customStyle="1" w:styleId="86">
    <w:name w:val="纯文本_0_0"/>
    <w:basedOn w:val="1"/>
    <w:link w:val="85"/>
    <w:autoRedefine/>
    <w:qFormat/>
    <w:uiPriority w:val="0"/>
    <w:pPr>
      <w:widowControl w:val="0"/>
      <w:spacing w:after="0"/>
      <w:jc w:val="both"/>
    </w:pPr>
    <w:rPr>
      <w:rFonts w:ascii="宋体" w:hAnsi="Courier New" w:eastAsiaTheme="majorEastAsia"/>
      <w:kern w:val="2"/>
      <w:sz w:val="21"/>
      <w:szCs w:val="21"/>
    </w:rPr>
  </w:style>
  <w:style w:type="paragraph" w:customStyle="1" w:styleId="87">
    <w:name w:val="部分1"/>
    <w:basedOn w:val="1"/>
    <w:autoRedefine/>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88">
    <w:name w:val="批注框文本 Char"/>
    <w:basedOn w:val="35"/>
    <w:link w:val="23"/>
    <w:autoRedefine/>
    <w:semiHidden/>
    <w:qFormat/>
    <w:uiPriority w:val="99"/>
    <w:rPr>
      <w:rFonts w:ascii="仿宋" w:hAnsi="仿宋" w:eastAsia="仿宋"/>
      <w:sz w:val="18"/>
      <w:szCs w:val="18"/>
    </w:rPr>
  </w:style>
  <w:style w:type="paragraph" w:customStyle="1" w:styleId="89">
    <w:name w:val="样式 宋体 左 行距: 1.5 倍行距"/>
    <w:basedOn w:val="1"/>
    <w:autoRedefine/>
    <w:qFormat/>
    <w:uiPriority w:val="0"/>
    <w:rPr>
      <w:rFonts w:ascii="宋体" w:hAnsi="宋体" w:cs="宋体"/>
      <w:szCs w:val="20"/>
    </w:rPr>
  </w:style>
  <w:style w:type="paragraph" w:customStyle="1" w:styleId="90">
    <w:name w:val="列出段落1"/>
    <w:basedOn w:val="1"/>
    <w:autoRedefine/>
    <w:qFormat/>
    <w:uiPriority w:val="99"/>
    <w:pPr>
      <w:ind w:firstLine="420" w:firstLineChars="200"/>
    </w:pPr>
    <w:rPr>
      <w:rFonts w:ascii="Calibri" w:hAnsi="Calibri" w:eastAsia="PMingLiU"/>
      <w:szCs w:val="22"/>
    </w:rPr>
  </w:style>
  <w:style w:type="paragraph" w:customStyle="1" w:styleId="91">
    <w:name w:val="样式 标题 1 + 四号 加粗"/>
    <w:basedOn w:val="5"/>
    <w:autoRedefine/>
    <w:qFormat/>
    <w:uiPriority w:val="0"/>
  </w:style>
  <w:style w:type="paragraph" w:customStyle="1" w:styleId="9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Char_0"/>
    <w:basedOn w:val="92"/>
    <w:autoRedefine/>
    <w:qFormat/>
    <w:uiPriority w:val="0"/>
    <w:rPr>
      <w:rFonts w:ascii="Tahoma" w:hAnsi="Tahoma"/>
      <w:sz w:val="24"/>
      <w:szCs w:val="20"/>
    </w:rPr>
  </w:style>
  <w:style w:type="character" w:customStyle="1" w:styleId="94">
    <w:name w:val="font41"/>
    <w:basedOn w:val="35"/>
    <w:autoRedefine/>
    <w:qFormat/>
    <w:uiPriority w:val="0"/>
    <w:rPr>
      <w:rFonts w:ascii="Calibri" w:hAnsi="Calibri" w:cs="Calibri"/>
      <w:color w:val="000000"/>
      <w:sz w:val="21"/>
      <w:szCs w:val="21"/>
      <w:u w:val="none"/>
    </w:rPr>
  </w:style>
  <w:style w:type="character" w:customStyle="1" w:styleId="95">
    <w:name w:val="font11"/>
    <w:basedOn w:val="35"/>
    <w:autoRedefine/>
    <w:qFormat/>
    <w:uiPriority w:val="0"/>
    <w:rPr>
      <w:rFonts w:hint="eastAsia" w:ascii="宋体" w:hAnsi="宋体" w:eastAsia="宋体" w:cs="宋体"/>
      <w:color w:val="000000"/>
      <w:sz w:val="21"/>
      <w:szCs w:val="21"/>
      <w:u w:val="none"/>
    </w:rPr>
  </w:style>
  <w:style w:type="character" w:customStyle="1" w:styleId="96">
    <w:name w:val="font31"/>
    <w:basedOn w:val="35"/>
    <w:autoRedefine/>
    <w:qFormat/>
    <w:uiPriority w:val="0"/>
    <w:rPr>
      <w:rFonts w:ascii="Calibri" w:hAnsi="Calibri" w:cs="Calibri"/>
      <w:color w:val="000000"/>
      <w:sz w:val="24"/>
      <w:szCs w:val="24"/>
      <w:u w:val="none"/>
    </w:rPr>
  </w:style>
  <w:style w:type="character" w:customStyle="1" w:styleId="97">
    <w:name w:val="font21"/>
    <w:basedOn w:val="35"/>
    <w:autoRedefine/>
    <w:qFormat/>
    <w:uiPriority w:val="0"/>
    <w:rPr>
      <w:rFonts w:hint="eastAsia" w:ascii="微软雅黑" w:hAnsi="微软雅黑" w:eastAsia="微软雅黑" w:cs="微软雅黑"/>
      <w:color w:val="000000"/>
      <w:sz w:val="24"/>
      <w:szCs w:val="24"/>
      <w:u w:val="none"/>
    </w:rPr>
  </w:style>
  <w:style w:type="character" w:customStyle="1" w:styleId="98">
    <w:name w:val="文档结构图 Char"/>
    <w:basedOn w:val="35"/>
    <w:link w:val="17"/>
    <w:autoRedefine/>
    <w:semiHidden/>
    <w:qFormat/>
    <w:uiPriority w:val="99"/>
    <w:rPr>
      <w:rFonts w:ascii="宋体" w:hAnsi="仿宋" w:cstheme="majorBidi"/>
      <w:sz w:val="18"/>
      <w:szCs w:val="18"/>
    </w:rPr>
  </w:style>
  <w:style w:type="paragraph" w:customStyle="1" w:styleId="99">
    <w:name w:val="_Style 3"/>
    <w:basedOn w:val="1"/>
    <w:autoRedefine/>
    <w:qFormat/>
    <w:uiPriority w:val="0"/>
    <w:pPr>
      <w:adjustRightInd/>
      <w:ind w:firstLine="420" w:firstLineChars="200"/>
    </w:pPr>
    <w:rPr>
      <w:rFonts w:eastAsia="仿宋_GB2312"/>
      <w:sz w:val="28"/>
    </w:rPr>
  </w:style>
  <w:style w:type="table" w:customStyle="1" w:styleId="100">
    <w:name w:val="Table Normal"/>
    <w:autoRedefine/>
    <w:semiHidden/>
    <w:unhideWhenUsed/>
    <w:qFormat/>
    <w:uiPriority w:val="0"/>
    <w:tblPr>
      <w:tblCellMar>
        <w:top w:w="0" w:type="dxa"/>
        <w:left w:w="0" w:type="dxa"/>
        <w:bottom w:w="0" w:type="dxa"/>
        <w:right w:w="0" w:type="dxa"/>
      </w:tblCellMar>
    </w:tblPr>
  </w:style>
  <w:style w:type="paragraph" w:customStyle="1" w:styleId="101">
    <w:name w:val="Table Text"/>
    <w:basedOn w:val="1"/>
    <w:autoRedefine/>
    <w:semiHidden/>
    <w:qFormat/>
    <w:uiPriority w:val="0"/>
    <w:rPr>
      <w:rFonts w:ascii="微软雅黑" w:hAnsi="微软雅黑" w:eastAsia="微软雅黑" w:cs="微软雅黑"/>
      <w:sz w:val="16"/>
      <w:szCs w:val="16"/>
      <w:lang w:val="en-US" w:eastAsia="en-US" w:bidi="ar-SA"/>
    </w:rPr>
  </w:style>
  <w:style w:type="paragraph" w:customStyle="1" w:styleId="102">
    <w:name w:val="正文段"/>
    <w:basedOn w:val="1"/>
    <w:autoRedefine/>
    <w:qFormat/>
    <w:uiPriority w:val="99"/>
    <w:pPr>
      <w:widowControl/>
      <w:snapToGrid w:val="0"/>
      <w:spacing w:after="156" w:afterLines="50"/>
      <w:ind w:firstLine="200" w:firstLineChars="200"/>
    </w:pPr>
    <w:rPr>
      <w:kern w:val="0"/>
      <w:sz w:val="24"/>
      <w:szCs w:val="20"/>
    </w:rPr>
  </w:style>
  <w:style w:type="character" w:customStyle="1" w:styleId="103">
    <w:name w:val="font51"/>
    <w:basedOn w:val="35"/>
    <w:qFormat/>
    <w:uiPriority w:val="0"/>
    <w:rPr>
      <w:rFonts w:hint="eastAsia" w:ascii="宋体" w:hAnsi="宋体" w:eastAsia="宋体" w:cs="宋体"/>
      <w:color w:val="000000"/>
      <w:sz w:val="20"/>
      <w:szCs w:val="20"/>
      <w:u w:val="none"/>
    </w:rPr>
  </w:style>
  <w:style w:type="paragraph" w:customStyle="1" w:styleId="104">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5">
    <w:name w:val="正文 A"/>
    <w:qFormat/>
    <w:uiPriority w:val="0"/>
    <w:pPr>
      <w:widowControl w:val="0"/>
      <w:jc w:val="both"/>
    </w:pPr>
    <w:rPr>
      <w:rFonts w:ascii="Times New Roman" w:hAnsi="Times New Roman" w:eastAsia="宋体" w:cs="Times New Roman"/>
      <w:color w:val="000000"/>
      <w:kern w:val="2"/>
      <w:sz w:val="28"/>
      <w:szCs w:val="28"/>
      <w:u w:color="000000"/>
      <w:lang w:val="en-US" w:eastAsia="zh-CN" w:bidi="ar-SA"/>
    </w:rPr>
  </w:style>
  <w:style w:type="paragraph" w:customStyle="1" w:styleId="106">
    <w:name w:val="_Style 1"/>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520DC9-96A8-46E0-83BB-CFF26CFF9D74}">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62</Pages>
  <Words>11121</Words>
  <Characters>11955</Characters>
  <Lines>350</Lines>
  <Paragraphs>98</Paragraphs>
  <TotalTime>33</TotalTime>
  <ScaleCrop>false</ScaleCrop>
  <LinksUpToDate>false</LinksUpToDate>
  <CharactersWithSpaces>12036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浙江华耀建设咨询有限公司</cp:lastModifiedBy>
  <cp:lastPrinted>2024-05-24T10:15:00Z</cp:lastPrinted>
  <dcterms:modified xsi:type="dcterms:W3CDTF">2025-07-09T02:18:06Z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1E8A64F0BE2E40228BEE3B9518410A14_13</vt:lpwstr>
  </property>
  <property fmtid="{D5CDD505-2E9C-101B-9397-08002B2CF9AE}" pid="4" name="KSOTemplateDocerSaveRecord">
    <vt:lpwstr>eyJoZGlkIjoiMzRlNzI2ZWY3MzhkZTNmYWYwNTlkZTM4YzllZTNiNGUiLCJ1c2VySWQiOiIyNDgyNDQ5NjcifQ==</vt:lpwstr>
  </property>
</Properties>
</file>