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5C">
      <w:pPr>
        <w:adjustRightInd/>
        <w:spacing w:line="360" w:lineRule="auto"/>
        <w:jc w:val="center"/>
        <w:rPr>
          <w:rFonts w:hint="eastAsia" w:ascii="宋体" w:hAnsi="宋体" w:cs="宋体"/>
          <w:color w:val="auto"/>
          <w:sz w:val="48"/>
          <w:szCs w:val="48"/>
          <w:highlight w:val="none"/>
        </w:rPr>
      </w:pPr>
    </w:p>
    <w:p w14:paraId="1CB0B199">
      <w:pPr>
        <w:adjustRightInd/>
        <w:spacing w:line="360" w:lineRule="auto"/>
        <w:jc w:val="center"/>
        <w:rPr>
          <w:rFonts w:hint="eastAsia" w:ascii="宋体" w:hAnsi="宋体" w:cs="宋体"/>
          <w:color w:val="auto"/>
          <w:sz w:val="48"/>
          <w:szCs w:val="48"/>
          <w:highlight w:val="none"/>
        </w:rPr>
      </w:pPr>
    </w:p>
    <w:p w14:paraId="09324BE9">
      <w:pPr>
        <w:adjustRightInd/>
        <w:spacing w:line="360" w:lineRule="auto"/>
        <w:jc w:val="center"/>
        <w:rPr>
          <w:rFonts w:hint="eastAsia" w:ascii="宋体" w:hAnsi="宋体" w:cs="宋体"/>
          <w:color w:val="auto"/>
          <w:sz w:val="48"/>
          <w:szCs w:val="48"/>
          <w:highlight w:val="none"/>
        </w:rPr>
      </w:pPr>
    </w:p>
    <w:p w14:paraId="3E616E1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部分校园暖师智友心理平台开发服务</w:t>
      </w:r>
    </w:p>
    <w:p w14:paraId="1959853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文件</w:t>
      </w:r>
    </w:p>
    <w:p w14:paraId="527E54C0">
      <w:pPr>
        <w:snapToGrid w:val="0"/>
        <w:spacing w:line="360" w:lineRule="auto"/>
        <w:jc w:val="center"/>
        <w:rPr>
          <w:rFonts w:hint="eastAsia" w:ascii="宋体" w:hAnsi="宋体" w:cs="宋体"/>
          <w:color w:val="auto"/>
          <w:sz w:val="30"/>
          <w:szCs w:val="30"/>
          <w:highlight w:val="none"/>
        </w:rPr>
      </w:pPr>
    </w:p>
    <w:p w14:paraId="59017F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bookmarkStart w:id="49" w:name="_GoBack"/>
      <w:r>
        <w:rPr>
          <w:rFonts w:hint="eastAsia" w:ascii="宋体" w:hAnsi="宋体" w:cs="宋体"/>
          <w:color w:val="auto"/>
          <w:sz w:val="32"/>
          <w:szCs w:val="32"/>
          <w:highlight w:val="none"/>
          <w:lang w:eastAsia="zh-CN"/>
        </w:rPr>
        <w:t>QSZBB250083FHQT</w:t>
      </w:r>
      <w:bookmarkEnd w:id="49"/>
    </w:p>
    <w:p w14:paraId="07875840">
      <w:pPr>
        <w:adjustRightInd/>
        <w:spacing w:line="360" w:lineRule="auto"/>
        <w:rPr>
          <w:rFonts w:ascii="宋体" w:hAnsi="宋体" w:cs="宋体"/>
          <w:color w:val="auto"/>
          <w:sz w:val="28"/>
          <w:szCs w:val="20"/>
          <w:highlight w:val="none"/>
        </w:rPr>
      </w:pPr>
    </w:p>
    <w:p w14:paraId="1808C7B0">
      <w:pPr>
        <w:spacing w:line="360" w:lineRule="auto"/>
        <w:jc w:val="center"/>
        <w:rPr>
          <w:rFonts w:ascii="宋体" w:hAnsi="宋体" w:cs="宋体"/>
          <w:b/>
          <w:color w:val="auto"/>
          <w:sz w:val="44"/>
          <w:szCs w:val="44"/>
          <w:highlight w:val="none"/>
        </w:rPr>
      </w:pPr>
    </w:p>
    <w:p w14:paraId="7C8347D9">
      <w:pPr>
        <w:spacing w:line="360" w:lineRule="auto"/>
        <w:jc w:val="center"/>
        <w:rPr>
          <w:rFonts w:ascii="宋体" w:hAnsi="宋体" w:cs="宋体"/>
          <w:b/>
          <w:color w:val="auto"/>
          <w:sz w:val="44"/>
          <w:szCs w:val="44"/>
          <w:highlight w:val="none"/>
        </w:rPr>
      </w:pPr>
    </w:p>
    <w:p w14:paraId="15E729AD">
      <w:pPr>
        <w:spacing w:line="360" w:lineRule="auto"/>
        <w:jc w:val="center"/>
        <w:rPr>
          <w:rFonts w:ascii="宋体" w:hAnsi="宋体" w:cs="宋体"/>
          <w:color w:val="auto"/>
          <w:sz w:val="24"/>
          <w:highlight w:val="none"/>
        </w:rPr>
      </w:pPr>
    </w:p>
    <w:p w14:paraId="58474DA2">
      <w:pPr>
        <w:spacing w:line="360" w:lineRule="auto"/>
        <w:jc w:val="center"/>
        <w:rPr>
          <w:rFonts w:ascii="宋体" w:hAnsi="宋体" w:cs="宋体"/>
          <w:color w:val="auto"/>
          <w:sz w:val="24"/>
          <w:highlight w:val="none"/>
        </w:rPr>
      </w:pPr>
    </w:p>
    <w:p w14:paraId="5156F545">
      <w:pPr>
        <w:spacing w:line="360" w:lineRule="auto"/>
        <w:rPr>
          <w:rFonts w:ascii="宋体" w:hAnsi="宋体" w:cs="宋体"/>
          <w:color w:val="auto"/>
          <w:sz w:val="32"/>
          <w:szCs w:val="32"/>
          <w:highlight w:val="none"/>
        </w:rPr>
      </w:pPr>
    </w:p>
    <w:p w14:paraId="3B5D74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杭州市拱墅区教育信息技术中心</w:t>
      </w:r>
    </w:p>
    <w:p w14:paraId="5648A80E">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浙江求是招标代理有限公司</w:t>
      </w:r>
    </w:p>
    <w:p w14:paraId="2954FB9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日</w:t>
      </w:r>
    </w:p>
    <w:p w14:paraId="61E9B6D3">
      <w:pPr>
        <w:rPr>
          <w:rFonts w:hint="eastAsia"/>
          <w:color w:val="auto"/>
          <w:highlight w:val="none"/>
        </w:rPr>
      </w:pPr>
      <w:r>
        <w:rPr>
          <w:rFonts w:hint="eastAsia" w:ascii="宋体" w:hAnsi="宋体" w:cs="宋体"/>
          <w:bCs/>
          <w:color w:val="auto"/>
          <w:sz w:val="32"/>
          <w:szCs w:val="32"/>
          <w:highlight w:val="none"/>
        </w:rPr>
        <w:br w:type="page"/>
      </w:r>
    </w:p>
    <w:p w14:paraId="5E0EB97F">
      <w:pPr>
        <w:spacing w:line="360" w:lineRule="auto"/>
        <w:ind w:firstLine="482" w:firstLineChars="100"/>
        <w:jc w:val="both"/>
        <w:rPr>
          <w:rFonts w:hint="eastAsia" w:ascii="宋体" w:hAnsi="宋体" w:cs="宋体"/>
          <w:b/>
          <w:color w:val="auto"/>
          <w:sz w:val="48"/>
          <w:szCs w:val="48"/>
          <w:highlight w:val="none"/>
        </w:rPr>
      </w:pPr>
    </w:p>
    <w:p w14:paraId="516070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E15780">
      <w:pPr>
        <w:spacing w:line="360" w:lineRule="auto"/>
        <w:rPr>
          <w:rFonts w:ascii="宋体" w:hAnsi="宋体" w:cs="宋体"/>
          <w:color w:val="auto"/>
          <w:sz w:val="32"/>
          <w:szCs w:val="32"/>
          <w:highlight w:val="none"/>
        </w:rPr>
      </w:pPr>
    </w:p>
    <w:p w14:paraId="50DBB0B5">
      <w:pPr>
        <w:spacing w:line="360" w:lineRule="auto"/>
        <w:rPr>
          <w:rFonts w:ascii="宋体" w:hAnsi="宋体" w:cs="宋体"/>
          <w:color w:val="auto"/>
          <w:sz w:val="32"/>
          <w:szCs w:val="32"/>
          <w:highlight w:val="none"/>
        </w:rPr>
      </w:pPr>
    </w:p>
    <w:p w14:paraId="76E6A1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4B8E98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DDF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051139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1D977B94">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179FD181">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0449229">
      <w:pPr>
        <w:rPr>
          <w:color w:val="auto"/>
          <w:highlight w:val="none"/>
        </w:rPr>
      </w:pPr>
      <w:r>
        <w:rPr>
          <w:color w:val="auto"/>
          <w:highlight w:val="none"/>
        </w:rPr>
        <w:br w:type="page"/>
      </w:r>
    </w:p>
    <w:p w14:paraId="284E070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7B6F95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E7750B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部分校园暖师智友心理平台开发服务</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16"/>
          <w:rFonts w:hint="eastAsia" w:ascii="宋体" w:hAnsi="宋体" w:eastAsia="宋体" w:cs="宋体"/>
          <w:snapToGrid/>
          <w:color w:val="auto"/>
          <w:kern w:val="2"/>
          <w:sz w:val="21"/>
          <w:szCs w:val="21"/>
          <w:highlight w:val="none"/>
        </w:rPr>
        <w:t>https://www.lecaiyun.com/）获取（下载）</w:t>
      </w:r>
      <w:r>
        <w:rPr>
          <w:rStyle w:val="16"/>
          <w:rFonts w:hint="eastAsia" w:ascii="宋体" w:hAnsi="宋体" w:eastAsia="宋体" w:cs="宋体"/>
          <w:snapToGrid/>
          <w:color w:val="auto"/>
          <w:kern w:val="2"/>
          <w:sz w:val="21"/>
          <w:szCs w:val="21"/>
          <w:highlight w:val="none"/>
          <w:lang w:eastAsia="zh-CN"/>
        </w:rPr>
        <w:t>采购</w:t>
      </w:r>
      <w:r>
        <w:rPr>
          <w:rStyle w:val="16"/>
          <w:rFonts w:hint="eastAsia" w:ascii="宋体" w:hAnsi="宋体" w:eastAsia="宋体" w:cs="宋体"/>
          <w:snapToGrid/>
          <w:color w:val="auto"/>
          <w:kern w:val="2"/>
          <w:sz w:val="21"/>
          <w:szCs w:val="21"/>
          <w:highlight w:val="none"/>
        </w:rPr>
        <w:t>文件，并于</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7月23日15点30分</w:t>
      </w:r>
      <w:r>
        <w:rPr>
          <w:rFonts w:hint="eastAsia" w:ascii="宋体" w:hAnsi="宋体" w:eastAsia="宋体" w:cs="宋体"/>
          <w:color w:val="auto"/>
          <w:sz w:val="21"/>
          <w:szCs w:val="21"/>
          <w:highlight w:val="none"/>
          <w:u w:val="single"/>
        </w:rPr>
        <w:t>00秒</w:t>
      </w:r>
      <w:r>
        <w:rPr>
          <w:rStyle w:val="1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14:paraId="01ACBAA6">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一、项目基本情况</w:t>
      </w:r>
      <w:r>
        <w:rPr>
          <w:rFonts w:hint="eastAsia" w:ascii="宋体" w:hAnsi="宋体" w:cs="宋体"/>
          <w:b/>
          <w:color w:val="auto"/>
          <w:sz w:val="21"/>
          <w:szCs w:val="21"/>
          <w:highlight w:val="none"/>
          <w:lang w:eastAsia="zh-CN"/>
        </w:rPr>
        <w:t>：</w:t>
      </w:r>
    </w:p>
    <w:p w14:paraId="47AFFE07">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QSZBB250083FHQT</w:t>
      </w:r>
    </w:p>
    <w:p w14:paraId="09751FA2">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部分校园暖师智友心理平台开发服务</w:t>
      </w:r>
    </w:p>
    <w:p w14:paraId="0F95B851">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0000元</w:t>
      </w:r>
    </w:p>
    <w:p w14:paraId="3AD9133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0000元</w:t>
      </w:r>
    </w:p>
    <w:p w14:paraId="412E02A3">
      <w:pPr>
        <w:pStyle w:val="6"/>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部分校园暖师智友心理平台开发服务</w:t>
      </w:r>
      <w:r>
        <w:rPr>
          <w:rFonts w:hint="eastAsia" w:ascii="宋体" w:hAnsi="宋体" w:eastAsia="宋体" w:cs="宋体"/>
          <w:bCs/>
          <w:snapToGrid/>
          <w:color w:val="auto"/>
          <w:kern w:val="2"/>
          <w:sz w:val="21"/>
          <w:szCs w:val="21"/>
          <w:highlight w:val="none"/>
        </w:rPr>
        <w:t>主要内容：部分校园暖师智友心理平台开发服务。</w:t>
      </w:r>
      <w:r>
        <w:rPr>
          <w:rFonts w:hint="eastAsia" w:ascii="宋体" w:hAnsi="宋体" w:eastAsia="宋体" w:cs="宋体"/>
          <w:snapToGrid/>
          <w:color w:val="auto"/>
          <w:kern w:val="2"/>
          <w:sz w:val="21"/>
          <w:szCs w:val="21"/>
          <w:highlight w:val="none"/>
        </w:rPr>
        <w:t>具体以</w:t>
      </w:r>
      <w:r>
        <w:rPr>
          <w:rFonts w:hint="eastAsia" w:ascii="宋体" w:hAnsi="宋体" w:eastAsia="宋体" w:cs="宋体"/>
          <w:snapToGrid/>
          <w:color w:val="auto"/>
          <w:kern w:val="2"/>
          <w:sz w:val="21"/>
          <w:szCs w:val="21"/>
          <w:highlight w:val="none"/>
          <w:lang w:val="en-US" w:eastAsia="zh-CN"/>
        </w:rPr>
        <w:t>采购</w:t>
      </w:r>
      <w:r>
        <w:rPr>
          <w:rFonts w:hint="eastAsia" w:ascii="宋体" w:hAnsi="宋体" w:eastAsia="宋体" w:cs="宋体"/>
          <w:snapToGrid/>
          <w:color w:val="auto"/>
          <w:kern w:val="2"/>
          <w:sz w:val="21"/>
          <w:szCs w:val="21"/>
          <w:highlight w:val="none"/>
        </w:rPr>
        <w:t>文件第</w:t>
      </w:r>
      <w:r>
        <w:rPr>
          <w:rFonts w:hint="eastAsia" w:ascii="宋体" w:hAnsi="宋体" w:eastAsia="宋体" w:cs="宋体"/>
          <w:snapToGrid/>
          <w:color w:val="auto"/>
          <w:kern w:val="2"/>
          <w:sz w:val="21"/>
          <w:szCs w:val="21"/>
          <w:highlight w:val="none"/>
          <w:lang w:val="en-US" w:eastAsia="zh-CN"/>
        </w:rPr>
        <w:t>三章</w:t>
      </w:r>
      <w:r>
        <w:rPr>
          <w:rFonts w:hint="eastAsia" w:ascii="宋体" w:hAnsi="宋体" w:eastAsia="宋体" w:cs="宋体"/>
          <w:snapToGrid/>
          <w:color w:val="auto"/>
          <w:kern w:val="2"/>
          <w:sz w:val="21"/>
          <w:szCs w:val="21"/>
          <w:highlight w:val="none"/>
        </w:rPr>
        <w:t>采购需求为准，供应商可点击本公告下方“浏览采购文件”查看采购需求。</w:t>
      </w:r>
    </w:p>
    <w:p w14:paraId="06CA4BF0">
      <w:pPr>
        <w:pStyle w:val="17"/>
        <w:keepNext w:val="0"/>
        <w:keepLines w:val="0"/>
        <w:pageBreakBefore w:val="0"/>
        <w:kinsoku/>
        <w:wordWrap/>
        <w:overflowPunct/>
        <w:topLinePunct w:val="0"/>
        <w:autoSpaceDE/>
        <w:autoSpaceDN/>
        <w:bidi w:val="0"/>
        <w:adjustRightInd w:val="0"/>
        <w:spacing w:before="0" w:line="288" w:lineRule="auto"/>
        <w:ind w:left="0" w:firstLine="482"/>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自合同签订之日起</w:t>
      </w:r>
      <w:r>
        <w:rPr>
          <w:rFonts w:hint="eastAsia" w:ascii="宋体" w:hAnsi="宋体" w:cs="宋体"/>
          <w:b/>
          <w:color w:val="auto"/>
          <w:sz w:val="21"/>
          <w:szCs w:val="21"/>
          <w:highlight w:val="none"/>
          <w:lang w:val="en-US" w:eastAsia="zh-CN"/>
        </w:rPr>
        <w:t>180</w:t>
      </w:r>
      <w:r>
        <w:rPr>
          <w:rFonts w:hint="eastAsia" w:ascii="宋体" w:hAnsi="宋体" w:eastAsia="宋体" w:cs="宋体"/>
          <w:b/>
          <w:color w:val="auto"/>
          <w:sz w:val="21"/>
          <w:szCs w:val="21"/>
          <w:highlight w:val="none"/>
          <w:lang w:val="en-US" w:eastAsia="zh-CN"/>
        </w:rPr>
        <w:t>日内交付。</w:t>
      </w:r>
    </w:p>
    <w:p w14:paraId="78297E07">
      <w:pPr>
        <w:pStyle w:val="6"/>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269687E">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0" w:name="_Hlk101132948"/>
      <w:r>
        <w:rPr>
          <w:rFonts w:hint="eastAsia" w:ascii="宋体" w:hAnsi="宋体" w:eastAsia="宋体" w:cs="宋体"/>
          <w:b/>
          <w:color w:val="auto"/>
          <w:sz w:val="21"/>
          <w:szCs w:val="21"/>
          <w:highlight w:val="none"/>
        </w:rPr>
        <w:t>申请人的资格要求</w:t>
      </w:r>
      <w:bookmarkEnd w:id="0"/>
      <w:r>
        <w:rPr>
          <w:rFonts w:hint="eastAsia" w:ascii="宋体" w:hAnsi="宋体" w:eastAsia="宋体" w:cs="宋体"/>
          <w:b/>
          <w:color w:val="auto"/>
          <w:sz w:val="21"/>
          <w:szCs w:val="21"/>
          <w:highlight w:val="none"/>
        </w:rPr>
        <w:t>：</w:t>
      </w:r>
    </w:p>
    <w:p w14:paraId="2E7E8938">
      <w:pPr>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strike/>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819C4BA">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的，提供联合协议(本项目不接受联合体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或者</w:t>
      </w:r>
      <w:r>
        <w:rPr>
          <w:rFonts w:hint="eastAsia" w:ascii="宋体" w:hAnsi="宋体" w:eastAsia="宋体" w:cs="宋体"/>
          <w:snapToGrid w:val="0"/>
          <w:color w:val="auto"/>
          <w:kern w:val="28"/>
          <w:sz w:val="21"/>
          <w:szCs w:val="21"/>
          <w:highlight w:val="none"/>
          <w:lang w:eastAsia="zh-CN"/>
        </w:rPr>
        <w:t>供应商</w:t>
      </w:r>
      <w:r>
        <w:rPr>
          <w:rFonts w:hint="eastAsia" w:ascii="宋体" w:hAnsi="宋体" w:eastAsia="宋体" w:cs="宋体"/>
          <w:snapToGrid w:val="0"/>
          <w:color w:val="auto"/>
          <w:kern w:val="28"/>
          <w:sz w:val="21"/>
          <w:szCs w:val="21"/>
          <w:highlight w:val="none"/>
        </w:rPr>
        <w:t>不以联合体形式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的，则不需要提供)；</w:t>
      </w:r>
    </w:p>
    <w:p w14:paraId="111CE488">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Cs/>
          <w:snapToGrid/>
          <w:color w:val="auto"/>
          <w:kern w:val="2"/>
          <w:sz w:val="21"/>
          <w:szCs w:val="21"/>
          <w:highlight w:val="none"/>
          <w:lang w:val="en-US" w:eastAsia="zh-CN"/>
        </w:rPr>
        <w:t>无</w:t>
      </w:r>
      <w:r>
        <w:rPr>
          <w:rFonts w:hint="eastAsia" w:ascii="宋体" w:hAnsi="宋体" w:eastAsia="宋体" w:cs="宋体"/>
          <w:color w:val="auto"/>
          <w:sz w:val="21"/>
          <w:szCs w:val="21"/>
          <w:highlight w:val="none"/>
        </w:rPr>
        <w:t>；</w:t>
      </w:r>
    </w:p>
    <w:p w14:paraId="27126E5F">
      <w:pPr>
        <w:keepNext w:val="0"/>
        <w:keepLines w:val="0"/>
        <w:pageBreakBefore w:val="0"/>
        <w:kinsoku/>
        <w:wordWrap/>
        <w:overflowPunct/>
        <w:topLinePunct w:val="0"/>
        <w:autoSpaceDE/>
        <w:autoSpaceDN/>
        <w:bidi w:val="0"/>
        <w:adjustRightInd w:val="0"/>
        <w:snapToGri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7D11DC">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w:t>
      </w:r>
    </w:p>
    <w:p w14:paraId="194A5D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lang w:val="en-US" w:eastAsia="zh-CN"/>
        </w:rPr>
        <w:t>自2025年</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lang w:val="en-US" w:eastAsia="zh-CN"/>
        </w:rPr>
        <w:t>日始</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7月23日</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color w:val="auto"/>
          <w:sz w:val="21"/>
          <w:szCs w:val="21"/>
          <w:highlight w:val="none"/>
        </w:rPr>
        <w:t>，每天上午00:00至12:00 ，下午12:00至23:59（北京时间，线上获取法定节假日均可）</w:t>
      </w:r>
    </w:p>
    <w:p w14:paraId="10A3EA7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地点（网址）：乐采云平台（https://www.lecaiyun.com/）</w:t>
      </w:r>
    </w:p>
    <w:p w14:paraId="69F1DF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eastAsia="宋体" w:cs="宋体"/>
          <w:b w:val="0"/>
          <w:bCs w:val="0"/>
          <w:color w:val="auto"/>
          <w:sz w:val="21"/>
          <w:szCs w:val="21"/>
          <w:highlight w:val="none"/>
        </w:rPr>
        <w:t>乐采云平台（https://www.lecaiyun.com/）</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134688DB">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CC69651">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截止时间、开标时间和地点</w:t>
      </w:r>
      <w:r>
        <w:rPr>
          <w:rFonts w:hint="eastAsia" w:ascii="宋体" w:hAnsi="宋体" w:cs="宋体"/>
          <w:b/>
          <w:color w:val="auto"/>
          <w:sz w:val="21"/>
          <w:szCs w:val="21"/>
          <w:highlight w:val="none"/>
          <w:lang w:eastAsia="zh-CN"/>
        </w:rPr>
        <w:t>：</w:t>
      </w:r>
    </w:p>
    <w:p w14:paraId="14C675F3">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7月23日15点30分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8642EC4">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提交响应文件</w:t>
      </w:r>
      <w:r>
        <w:rPr>
          <w:rFonts w:hint="eastAsia" w:ascii="宋体" w:hAnsi="宋体" w:eastAsia="宋体" w:cs="宋体"/>
          <w:b/>
          <w:color w:val="auto"/>
          <w:sz w:val="21"/>
          <w:szCs w:val="21"/>
          <w:highlight w:val="none"/>
        </w:rPr>
        <w:t>地点（网址）：</w:t>
      </w:r>
      <w:r>
        <w:rPr>
          <w:rFonts w:hint="eastAsia" w:ascii="宋体" w:hAnsi="宋体" w:eastAsia="宋体" w:cs="宋体"/>
          <w:b/>
          <w:bCs/>
          <w:color w:val="auto"/>
          <w:sz w:val="21"/>
          <w:szCs w:val="21"/>
          <w:highlight w:val="none"/>
        </w:rPr>
        <w:t>乐采云平台（https://www.lecaiyun.com/）</w:t>
      </w:r>
    </w:p>
    <w:p w14:paraId="451AB318">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7月23日15点30分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（北京时间）</w:t>
      </w:r>
    </w:p>
    <w:p w14:paraId="015144E5">
      <w:pPr>
        <w:keepNext w:val="0"/>
        <w:keepLines w:val="0"/>
        <w:pageBreakBefore w:val="0"/>
        <w:widowControl/>
        <w:kinsoku/>
        <w:wordWrap/>
        <w:overflowPunct/>
        <w:topLinePunct w:val="0"/>
        <w:autoSpaceDE/>
        <w:autoSpaceDN/>
        <w:bidi w:val="0"/>
        <w:adjustRightInd w:val="0"/>
        <w:snapToGrid w:val="0"/>
        <w:spacing w:line="288" w:lineRule="auto"/>
        <w:ind w:left="0"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开标地点（网址）：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p>
    <w:p w14:paraId="06D00A4B">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五、公告期限：</w:t>
      </w:r>
      <w:r>
        <w:rPr>
          <w:rFonts w:hint="eastAsia" w:ascii="宋体" w:hAnsi="宋体" w:eastAsia="宋体" w:cs="宋体"/>
          <w:bCs/>
          <w:color w:val="auto"/>
          <w:sz w:val="21"/>
          <w:szCs w:val="21"/>
          <w:highlight w:val="none"/>
        </w:rPr>
        <w:t>自本公告发布之日起</w:t>
      </w:r>
      <w:r>
        <w:rPr>
          <w:rFonts w:hint="eastAsia" w:ascii="宋体" w:hAnsi="宋体" w:eastAsia="宋体" w:cs="宋体"/>
          <w:bCs/>
          <w:snapToGrid/>
          <w:color w:val="auto"/>
          <w:kern w:val="2"/>
          <w:sz w:val="21"/>
          <w:szCs w:val="21"/>
          <w:highlight w:val="none"/>
          <w:lang w:val="en-US" w:eastAsia="zh-CN"/>
        </w:rPr>
        <w:t>3</w:t>
      </w:r>
      <w:r>
        <w:rPr>
          <w:rFonts w:hint="eastAsia" w:ascii="宋体" w:hAnsi="宋体" w:eastAsia="宋体" w:cs="宋体"/>
          <w:bCs/>
          <w:color w:val="auto"/>
          <w:sz w:val="21"/>
          <w:szCs w:val="21"/>
          <w:highlight w:val="none"/>
        </w:rPr>
        <w:t>个工作日。</w:t>
      </w:r>
    </w:p>
    <w:p w14:paraId="2A4BC6DC">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六、其他事项：</w:t>
      </w:r>
    </w:p>
    <w:p w14:paraId="7CB7EE4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供应商认为采购文件使自己的权益受到损害的，可以自</w:t>
      </w:r>
      <w:r>
        <w:rPr>
          <w:rFonts w:hint="eastAsia" w:ascii="宋体" w:hAnsi="宋体" w:eastAsia="宋体" w:cs="宋体"/>
          <w:color w:val="auto"/>
          <w:sz w:val="21"/>
          <w:szCs w:val="21"/>
          <w:highlight w:val="none"/>
          <w:lang w:eastAsia="zh-CN"/>
        </w:rPr>
        <w:t>获取招标</w:t>
      </w:r>
      <w:r>
        <w:rPr>
          <w:rFonts w:hint="eastAsia" w:ascii="宋体" w:hAnsi="宋体" w:eastAsia="宋体" w:cs="宋体"/>
          <w:color w:val="auto"/>
          <w:sz w:val="21"/>
          <w:szCs w:val="21"/>
          <w:highlight w:val="none"/>
        </w:rPr>
        <w:t>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个工作日内向采购人监督管理部门投诉。</w:t>
      </w:r>
    </w:p>
    <w:p w14:paraId="4185345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其他事项：电子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的说明：①电子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：本项目以数据电文形式，依托“乐采云平台（https://www.lecaiyun.com/）”进行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活动，不接受纸质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通过乐采云平台电子投标工具制作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的制作：在“乐采云电子交易客户端”中完成“填写基本信息”、“导入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活动； ⑥对未按上述方式获取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文件的供应商对该文件提出的质疑，采购人或采购代理机构将不予处理；⑦不提供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文件纸质版；⑧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截止时间前将加密的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上传至乐采云平台，还可以在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1份。备份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的制作、存储、密封详见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文件第二部分第15点—“备份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按照平台提示和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文件的规定在半小时内完成在线解密。通过“乐采云平台”上传递交的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无法按时解密，</w:t>
      </w:r>
      <w:r>
        <w:rPr>
          <w:rFonts w:hint="eastAsia" w:ascii="宋体" w:hAnsi="宋体" w:eastAsia="宋体" w:cs="宋体"/>
          <w:color w:val="auto"/>
          <w:sz w:val="21"/>
          <w:szCs w:val="21"/>
          <w:highlight w:val="none"/>
          <w:lang w:val="en-US" w:eastAsia="zh-CN"/>
        </w:rPr>
        <w:t>潜在</w:t>
      </w:r>
      <w:r>
        <w:rPr>
          <w:rFonts w:hint="eastAsia" w:ascii="宋体" w:hAnsi="宋体" w:eastAsia="宋体" w:cs="宋体"/>
          <w:color w:val="auto"/>
          <w:sz w:val="21"/>
          <w:szCs w:val="21"/>
          <w:highlight w:val="none"/>
        </w:rPr>
        <w:t>供应商递交了备份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的，以备份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为依据，否则视为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已按时解密的，备份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自动失效。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仅提交备份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，未在电子交易平台传输递交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无效；⑩具体操作指南：详见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乐采云平台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服务中心-帮助文档-项目采购-操作流程-电子招投标。</w:t>
      </w:r>
    </w:p>
    <w:p w14:paraId="088BECA2">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公告的公告期限一致。</w:t>
      </w:r>
    </w:p>
    <w:p w14:paraId="32109446">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七、联系方式：</w:t>
      </w:r>
    </w:p>
    <w:p w14:paraId="0C1E823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1、采购人：</w:t>
      </w:r>
      <w:r>
        <w:rPr>
          <w:rFonts w:hint="eastAsia" w:ascii="宋体" w:hAnsi="宋体" w:cs="宋体"/>
          <w:color w:val="auto"/>
          <w:kern w:val="2"/>
          <w:sz w:val="21"/>
          <w:szCs w:val="21"/>
          <w:highlight w:val="none"/>
          <w:lang w:val="en-US" w:eastAsia="zh-CN" w:bidi="ar"/>
        </w:rPr>
        <w:t>杭州市拱墅区教育信息技术中心</w:t>
      </w:r>
    </w:p>
    <w:p w14:paraId="44075B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联系地址：拱墅区上塘路201号</w:t>
      </w:r>
    </w:p>
    <w:p w14:paraId="7A313D5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联系人：王老师</w:t>
      </w:r>
    </w:p>
    <w:p w14:paraId="24768C7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联系电话：0571-</w:t>
      </w:r>
      <w:r>
        <w:rPr>
          <w:rFonts w:hint="eastAsia" w:ascii="宋体" w:hAnsi="宋体" w:eastAsia="宋体" w:cs="宋体"/>
          <w:lang w:val="en-US" w:eastAsia="zh-CN"/>
        </w:rPr>
        <w:t>85337166</w:t>
      </w:r>
    </w:p>
    <w:p w14:paraId="7D1AFFE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2、采购代理机构：浙江求是招标代理有限公司</w:t>
      </w:r>
    </w:p>
    <w:p w14:paraId="1164BEC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公司地址：杭州市西湖区玉古路173号中田大厦21楼</w:t>
      </w:r>
    </w:p>
    <w:p w14:paraId="4C3CBCB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联系人：陈应俭、俞炳、林心怡</w:t>
      </w:r>
    </w:p>
    <w:p w14:paraId="75E5466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联系电话：0571-87670302</w:t>
      </w:r>
    </w:p>
    <w:p w14:paraId="2ECFC0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w:t>
      </w:r>
    </w:p>
    <w:p w14:paraId="445935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3、采购人监督管理部门：杭州市拱墅区教育发展服务中心</w:t>
      </w:r>
    </w:p>
    <w:p w14:paraId="292078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联系人：韩老师</w:t>
      </w:r>
    </w:p>
    <w:p w14:paraId="0F71844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监督投诉电话：0571-85336077</w:t>
      </w:r>
    </w:p>
    <w:p w14:paraId="4C3DF536">
      <w:pPr>
        <w:keepNext w:val="0"/>
        <w:keepLines w:val="0"/>
        <w:pageBreakBefore w:val="0"/>
        <w:widowControl w:val="0"/>
        <w:suppressLineNumbers w:val="0"/>
        <w:kinsoku/>
        <w:wordWrap/>
        <w:overflowPunct/>
        <w:topLinePunct w:val="0"/>
        <w:autoSpaceDE/>
        <w:autoSpaceDN/>
        <w:bidi w:val="0"/>
        <w:adjustRightInd w:val="0"/>
        <w:spacing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地址：拱墅区上塘路201号</w:t>
      </w:r>
    </w:p>
    <w:p w14:paraId="109D8703">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若对项目采购电子交易系统操作有疑问，可登录乐采云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（https://www.lecaiyun.com/），点击右侧咨询小采，获取采小蜜智能服务管家帮助，或拨打</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采云有限公司服务热线95763获取热线服务帮助。</w:t>
      </w:r>
    </w:p>
    <w:p w14:paraId="3B260656">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8CB847B">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ascii="宋体"/>
          <w:snapToGrid w:val="0"/>
          <w:color w:val="auto"/>
          <w:highlight w:val="none"/>
        </w:rPr>
      </w:pPr>
      <w:r>
        <w:rPr>
          <w:color w:val="auto"/>
          <w:highlight w:val="none"/>
        </w:rPr>
        <w:br w:type="page"/>
      </w:r>
    </w:p>
    <w:p w14:paraId="329DBC4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4FC08B1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95"/>
        <w:gridCol w:w="1725"/>
        <w:gridCol w:w="7046"/>
      </w:tblGrid>
      <w:tr w14:paraId="5E1E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16" w:hRule="atLeast"/>
          <w:jc w:val="center"/>
        </w:trPr>
        <w:tc>
          <w:tcPr>
            <w:tcW w:w="367" w:type="pct"/>
            <w:tcBorders>
              <w:tl2br w:val="nil"/>
              <w:tr2bl w:val="nil"/>
            </w:tcBorders>
            <w:vAlign w:val="center"/>
          </w:tcPr>
          <w:p w14:paraId="54761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bookmarkStart w:id="4" w:name="_Toc82338238"/>
            <w:bookmarkStart w:id="5" w:name="_Toc211745567"/>
            <w:bookmarkStart w:id="6" w:name="_Toc10541"/>
            <w:bookmarkStart w:id="7" w:name="_Toc82873321"/>
            <w:bookmarkStart w:id="8" w:name="_Toc204"/>
            <w:r>
              <w:rPr>
                <w:rFonts w:hint="eastAsia" w:ascii="宋体" w:hAnsi="宋体" w:eastAsia="宋体" w:cs="宋体"/>
                <w:b/>
                <w:bCs w:val="0"/>
                <w:color w:val="auto"/>
                <w:sz w:val="21"/>
                <w:szCs w:val="21"/>
                <w:highlight w:val="none"/>
              </w:rPr>
              <w:t>序号</w:t>
            </w:r>
          </w:p>
        </w:tc>
        <w:tc>
          <w:tcPr>
            <w:tcW w:w="911" w:type="pct"/>
            <w:tcBorders>
              <w:tl2br w:val="nil"/>
              <w:tr2bl w:val="nil"/>
            </w:tcBorders>
            <w:vAlign w:val="center"/>
          </w:tcPr>
          <w:p w14:paraId="6C78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w:t>
            </w:r>
          </w:p>
        </w:tc>
        <w:tc>
          <w:tcPr>
            <w:tcW w:w="3721" w:type="pct"/>
            <w:tcBorders>
              <w:tl2br w:val="nil"/>
              <w:tr2bl w:val="nil"/>
            </w:tcBorders>
            <w:vAlign w:val="center"/>
          </w:tcPr>
          <w:p w14:paraId="0DDD8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021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367" w:type="pct"/>
            <w:tcBorders>
              <w:tl2br w:val="nil"/>
              <w:tr2bl w:val="nil"/>
            </w:tcBorders>
            <w:vAlign w:val="center"/>
          </w:tcPr>
          <w:p w14:paraId="1D5FE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911" w:type="pct"/>
            <w:tcBorders>
              <w:tl2br w:val="nil"/>
              <w:tr2bl w:val="nil"/>
            </w:tcBorders>
            <w:vAlign w:val="center"/>
          </w:tcPr>
          <w:p w14:paraId="12F7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项目属性</w:t>
            </w:r>
          </w:p>
        </w:tc>
        <w:tc>
          <w:tcPr>
            <w:tcW w:w="3721" w:type="pct"/>
            <w:tcBorders>
              <w:tl2br w:val="nil"/>
              <w:tr2bl w:val="nil"/>
            </w:tcBorders>
            <w:vAlign w:val="center"/>
          </w:tcPr>
          <w:p w14:paraId="18B80D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lang w:val="en-US" w:eastAsia="zh-CN"/>
              </w:rPr>
              <w:t>类</w:t>
            </w:r>
            <w:r>
              <w:rPr>
                <w:rFonts w:hint="eastAsia" w:ascii="宋体" w:hAnsi="宋体" w:eastAsia="宋体" w:cs="宋体"/>
                <w:color w:val="auto"/>
                <w:kern w:val="0"/>
                <w:sz w:val="21"/>
                <w:szCs w:val="21"/>
                <w:highlight w:val="none"/>
              </w:rPr>
              <w:t>。</w:t>
            </w:r>
          </w:p>
        </w:tc>
      </w:tr>
      <w:tr w14:paraId="061B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5" w:hRule="atLeast"/>
          <w:jc w:val="center"/>
        </w:trPr>
        <w:tc>
          <w:tcPr>
            <w:tcW w:w="367" w:type="pct"/>
            <w:tcBorders>
              <w:tl2br w:val="nil"/>
              <w:tr2bl w:val="nil"/>
            </w:tcBorders>
            <w:vAlign w:val="center"/>
          </w:tcPr>
          <w:p w14:paraId="00771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p>
        </w:tc>
        <w:tc>
          <w:tcPr>
            <w:tcW w:w="911" w:type="pct"/>
            <w:tcBorders>
              <w:tl2br w:val="nil"/>
              <w:tr2bl w:val="nil"/>
            </w:tcBorders>
            <w:vAlign w:val="center"/>
          </w:tcPr>
          <w:p w14:paraId="3DA3F5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是否允许采购进口产品</w:t>
            </w:r>
          </w:p>
        </w:tc>
        <w:tc>
          <w:tcPr>
            <w:tcW w:w="3721" w:type="pct"/>
            <w:tcBorders>
              <w:tl2br w:val="nil"/>
              <w:tr2bl w:val="nil"/>
            </w:tcBorders>
            <w:vAlign w:val="center"/>
          </w:tcPr>
          <w:p w14:paraId="62CE0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087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4F732E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23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852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45" w:hRule="atLeast"/>
          <w:jc w:val="center"/>
        </w:trPr>
        <w:tc>
          <w:tcPr>
            <w:tcW w:w="367" w:type="pct"/>
            <w:tcBorders>
              <w:tl2br w:val="nil"/>
              <w:tr2bl w:val="nil"/>
            </w:tcBorders>
            <w:vAlign w:val="center"/>
          </w:tcPr>
          <w:p w14:paraId="04D7E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p>
        </w:tc>
        <w:tc>
          <w:tcPr>
            <w:tcW w:w="911" w:type="pct"/>
            <w:tcBorders>
              <w:tl2br w:val="nil"/>
              <w:tr2bl w:val="nil"/>
            </w:tcBorders>
            <w:vAlign w:val="center"/>
          </w:tcPr>
          <w:p w14:paraId="2D0C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分包</w:t>
            </w:r>
          </w:p>
        </w:tc>
        <w:tc>
          <w:tcPr>
            <w:tcW w:w="3721" w:type="pct"/>
            <w:tcBorders>
              <w:tl2br w:val="nil"/>
              <w:tr2bl w:val="nil"/>
            </w:tcBorders>
            <w:vAlign w:val="center"/>
          </w:tcPr>
          <w:p w14:paraId="72B07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71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工作分包。</w:t>
            </w:r>
          </w:p>
          <w:p w14:paraId="4F6FDA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470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不同意分包，不适宜分包的理由是：</w:t>
            </w:r>
            <w:r>
              <w:rPr>
                <w:rFonts w:hint="eastAsia" w:ascii="宋体" w:hAnsi="宋体" w:cs="宋体"/>
                <w:color w:val="auto"/>
                <w:sz w:val="21"/>
                <w:szCs w:val="21"/>
                <w:highlight w:val="none"/>
                <w:u w:val="single"/>
                <w:lang w:val="en-US" w:eastAsia="zh-CN"/>
              </w:rPr>
              <w:t>本项目内容整体不可分割</w:t>
            </w:r>
            <w:r>
              <w:rPr>
                <w:rFonts w:hint="eastAsia" w:ascii="宋体" w:hAnsi="宋体" w:eastAsia="宋体" w:cs="宋体"/>
                <w:color w:val="auto"/>
                <w:sz w:val="21"/>
                <w:szCs w:val="21"/>
                <w:highlight w:val="none"/>
              </w:rPr>
              <w:t>。</w:t>
            </w:r>
          </w:p>
          <w:p w14:paraId="212DD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504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122" w:hRule="atLeast"/>
          <w:jc w:val="center"/>
        </w:trPr>
        <w:tc>
          <w:tcPr>
            <w:tcW w:w="367" w:type="pct"/>
            <w:tcBorders>
              <w:tl2br w:val="nil"/>
              <w:tr2bl w:val="nil"/>
            </w:tcBorders>
            <w:vAlign w:val="center"/>
          </w:tcPr>
          <w:p w14:paraId="027FD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p>
        </w:tc>
        <w:tc>
          <w:tcPr>
            <w:tcW w:w="911" w:type="pct"/>
            <w:tcBorders>
              <w:tl2br w:val="nil"/>
              <w:tr2bl w:val="nil"/>
            </w:tcBorders>
            <w:vAlign w:val="center"/>
          </w:tcPr>
          <w:p w14:paraId="6E040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开标前答疑会或现场考察</w:t>
            </w:r>
          </w:p>
        </w:tc>
        <w:tc>
          <w:tcPr>
            <w:tcW w:w="3721" w:type="pct"/>
            <w:tcBorders>
              <w:tl2br w:val="nil"/>
              <w:tr2bl w:val="nil"/>
            </w:tcBorders>
            <w:vAlign w:val="center"/>
          </w:tcPr>
          <w:p w14:paraId="11B31D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3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10A0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372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C7B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367" w:type="pct"/>
            <w:tcBorders>
              <w:tl2br w:val="nil"/>
              <w:tr2bl w:val="nil"/>
            </w:tcBorders>
            <w:vAlign w:val="center"/>
          </w:tcPr>
          <w:p w14:paraId="52E186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p>
        </w:tc>
        <w:tc>
          <w:tcPr>
            <w:tcW w:w="911" w:type="pct"/>
            <w:tcBorders>
              <w:tl2br w:val="nil"/>
              <w:tr2bl w:val="nil"/>
            </w:tcBorders>
            <w:vAlign w:val="center"/>
          </w:tcPr>
          <w:p w14:paraId="1A3F9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样品提供</w:t>
            </w:r>
          </w:p>
        </w:tc>
        <w:tc>
          <w:tcPr>
            <w:tcW w:w="3721" w:type="pct"/>
            <w:tcBorders>
              <w:tl2br w:val="nil"/>
              <w:tr2bl w:val="nil"/>
            </w:tcBorders>
            <w:vAlign w:val="center"/>
          </w:tcPr>
          <w:p w14:paraId="7E3994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30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1281A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6652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A2F074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701B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A1B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898DFD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4745278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4747657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E63A3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D9B8A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提供的样品，采购人将进行保管、封存，并作为履约验收的参考。</w:t>
            </w:r>
          </w:p>
          <w:p w14:paraId="7B103A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自理。</w:t>
            </w:r>
          </w:p>
        </w:tc>
      </w:tr>
      <w:tr w14:paraId="30F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42" w:hRule="atLeast"/>
          <w:jc w:val="center"/>
        </w:trPr>
        <w:tc>
          <w:tcPr>
            <w:tcW w:w="367" w:type="pct"/>
            <w:tcBorders>
              <w:tl2br w:val="nil"/>
              <w:tr2bl w:val="nil"/>
            </w:tcBorders>
            <w:vAlign w:val="center"/>
          </w:tcPr>
          <w:p w14:paraId="16DE1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p>
        </w:tc>
        <w:tc>
          <w:tcPr>
            <w:tcW w:w="911" w:type="pct"/>
            <w:tcBorders>
              <w:tl2br w:val="nil"/>
              <w:tr2bl w:val="nil"/>
            </w:tcBorders>
            <w:vAlign w:val="center"/>
          </w:tcPr>
          <w:p w14:paraId="58352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方案讲解演示</w:t>
            </w:r>
          </w:p>
        </w:tc>
        <w:tc>
          <w:tcPr>
            <w:tcW w:w="3721" w:type="pct"/>
            <w:tcBorders>
              <w:tl2br w:val="nil"/>
              <w:tr2bl w:val="nil"/>
            </w:tcBorders>
            <w:vAlign w:val="center"/>
          </w:tcPr>
          <w:p w14:paraId="624916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7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6773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99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27A00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时安排每个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提问。</w:t>
            </w:r>
          </w:p>
          <w:p w14:paraId="79B01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（2）方案讲解演示方式：</w:t>
            </w:r>
          </w:p>
          <w:p w14:paraId="1FF511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83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val="en-US" w:eastAsia="zh-CN"/>
              </w:rPr>
              <w:t>现场演示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自备。现场讲解演示人员进场时提供讲解人员名单（加盖公章或授权代表签名）及身份证明，否则不得讲解演示</w:t>
            </w:r>
          </w:p>
          <w:p w14:paraId="5630D1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color w:val="auto"/>
                  <w:kern w:val="0"/>
                  <w:sz w:val="21"/>
                  <w:szCs w:val="21"/>
                  <w:highlight w:val="none"/>
                </w:rPr>
                <w:id w:val="1474834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lang w:val="en-US" w:eastAsia="zh-CN"/>
              </w:rPr>
              <w:t>邮寄地址为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2A5F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自身原因导致无法演示或者演示效果不理想的，责任自负。</w:t>
            </w:r>
          </w:p>
        </w:tc>
      </w:tr>
      <w:tr w14:paraId="0D12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367" w:type="pct"/>
            <w:vMerge w:val="restart"/>
            <w:tcBorders>
              <w:tl2br w:val="nil"/>
              <w:tr2bl w:val="nil"/>
            </w:tcBorders>
            <w:vAlign w:val="center"/>
          </w:tcPr>
          <w:p w14:paraId="3E5BB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p>
        </w:tc>
        <w:tc>
          <w:tcPr>
            <w:tcW w:w="911" w:type="pct"/>
            <w:vMerge w:val="restart"/>
            <w:tcBorders>
              <w:tl2br w:val="nil"/>
              <w:tr2bl w:val="nil"/>
            </w:tcBorders>
            <w:vAlign w:val="center"/>
          </w:tcPr>
          <w:p w14:paraId="7D405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应当提供的资格、资信证明文件</w:t>
            </w:r>
          </w:p>
        </w:tc>
        <w:tc>
          <w:tcPr>
            <w:tcW w:w="3721" w:type="pct"/>
            <w:tcBorders>
              <w:tl2br w:val="nil"/>
              <w:tr2bl w:val="nil"/>
            </w:tcBorders>
            <w:vAlign w:val="center"/>
          </w:tcPr>
          <w:p w14:paraId="2FF95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文件第二部分11.1。</w:t>
            </w:r>
          </w:p>
          <w:p w14:paraId="3069B1D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供应商未提供有效的资格证明文件的，视为供应商不具备采购文件中规定的资格要求，响应无效。</w:t>
            </w:r>
          </w:p>
        </w:tc>
      </w:tr>
      <w:tr w14:paraId="5AFD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34" w:hRule="atLeast"/>
          <w:jc w:val="center"/>
        </w:trPr>
        <w:tc>
          <w:tcPr>
            <w:tcW w:w="367" w:type="pct"/>
            <w:vMerge w:val="continue"/>
            <w:tcBorders>
              <w:tl2br w:val="nil"/>
              <w:tr2bl w:val="nil"/>
            </w:tcBorders>
            <w:vAlign w:val="center"/>
          </w:tcPr>
          <w:p w14:paraId="5D2AC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7DB8C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2F0F24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四章</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办法内容</w:t>
            </w:r>
            <w:r>
              <w:rPr>
                <w:rFonts w:hint="eastAsia" w:ascii="宋体" w:hAnsi="宋体" w:eastAsia="宋体" w:cs="宋体"/>
                <w:color w:val="auto"/>
                <w:sz w:val="21"/>
                <w:szCs w:val="21"/>
                <w:highlight w:val="none"/>
              </w:rPr>
              <w:t>提供。</w:t>
            </w:r>
          </w:p>
        </w:tc>
      </w:tr>
      <w:tr w14:paraId="68CD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367" w:type="pct"/>
            <w:tcBorders>
              <w:tl2br w:val="nil"/>
              <w:tr2bl w:val="nil"/>
            </w:tcBorders>
            <w:vAlign w:val="center"/>
          </w:tcPr>
          <w:p w14:paraId="17F1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w:t>
            </w:r>
          </w:p>
        </w:tc>
        <w:tc>
          <w:tcPr>
            <w:tcW w:w="911" w:type="pct"/>
            <w:tcBorders>
              <w:tl2br w:val="nil"/>
              <w:tr2bl w:val="nil"/>
            </w:tcBorders>
            <w:vAlign w:val="center"/>
          </w:tcPr>
          <w:p w14:paraId="52322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报价要求</w:t>
            </w:r>
          </w:p>
        </w:tc>
        <w:tc>
          <w:tcPr>
            <w:tcW w:w="3721" w:type="pct"/>
            <w:tcBorders>
              <w:tl2br w:val="nil"/>
              <w:tr2bl w:val="nil"/>
            </w:tcBorders>
            <w:vAlign w:val="center"/>
          </w:tcPr>
          <w:p w14:paraId="6AF3D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zh-CN"/>
              </w:rPr>
              <w:t>文件</w:t>
            </w:r>
            <w:r>
              <w:rPr>
                <w:rFonts w:hint="eastAsia" w:ascii="宋体" w:hAnsi="宋体" w:eastAsia="宋体" w:cs="宋体"/>
                <w:b/>
                <w:bCs/>
                <w:color w:val="auto"/>
                <w:sz w:val="21"/>
                <w:szCs w:val="21"/>
                <w:highlight w:val="none"/>
              </w:rPr>
              <w:t>开标一览表（报价表）是报价的唯一载体，如</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乐采云</w:t>
            </w:r>
            <w:r>
              <w:rPr>
                <w:rFonts w:hint="eastAsia" w:ascii="宋体" w:hAnsi="宋体" w:eastAsia="宋体" w:cs="宋体"/>
                <w:b/>
                <w:bCs/>
                <w:color w:val="auto"/>
                <w:sz w:val="21"/>
                <w:szCs w:val="21"/>
                <w:highlight w:val="none"/>
              </w:rPr>
              <w:t>平台填写的报价与</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文件报价文件中开标一览表（报价表）不一致的，以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文件中开标一览表（报价表）为准。</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文件中价格全部采用人民币报价。</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val="zh-CN"/>
              </w:rPr>
              <w:t>文件未列明，而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提醒：验收时检测费用由采购人承担，不包含在响应总价中。</w:t>
            </w:r>
          </w:p>
          <w:p w14:paraId="134AB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报价出现下列情形的，响应无效：</w:t>
            </w:r>
          </w:p>
          <w:p w14:paraId="59E6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文件出现不是唯一的、有选择性响应报价的；</w:t>
            </w:r>
          </w:p>
          <w:p w14:paraId="2ADA9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报价超过</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lang w:val="zh-CN"/>
              </w:rPr>
              <w:t>文件中规定的预算金额或者最高限价的；</w:t>
            </w:r>
          </w:p>
          <w:p w14:paraId="6D59FD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244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对根据修正原则修正后的报价不确认的</w:t>
            </w:r>
            <w:r>
              <w:rPr>
                <w:rFonts w:hint="eastAsia" w:ascii="宋体" w:hAnsi="宋体" w:eastAsia="宋体" w:cs="宋体"/>
                <w:b/>
                <w:color w:val="auto"/>
                <w:sz w:val="21"/>
                <w:szCs w:val="21"/>
                <w:highlight w:val="none"/>
              </w:rPr>
              <w:t>。</w:t>
            </w:r>
          </w:p>
        </w:tc>
      </w:tr>
      <w:tr w14:paraId="6A30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61" w:hRule="atLeast"/>
          <w:jc w:val="center"/>
        </w:trPr>
        <w:tc>
          <w:tcPr>
            <w:tcW w:w="367" w:type="pct"/>
            <w:tcBorders>
              <w:tl2br w:val="nil"/>
              <w:tr2bl w:val="nil"/>
            </w:tcBorders>
            <w:vAlign w:val="center"/>
          </w:tcPr>
          <w:p w14:paraId="5B5690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p>
        </w:tc>
        <w:tc>
          <w:tcPr>
            <w:tcW w:w="911" w:type="pct"/>
            <w:tcBorders>
              <w:tl2br w:val="nil"/>
              <w:tr2bl w:val="nil"/>
            </w:tcBorders>
            <w:vAlign w:val="center"/>
          </w:tcPr>
          <w:p w14:paraId="22EFA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备份</w:t>
            </w:r>
            <w:r>
              <w:rPr>
                <w:rFonts w:hint="eastAsia" w:ascii="宋体" w:hAnsi="宋体" w:eastAsia="宋体" w:cs="宋体"/>
                <w:b/>
                <w:bCs w:val="0"/>
                <w:color w:val="auto"/>
                <w:sz w:val="21"/>
                <w:szCs w:val="21"/>
                <w:highlight w:val="none"/>
                <w:lang w:eastAsia="zh-CN"/>
              </w:rPr>
              <w:t>响应文件</w:t>
            </w:r>
            <w:r>
              <w:rPr>
                <w:rFonts w:hint="eastAsia" w:ascii="宋体" w:hAnsi="宋体" w:eastAsia="宋体" w:cs="宋体"/>
                <w:b/>
                <w:bCs w:val="0"/>
                <w:color w:val="auto"/>
                <w:sz w:val="21"/>
                <w:szCs w:val="21"/>
                <w:highlight w:val="none"/>
              </w:rPr>
              <w:t>送达地点和签收人员</w:t>
            </w:r>
          </w:p>
        </w:tc>
        <w:tc>
          <w:tcPr>
            <w:tcW w:w="3721" w:type="pct"/>
            <w:tcBorders>
              <w:tl2br w:val="nil"/>
              <w:tr2bl w:val="nil"/>
            </w:tcBorders>
            <w:vAlign w:val="center"/>
          </w:tcPr>
          <w:p w14:paraId="56E75A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备份响应文件送达地点：</w:t>
            </w:r>
            <w:r>
              <w:rPr>
                <w:rFonts w:hint="eastAsia" w:ascii="宋体" w:hAnsi="宋体" w:eastAsia="宋体" w:cs="宋体"/>
                <w:snapToGrid w:val="0"/>
                <w:color w:val="auto"/>
                <w:kern w:val="2"/>
                <w:sz w:val="21"/>
                <w:szCs w:val="21"/>
                <w:highlight w:val="none"/>
                <w:u w:val="single"/>
                <w:lang w:val="en-US" w:eastAsia="zh-CN" w:bidi="ar-SA"/>
              </w:rPr>
              <w:t>杭州市西湖区玉古路173号中田大厦21楼</w:t>
            </w:r>
            <w:r>
              <w:rPr>
                <w:rFonts w:hint="eastAsia" w:ascii="宋体" w:hAnsi="宋体" w:eastAsia="宋体" w:cs="宋体"/>
                <w:snapToGrid w:val="0"/>
                <w:color w:val="auto"/>
                <w:kern w:val="28"/>
                <w:sz w:val="21"/>
                <w:szCs w:val="21"/>
                <w:highlight w:val="none"/>
                <w:lang w:val="en-US" w:eastAsia="zh-CN" w:bidi="ar-SA"/>
              </w:rPr>
              <w:t>；备份响应文件签收人员联系电话：</w:t>
            </w:r>
            <w:r>
              <w:rPr>
                <w:rFonts w:hint="eastAsia" w:ascii="宋体" w:hAnsi="宋体" w:eastAsia="宋体" w:cs="宋体"/>
                <w:snapToGrid w:val="0"/>
                <w:color w:val="auto"/>
                <w:kern w:val="2"/>
                <w:sz w:val="21"/>
                <w:szCs w:val="21"/>
                <w:highlight w:val="none"/>
                <w:u w:val="single"/>
                <w:lang w:val="en-US" w:eastAsia="zh-CN" w:bidi="ar-SA"/>
              </w:rPr>
              <w:t>俞炳，0571-87670302</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b/>
                <w:snapToGrid w:val="0"/>
                <w:color w:val="auto"/>
                <w:kern w:val="2"/>
                <w:sz w:val="21"/>
                <w:szCs w:val="21"/>
                <w:highlight w:val="none"/>
                <w:lang w:val="en-US" w:eastAsia="zh-CN" w:bidi="ar-SA"/>
              </w:rPr>
              <w:t>采购人、采购代理机构不强制或变相强制供应商提交备份响应文件。</w:t>
            </w:r>
          </w:p>
        </w:tc>
      </w:tr>
      <w:tr w14:paraId="3BC5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93" w:hRule="atLeast"/>
          <w:jc w:val="center"/>
        </w:trPr>
        <w:tc>
          <w:tcPr>
            <w:tcW w:w="367" w:type="pct"/>
            <w:vMerge w:val="restart"/>
            <w:tcBorders>
              <w:tl2br w:val="nil"/>
              <w:tr2bl w:val="nil"/>
            </w:tcBorders>
            <w:vAlign w:val="center"/>
          </w:tcPr>
          <w:p w14:paraId="7F4BF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0</w:t>
            </w:r>
          </w:p>
        </w:tc>
        <w:tc>
          <w:tcPr>
            <w:tcW w:w="911" w:type="pct"/>
            <w:vMerge w:val="restart"/>
            <w:tcBorders>
              <w:tl2br w:val="nil"/>
              <w:tr2bl w:val="nil"/>
            </w:tcBorders>
            <w:vAlign w:val="center"/>
          </w:tcPr>
          <w:p w14:paraId="6A194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特别说明</w:t>
            </w:r>
          </w:p>
        </w:tc>
        <w:tc>
          <w:tcPr>
            <w:tcW w:w="3721" w:type="pct"/>
            <w:tcBorders>
              <w:tl2br w:val="nil"/>
              <w:tr2bl w:val="nil"/>
            </w:tcBorders>
            <w:vAlign w:val="center"/>
          </w:tcPr>
          <w:p w14:paraId="0AF75C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的，联合体各方分别提供与联合体协议中规定的分工内容相应的业绩证明材料，业绩数量以提供材料较少的一方为准。</w:t>
            </w:r>
          </w:p>
        </w:tc>
      </w:tr>
      <w:tr w14:paraId="722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vMerge w:val="continue"/>
            <w:tcBorders>
              <w:tl2br w:val="nil"/>
              <w:tr2bl w:val="nil"/>
            </w:tcBorders>
            <w:vAlign w:val="center"/>
          </w:tcPr>
          <w:p w14:paraId="65C57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11F2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1C03A9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28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的，联合体各方均需按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文件第四部分评标标准要求提供资信证明文件，否则视为不符合相关要求。</w:t>
            </w:r>
          </w:p>
          <w:p w14:paraId="00AE97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90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的，联合体中有一方或者联合体成员根据分工按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文件第四部分评标标准要求提供资信证明文件的，视为符合了相关要求。</w:t>
            </w:r>
          </w:p>
        </w:tc>
      </w:tr>
      <w:tr w14:paraId="1790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8" w:hRule="atLeast"/>
          <w:jc w:val="center"/>
        </w:trPr>
        <w:tc>
          <w:tcPr>
            <w:tcW w:w="367" w:type="pct"/>
            <w:tcBorders>
              <w:tl2br w:val="nil"/>
              <w:tr2bl w:val="nil"/>
            </w:tcBorders>
            <w:vAlign w:val="center"/>
          </w:tcPr>
          <w:p w14:paraId="66540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w:t>
            </w:r>
          </w:p>
        </w:tc>
        <w:tc>
          <w:tcPr>
            <w:tcW w:w="911" w:type="pct"/>
            <w:tcBorders>
              <w:tl2br w:val="nil"/>
              <w:tr2bl w:val="nil"/>
            </w:tcBorders>
            <w:vAlign w:val="center"/>
          </w:tcPr>
          <w:p w14:paraId="5DAFF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推荐供应商家数</w:t>
            </w:r>
          </w:p>
        </w:tc>
        <w:tc>
          <w:tcPr>
            <w:tcW w:w="3721" w:type="pct"/>
            <w:tcBorders>
              <w:tl2br w:val="nil"/>
              <w:tr2bl w:val="nil"/>
            </w:tcBorders>
            <w:vAlign w:val="center"/>
          </w:tcPr>
          <w:p w14:paraId="6B6A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推荐成交候选人1家</w:t>
            </w:r>
          </w:p>
        </w:tc>
      </w:tr>
      <w:tr w14:paraId="149B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tcBorders>
              <w:tl2br w:val="nil"/>
              <w:tr2bl w:val="nil"/>
            </w:tcBorders>
            <w:vAlign w:val="center"/>
          </w:tcPr>
          <w:p w14:paraId="2C5B1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12</w:t>
            </w:r>
          </w:p>
        </w:tc>
        <w:tc>
          <w:tcPr>
            <w:tcW w:w="911" w:type="pct"/>
            <w:tcBorders>
              <w:tl2br w:val="nil"/>
              <w:tr2bl w:val="nil"/>
            </w:tcBorders>
            <w:vAlign w:val="center"/>
          </w:tcPr>
          <w:p w14:paraId="38126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
              </w:rPr>
              <w:t>代理费用收取方式及标准</w:t>
            </w:r>
          </w:p>
        </w:tc>
        <w:tc>
          <w:tcPr>
            <w:tcW w:w="3721" w:type="pct"/>
            <w:tcBorders>
              <w:tl2br w:val="nil"/>
              <w:tr2bl w:val="nil"/>
            </w:tcBorders>
            <w:vAlign w:val="center"/>
          </w:tcPr>
          <w:p w14:paraId="3DAB7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1.不论投标结果如何，</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均应自行承担所有与投标有关的全部费用；</w:t>
            </w:r>
          </w:p>
          <w:p w14:paraId="3325E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2.成交供应商在成交通知书发出之日起七个工作日内，向采购代理机构交纳代理服务费；</w:t>
            </w:r>
          </w:p>
          <w:p w14:paraId="57CDB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25A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pacing w:val="-6"/>
                <w:kern w:val="2"/>
                <w:sz w:val="21"/>
                <w:szCs w:val="21"/>
                <w:highlight w:val="none"/>
                <w:lang w:val="en-US" w:eastAsia="zh-CN" w:bidi="ar"/>
              </w:rPr>
              <w:t>收费标准：</w:t>
            </w:r>
          </w:p>
          <w:tbl>
            <w:tblPr>
              <w:tblStyle w:val="12"/>
              <w:tblW w:w="5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631"/>
              <w:gridCol w:w="2992"/>
            </w:tblGrid>
            <w:tr w14:paraId="73E0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271B8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成交金额（万元）</w:t>
                  </w:r>
                </w:p>
              </w:tc>
              <w:tc>
                <w:tcPr>
                  <w:tcW w:w="2992" w:type="dxa"/>
                  <w:tcBorders>
                    <w:tl2br w:val="nil"/>
                    <w:tr2bl w:val="nil"/>
                  </w:tcBorders>
                  <w:shd w:val="clear" w:color="auto" w:fill="auto"/>
                  <w:tcMar>
                    <w:left w:w="108" w:type="dxa"/>
                    <w:right w:w="108" w:type="dxa"/>
                  </w:tcMar>
                  <w:vAlign w:val="center"/>
                </w:tcPr>
                <w:p w14:paraId="7AC44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收费标准（费率，%）</w:t>
                  </w:r>
                </w:p>
              </w:tc>
            </w:tr>
            <w:tr w14:paraId="17C0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42C81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992" w:type="dxa"/>
                  <w:tcBorders>
                    <w:tl2br w:val="nil"/>
                    <w:tr2bl w:val="nil"/>
                  </w:tcBorders>
                  <w:shd w:val="clear" w:color="auto" w:fill="auto"/>
                  <w:tcMar>
                    <w:left w:w="108" w:type="dxa"/>
                    <w:right w:w="108" w:type="dxa"/>
                  </w:tcMar>
                  <w:vAlign w:val="center"/>
                </w:tcPr>
                <w:p w14:paraId="5CFE7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1.5（不足3000元按3000元计）</w:t>
                  </w:r>
                </w:p>
              </w:tc>
            </w:tr>
          </w:tbl>
          <w:p w14:paraId="133F83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snapToGrid w:val="0"/>
                <w:color w:val="auto"/>
                <w:kern w:val="28"/>
                <w:sz w:val="21"/>
                <w:szCs w:val="21"/>
                <w:highlight w:val="none"/>
                <w:lang w:val="en-US" w:eastAsia="zh-CN"/>
              </w:rPr>
            </w:pPr>
          </w:p>
        </w:tc>
      </w:tr>
    </w:tbl>
    <w:p w14:paraId="4A039F05">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6AD821">
      <w:pPr>
        <w:keepNext w:val="0"/>
        <w:keepLines w:val="0"/>
        <w:pageBreakBefore w:val="0"/>
        <w:kinsoku/>
        <w:wordWrap/>
        <w:overflowPunct/>
        <w:topLinePunct w:val="0"/>
        <w:bidi w:val="0"/>
        <w:adjustRightInd/>
        <w:spacing w:line="288" w:lineRule="auto"/>
        <w:ind w:left="0" w:leftChars="0"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17FA3F2">
      <w:pPr>
        <w:keepNext w:val="0"/>
        <w:keepLines w:val="0"/>
        <w:pageBreakBefore w:val="0"/>
        <w:kinsoku/>
        <w:wordWrap/>
        <w:overflowPunct/>
        <w:topLinePunct w:val="0"/>
        <w:bidi w:val="0"/>
        <w:adjustRightInd/>
        <w:spacing w:beforeAutospacing="0" w:afterAutospacing="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.定义</w:t>
      </w:r>
    </w:p>
    <w:p w14:paraId="75A4F558">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“采购人”系指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公告中载明的本项目的采购人。</w:t>
      </w:r>
    </w:p>
    <w:p w14:paraId="543DC40B">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0C45E6A2">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”系指是指响应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竞争的法人、其他组织</w:t>
      </w:r>
      <w:r>
        <w:rPr>
          <w:rFonts w:hint="eastAsia" w:ascii="宋体" w:hAnsi="宋体" w:eastAsia="宋体" w:cs="宋体"/>
          <w:color w:val="auto"/>
          <w:sz w:val="21"/>
          <w:szCs w:val="21"/>
          <w:highlight w:val="none"/>
          <w:lang w:eastAsia="zh-CN"/>
        </w:rPr>
        <w:t>。</w:t>
      </w:r>
    </w:p>
    <w:p w14:paraId="13E98F1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 “负责人”系指法人企业的法定负责人，或其他组织为法律、行政法规规定代表单位行使职权的主要负责人。</w:t>
      </w:r>
    </w:p>
    <w:p w14:paraId="174854BF">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时须提供《业务专用章使用说明函》（附件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42B324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指本项目采购活动所依托的乐采云平台（https://www.lecaiyun.com/）。</w:t>
      </w:r>
    </w:p>
    <w:p w14:paraId="7F0C2C25">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003ED96">
      <w:pPr>
        <w:keepNext w:val="0"/>
        <w:keepLines w:val="0"/>
        <w:pageBreakBefore w:val="0"/>
        <w:kinsoku/>
        <w:wordWrap/>
        <w:overflowPunct/>
        <w:topLinePunct w:val="0"/>
        <w:bidi w:val="0"/>
        <w:spacing w:beforeAutospacing="0" w:afterAutospacing="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2</w:t>
      </w:r>
      <w:r>
        <w:rPr>
          <w:rFonts w:hint="eastAsia" w:ascii="宋体" w:hAnsi="宋体" w:eastAsia="宋体" w:cs="宋体"/>
          <w:b/>
          <w:strike w:val="0"/>
          <w:color w:val="auto"/>
          <w:sz w:val="21"/>
          <w:szCs w:val="21"/>
          <w:highlight w:val="none"/>
        </w:rPr>
        <w:t>.</w:t>
      </w:r>
      <w:r>
        <w:rPr>
          <w:rFonts w:hint="eastAsia" w:ascii="宋体" w:hAnsi="宋体" w:eastAsia="宋体" w:cs="宋体"/>
          <w:b/>
          <w:color w:val="auto"/>
          <w:sz w:val="21"/>
          <w:szCs w:val="21"/>
          <w:highlight w:val="none"/>
        </w:rPr>
        <w:t>询问、质疑、投诉</w:t>
      </w:r>
    </w:p>
    <w:p w14:paraId="1E4B4866">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06D5264">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供应商询问</w:t>
      </w:r>
    </w:p>
    <w:p w14:paraId="359C216A">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DB71AE">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供应商质疑</w:t>
      </w:r>
    </w:p>
    <w:p w14:paraId="58F4877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.1</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提出质疑的供应商应当是参与所质疑项目采购活动的供应商。潜在供应商已依法获取其可质疑的</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文件的，可以对该文件提出质疑。</w:t>
      </w:r>
    </w:p>
    <w:p w14:paraId="2FD3BE47">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供应商认为</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提出质疑，否则，采购人或者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不予受理：</w:t>
      </w:r>
    </w:p>
    <w:p w14:paraId="232A0E00">
      <w:pPr>
        <w:pStyle w:val="6"/>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lang w:val="en-US" w:eastAsia="zh-CN"/>
        </w:rPr>
        <w:t>2</w:t>
      </w:r>
      <w:r>
        <w:rPr>
          <w:rFonts w:hint="eastAsia" w:ascii="宋体" w:hAnsi="宋体" w:eastAsia="宋体" w:cs="宋体"/>
          <w:snapToGrid/>
          <w:color w:val="auto"/>
          <w:kern w:val="2"/>
          <w:sz w:val="21"/>
          <w:szCs w:val="16"/>
          <w:highlight w:val="none"/>
        </w:rPr>
        <w:t>.3.2.1</w:t>
      </w:r>
      <w:r>
        <w:rPr>
          <w:rFonts w:hint="eastAsia" w:hAnsi="宋体" w:cs="宋体"/>
          <w:snapToGrid/>
          <w:color w:val="auto"/>
          <w:kern w:val="2"/>
          <w:sz w:val="21"/>
          <w:szCs w:val="16"/>
          <w:highlight w:val="none"/>
          <w:lang w:val="en-US" w:eastAsia="zh-CN"/>
        </w:rPr>
        <w:t xml:space="preserve"> </w:t>
      </w:r>
      <w:r>
        <w:rPr>
          <w:rFonts w:hint="eastAsia" w:ascii="宋体" w:hAnsi="宋体" w:eastAsia="宋体" w:cs="宋体"/>
          <w:snapToGrid/>
          <w:color w:val="auto"/>
          <w:kern w:val="2"/>
          <w:sz w:val="21"/>
          <w:szCs w:val="16"/>
          <w:highlight w:val="none"/>
        </w:rPr>
        <w:t>对</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文件提出质疑的，质疑期限为供应商获得</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文件之日或者</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文件公告期限届满之日起计算。</w:t>
      </w:r>
    </w:p>
    <w:p w14:paraId="6BF9830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对采购过程提出质疑的，质疑期限为各采购程序环节结束之日起计算。</w:t>
      </w:r>
    </w:p>
    <w:p w14:paraId="4FCE15C6">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.3.2.3</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对采购结果提出质疑的，质疑期限自采购结果公告期限届满之日起计算。</w:t>
      </w:r>
    </w:p>
    <w:p w14:paraId="12B5168B">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sz w:val="21"/>
          <w:szCs w:val="18"/>
          <w:highlight w:val="none"/>
        </w:rPr>
        <w:t>供应商提出质疑应当提交质疑函和必要的证明材料。质疑函应当包括下列内容：</w:t>
      </w:r>
    </w:p>
    <w:p w14:paraId="45C208D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.3.3.1</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供应商的姓名或者名称、地址、邮编、联系人及联系电话；</w:t>
      </w:r>
    </w:p>
    <w:p w14:paraId="01A7034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.3.3.2</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质疑项目的名称、编号；</w:t>
      </w:r>
    </w:p>
    <w:p w14:paraId="0A58EF7E">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具体、明确的质疑事项和与质疑事项相关的请求；</w:t>
      </w:r>
    </w:p>
    <w:p w14:paraId="349F3613">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.3.3.4</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事实依据；</w:t>
      </w:r>
    </w:p>
    <w:p w14:paraId="40E0444D">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.3.3.5</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必要的法律依据；</w:t>
      </w:r>
    </w:p>
    <w:p w14:paraId="3E4F2985">
      <w:pPr>
        <w:pStyle w:val="9"/>
        <w:keepNext w:val="0"/>
        <w:keepLines w:val="0"/>
        <w:pageBreakBefore w:val="0"/>
        <w:kinsoku/>
        <w:wordWrap/>
        <w:overflowPunct/>
        <w:topLinePunct w:val="0"/>
        <w:bidi w:val="0"/>
        <w:spacing w:beforeAutospacing="0" w:afterAutospacing="0" w:line="288" w:lineRule="auto"/>
        <w:ind w:left="0" w:leftChars="0" w:firstLine="840" w:firstLineChars="4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.3.3.6</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提出质疑的日期。</w:t>
      </w:r>
    </w:p>
    <w:p w14:paraId="3AD4B7E5">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供应商提交的质疑函需一式三份。供应商为法人或者其他组织的，应当由法定代表人、主要负责人，或者其授权代表签字或者盖章，并加盖公章。</w:t>
      </w:r>
    </w:p>
    <w:p w14:paraId="6D64A68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BE68342">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对同一采购程序环节的质疑，供应商须在质疑期内一次性提出。</w:t>
      </w:r>
    </w:p>
    <w:p w14:paraId="30BE65E4">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6053D86F">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2B0FE9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供应商投诉</w:t>
      </w:r>
    </w:p>
    <w:p w14:paraId="547A3C03">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未在规定的时间内作出答复的，可以在答复期满后十五个工作日内向采购人监督管理部门提出投诉。</w:t>
      </w:r>
    </w:p>
    <w:p w14:paraId="50DBB608">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580942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供应商投诉应当有明确的请求和必要的证明材料。</w:t>
      </w:r>
    </w:p>
    <w:p w14:paraId="7867C20F">
      <w:pPr>
        <w:pStyle w:val="18"/>
        <w:keepNext w:val="0"/>
        <w:keepLines w:val="0"/>
        <w:pageBreakBefore w:val="0"/>
        <w:shd w:val="clear" w:color="auto" w:fill="FFFFFF"/>
        <w:kinsoku/>
        <w:wordWrap/>
        <w:overflowPunct/>
        <w:topLinePunct w:val="0"/>
        <w:bidi w:val="0"/>
        <w:adjustRightInd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以联合体形式参加采购活动的，其投诉应当由组成联合体的所有供应商共同提出。</w:t>
      </w:r>
    </w:p>
    <w:p w14:paraId="34DE548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90B7F83">
      <w:pPr>
        <w:keepNext w:val="0"/>
        <w:keepLines w:val="0"/>
        <w:pageBreakBefore w:val="0"/>
        <w:kinsoku/>
        <w:wordWrap/>
        <w:overflowPunct/>
        <w:topLinePunct w:val="0"/>
        <w:bidi w:val="0"/>
        <w:adjustRightInd/>
        <w:spacing w:line="288" w:lineRule="auto"/>
        <w:ind w:left="0" w:lef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6AC2F3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文件的构成</w:t>
      </w:r>
    </w:p>
    <w:p w14:paraId="1F7C9A1F">
      <w:pPr>
        <w:pStyle w:val="9"/>
        <w:keepNext w:val="0"/>
        <w:keepLines w:val="0"/>
        <w:pageBreakBefore w:val="0"/>
        <w:kinsoku/>
        <w:wordWrap/>
        <w:overflowPunct/>
        <w:topLinePunct w:val="0"/>
        <w:bidi w:val="0"/>
        <w:spacing w:line="288" w:lineRule="auto"/>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.1 </w:t>
      </w:r>
      <w:r>
        <w:rPr>
          <w:rFonts w:hint="eastAsia" w:hAnsi="宋体" w:cs="宋体"/>
          <w:color w:val="auto"/>
          <w:sz w:val="21"/>
          <w:szCs w:val="21"/>
          <w:highlight w:val="none"/>
          <w:lang w:eastAsia="zh-CN"/>
        </w:rPr>
        <w:t>采购</w:t>
      </w:r>
      <w:r>
        <w:rPr>
          <w:rFonts w:hint="eastAsia" w:hAnsi="宋体" w:cs="宋体"/>
          <w:color w:val="auto"/>
          <w:sz w:val="21"/>
          <w:szCs w:val="21"/>
          <w:highlight w:val="none"/>
        </w:rPr>
        <w:t>文件包括下列文件及附件：</w:t>
      </w:r>
    </w:p>
    <w:p w14:paraId="6ACC74C2">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.1.1</w:t>
      </w:r>
      <w:r>
        <w:rPr>
          <w:rFonts w:hint="eastAsia" w:hAnsi="宋体" w:cs="宋体"/>
          <w:color w:val="auto"/>
          <w:sz w:val="21"/>
          <w:szCs w:val="21"/>
          <w:highlight w:val="none"/>
          <w:lang w:val="en-US" w:eastAsia="zh-CN"/>
        </w:rPr>
        <w:t xml:space="preserve"> 交易</w:t>
      </w:r>
      <w:r>
        <w:rPr>
          <w:rFonts w:hint="eastAsia" w:hAnsi="宋体" w:cs="宋体"/>
          <w:color w:val="auto"/>
          <w:sz w:val="21"/>
          <w:szCs w:val="21"/>
          <w:highlight w:val="none"/>
        </w:rPr>
        <w:t>公告；</w:t>
      </w:r>
    </w:p>
    <w:p w14:paraId="47AE328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供应商须知；</w:t>
      </w:r>
    </w:p>
    <w:p w14:paraId="77FD3AA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采购需求；</w:t>
      </w:r>
    </w:p>
    <w:p w14:paraId="72FCF9C9">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评</w:t>
      </w:r>
      <w:r>
        <w:rPr>
          <w:rFonts w:hint="eastAsia" w:hAnsi="宋体" w:cs="宋体"/>
          <w:color w:val="auto"/>
          <w:sz w:val="21"/>
          <w:szCs w:val="21"/>
          <w:highlight w:val="none"/>
          <w:lang w:val="en-US" w:eastAsia="zh-CN"/>
        </w:rPr>
        <w:t>审</w:t>
      </w:r>
      <w:r>
        <w:rPr>
          <w:rFonts w:hint="eastAsia" w:hAnsi="宋体" w:cs="宋体"/>
          <w:color w:val="auto"/>
          <w:sz w:val="21"/>
          <w:szCs w:val="21"/>
          <w:highlight w:val="none"/>
        </w:rPr>
        <w:t>办法；</w:t>
      </w:r>
    </w:p>
    <w:p w14:paraId="40D9707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.1.5</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拟签订的合同文本；</w:t>
      </w:r>
    </w:p>
    <w:p w14:paraId="6AA7EBC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18"/>
          <w:highlight w:val="none"/>
          <w:lang w:val="en-US" w:eastAsia="zh-CN"/>
        </w:rPr>
        <w:t>3</w:t>
      </w:r>
      <w:r>
        <w:rPr>
          <w:rFonts w:hint="eastAsia" w:hAnsi="宋体" w:cs="宋体"/>
          <w:color w:val="auto"/>
          <w:sz w:val="21"/>
          <w:szCs w:val="18"/>
          <w:highlight w:val="none"/>
        </w:rPr>
        <w:t>.1.6</w:t>
      </w:r>
      <w:r>
        <w:rPr>
          <w:rFonts w:hint="eastAsia" w:hAnsi="宋体" w:cs="宋体"/>
          <w:color w:val="auto"/>
          <w:sz w:val="21"/>
          <w:szCs w:val="18"/>
          <w:highlight w:val="none"/>
          <w:lang w:val="en-US" w:eastAsia="zh-CN"/>
        </w:rPr>
        <w:t xml:space="preserve"> </w:t>
      </w:r>
      <w:r>
        <w:rPr>
          <w:rFonts w:hint="eastAsia" w:hAnsi="宋体" w:cs="宋体"/>
          <w:color w:val="auto"/>
          <w:sz w:val="21"/>
          <w:szCs w:val="21"/>
          <w:highlight w:val="none"/>
        </w:rPr>
        <w:t>应提交的有关格式范例。</w:t>
      </w:r>
    </w:p>
    <w:p w14:paraId="3055D5DC">
      <w:pPr>
        <w:keepNext w:val="0"/>
        <w:keepLines w:val="0"/>
        <w:pageBreakBefore w:val="0"/>
        <w:kinsoku/>
        <w:wordWrap/>
        <w:overflowPunct/>
        <w:topLinePunct w:val="0"/>
        <w:bidi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w:t>
      </w:r>
      <w:r>
        <w:rPr>
          <w:rFonts w:hint="eastAsia" w:ascii="宋体" w:hAnsi="宋体" w:cs="宋体"/>
          <w:bCs/>
          <w:color w:val="auto"/>
          <w:sz w:val="21"/>
          <w:szCs w:val="21"/>
          <w:highlight w:val="none"/>
        </w:rPr>
        <w:t>文件的组成部分</w:t>
      </w:r>
      <w:r>
        <w:rPr>
          <w:rFonts w:hint="eastAsia" w:ascii="宋体" w:hAnsi="宋体" w:cs="宋体"/>
          <w:color w:val="auto"/>
          <w:sz w:val="21"/>
          <w:szCs w:val="21"/>
          <w:highlight w:val="none"/>
        </w:rPr>
        <w:t>。</w:t>
      </w:r>
    </w:p>
    <w:p w14:paraId="212CAF1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文件的澄清、修改</w:t>
      </w:r>
    </w:p>
    <w:p w14:paraId="390649E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，若有问题需要澄清，应于</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截止时间前，以书面形式向</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提出。</w:t>
      </w:r>
    </w:p>
    <w:p w14:paraId="18775024">
      <w:pPr>
        <w:pStyle w:val="17"/>
        <w:keepNext w:val="0"/>
        <w:keepLines w:val="0"/>
        <w:pageBreakBefore w:val="0"/>
        <w:kinsoku/>
        <w:wordWrap/>
        <w:overflowPunct/>
        <w:topLinePunct w:val="0"/>
        <w:bidi w:val="0"/>
        <w:snapToGrid w:val="0"/>
        <w:spacing w:before="0" w:line="288" w:lineRule="auto"/>
        <w:ind w:left="0" w:leftChars="0" w:firstLine="480"/>
        <w:textAlignment w:val="auto"/>
        <w:rPr>
          <w:rFonts w:hAnsi="宋体" w:cs="宋体"/>
          <w:color w:val="auto"/>
          <w:sz w:val="18"/>
          <w:szCs w:val="18"/>
          <w:highlight w:val="none"/>
          <w:lang w:val="en-US"/>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 xml:space="preserve">.2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对</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文件进行澄清或修改的，将同时通过电子交易平台通知已获取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。依法应当公告的，将按规定公告，同时视情况延长</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截止时间和开标时间。该澄清或者修改的内容为</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文件的组成部分。</w:t>
      </w:r>
    </w:p>
    <w:p w14:paraId="71287161">
      <w:pPr>
        <w:keepNext w:val="0"/>
        <w:keepLines w:val="0"/>
        <w:pageBreakBefore w:val="0"/>
        <w:kinsoku/>
        <w:wordWrap/>
        <w:overflowPunct/>
        <w:topLinePunct w:val="0"/>
        <w:bidi w:val="0"/>
        <w:adjustRightInd/>
        <w:spacing w:line="288" w:lineRule="auto"/>
        <w:ind w:left="0" w:leftChars="0"/>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155FA5B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p w14:paraId="306AC3B5">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公告中获取</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文件的时间期限、地点、方式</w:t>
      </w:r>
      <w:r>
        <w:rPr>
          <w:rFonts w:hint="eastAsia" w:ascii="宋体" w:hAnsi="宋体" w:eastAsia="宋体" w:cs="宋体"/>
          <w:snapToGrid w:val="0"/>
          <w:color w:val="auto"/>
          <w:kern w:val="28"/>
          <w:sz w:val="21"/>
          <w:szCs w:val="21"/>
          <w:highlight w:val="none"/>
          <w:lang w:eastAsia="zh-CN"/>
        </w:rPr>
        <w:t>。</w:t>
      </w:r>
    </w:p>
    <w:p w14:paraId="535A99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.开标前答疑会或现场考察</w:t>
      </w:r>
    </w:p>
    <w:p w14:paraId="49C6159A">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现场考察或者召开开标前答疑会的，潜在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须知前附表的规定参加现场考察或者开标前答疑会。</w:t>
      </w:r>
    </w:p>
    <w:p w14:paraId="3B9551EC">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kern w:val="28"/>
          <w:sz w:val="21"/>
          <w:szCs w:val="21"/>
          <w:highlight w:val="none"/>
          <w:lang w:val="en-US" w:eastAsia="zh-CN"/>
        </w:rPr>
        <w:t>7</w:t>
      </w:r>
      <w:r>
        <w:rPr>
          <w:rFonts w:hint="eastAsia" w:ascii="宋体" w:hAnsi="宋体" w:eastAsia="宋体" w:cs="宋体"/>
          <w:b/>
          <w:strike w:val="0"/>
          <w:dstrike w:val="0"/>
          <w:color w:val="auto"/>
          <w:kern w:val="28"/>
          <w:sz w:val="21"/>
          <w:szCs w:val="21"/>
          <w:highlight w:val="none"/>
        </w:rPr>
        <w:t>.</w:t>
      </w:r>
      <w:r>
        <w:rPr>
          <w:rFonts w:hint="eastAsia" w:ascii="宋体" w:hAnsi="宋体" w:eastAsia="宋体" w:cs="宋体"/>
          <w:b/>
          <w:strike w:val="0"/>
          <w:dstrike w:val="0"/>
          <w:color w:val="auto"/>
          <w:kern w:val="28"/>
          <w:sz w:val="21"/>
          <w:szCs w:val="21"/>
          <w:highlight w:val="none"/>
          <w:lang w:eastAsia="zh-CN"/>
        </w:rPr>
        <w:t>响应</w:t>
      </w:r>
      <w:r>
        <w:rPr>
          <w:rFonts w:hint="eastAsia" w:ascii="宋体" w:hAnsi="宋体" w:eastAsia="宋体" w:cs="宋体"/>
          <w:b/>
          <w:strike w:val="0"/>
          <w:dstrike w:val="0"/>
          <w:color w:val="auto"/>
          <w:kern w:val="28"/>
          <w:sz w:val="21"/>
          <w:szCs w:val="21"/>
          <w:highlight w:val="none"/>
        </w:rPr>
        <w:t>保证金</w:t>
      </w:r>
    </w:p>
    <w:p w14:paraId="2EBAA444">
      <w:pPr>
        <w:pStyle w:val="6"/>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本项目不需缴纳</w:t>
      </w:r>
      <w:r>
        <w:rPr>
          <w:rFonts w:hint="eastAsia" w:ascii="宋体" w:hAnsi="宋体" w:eastAsia="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rPr>
        <w:t>保证金。</w:t>
      </w:r>
    </w:p>
    <w:p w14:paraId="1114EA2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文件的语言</w:t>
      </w:r>
    </w:p>
    <w:p w14:paraId="3D0B23EC">
      <w:pPr>
        <w:keepNext w:val="0"/>
        <w:keepLines w:val="0"/>
        <w:pageBreakBefore w:val="0"/>
        <w:kinsoku/>
        <w:wordWrap/>
        <w:overflowPunct/>
        <w:topLinePunct w:val="0"/>
        <w:autoSpaceDE w:val="0"/>
        <w:autoSpaceDN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与采购有关的来往通知、函件和文件均应使用中文。</w:t>
      </w:r>
    </w:p>
    <w:p w14:paraId="60A32449">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文件的组成</w:t>
      </w:r>
    </w:p>
    <w:p w14:paraId="48F8BF83">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F59E67">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符合参加采购活动应当具备的一般条件的承诺函；</w:t>
      </w:r>
    </w:p>
    <w:p w14:paraId="1C47825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联合协议（如果有)；</w:t>
      </w:r>
    </w:p>
    <w:p w14:paraId="5F70AD7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D31B50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5629776D">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w:t>
      </w:r>
    </w:p>
    <w:p w14:paraId="059FCF7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授权委托书或法定代表人（单位负责人）身份证明；</w:t>
      </w:r>
    </w:p>
    <w:p w14:paraId="25D1576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D8536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符合性审查资料；</w:t>
      </w:r>
    </w:p>
    <w:p w14:paraId="2DC846F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200E819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标的清单；</w:t>
      </w:r>
    </w:p>
    <w:p w14:paraId="628DFEE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商务技术偏离表；</w:t>
      </w:r>
    </w:p>
    <w:p w14:paraId="5EE9FFFA">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采购供应商廉洁自律承诺书；</w:t>
      </w:r>
    </w:p>
    <w:p w14:paraId="53752CB4">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6DAACD9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开标一览表（</w:t>
      </w:r>
      <w:r>
        <w:rPr>
          <w:rFonts w:hint="eastAsia" w:ascii="宋体" w:hAnsi="宋体" w:eastAsia="宋体" w:cs="宋体"/>
          <w:color w:val="auto"/>
          <w:sz w:val="21"/>
          <w:szCs w:val="21"/>
          <w:highlight w:val="none"/>
        </w:rPr>
        <w:t>报价表）；</w:t>
      </w:r>
    </w:p>
    <w:p w14:paraId="0299323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val="en-US"/>
        </w:rPr>
        <w:t>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78C65AAF">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2EE3A30">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提供虚假材料</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D695C7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供应商应对响应文件中材料的真实性、合法性负责。</w:t>
      </w:r>
    </w:p>
    <w:p w14:paraId="2434D367">
      <w:pPr>
        <w:pStyle w:val="17"/>
        <w:keepNext w:val="0"/>
        <w:keepLines w:val="0"/>
        <w:pageBreakBefore w:val="0"/>
        <w:kinsoku/>
        <w:wordWrap/>
        <w:overflowPunct/>
        <w:topLinePunct w:val="0"/>
        <w:bidi w:val="0"/>
        <w:adjustRightInd w:val="0"/>
        <w:snapToGrid w:val="0"/>
        <w:spacing w:before="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p w14:paraId="4FD700D4">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响应文件分为资格文件、商务技术文件、报价文件三部分。各供应商在编制响应文件时请按照采购文件第六</w:t>
      </w:r>
      <w:r>
        <w:rPr>
          <w:rFonts w:hint="eastAsia" w:ascii="宋体" w:hAnsi="宋体" w:eastAsia="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规定的格式进行，混乱的编排导致响应文件被误读或评审小组查找不到有效文件是供应商的风险。</w:t>
      </w:r>
    </w:p>
    <w:p w14:paraId="2CF9D871">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BB4500A">
      <w:pPr>
        <w:keepNext w:val="0"/>
        <w:keepLines w:val="0"/>
        <w:pageBreakBefore w:val="0"/>
        <w:kinsoku/>
        <w:wordWrap/>
        <w:overflowPunct/>
        <w:topLinePunct w:val="0"/>
        <w:bidi w:val="0"/>
        <w:adjustRightIn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27F9A4AD">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文件的签署、盖章</w:t>
      </w:r>
    </w:p>
    <w:p w14:paraId="17D82852">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文件未按照</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sz w:val="21"/>
          <w:szCs w:val="21"/>
          <w:highlight w:val="none"/>
        </w:rPr>
        <w:t>。</w:t>
      </w:r>
    </w:p>
    <w:p w14:paraId="668B63E8">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为确保网上操作合法、有效和安全，供应商应当在响应截止时间前完成在“乐采云平台”完成电子CA绑定，确保在电子响应过程中能够对相关数据电文进行加密和使用电子签名。</w:t>
      </w:r>
    </w:p>
    <w:p w14:paraId="551A3964">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文件签署、盖章的要求适用于电子签名。</w:t>
      </w:r>
    </w:p>
    <w:p w14:paraId="42BADC63">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文件的提交、补充、修改、撤回</w:t>
      </w:r>
    </w:p>
    <w:p w14:paraId="4B558DA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供应商应当在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文件的传输递交，并可以补充、修改或者撤回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文件。补充或者修改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文件的，应当先行撤回原文件，补充、修改后重新传输递交。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文件，电子交易平台将拒收。</w:t>
      </w:r>
    </w:p>
    <w:p w14:paraId="3A6A03B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文件，将妥善保存并即时向供应商发出确认回执通知。在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截止时间前，除供应商补充、修改或者撤回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文件外，任何单位和个人不得解密或提取</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6B7618FC">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以前在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截止期方面的全部权利、责任和义务，将适用于延长至新的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w:t>
      </w:r>
    </w:p>
    <w:p w14:paraId="3C28D6A4">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764C5E17">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在电子交易平台传输递交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文件后，还可以在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57691A6F">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F9B86F0">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直接提交备份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公告中载明的开标地点将备份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58D4413">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文件按要求密封和标记，再进行邮政快递包装后邮寄。备份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文件须在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截止时间之前送达</w:t>
      </w:r>
      <w:r>
        <w:rPr>
          <w:rFonts w:hint="eastAsia" w:ascii="宋体" w:hAnsi="宋体" w:eastAsia="宋体" w:cs="宋体"/>
          <w:snapToGrid/>
          <w:color w:val="auto"/>
          <w:sz w:val="21"/>
          <w:szCs w:val="21"/>
          <w:highlight w:val="none"/>
          <w:lang w:eastAsia="zh-CN"/>
        </w:rPr>
        <w:t>采购</w:t>
      </w:r>
      <w:r>
        <w:rPr>
          <w:rFonts w:hint="eastAsia" w:ascii="宋体" w:hAnsi="宋体" w:eastAsia="宋体" w:cs="宋体"/>
          <w:snapToGrid/>
          <w:color w:val="auto"/>
          <w:sz w:val="21"/>
          <w:szCs w:val="21"/>
          <w:highlight w:val="none"/>
        </w:rPr>
        <w:t>文件第二</w:t>
      </w:r>
      <w:r>
        <w:rPr>
          <w:rFonts w:hint="eastAsia" w:ascii="宋体" w:hAnsi="宋体" w:eastAsia="宋体" w:cs="宋体"/>
          <w:snapToGrid/>
          <w:color w:val="auto"/>
          <w:sz w:val="21"/>
          <w:szCs w:val="21"/>
          <w:highlight w:val="none"/>
          <w:lang w:val="en-US" w:eastAsia="zh-CN"/>
        </w:rPr>
        <w:t>章</w:t>
      </w:r>
      <w:r>
        <w:rPr>
          <w:rFonts w:hint="eastAsia" w:ascii="宋体" w:hAnsi="宋体" w:eastAsia="宋体" w:cs="宋体"/>
          <w:snapToGrid/>
          <w:color w:val="auto"/>
          <w:sz w:val="21"/>
          <w:szCs w:val="21"/>
          <w:highlight w:val="none"/>
          <w:lang w:eastAsia="zh-CN"/>
        </w:rPr>
        <w:t>供应商</w:t>
      </w:r>
      <w:r>
        <w:rPr>
          <w:rFonts w:hint="eastAsia" w:ascii="宋体" w:hAnsi="宋体" w:eastAsia="宋体" w:cs="宋体"/>
          <w:snapToGrid/>
          <w:color w:val="auto"/>
          <w:sz w:val="21"/>
          <w:szCs w:val="21"/>
          <w:highlight w:val="none"/>
        </w:rPr>
        <w:t>须知前附表规定的备份</w:t>
      </w:r>
      <w:r>
        <w:rPr>
          <w:rFonts w:hint="eastAsia" w:ascii="宋体" w:hAnsi="宋体" w:eastAsia="宋体" w:cs="宋体"/>
          <w:snapToGrid/>
          <w:color w:val="auto"/>
          <w:sz w:val="21"/>
          <w:szCs w:val="21"/>
          <w:highlight w:val="none"/>
          <w:lang w:eastAsia="zh-CN"/>
        </w:rPr>
        <w:t>响应</w:t>
      </w:r>
      <w:r>
        <w:rPr>
          <w:rFonts w:hint="eastAsia" w:ascii="宋体" w:hAnsi="宋体" w:eastAsia="宋体" w:cs="宋体"/>
          <w:snapToGrid/>
          <w:color w:val="auto"/>
          <w:sz w:val="21"/>
          <w:szCs w:val="21"/>
          <w:highlight w:val="none"/>
        </w:rPr>
        <w:t>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文件。邮寄过程中，电子备份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文件发生泄露、遗失、损坏或延期送达等情况的，由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14:paraId="02D04C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仅提交备份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文件，未在电子交易平台传输递交</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5D33BA5B">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文件的无效处理</w:t>
      </w:r>
    </w:p>
    <w:p w14:paraId="04B263AD">
      <w:pPr>
        <w:pStyle w:val="8"/>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文件第四</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4.2规定的情形之一的，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407478D5">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w:t>
      </w:r>
    </w:p>
    <w:p w14:paraId="013266C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有效期为从提交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文件的截止之日起90天。▲</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文件中承诺的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有效期少于</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文件中载明的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0DF20593">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文件合格投递后，自</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截止日期起，在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有效期内有效。</w:t>
      </w:r>
    </w:p>
    <w:p w14:paraId="17BF4E20">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ascii="宋体" w:hAnsi="宋体" w:cs="宋体"/>
          <w:b/>
          <w:color w:val="auto"/>
          <w:sz w:val="32"/>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在原定</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286EFCF8">
      <w:pPr>
        <w:pStyle w:val="17"/>
        <w:keepNext w:val="0"/>
        <w:keepLines w:val="0"/>
        <w:pageBreakBefore w:val="0"/>
        <w:kinsoku/>
        <w:wordWrap/>
        <w:overflowPunct/>
        <w:topLinePunct w:val="0"/>
        <w:bidi w:val="0"/>
        <w:spacing w:before="0" w:line="288" w:lineRule="auto"/>
        <w:ind w:left="0" w:lef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5707E9">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w:t>
      </w:r>
    </w:p>
    <w:p w14:paraId="25606E72">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按照</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文件规定的时间通过电子交易平台组织开标，所有</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均应当准时在线参加。</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不足3家的，不得开标。</w:t>
      </w:r>
    </w:p>
    <w:p w14:paraId="6F823E04">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开标时，电子交易平台按开标时间自动提取所有</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依托电子交易平台发起开始解密指令，</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按照平台提示和</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文件的规定在半小时内完成在线解密。</w:t>
      </w:r>
    </w:p>
    <w:p w14:paraId="2DEB568E">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b/>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文件未按时解密，</w:t>
      </w:r>
      <w:r>
        <w:rPr>
          <w:rFonts w:hint="eastAsia" w:ascii="宋体" w:hAnsi="宋体" w:cs="宋体"/>
          <w:b/>
          <w:color w:val="auto"/>
          <w:sz w:val="21"/>
          <w:szCs w:val="16"/>
          <w:highlight w:val="none"/>
          <w:lang w:eastAsia="zh-CN"/>
        </w:rPr>
        <w:t>供应商</w:t>
      </w:r>
      <w:r>
        <w:rPr>
          <w:rFonts w:hint="eastAsia" w:ascii="宋体" w:hAnsi="宋体" w:cs="宋体"/>
          <w:b/>
          <w:color w:val="auto"/>
          <w:sz w:val="21"/>
          <w:szCs w:val="16"/>
          <w:highlight w:val="none"/>
        </w:rPr>
        <w:t>提供了备份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文件的，以备份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文件作为依据，否则视为</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文件撤回。</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文件已按时解密的，备份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文件自动失效。</w:t>
      </w:r>
    </w:p>
    <w:p w14:paraId="0D85C178">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资格审查</w:t>
      </w:r>
    </w:p>
    <w:p w14:paraId="1AFD9447">
      <w:pPr>
        <w:keepNext w:val="0"/>
        <w:keepLines w:val="0"/>
        <w:pageBreakBefore w:val="0"/>
        <w:widowControl w:val="0"/>
        <w:kinsoku/>
        <w:wordWrap/>
        <w:overflowPunct/>
        <w:topLinePunct w:val="0"/>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1 </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依据法律法规和</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3C8AC42C">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不具备</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文件中规定的资格要求，其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无效。</w:t>
      </w:r>
    </w:p>
    <w:p w14:paraId="01AC16E1">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16"/>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sz w:val="21"/>
          <w:szCs w:val="16"/>
          <w:highlight w:val="none"/>
          <w:lang w:val="en-US" w:eastAsia="zh-CN"/>
        </w:rPr>
        <w:t xml:space="preserve">3 </w:t>
      </w:r>
      <w:r>
        <w:rPr>
          <w:rFonts w:hint="eastAsia" w:ascii="宋体" w:hAnsi="宋体" w:cs="宋体"/>
          <w:color w:val="auto"/>
          <w:sz w:val="21"/>
          <w:szCs w:val="16"/>
          <w:highlight w:val="none"/>
        </w:rPr>
        <w:t>对未通过资格审查的</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，否决前需进行质询确认</w:t>
      </w:r>
      <w:r>
        <w:rPr>
          <w:rFonts w:hint="eastAsia" w:ascii="宋体" w:hAnsi="宋体" w:cs="宋体"/>
          <w:color w:val="auto"/>
          <w:sz w:val="21"/>
          <w:szCs w:val="16"/>
          <w:highlight w:val="none"/>
          <w:lang w:eastAsia="zh-CN"/>
        </w:rPr>
        <w:t>。</w:t>
      </w:r>
    </w:p>
    <w:p w14:paraId="6DE1CDCD">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default" w:ascii="宋体" w:hAnsi="宋体" w:cs="宋体"/>
          <w:color w:val="auto"/>
          <w:sz w:val="21"/>
          <w:szCs w:val="16"/>
          <w:highlight w:val="none"/>
        </w:rPr>
      </w:pPr>
      <w:r>
        <w:rPr>
          <w:rFonts w:hint="eastAsia" w:ascii="宋体" w:hAnsi="宋体" w:cs="宋体"/>
          <w:color w:val="auto"/>
          <w:sz w:val="21"/>
          <w:szCs w:val="16"/>
          <w:highlight w:val="none"/>
          <w:lang w:val="en-US" w:eastAsia="zh-CN"/>
        </w:rPr>
        <w:t>17.4 合格供应商不足三家时，评审小组认为响应仍然具有竞争性，可以继续进行评审，否则，需重新组织采购。</w:t>
      </w:r>
    </w:p>
    <w:p w14:paraId="7EF833CB">
      <w:pPr>
        <w:pStyle w:val="17"/>
        <w:keepNext w:val="0"/>
        <w:keepLines w:val="0"/>
        <w:pageBreakBefore w:val="0"/>
        <w:widowControl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829A222">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信用信息查询</w:t>
      </w:r>
    </w:p>
    <w:p w14:paraId="2914072B">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接受资格时的信用记录。</w:t>
      </w:r>
    </w:p>
    <w:p w14:paraId="44834597">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的信用记录、查询结果经确认后将与采购文件一起存档。</w:t>
      </w:r>
    </w:p>
    <w:p w14:paraId="57495FE2">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w:t>
      </w:r>
      <w:r>
        <w:rPr>
          <w:rFonts w:hint="eastAsia" w:ascii="宋体" w:hAnsi="宋体" w:cs="宋体"/>
          <w:color w:val="auto"/>
          <w:kern w:val="0"/>
          <w:sz w:val="21"/>
          <w:szCs w:val="21"/>
          <w:highlight w:val="none"/>
          <w:lang w:val="en-US" w:eastAsia="zh-CN"/>
        </w:rPr>
        <w:t>本次</w:t>
      </w:r>
      <w:r>
        <w:rPr>
          <w:rFonts w:hint="eastAsia" w:ascii="宋体" w:hAnsi="宋体" w:cs="宋体"/>
          <w:color w:val="auto"/>
          <w:kern w:val="0"/>
          <w:sz w:val="21"/>
          <w:szCs w:val="21"/>
          <w:highlight w:val="none"/>
        </w:rPr>
        <w:t>采购活动。</w:t>
      </w:r>
    </w:p>
    <w:p w14:paraId="2CE5DB13">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Cs w:val="24"/>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6D505F97">
      <w:pPr>
        <w:keepNext w:val="0"/>
        <w:keepLines w:val="0"/>
        <w:pageBreakBefore w:val="0"/>
        <w:kinsoku/>
        <w:wordWrap/>
        <w:overflowPunct/>
        <w:topLinePunct w:val="0"/>
        <w:bidi w:val="0"/>
        <w:snapToGrid w:val="0"/>
        <w:spacing w:line="288" w:lineRule="auto"/>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60D4A28D">
      <w:pPr>
        <w:keepNext w:val="0"/>
        <w:keepLines w:val="0"/>
        <w:pageBreakBefore w:val="0"/>
        <w:kinsoku/>
        <w:wordWrap/>
        <w:overflowPunct/>
        <w:topLinePunct w:val="0"/>
        <w:bidi w:val="0"/>
        <w:spacing w:line="288" w:lineRule="auto"/>
        <w:ind w:left="0" w:leftChars="0" w:firstLine="422" w:firstLineChars="200"/>
        <w:textAlignment w:val="auto"/>
        <w:rPr>
          <w:rFonts w:ascii="宋体" w:hAnsi="宋体" w:cs="宋体"/>
          <w:b/>
          <w:color w:val="auto"/>
          <w:sz w:val="24"/>
          <w:highlight w:val="none"/>
        </w:rPr>
      </w:pPr>
      <w:r>
        <w:rPr>
          <w:rFonts w:hint="eastAsia" w:ascii="宋体" w:hAnsi="宋体" w:cs="宋体"/>
          <w:b/>
          <w:color w:val="auto"/>
          <w:sz w:val="21"/>
          <w:szCs w:val="21"/>
          <w:highlight w:val="none"/>
          <w:lang w:val="en-US" w:eastAsia="zh-CN"/>
        </w:rPr>
        <w:t>19</w:t>
      </w:r>
      <w:r>
        <w:rPr>
          <w:rFonts w:hint="eastAsia" w:ascii="宋体" w:hAnsi="宋体" w:cs="宋体"/>
          <w:b/>
          <w:color w:val="auto"/>
          <w:sz w:val="21"/>
          <w:szCs w:val="21"/>
          <w:highlight w:val="none"/>
        </w:rPr>
        <w:t>.</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文件和有关规定，履行评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工作职责，并按照评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文件的响应情况。对实质上响应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w:t>
      </w:r>
      <w:r>
        <w:rPr>
          <w:rFonts w:hint="eastAsia" w:ascii="宋体" w:hAnsi="宋体" w:cs="宋体"/>
          <w:b/>
          <w:color w:val="auto"/>
          <w:sz w:val="21"/>
          <w:szCs w:val="21"/>
          <w:highlight w:val="none"/>
          <w:lang w:val="en-US" w:eastAsia="zh-CN"/>
        </w:rPr>
        <w:t>章</w:t>
      </w:r>
      <w:r>
        <w:rPr>
          <w:rFonts w:hint="eastAsia" w:ascii="宋体" w:hAnsi="宋体" w:cs="宋体"/>
          <w:b/>
          <w:color w:val="auto"/>
          <w:sz w:val="21"/>
          <w:szCs w:val="21"/>
          <w:highlight w:val="none"/>
        </w:rPr>
        <w:t>评审办法。</w:t>
      </w:r>
    </w:p>
    <w:p w14:paraId="6B17ACCE">
      <w:pPr>
        <w:keepNext w:val="0"/>
        <w:keepLines w:val="0"/>
        <w:pageBreakBefore w:val="0"/>
        <w:kinsoku/>
        <w:wordWrap/>
        <w:overflowPunct/>
        <w:topLinePunct w:val="0"/>
        <w:bidi w:val="0"/>
        <w:snapToGrid w:val="0"/>
        <w:spacing w:line="288" w:lineRule="auto"/>
        <w:ind w:left="0" w:lef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78AE96">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0</w:t>
      </w:r>
      <w:r>
        <w:rPr>
          <w:rFonts w:hint="eastAsia" w:cs="宋体"/>
          <w:b/>
          <w:color w:val="auto"/>
          <w:sz w:val="21"/>
          <w:szCs w:val="21"/>
          <w:highlight w:val="none"/>
        </w:rPr>
        <w:t>.确定</w:t>
      </w:r>
      <w:r>
        <w:rPr>
          <w:rFonts w:hint="eastAsia" w:cs="宋体"/>
          <w:b/>
          <w:color w:val="auto"/>
          <w:sz w:val="21"/>
          <w:szCs w:val="21"/>
          <w:highlight w:val="none"/>
          <w:lang w:val="en-US" w:eastAsia="zh-CN"/>
        </w:rPr>
        <w:t>成交</w:t>
      </w:r>
      <w:r>
        <w:rPr>
          <w:rFonts w:hint="eastAsia" w:cs="宋体"/>
          <w:b/>
          <w:color w:val="auto"/>
          <w:sz w:val="21"/>
          <w:szCs w:val="21"/>
          <w:highlight w:val="none"/>
        </w:rPr>
        <w:t>供应商</w:t>
      </w:r>
    </w:p>
    <w:p w14:paraId="01C9DEC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b/>
          <w:strike/>
          <w:dstrike w:val="0"/>
          <w:color w:val="auto"/>
          <w:sz w:val="21"/>
          <w:szCs w:val="21"/>
          <w:highlight w:val="none"/>
        </w:rPr>
      </w:pPr>
      <w:r>
        <w:rPr>
          <w:rFonts w:hint="eastAsia" w:ascii="宋体" w:hAnsi="宋体" w:cs="宋体"/>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 w:val="21"/>
          <w:szCs w:val="21"/>
          <w:highlight w:val="none"/>
          <w:lang w:val="en-US" w:eastAsia="zh-CN"/>
        </w:rPr>
        <w:t>鼓励</w:t>
      </w:r>
      <w:r>
        <w:rPr>
          <w:rFonts w:hint="eastAsia" w:ascii="宋体" w:hAnsi="宋体" w:cs="宋体"/>
          <w:color w:val="auto"/>
          <w:sz w:val="21"/>
          <w:szCs w:val="21"/>
          <w:highlight w:val="none"/>
        </w:rPr>
        <w:t>在收到评审报告当天</w:t>
      </w:r>
      <w:r>
        <w:rPr>
          <w:rFonts w:hint="eastAsia" w:ascii="宋体" w:hAnsi="宋体" w:cs="宋体"/>
          <w:color w:val="auto"/>
          <w:sz w:val="21"/>
          <w:szCs w:val="21"/>
          <w:highlight w:val="none"/>
          <w:lang w:val="en-US" w:eastAsia="zh-CN"/>
        </w:rPr>
        <w:t>在线</w:t>
      </w:r>
      <w:r>
        <w:rPr>
          <w:rFonts w:hint="eastAsia" w:ascii="宋体" w:hAnsi="宋体" w:cs="宋体"/>
          <w:color w:val="auto"/>
          <w:sz w:val="21"/>
          <w:szCs w:val="21"/>
          <w:highlight w:val="none"/>
        </w:rPr>
        <w:t>确定</w:t>
      </w:r>
      <w:r>
        <w:rPr>
          <w:rFonts w:hint="eastAsia" w:ascii="宋体" w:hAnsi="宋体" w:cs="宋体"/>
          <w:strike w:val="0"/>
          <w:dstrike w:val="0"/>
          <w:color w:val="auto"/>
          <w:sz w:val="21"/>
          <w:szCs w:val="21"/>
          <w:highlight w:val="none"/>
        </w:rPr>
        <w:t>成交供应商</w:t>
      </w:r>
      <w:r>
        <w:rPr>
          <w:rFonts w:hint="eastAsia" w:ascii="宋体" w:hAnsi="宋体" w:cs="宋体"/>
          <w:color w:val="auto"/>
          <w:sz w:val="21"/>
          <w:szCs w:val="21"/>
          <w:highlight w:val="none"/>
        </w:rPr>
        <w:t>。</w:t>
      </w:r>
    </w:p>
    <w:p w14:paraId="11A4D8ED">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line="288" w:lineRule="auto"/>
        <w:ind w:left="0" w:leftChars="0" w:firstLine="422" w:firstLineChars="200"/>
        <w:jc w:val="left"/>
        <w:textAlignment w:val="auto"/>
        <w:rPr>
          <w:rFonts w:ascii="宋体" w:hAnsi="宋体" w:cs="宋体"/>
          <w:color w:val="auto"/>
          <w:sz w:val="21"/>
          <w:szCs w:val="16"/>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成交公示</w:t>
      </w:r>
      <w:r>
        <w:rPr>
          <w:rFonts w:hint="eastAsia" w:ascii="宋体" w:hAnsi="宋体" w:cs="宋体"/>
          <w:b/>
          <w:color w:val="auto"/>
          <w:sz w:val="21"/>
          <w:szCs w:val="21"/>
          <w:highlight w:val="none"/>
        </w:rPr>
        <w:t>与成交确认书</w:t>
      </w:r>
    </w:p>
    <w:p w14:paraId="728714A1">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自成交供应商确定之日起</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通过电子交易平台编制发布</w:t>
      </w:r>
      <w:r>
        <w:rPr>
          <w:rFonts w:hint="eastAsia" w:ascii="宋体" w:hAnsi="宋体" w:cs="宋体"/>
          <w:color w:val="auto"/>
          <w:sz w:val="21"/>
          <w:szCs w:val="21"/>
          <w:highlight w:val="none"/>
          <w:lang w:val="en-US" w:eastAsia="zh-CN"/>
        </w:rPr>
        <w:t>成交公示</w:t>
      </w:r>
      <w:r>
        <w:rPr>
          <w:rFonts w:hint="eastAsia" w:ascii="宋体" w:hAnsi="宋体" w:cs="宋体"/>
          <w:color w:val="auto"/>
          <w:sz w:val="21"/>
          <w:szCs w:val="21"/>
          <w:highlight w:val="none"/>
        </w:rPr>
        <w:t>。成交公示内容包括采购人及其委托的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。公示</w:t>
      </w:r>
      <w:r>
        <w:rPr>
          <w:rFonts w:hint="eastAsia" w:ascii="宋体" w:hAnsi="宋体" w:cs="宋体"/>
          <w:color w:val="auto"/>
          <w:sz w:val="21"/>
          <w:szCs w:val="21"/>
          <w:highlight w:val="none"/>
        </w:rPr>
        <w:t>期限为1个工作日。</w:t>
      </w:r>
    </w:p>
    <w:p w14:paraId="1F797569">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cs="宋体"/>
          <w:color w:val="auto"/>
          <w:sz w:val="24"/>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 公示期满后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，同时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w:t>
      </w:r>
    </w:p>
    <w:p w14:paraId="2EE88B38">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02E2687">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color w:val="auto"/>
          <w:sz w:val="21"/>
          <w:szCs w:val="21"/>
          <w:highlight w:val="none"/>
        </w:rPr>
        <w:t>合同主要条款详见第五部分拟签订的合同文本。</w:t>
      </w:r>
    </w:p>
    <w:p w14:paraId="1BAE983A">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3</w:t>
      </w:r>
      <w:r>
        <w:rPr>
          <w:rFonts w:hint="eastAsia" w:cs="宋体"/>
          <w:b/>
          <w:color w:val="auto"/>
          <w:sz w:val="21"/>
          <w:szCs w:val="21"/>
          <w:highlight w:val="none"/>
        </w:rPr>
        <w:t>.合同的签订</w:t>
      </w:r>
    </w:p>
    <w:p w14:paraId="36592B2B">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 xml:space="preserve"> 采购人与</w:t>
      </w:r>
      <w:r>
        <w:rPr>
          <w:rFonts w:hint="eastAsia" w:ascii="宋体" w:hAnsi="宋体" w:cs="宋体"/>
          <w:color w:val="auto"/>
          <w:kern w:val="0"/>
          <w:sz w:val="21"/>
          <w:szCs w:val="21"/>
          <w:highlight w:val="none"/>
          <w:lang w:val="en-US" w:eastAsia="zh-CN"/>
        </w:rPr>
        <w:t>成交供应商</w:t>
      </w:r>
      <w:r>
        <w:rPr>
          <w:rFonts w:hint="eastAsia" w:ascii="宋体" w:hAnsi="宋体" w:cs="宋体"/>
          <w:color w:val="auto"/>
          <w:kern w:val="0"/>
          <w:sz w:val="21"/>
          <w:szCs w:val="21"/>
          <w:highlight w:val="none"/>
        </w:rPr>
        <w:t>应当通过电子交易平台成交确认</w:t>
      </w:r>
      <w:r>
        <w:rPr>
          <w:rFonts w:hint="eastAsia" w:ascii="宋体" w:hAnsi="宋体" w:cs="宋体"/>
          <w:color w:val="auto"/>
          <w:kern w:val="0"/>
          <w:sz w:val="21"/>
          <w:szCs w:val="21"/>
          <w:highlight w:val="none"/>
          <w:lang w:val="en-US" w:eastAsia="zh-CN"/>
        </w:rPr>
        <w:t>书</w:t>
      </w:r>
      <w:r>
        <w:rPr>
          <w:rFonts w:hint="eastAsia" w:ascii="宋体" w:hAnsi="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文件确定的事项签订采购合同</w:t>
      </w:r>
      <w:r>
        <w:rPr>
          <w:rFonts w:hint="eastAsia" w:ascii="宋体" w:hAnsi="宋体" w:cs="宋体"/>
          <w:color w:val="auto"/>
          <w:kern w:val="0"/>
          <w:sz w:val="21"/>
          <w:szCs w:val="21"/>
          <w:highlight w:val="none"/>
          <w:lang w:eastAsia="zh-CN"/>
        </w:rPr>
        <w:t>。</w:t>
      </w:r>
    </w:p>
    <w:p w14:paraId="32F8817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 xml:space="preserve"> 成交供应商</w:t>
      </w:r>
      <w:r>
        <w:rPr>
          <w:rFonts w:hint="eastAsia" w:ascii="宋体" w:hAnsi="宋体" w:cs="宋体"/>
          <w:color w:val="auto"/>
          <w:kern w:val="0"/>
          <w:sz w:val="21"/>
          <w:szCs w:val="16"/>
          <w:highlight w:val="none"/>
          <w:lang w:val="zh-CN"/>
        </w:rPr>
        <w:t>按规定的日期、时间、地点，由法定代表人或其授权代表与采购人代表签订合同。如</w:t>
      </w:r>
      <w:r>
        <w:rPr>
          <w:rFonts w:hint="eastAsia" w:ascii="宋体" w:hAnsi="宋体" w:cs="宋体"/>
          <w:color w:val="auto"/>
          <w:kern w:val="0"/>
          <w:sz w:val="21"/>
          <w:szCs w:val="16"/>
          <w:highlight w:val="none"/>
          <w:lang w:val="en-US" w:eastAsia="zh-CN"/>
        </w:rPr>
        <w:t>成交供应商</w:t>
      </w:r>
      <w:r>
        <w:rPr>
          <w:rFonts w:hint="eastAsia" w:ascii="宋体" w:hAnsi="宋体" w:cs="宋体"/>
          <w:color w:val="auto"/>
          <w:kern w:val="0"/>
          <w:sz w:val="21"/>
          <w:szCs w:val="16"/>
          <w:highlight w:val="none"/>
          <w:lang w:val="zh-CN"/>
        </w:rPr>
        <w:t>为联合体的，由联合体成员各方法定代表人或其授权代表与采购人代表签订合同。</w:t>
      </w:r>
    </w:p>
    <w:p w14:paraId="00776A1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如签订合同并生效后，供应商无故拒绝或延期，除按照合同条款处理外，列入不良行为记录一次，并给予通报。</w:t>
      </w:r>
    </w:p>
    <w:p w14:paraId="5C56014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成交</w:t>
      </w:r>
      <w:r>
        <w:rPr>
          <w:rFonts w:hint="eastAsia" w:ascii="宋体" w:hAnsi="宋体" w:cs="宋体"/>
          <w:color w:val="auto"/>
          <w:sz w:val="21"/>
          <w:szCs w:val="16"/>
          <w:highlight w:val="none"/>
        </w:rPr>
        <w:t>供应商拒绝与采购人签订合同的，采购人可以按照评审报告推荐成交候选人名单排序，确定下一候选人为</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供应商，也可以重新开展采购活动。</w:t>
      </w:r>
    </w:p>
    <w:p w14:paraId="46B7C5A6">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采购合同由采购人与</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供应商根据</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文件等内容通过采购电子交易平台在线签订，自动备案。</w:t>
      </w:r>
    </w:p>
    <w:p w14:paraId="2C00E0E3">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4</w:t>
      </w:r>
      <w:r>
        <w:rPr>
          <w:rFonts w:hint="eastAsia" w:cs="宋体"/>
          <w:b/>
          <w:color w:val="auto"/>
          <w:sz w:val="21"/>
          <w:szCs w:val="21"/>
          <w:highlight w:val="none"/>
        </w:rPr>
        <w:t>.履约保证金</w:t>
      </w:r>
    </w:p>
    <w:p w14:paraId="5CF7B715">
      <w:pPr>
        <w:keepNext w:val="0"/>
        <w:keepLines w:val="0"/>
        <w:pageBreakBefore w:val="0"/>
        <w:tabs>
          <w:tab w:val="left" w:pos="0"/>
        </w:tabs>
        <w:kinsoku/>
        <w:wordWrap/>
        <w:overflowPunct/>
        <w:topLinePunct w:val="0"/>
        <w:autoSpaceDE/>
        <w:autoSpaceDN/>
        <w:bidi w:val="0"/>
        <w:adjustRightInd w:val="0"/>
        <w:spacing w:line="288" w:lineRule="auto"/>
        <w:ind w:left="0" w:leftChars="0" w:firstLine="420" w:firstLineChars="200"/>
        <w:textAlignment w:val="auto"/>
        <w:rPr>
          <w:color w:val="auto"/>
          <w:highlight w:val="none"/>
        </w:rPr>
      </w:pPr>
      <w:r>
        <w:rPr>
          <w:rFonts w:hint="eastAsia" w:ascii="宋体" w:hAnsi="宋体" w:cs="宋体"/>
          <w:color w:val="auto"/>
          <w:kern w:val="0"/>
          <w:sz w:val="21"/>
          <w:szCs w:val="21"/>
          <w:highlight w:val="none"/>
        </w:rPr>
        <w:t>拟签订的合同文本要求</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rPr>
        <w:t>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56277FF">
      <w:pPr>
        <w:keepNext w:val="0"/>
        <w:keepLines w:val="0"/>
        <w:pageBreakBefore w:val="0"/>
        <w:kinsoku/>
        <w:wordWrap/>
        <w:overflowPunct/>
        <w:topLinePunct w:val="0"/>
        <w:bidi w:val="0"/>
        <w:snapToGrid w:val="0"/>
        <w:spacing w:line="288" w:lineRule="auto"/>
        <w:ind w:left="0" w:leftChars="0"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676435">
      <w:pPr>
        <w:pStyle w:val="17"/>
        <w:keepNext w:val="0"/>
        <w:keepLines w:val="0"/>
        <w:pageBreakBefore w:val="0"/>
        <w:kinsoku/>
        <w:wordWrap/>
        <w:overflowPunct/>
        <w:topLinePunct w:val="0"/>
        <w:bidi w:val="0"/>
        <w:snapToGrid w:val="0"/>
        <w:spacing w:before="0" w:line="288" w:lineRule="auto"/>
        <w:ind w:left="0" w:leftChars="0" w:firstLine="422" w:firstLineChars="200"/>
        <w:textAlignment w:val="auto"/>
        <w:rPr>
          <w:rFonts w:ascii="宋体" w:hAnsi="宋体" w:cs="宋体"/>
          <w:color w:val="auto"/>
          <w:sz w:val="21"/>
          <w:szCs w:val="16"/>
          <w:highlight w:val="none"/>
        </w:rPr>
      </w:pPr>
      <w:r>
        <w:rPr>
          <w:rFonts w:ascii="宋体" w:hAnsi="宋体" w:cs="宋体"/>
          <w:b/>
          <w:bCs/>
          <w:color w:val="auto"/>
          <w:sz w:val="21"/>
          <w:szCs w:val="16"/>
          <w:highlight w:val="none"/>
        </w:rPr>
        <w:t>2</w:t>
      </w:r>
      <w:r>
        <w:rPr>
          <w:rFonts w:hint="eastAsia" w:ascii="宋体" w:hAnsi="宋体" w:cs="宋体"/>
          <w:b/>
          <w:bCs/>
          <w:color w:val="auto"/>
          <w:sz w:val="21"/>
          <w:szCs w:val="21"/>
          <w:highlight w:val="none"/>
          <w:lang w:val="en-US" w:eastAsia="zh-CN"/>
        </w:rPr>
        <w:t>5</w:t>
      </w:r>
      <w:r>
        <w:rPr>
          <w:rFonts w:hint="eastAsia" w:ascii="宋体" w:hAnsi="宋体" w:cs="宋体"/>
          <w:b/>
          <w:color w:val="auto"/>
          <w:sz w:val="21"/>
          <w:szCs w:val="21"/>
          <w:highlight w:val="none"/>
        </w:rPr>
        <w:t>.电子交易活动的中止。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可中止电子交易活动：</w:t>
      </w:r>
    </w:p>
    <w:p w14:paraId="2980303E">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电子交易平台发生故障而无法登录访问的； </w:t>
      </w:r>
    </w:p>
    <w:p w14:paraId="65D6D22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电子交易平台应用或数据库出现错误，不能进行正常操作的；</w:t>
      </w:r>
    </w:p>
    <w:p w14:paraId="300FFDC0">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电子交易平台发现严重安全漏洞，有潜在泄密危险的；</w:t>
      </w:r>
    </w:p>
    <w:p w14:paraId="69F3075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病毒发作导致不能进行正常操作的； </w:t>
      </w:r>
    </w:p>
    <w:p w14:paraId="28544F3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其他无法保证电子交易的公平、公正和安全的情况。</w:t>
      </w:r>
    </w:p>
    <w:p w14:paraId="03FDF967">
      <w:pPr>
        <w:pStyle w:val="17"/>
        <w:keepNext w:val="0"/>
        <w:keepLines w:val="0"/>
        <w:pageBreakBefore w:val="0"/>
        <w:kinsoku/>
        <w:wordWrap/>
        <w:overflowPunct/>
        <w:topLinePunct w:val="0"/>
        <w:bidi w:val="0"/>
        <w:snapToGrid w:val="0"/>
        <w:spacing w:before="0" w:line="288" w:lineRule="auto"/>
        <w:ind w:left="0" w:leftChars="0" w:firstLine="420" w:firstLineChars="200"/>
        <w:textAlignment w:val="auto"/>
        <w:rPr>
          <w:rFonts w:ascii="宋体" w:hAnsi="宋体" w:cs="宋体"/>
          <w:color w:val="auto"/>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5B9273">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76A9B48">
      <w:pPr>
        <w:pStyle w:val="8"/>
        <w:keepNext w:val="0"/>
        <w:keepLines w:val="0"/>
        <w:pageBreakBefore w:val="0"/>
        <w:kinsoku/>
        <w:wordWrap/>
        <w:overflowPunct/>
        <w:topLinePunct w:val="0"/>
        <w:bidi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lang w:val="en-US" w:eastAsia="zh-CN"/>
        </w:rPr>
        <w:t>26</w:t>
      </w:r>
      <w:r>
        <w:rPr>
          <w:rFonts w:hint="eastAsia" w:cs="宋体"/>
          <w:b/>
          <w:color w:val="auto"/>
          <w:sz w:val="21"/>
          <w:szCs w:val="21"/>
          <w:highlight w:val="none"/>
        </w:rPr>
        <w:t>.验收</w:t>
      </w:r>
    </w:p>
    <w:p w14:paraId="52DC949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654FB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6DBEA6B6">
      <w:pPr>
        <w:keepNext w:val="0"/>
        <w:keepLines w:val="0"/>
        <w:pageBreakBefore w:val="0"/>
        <w:tabs>
          <w:tab w:val="left" w:pos="0"/>
        </w:tabs>
        <w:kinsoku/>
        <w:wordWrap/>
        <w:overflowPunct/>
        <w:topLinePunct w:val="0"/>
        <w:bidi w:val="0"/>
        <w:spacing w:line="288" w:lineRule="auto"/>
        <w:ind w:left="0" w:leftChars="0" w:firstLine="48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79355">
      <w:pPr>
        <w:keepNext w:val="0"/>
        <w:keepLines w:val="0"/>
        <w:pageBreakBefore w:val="0"/>
        <w:tabs>
          <w:tab w:val="left" w:pos="0"/>
        </w:tabs>
        <w:kinsoku/>
        <w:wordWrap/>
        <w:overflowPunct/>
        <w:topLinePunct w:val="0"/>
        <w:bidi w:val="0"/>
        <w:spacing w:line="288" w:lineRule="auto"/>
        <w:ind w:left="0" w:leftChars="0" w:firstLine="42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rPr>
        <w:t>.4</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4"/>
    <w:bookmarkEnd w:id="5"/>
    <w:bookmarkEnd w:id="6"/>
    <w:bookmarkEnd w:id="7"/>
    <w:bookmarkEnd w:id="8"/>
    <w:p w14:paraId="34605621">
      <w:pPr>
        <w:rPr>
          <w:rFonts w:hint="eastAsia" w:ascii="宋体" w:hAnsi="宋体" w:eastAsia="宋体" w:cs="宋体"/>
          <w:color w:val="auto"/>
          <w:highlight w:val="none"/>
        </w:rPr>
      </w:pPr>
      <w:bookmarkStart w:id="9" w:name="_Toc298767927"/>
      <w:bookmarkStart w:id="10" w:name="_Toc294012141"/>
      <w:bookmarkStart w:id="11" w:name="_Toc13642"/>
      <w:bookmarkStart w:id="12" w:name="_Toc29944"/>
      <w:r>
        <w:rPr>
          <w:rFonts w:hint="eastAsia" w:ascii="宋体" w:hAnsi="宋体" w:eastAsia="宋体" w:cs="宋体"/>
          <w:color w:val="auto"/>
          <w:highlight w:val="none"/>
        </w:rPr>
        <w:br w:type="page"/>
      </w:r>
    </w:p>
    <w:p w14:paraId="615A31E1">
      <w:pPr>
        <w:adjustRightInd/>
        <w:spacing w:line="360" w:lineRule="auto"/>
        <w:jc w:val="center"/>
        <w:outlineLvl w:val="0"/>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三</w:t>
      </w:r>
      <w:r>
        <w:rPr>
          <w:rFonts w:hint="eastAsia" w:ascii="宋体" w:hAnsi="宋体" w:eastAsia="宋体" w:cs="宋体"/>
          <w:b/>
          <w:color w:val="auto"/>
          <w:sz w:val="36"/>
          <w:szCs w:val="20"/>
          <w:highlight w:val="none"/>
        </w:rPr>
        <w:t xml:space="preserve">章  </w:t>
      </w:r>
      <w:bookmarkEnd w:id="9"/>
      <w:bookmarkEnd w:id="10"/>
      <w:r>
        <w:rPr>
          <w:rFonts w:hint="eastAsia" w:ascii="宋体" w:hAnsi="宋体" w:eastAsia="宋体" w:cs="宋体"/>
          <w:b/>
          <w:color w:val="auto"/>
          <w:sz w:val="36"/>
          <w:szCs w:val="20"/>
          <w:highlight w:val="none"/>
        </w:rPr>
        <w:t>采购</w:t>
      </w:r>
      <w:bookmarkEnd w:id="11"/>
      <w:bookmarkEnd w:id="12"/>
      <w:r>
        <w:rPr>
          <w:rFonts w:hint="eastAsia" w:ascii="宋体" w:hAnsi="宋体" w:eastAsia="宋体" w:cs="宋体"/>
          <w:b/>
          <w:color w:val="auto"/>
          <w:sz w:val="36"/>
          <w:szCs w:val="20"/>
          <w:highlight w:val="none"/>
          <w:lang w:val="en-US" w:eastAsia="zh-CN"/>
        </w:rPr>
        <w:t>需求</w:t>
      </w:r>
    </w:p>
    <w:p w14:paraId="4D6D1CD9">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71FE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4D1F8A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bookmarkStart w:id="13" w:name="_Hlk45005608"/>
            <w:r>
              <w:rPr>
                <w:rFonts w:hint="eastAsia" w:ascii="宋体" w:hAnsi="宋体" w:eastAsia="宋体" w:cs="宋体"/>
                <w:b/>
                <w:color w:val="auto"/>
                <w:spacing w:val="-6"/>
                <w:sz w:val="21"/>
                <w:szCs w:val="21"/>
                <w:highlight w:val="none"/>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2D80E09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向采购人提交合同总价</w:t>
            </w:r>
            <w:r>
              <w:rPr>
                <w:rFonts w:hint="eastAsia" w:ascii="宋体" w:hAnsi="宋体" w:eastAsia="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EB1410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3286E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6ACC42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14EE4C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合同签订后15日内</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采购人向成交供应商支付合同总金额的40%</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项目验收完毕后，</w:t>
            </w:r>
            <w:r>
              <w:rPr>
                <w:rFonts w:hint="eastAsia" w:ascii="宋体" w:hAnsi="宋体" w:eastAsia="宋体"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日内采购人凭</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提供的正式发票和验收合格文件，采购人向</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支付合同总额的</w:t>
            </w:r>
            <w:r>
              <w:rPr>
                <w:rFonts w:hint="eastAsia" w:ascii="宋体" w:hAnsi="宋体" w:cs="宋体"/>
                <w:color w:val="auto"/>
                <w:spacing w:val="-6"/>
                <w:kern w:val="0"/>
                <w:sz w:val="21"/>
                <w:szCs w:val="21"/>
                <w:highlight w:val="none"/>
                <w:lang w:val="en-US" w:eastAsia="zh-CN"/>
              </w:rPr>
              <w:t>6</w:t>
            </w:r>
            <w:r>
              <w:rPr>
                <w:rFonts w:hint="eastAsia" w:ascii="宋体" w:hAnsi="宋体" w:eastAsia="宋体" w:cs="宋体"/>
                <w:color w:val="auto"/>
                <w:spacing w:val="-6"/>
                <w:kern w:val="0"/>
                <w:sz w:val="21"/>
                <w:szCs w:val="21"/>
                <w:highlight w:val="none"/>
              </w:rPr>
              <w:t>0%。</w:t>
            </w:r>
          </w:p>
        </w:tc>
      </w:tr>
      <w:bookmarkEnd w:id="13"/>
    </w:tbl>
    <w:p w14:paraId="48C320A1">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p>
    <w:p w14:paraId="45B33A6E">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要求：</w:t>
      </w:r>
    </w:p>
    <w:p w14:paraId="0E2BF4AF">
      <w:pPr>
        <w:pageBreakBefore w:val="0"/>
        <w:widowControl w:val="0"/>
        <w:kinsoku/>
        <w:wordWrap/>
        <w:overflowPunct/>
        <w:topLinePunct w:val="0"/>
        <w:autoSpaceDE/>
        <w:autoSpaceDN/>
        <w:bidi w:val="0"/>
        <w:adjustRightInd/>
        <w:spacing w:before="0" w:beforeLines="0" w:after="0" w:afterLines="0" w:line="288" w:lineRule="auto"/>
        <w:ind w:left="0" w:leftChars="0" w:firstLine="422" w:firstLineChars="200"/>
        <w:jc w:val="left"/>
        <w:rPr>
          <w:rFonts w:hint="eastAsia" w:ascii="宋体" w:hAnsi="宋体" w:eastAsia="宋体" w:cs="宋体"/>
          <w:kern w:val="2"/>
          <w:sz w:val="21"/>
          <w:szCs w:val="21"/>
          <w:lang w:val="en-US" w:eastAsia="zh-CN" w:bidi="ar-SA"/>
        </w:rPr>
      </w:pPr>
      <w:bookmarkStart w:id="14" w:name="_Toc12008"/>
      <w:r>
        <w:rPr>
          <w:rFonts w:hint="eastAsia" w:ascii="宋体" w:hAnsi="宋体" w:eastAsia="宋体" w:cs="宋体"/>
          <w:b/>
          <w:bCs/>
          <w:kern w:val="2"/>
          <w:sz w:val="21"/>
          <w:szCs w:val="21"/>
          <w:lang w:val="en-US" w:eastAsia="zh-CN" w:bidi="ar-SA"/>
        </w:rPr>
        <w:t>（一）建设目标</w:t>
      </w:r>
      <w:bookmarkEnd w:id="14"/>
      <w:r>
        <w:rPr>
          <w:rFonts w:hint="eastAsia" w:ascii="宋体" w:hAnsi="宋体" w:eastAsia="宋体" w:cs="宋体"/>
          <w:b/>
          <w:bCs/>
          <w:kern w:val="2"/>
          <w:sz w:val="21"/>
          <w:szCs w:val="21"/>
          <w:lang w:val="en-US" w:eastAsia="zh-CN" w:bidi="ar-SA"/>
        </w:rPr>
        <w:t>：</w:t>
      </w:r>
    </w:p>
    <w:p w14:paraId="4A90CA81">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针对拱墅区内三所学校打造一个针对心理重点关注人员的全方位、智能化的AI行为分析预警综合平台。聚焦精准预警与干预，运用AI智能行为分析技术，针对重点关注人员，实时监测并深度剖析其行为数据，构建个性化模型与预警指标，精准捕捉异常行为及潜在心理危机风险，及时推送早期精准预警，同时依风险程度定制差异化干预方案，为其提供有效心理帮扶，降低心理问题风险。同时围绕当前心理危机发现难、过程跟踪及管理难、缺少心理辅导人才救助难、数据信息单一、多跨协同难等问题，通过线上综合管理平台与全面的干预流程，与线下的心理科普宣传活动与分级干预制度，辅助心理健康课程资源与专业心理团队服务资源，打造线上线下整体智治、高效协同的心理危机预警干预服务体系，全面护航青少年心理健康。</w:t>
      </w:r>
    </w:p>
    <w:p w14:paraId="1C33EBB9">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此外，全力促进家校协同，搭建家校共育心理健康服务平台，以移动端实时互通学生在校心理、行为变化，为家长提供科学指导，助其树立观念、掌握技巧，提升关注与参与度；</w:t>
      </w:r>
      <w:bookmarkStart w:id="15" w:name="OLE_LINK27"/>
      <w:r>
        <w:rPr>
          <w:rFonts w:hint="eastAsia" w:ascii="宋体" w:hAnsi="宋体" w:eastAsia="宋体" w:cs="宋体"/>
          <w:kern w:val="2"/>
          <w:sz w:val="21"/>
          <w:szCs w:val="21"/>
          <w:lang w:val="en-US" w:eastAsia="zh-CN" w:bidi="ar-SA"/>
        </w:rPr>
        <w:t>据此制定家校协同干预方案，明确权责，携手为学生心理健康与全面发展聚力，结合线下心理科普、分级干预及整合课程、专业团队资源，</w:t>
      </w:r>
      <w:bookmarkEnd w:id="15"/>
    </w:p>
    <w:p w14:paraId="3AB10F9F">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过打造线上线下整体智治、高效协同的行为分析预警平台体系，能够更精准的帮扶重点关注人员，及时关注学生心理健康，提升学校整体心理健康水平，同时学校、家庭借此协同优化管理，全方位护航青少年成长。</w:t>
      </w:r>
      <w:bookmarkStart w:id="16" w:name="_Toc15217"/>
      <w:bookmarkStart w:id="17" w:name="OLE_LINK47"/>
    </w:p>
    <w:p w14:paraId="4B878177">
      <w:pPr>
        <w:pageBreakBefore w:val="0"/>
        <w:widowControl w:val="0"/>
        <w:kinsoku/>
        <w:wordWrap/>
        <w:overflowPunct/>
        <w:topLinePunct w:val="0"/>
        <w:autoSpaceDE/>
        <w:autoSpaceDN/>
        <w:bidi w:val="0"/>
        <w:adjustRightInd/>
        <w:spacing w:before="0" w:beforeLines="0" w:after="0" w:afterLines="0" w:line="288" w:lineRule="auto"/>
        <w:ind w:left="0" w:firstLine="422"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（二）设计原则</w:t>
      </w:r>
      <w:bookmarkEnd w:id="16"/>
      <w:r>
        <w:rPr>
          <w:rFonts w:hint="eastAsia" w:ascii="宋体" w:hAnsi="宋体" w:eastAsia="宋体" w:cs="宋体"/>
          <w:b/>
          <w:bCs/>
          <w:kern w:val="2"/>
          <w:sz w:val="21"/>
          <w:szCs w:val="21"/>
          <w:lang w:val="en-US" w:eastAsia="zh-CN" w:bidi="ar-SA"/>
        </w:rPr>
        <w:t>：</w:t>
      </w:r>
    </w:p>
    <w:bookmarkEnd w:id="17"/>
    <w:p w14:paraId="2DA660E6">
      <w:pPr>
        <w:pageBreakBefore w:val="0"/>
        <w:kinsoku/>
        <w:wordWrap/>
        <w:overflowPunct/>
        <w:topLinePunct w:val="0"/>
        <w:autoSpaceDE/>
        <w:autoSpaceDN/>
        <w:bidi w:val="0"/>
        <w:adjustRightInd/>
        <w:snapToGrid w:val="0"/>
        <w:spacing w:line="288"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系统设计和实</w:t>
      </w:r>
      <w:bookmarkStart w:id="18" w:name="OLE_LINK46"/>
      <w:r>
        <w:rPr>
          <w:rFonts w:hint="eastAsia" w:ascii="宋体" w:hAnsi="宋体" w:eastAsia="宋体" w:cs="宋体"/>
          <w:kern w:val="0"/>
          <w:sz w:val="21"/>
          <w:szCs w:val="21"/>
        </w:rPr>
        <w:t>现以用户需求为导向、以目标达成为宗旨、以任务实现为要点，以“高内聚、低耦合”的软件设计理念，满足应用及服务的扩展与集成，在保持各系统相对独立的同</w:t>
      </w:r>
      <w:bookmarkEnd w:id="18"/>
      <w:r>
        <w:rPr>
          <w:rFonts w:hint="eastAsia" w:ascii="宋体" w:hAnsi="宋体" w:eastAsia="宋体" w:cs="宋体"/>
          <w:kern w:val="0"/>
          <w:sz w:val="21"/>
          <w:szCs w:val="21"/>
        </w:rPr>
        <w:t>时，促使系统的相互统一、数据共享与互通操作。因此，本项目建设遵循以下原则：</w:t>
      </w:r>
    </w:p>
    <w:p w14:paraId="253F6EC8">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w:t>
      </w:r>
      <w:r>
        <w:rPr>
          <w:rFonts w:hint="eastAsia" w:ascii="宋体" w:hAnsi="宋体" w:eastAsia="宋体" w:cs="宋体"/>
          <w:b/>
          <w:bCs/>
          <w:kern w:val="0"/>
          <w:sz w:val="21"/>
          <w:szCs w:val="21"/>
        </w:rPr>
        <w:t>先进性。</w:t>
      </w:r>
      <w:r>
        <w:rPr>
          <w:rFonts w:hint="eastAsia" w:ascii="宋体" w:hAnsi="宋体" w:eastAsia="宋体" w:cs="宋体"/>
          <w:kern w:val="0"/>
          <w:sz w:val="21"/>
          <w:szCs w:val="21"/>
        </w:rPr>
        <w:t>系统的设计、开发必须符合当今的先进水平，在整个系统的生命周期内，系统应能够不断完善、扩充、更新，使功能愈来愈丰富，性能愈来愈稳定，使用愈来愈方便。系统具备可伸缩的架构，设计既要采用先进技术和系统工程方法，还要注意技术的合理性，技术的可行性，方法的正确性。采用面向对象的组件技术开发，着重于开发构成应用程序“业务对象”的可重复使用的组件，利用这些组件顺利地建立分布式应用程序。</w:t>
      </w:r>
    </w:p>
    <w:p w14:paraId="2DA07BBE">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实用性。</w:t>
      </w:r>
      <w:r>
        <w:rPr>
          <w:rFonts w:hint="eastAsia" w:ascii="宋体" w:hAnsi="宋体" w:eastAsia="宋体" w:cs="宋体"/>
          <w:kern w:val="0"/>
          <w:sz w:val="21"/>
          <w:szCs w:val="21"/>
        </w:rPr>
        <w:t>主要技术和产品具有实用、成熟、稳定、安全的特点。实用性以提高系统整体运行效率为重点。既便于用户使用，又便于系统管理。</w:t>
      </w:r>
    </w:p>
    <w:p w14:paraId="2E5CB9EA">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开放性。</w:t>
      </w:r>
      <w:r>
        <w:rPr>
          <w:rFonts w:hint="eastAsia" w:ascii="宋体" w:hAnsi="宋体" w:eastAsia="宋体" w:cs="宋体"/>
          <w:kern w:val="0"/>
          <w:sz w:val="21"/>
          <w:szCs w:val="21"/>
        </w:rPr>
        <w:t>平台系统可通过基于国际标准的HTTP-JSON数据形式的应用程序编程API接口或类方法，满足第三方应用系统的访问开放资源数据。本项目相关的接口通过开放平台提供的SDK包和API接口支持第三方应用的接入和调用。</w:t>
      </w:r>
    </w:p>
    <w:p w14:paraId="57C1AACC">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4.</w:t>
      </w:r>
      <w:r>
        <w:rPr>
          <w:rFonts w:hint="eastAsia" w:ascii="宋体" w:hAnsi="宋体" w:eastAsia="宋体" w:cs="宋体"/>
          <w:b/>
          <w:bCs/>
          <w:kern w:val="0"/>
          <w:sz w:val="21"/>
          <w:szCs w:val="21"/>
        </w:rPr>
        <w:t>兼容性。</w:t>
      </w:r>
      <w:r>
        <w:rPr>
          <w:rFonts w:hint="eastAsia" w:ascii="宋体" w:hAnsi="宋体" w:eastAsia="宋体" w:cs="宋体"/>
          <w:kern w:val="0"/>
          <w:sz w:val="21"/>
          <w:szCs w:val="21"/>
        </w:rPr>
        <w:t>系统能够满足接入不同的应用以及满足不同异种数据的归集，保障系统的稳定性。</w:t>
      </w:r>
    </w:p>
    <w:p w14:paraId="4C2DF907">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整体性。</w:t>
      </w:r>
      <w:r>
        <w:rPr>
          <w:rFonts w:hint="eastAsia" w:ascii="宋体" w:hAnsi="宋体" w:eastAsia="宋体" w:cs="宋体"/>
          <w:kern w:val="0"/>
          <w:sz w:val="21"/>
          <w:szCs w:val="21"/>
        </w:rPr>
        <w:t>系统必须适合实际情况，能够满足信息快速沟通，提高工作效率，能够为保证内部信息流通提供强有力的支持；在高可靠、先进的前提下满足实用性要求，能够切实地解决实际问题。要求操作简便，设计合理，符合用户使用习惯。平台各子系统的底层开发框架遵循基于MVC三层数据设计模式框架标准，服务部署支持数据层、业务处理层和展现层，服务可分层部署。</w:t>
      </w:r>
    </w:p>
    <w:p w14:paraId="6AFB4660">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共享性。</w:t>
      </w:r>
      <w:r>
        <w:rPr>
          <w:rFonts w:hint="eastAsia" w:ascii="宋体" w:hAnsi="宋体" w:eastAsia="宋体" w:cs="宋体"/>
          <w:kern w:val="0"/>
          <w:sz w:val="21"/>
          <w:szCs w:val="21"/>
        </w:rPr>
        <w:t>在应用平台设计中，充分考虑信息资源的共享，对共享的资源进行授权控制。</w:t>
      </w:r>
    </w:p>
    <w:p w14:paraId="704861BD">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7.</w:t>
      </w:r>
      <w:r>
        <w:rPr>
          <w:rFonts w:hint="eastAsia" w:ascii="宋体" w:hAnsi="宋体" w:eastAsia="宋体" w:cs="宋体"/>
          <w:b/>
          <w:bCs/>
          <w:kern w:val="0"/>
          <w:sz w:val="21"/>
          <w:szCs w:val="21"/>
        </w:rPr>
        <w:t>安全性。</w:t>
      </w:r>
      <w:r>
        <w:rPr>
          <w:rFonts w:hint="eastAsia" w:ascii="宋体" w:hAnsi="宋体" w:eastAsia="宋体" w:cs="宋体"/>
          <w:kern w:val="0"/>
          <w:sz w:val="21"/>
          <w:szCs w:val="21"/>
        </w:rPr>
        <w:t>在应用平台设计中，充分考虑信息资源的安全，分别针对不同的应用和不同的网络通信环境，采取不同的措施。系统提供较强管理机制和控制手段；提供系统备份、数据恢复、事故监控和网络安全等技术措施。</w:t>
      </w:r>
    </w:p>
    <w:p w14:paraId="089ED0B8">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8.</w:t>
      </w:r>
      <w:r>
        <w:rPr>
          <w:rFonts w:hint="eastAsia" w:ascii="宋体" w:hAnsi="宋体" w:eastAsia="宋体" w:cs="宋体"/>
          <w:b/>
          <w:bCs/>
          <w:kern w:val="0"/>
          <w:sz w:val="21"/>
          <w:szCs w:val="21"/>
        </w:rPr>
        <w:t>保密性。</w:t>
      </w:r>
      <w:r>
        <w:rPr>
          <w:rFonts w:hint="eastAsia" w:ascii="宋体" w:hAnsi="宋体" w:eastAsia="宋体" w:cs="宋体"/>
          <w:kern w:val="0"/>
          <w:sz w:val="21"/>
          <w:szCs w:val="21"/>
        </w:rPr>
        <w:t>在应用平台设计中，在安全性前提下，注意信息资源的保护和隔离，包括系统加密机制、数据存取的权限控制及脱敏级别等。</w:t>
      </w:r>
    </w:p>
    <w:p w14:paraId="1CA4D6AE">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9.</w:t>
      </w:r>
      <w:r>
        <w:rPr>
          <w:rFonts w:hint="eastAsia" w:ascii="宋体" w:hAnsi="宋体" w:eastAsia="宋体" w:cs="宋体"/>
          <w:b/>
          <w:bCs/>
          <w:kern w:val="0"/>
          <w:sz w:val="21"/>
          <w:szCs w:val="21"/>
        </w:rPr>
        <w:t>可靠性。</w:t>
      </w:r>
      <w:r>
        <w:rPr>
          <w:rFonts w:hint="eastAsia" w:ascii="宋体" w:hAnsi="宋体" w:eastAsia="宋体" w:cs="宋体"/>
          <w:kern w:val="0"/>
          <w:sz w:val="21"/>
          <w:szCs w:val="21"/>
        </w:rPr>
        <w:t>在考虑技术先进性和开放性的同时，还从系统结构，技术措施，系统管理等方面着手，确保系统运行的可靠性，达到最大的平均无故障时间。</w:t>
      </w:r>
    </w:p>
    <w:p w14:paraId="10137EB3">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10.</w:t>
      </w:r>
      <w:r>
        <w:rPr>
          <w:rFonts w:hint="eastAsia" w:ascii="宋体" w:hAnsi="宋体" w:eastAsia="宋体" w:cs="宋体"/>
          <w:b/>
          <w:bCs/>
          <w:kern w:val="0"/>
          <w:sz w:val="21"/>
          <w:szCs w:val="21"/>
        </w:rPr>
        <w:t>实时性。</w:t>
      </w:r>
      <w:r>
        <w:rPr>
          <w:rFonts w:hint="eastAsia" w:ascii="宋体" w:hAnsi="宋体" w:eastAsia="宋体" w:cs="宋体"/>
          <w:kern w:val="0"/>
          <w:sz w:val="21"/>
          <w:szCs w:val="21"/>
        </w:rPr>
        <w:t>平台软件实现用户可接受的查询效率与响应时间；对现有业务运营系统影响小；有良好的人机接口与灵活多样的展现方式。</w:t>
      </w:r>
    </w:p>
    <w:p w14:paraId="0750CEC4">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11.</w:t>
      </w:r>
      <w:r>
        <w:rPr>
          <w:rFonts w:hint="eastAsia" w:ascii="宋体" w:hAnsi="宋体" w:eastAsia="宋体" w:cs="宋体"/>
          <w:b/>
          <w:bCs/>
          <w:kern w:val="0"/>
          <w:sz w:val="21"/>
          <w:szCs w:val="21"/>
        </w:rPr>
        <w:t>经济性。</w:t>
      </w:r>
      <w:r>
        <w:rPr>
          <w:rFonts w:hint="eastAsia" w:ascii="宋体" w:hAnsi="宋体" w:eastAsia="宋体" w:cs="宋体"/>
          <w:kern w:val="0"/>
          <w:sz w:val="21"/>
          <w:szCs w:val="21"/>
        </w:rPr>
        <w:t>系统设计具有可复用性，功能模块原子化，具备对外提供服务的能力，充分发挥其经济价值，减少重复建设。</w:t>
      </w:r>
    </w:p>
    <w:p w14:paraId="3E5D06CA">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12.</w:t>
      </w:r>
      <w:r>
        <w:rPr>
          <w:rFonts w:hint="eastAsia" w:ascii="宋体" w:hAnsi="宋体" w:eastAsia="宋体" w:cs="宋体"/>
          <w:b/>
          <w:bCs/>
          <w:kern w:val="0"/>
          <w:sz w:val="21"/>
          <w:szCs w:val="21"/>
        </w:rPr>
        <w:t>可扩展性。</w:t>
      </w:r>
      <w:r>
        <w:rPr>
          <w:rFonts w:hint="eastAsia" w:ascii="宋体" w:hAnsi="宋体" w:eastAsia="宋体" w:cs="宋体"/>
          <w:kern w:val="0"/>
          <w:sz w:val="21"/>
          <w:szCs w:val="21"/>
        </w:rPr>
        <w:t>系统必须具有良好的可扩展性和可扩充性，能够最大限度地适应未来业务发展的变化。整个系统低耦合、模块化设计，当系统规模扩大，系统可以比较简单地予以修改、调整就能适应,充分满足用户的个性化需求，达到良好效果，不会造成硬件和软件资源的浪费。</w:t>
      </w:r>
    </w:p>
    <w:p w14:paraId="71368469">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13.</w:t>
      </w:r>
      <w:r>
        <w:rPr>
          <w:rFonts w:hint="eastAsia" w:ascii="宋体" w:hAnsi="宋体" w:eastAsia="宋体" w:cs="宋体"/>
          <w:b/>
          <w:bCs/>
          <w:kern w:val="0"/>
          <w:sz w:val="21"/>
          <w:szCs w:val="21"/>
        </w:rPr>
        <w:t>可维护性。</w:t>
      </w:r>
      <w:r>
        <w:rPr>
          <w:rFonts w:hint="eastAsia" w:ascii="宋体" w:hAnsi="宋体" w:eastAsia="宋体" w:cs="宋体"/>
          <w:kern w:val="0"/>
          <w:sz w:val="21"/>
          <w:szCs w:val="21"/>
        </w:rPr>
        <w:t>整个系统具备良好的可管理性和可维护性。采用先进、开放的体系结构和结构化、模块化的设计，充分考虑系统的升级、兼容、处理能力、数据库、软件二次开发等方面的可扩展性和灵活性，以保证在今后可能出现功能需求变化的情况下，系统可以简单地予以修改和调整。</w:t>
      </w:r>
    </w:p>
    <w:p w14:paraId="34E5558C">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14.</w:t>
      </w:r>
      <w:r>
        <w:rPr>
          <w:rFonts w:hint="eastAsia" w:ascii="宋体" w:hAnsi="宋体" w:eastAsia="宋体" w:cs="宋体"/>
          <w:b/>
          <w:bCs/>
          <w:kern w:val="0"/>
          <w:sz w:val="21"/>
          <w:szCs w:val="21"/>
        </w:rPr>
        <w:t>标准化。</w:t>
      </w:r>
      <w:r>
        <w:rPr>
          <w:rFonts w:hint="eastAsia" w:ascii="宋体" w:hAnsi="宋体" w:eastAsia="宋体" w:cs="宋体"/>
          <w:kern w:val="0"/>
          <w:sz w:val="21"/>
          <w:szCs w:val="21"/>
        </w:rPr>
        <w:t>系统的设计和开发必须符合国家、省、市和行业相关管理规范，符合计算机行业规范和检验业务规范。设计、开发和管理维护各阶段的技术文档要完整、规范、条理清晰。</w:t>
      </w:r>
    </w:p>
    <w:p w14:paraId="4640E288">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15.</w:t>
      </w:r>
      <w:r>
        <w:rPr>
          <w:rFonts w:hint="eastAsia" w:ascii="宋体" w:hAnsi="宋体" w:eastAsia="宋体" w:cs="宋体"/>
          <w:b/>
          <w:bCs/>
          <w:kern w:val="0"/>
          <w:sz w:val="21"/>
          <w:szCs w:val="21"/>
        </w:rPr>
        <w:t>智能化。</w:t>
      </w:r>
      <w:r>
        <w:rPr>
          <w:rFonts w:hint="eastAsia" w:ascii="宋体" w:hAnsi="宋体" w:eastAsia="宋体" w:cs="宋体"/>
          <w:kern w:val="0"/>
          <w:sz w:val="21"/>
          <w:szCs w:val="21"/>
        </w:rPr>
        <w:t>从设计理念上确立“以人为本”的理念，为智能化设计提供指导和方向，从而更好地实现设计的创新。</w:t>
      </w:r>
      <w:bookmarkStart w:id="19" w:name="_Toc10604"/>
      <w:bookmarkStart w:id="20" w:name="OLE_LINK48"/>
    </w:p>
    <w:p w14:paraId="2D5A66CA">
      <w:pPr>
        <w:pageBreakBefore w:val="0"/>
        <w:kinsoku/>
        <w:wordWrap/>
        <w:overflowPunct/>
        <w:topLinePunct w:val="0"/>
        <w:autoSpaceDE/>
        <w:autoSpaceDN/>
        <w:bidi w:val="0"/>
        <w:adjustRightInd/>
        <w:snapToGrid w:val="0"/>
        <w:spacing w:line="288" w:lineRule="auto"/>
        <w:ind w:left="0"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（三）安全保障</w:t>
      </w:r>
      <w:bookmarkEnd w:id="19"/>
      <w:r>
        <w:rPr>
          <w:rFonts w:hint="eastAsia" w:ascii="宋体" w:hAnsi="宋体" w:eastAsia="宋体" w:cs="宋体"/>
          <w:b/>
          <w:bCs/>
          <w:kern w:val="2"/>
          <w:sz w:val="21"/>
          <w:szCs w:val="21"/>
          <w:lang w:val="en-US" w:eastAsia="zh-CN" w:bidi="ar-SA"/>
        </w:rPr>
        <w:t>：</w:t>
      </w:r>
    </w:p>
    <w:bookmarkEnd w:id="20"/>
    <w:p w14:paraId="406513EB">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安全依据</w:t>
      </w:r>
      <w:r>
        <w:rPr>
          <w:rFonts w:hint="eastAsia" w:ascii="宋体" w:hAnsi="宋体" w:eastAsia="宋体" w:cs="宋体"/>
          <w:b/>
          <w:sz w:val="21"/>
          <w:szCs w:val="21"/>
          <w:lang w:eastAsia="zh-CN"/>
        </w:rPr>
        <w:t>：</w:t>
      </w:r>
      <w:r>
        <w:rPr>
          <w:rFonts w:hint="eastAsia" w:ascii="宋体" w:hAnsi="宋体" w:eastAsia="宋体" w:cs="宋体"/>
          <w:sz w:val="21"/>
          <w:szCs w:val="21"/>
        </w:rPr>
        <w:t>根据《国家教育</w:t>
      </w:r>
      <w:bookmarkStart w:id="21" w:name="OLE_LINK9"/>
      <w:r>
        <w:rPr>
          <w:rFonts w:hint="eastAsia" w:ascii="宋体" w:hAnsi="宋体" w:eastAsia="宋体" w:cs="宋体"/>
          <w:sz w:val="21"/>
          <w:szCs w:val="21"/>
        </w:rPr>
        <w:t>管理信息系统信息安全保障体系建设指南（试行）》，系统在设计规划、建设和运行的整个生命周期中应根据国家信息安全等级保护制度，同步开展信息系统安全等级</w:t>
      </w:r>
      <w:bookmarkEnd w:id="21"/>
      <w:r>
        <w:rPr>
          <w:rFonts w:hint="eastAsia" w:ascii="宋体" w:hAnsi="宋体" w:eastAsia="宋体" w:cs="宋体"/>
          <w:sz w:val="21"/>
          <w:szCs w:val="21"/>
        </w:rPr>
        <w:t>保护定级、备案、等级测评、建设整改和监督检查等工作，并根据《信息系统安全等级保护基本要求》（GB/T 22239-2008）等国家、省及行业相关标准规范同步进行安全保障体系建设，</w:t>
      </w:r>
      <w:r>
        <w:rPr>
          <w:rFonts w:hint="eastAsia" w:ascii="宋体" w:hAnsi="宋体" w:eastAsia="宋体" w:cs="宋体"/>
          <w:b/>
          <w:sz w:val="21"/>
          <w:szCs w:val="21"/>
        </w:rPr>
        <w:t>满足等级保护</w:t>
      </w:r>
      <w:r>
        <w:rPr>
          <w:rFonts w:hint="eastAsia" w:ascii="宋体" w:hAnsi="宋体" w:eastAsia="宋体" w:cs="宋体"/>
          <w:b/>
          <w:sz w:val="21"/>
          <w:szCs w:val="21"/>
          <w:lang w:val="en-US" w:eastAsia="zh-CN"/>
        </w:rPr>
        <w:t>二</w:t>
      </w:r>
      <w:r>
        <w:rPr>
          <w:rFonts w:hint="eastAsia" w:ascii="宋体" w:hAnsi="宋体" w:eastAsia="宋体" w:cs="宋体"/>
          <w:b/>
          <w:sz w:val="21"/>
          <w:szCs w:val="21"/>
        </w:rPr>
        <w:t>级安全防护要求</w:t>
      </w:r>
      <w:r>
        <w:rPr>
          <w:rFonts w:hint="eastAsia" w:ascii="宋体" w:hAnsi="宋体" w:eastAsia="宋体" w:cs="宋体"/>
          <w:sz w:val="21"/>
          <w:szCs w:val="21"/>
        </w:rPr>
        <w:t>，在平台遭到损害后，能够较快恢复系统功能与服务。</w:t>
      </w:r>
    </w:p>
    <w:p w14:paraId="4CB6F02F">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数据备份</w:t>
      </w:r>
      <w:r>
        <w:rPr>
          <w:rFonts w:hint="eastAsia" w:ascii="宋体" w:hAnsi="宋体" w:eastAsia="宋体" w:cs="宋体"/>
          <w:b/>
          <w:sz w:val="21"/>
          <w:szCs w:val="21"/>
          <w:lang w:eastAsia="zh-CN"/>
        </w:rPr>
        <w:t>：</w:t>
      </w:r>
      <w:r>
        <w:rPr>
          <w:rFonts w:hint="eastAsia" w:ascii="宋体" w:hAnsi="宋体" w:eastAsia="宋体" w:cs="宋体"/>
          <w:kern w:val="0"/>
          <w:sz w:val="21"/>
          <w:szCs w:val="21"/>
        </w:rPr>
        <w:t>在基础设施条件允许的环境下，支持通过服务器系统脚本自动化处理模式，建立以每日为周期，全量或增量的将资源、文件、配置信息和基础业务数据进行本地或异地专线灾难异步备份机制和数据恢复机制，可方便、可靠、高效、最大限度地减少数据遗失的可能，有效保障数据的安全。平台要采用热备策略来进行备份，并形成备份日志报告。每周做一次差异备份，每月做一次完全备份，提供通过备份（日志）进行数据恢复的功能。</w:t>
      </w:r>
    </w:p>
    <w:p w14:paraId="4162491E">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代码安全</w:t>
      </w:r>
      <w:r>
        <w:rPr>
          <w:rFonts w:hint="eastAsia" w:ascii="宋体" w:hAnsi="宋体" w:eastAsia="宋体" w:cs="宋体"/>
          <w:b/>
          <w:sz w:val="21"/>
          <w:szCs w:val="21"/>
          <w:lang w:eastAsia="zh-CN"/>
        </w:rPr>
        <w:t>：</w:t>
      </w:r>
      <w:r>
        <w:rPr>
          <w:rFonts w:hint="eastAsia" w:ascii="宋体" w:hAnsi="宋体" w:eastAsia="宋体" w:cs="宋体"/>
          <w:kern w:val="0"/>
          <w:sz w:val="21"/>
          <w:szCs w:val="21"/>
        </w:rPr>
        <w:t>平台具有高安全性，应实现对系统后门程序检测、目录权限安全加固、防SQL代码注入、防跨站脚本代码、数据库信息泄露、源代码泄露、后台地址泄露、不安全的HTTP方法（WebDAV）、应用服务器类型和版本泄漏等实现代码级的安全处理。</w:t>
      </w:r>
    </w:p>
    <w:p w14:paraId="32EB71B1">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r>
        <w:rPr>
          <w:rFonts w:hint="eastAsia" w:ascii="宋体" w:hAnsi="宋体" w:eastAsia="宋体" w:cs="宋体"/>
          <w:b/>
          <w:sz w:val="21"/>
          <w:szCs w:val="21"/>
        </w:rPr>
        <w:t>信息安全</w:t>
      </w:r>
      <w:r>
        <w:rPr>
          <w:rFonts w:hint="eastAsia" w:ascii="宋体" w:hAnsi="宋体" w:eastAsia="宋体" w:cs="宋体"/>
          <w:b/>
          <w:sz w:val="21"/>
          <w:szCs w:val="21"/>
          <w:lang w:eastAsia="zh-CN"/>
        </w:rPr>
        <w:t>：</w:t>
      </w:r>
    </w:p>
    <w:p w14:paraId="1DE23250">
      <w:pPr>
        <w:pageBreakBefore w:val="0"/>
        <w:kinsoku/>
        <w:wordWrap/>
        <w:overflowPunct/>
        <w:topLinePunct w:val="0"/>
        <w:autoSpaceDE/>
        <w:autoSpaceDN/>
        <w:bidi w:val="0"/>
        <w:adjustRightInd/>
        <w:spacing w:line="288"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要求各系统的信息访问</w:t>
      </w:r>
      <w:r>
        <w:rPr>
          <w:rFonts w:hint="eastAsia" w:ascii="宋体" w:hAnsi="宋体" w:eastAsia="宋体" w:cs="宋体"/>
          <w:kern w:val="0"/>
          <w:sz w:val="21"/>
          <w:szCs w:val="21"/>
          <w:lang w:val="en-US" w:eastAsia="zh-CN"/>
        </w:rPr>
        <w:t>对接拱墅教育大脑</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https://i.hzgsedu.cn/dop)，在实现</w:t>
      </w:r>
      <w:r>
        <w:rPr>
          <w:rFonts w:hint="eastAsia" w:ascii="宋体" w:hAnsi="宋体" w:eastAsia="宋体" w:cs="宋体"/>
          <w:kern w:val="0"/>
          <w:sz w:val="21"/>
          <w:szCs w:val="21"/>
        </w:rPr>
        <w:t>统一</w:t>
      </w:r>
      <w:r>
        <w:rPr>
          <w:rFonts w:hint="eastAsia" w:ascii="宋体" w:hAnsi="宋体" w:eastAsia="宋体" w:cs="宋体"/>
          <w:kern w:val="0"/>
          <w:sz w:val="21"/>
          <w:szCs w:val="21"/>
          <w:lang w:val="en-US" w:eastAsia="zh-CN"/>
        </w:rPr>
        <w:t>身份</w:t>
      </w:r>
      <w:r>
        <w:rPr>
          <w:rFonts w:hint="eastAsia" w:ascii="宋体" w:hAnsi="宋体" w:eastAsia="宋体" w:cs="宋体"/>
          <w:kern w:val="0"/>
          <w:sz w:val="21"/>
          <w:szCs w:val="21"/>
        </w:rPr>
        <w:t>认证基础上，严格按照平台权限和设定的授权访问数据和信息。要求对平台的所有操作行为建立日志记录，日志记录包括（并不限于）查询记录、登记记录、访问记录、操作记录等。要求对数据进行强化管理，确保数据的准确性、及时性；制定一个数据管理机制，数据管理手段和措施。保障业务数据一旦在系统产生，具有明确数据时效性，一致性。提供对隐私或敏感数据（包括并不限于身份证号、家庭地址、手机号码）字段加密存储、解密使用的功能，即使数据泄露，但对于隐私或敏感无法仍处于脱敏状态。</w:t>
      </w:r>
    </w:p>
    <w:p w14:paraId="7725B2A8">
      <w:pPr>
        <w:pageBreakBefore w:val="0"/>
        <w:kinsoku/>
        <w:wordWrap/>
        <w:overflowPunct/>
        <w:topLinePunct w:val="0"/>
        <w:autoSpaceDE/>
        <w:autoSpaceDN/>
        <w:bidi w:val="0"/>
        <w:adjustRightInd/>
        <w:spacing w:line="288"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信息系统具有完备的用户权限管理功能，禁止超越权限的操作，保护原始数据，保护系统免遭破坏，信息资源的充分共享，更要注意信息的保护和隔离，设置系统安全机制，数据存取的权限控制。</w:t>
      </w:r>
    </w:p>
    <w:p w14:paraId="3B0EF733">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中标人与拱墅区教育信息技术中心另行签订保密协议，确保资源内容和用户信息仅用于本项目服务。</w:t>
      </w:r>
    </w:p>
    <w:p w14:paraId="5D41E3EF">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数据SSL加密传输</w:t>
      </w:r>
      <w:r>
        <w:rPr>
          <w:rFonts w:hint="eastAsia" w:ascii="宋体" w:hAnsi="宋体" w:eastAsia="宋体" w:cs="宋体"/>
          <w:b/>
          <w:bCs/>
          <w:kern w:val="0"/>
          <w:sz w:val="21"/>
          <w:szCs w:val="21"/>
          <w:lang w:eastAsia="zh-CN"/>
        </w:rPr>
        <w:t>：</w:t>
      </w:r>
    </w:p>
    <w:p w14:paraId="35F3FDCF">
      <w:pPr>
        <w:pageBreakBefore w:val="0"/>
        <w:kinsoku/>
        <w:wordWrap/>
        <w:overflowPunct/>
        <w:topLinePunct w:val="0"/>
        <w:autoSpaceDE/>
        <w:autoSpaceDN/>
        <w:bidi w:val="0"/>
        <w:adjustRightInd/>
        <w:spacing w:line="288"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所有数据传输均使用HTTPS协议进行加密传输，数字签名证书至少应为公有DV SSL证书或以上，质保期内的数字签名费用包含在投标总价中。</w:t>
      </w:r>
    </w:p>
    <w:p w14:paraId="7AA6E7C9">
      <w:pPr>
        <w:pageBreakBefore w:val="0"/>
        <w:kinsoku/>
        <w:wordWrap/>
        <w:overflowPunct/>
        <w:topLinePunct w:val="0"/>
        <w:autoSpaceDE/>
        <w:autoSpaceDN/>
        <w:bidi w:val="0"/>
        <w:adjustRightInd/>
        <w:spacing w:line="288"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本项目必须在终验前通过浙江省内有资质的第三方</w:t>
      </w:r>
      <w:r>
        <w:rPr>
          <w:rFonts w:hint="eastAsia" w:ascii="宋体" w:hAnsi="宋体" w:eastAsia="宋体" w:cs="宋体"/>
          <w:b/>
          <w:bCs/>
          <w:sz w:val="21"/>
          <w:szCs w:val="21"/>
          <w:lang w:val="en-US" w:eastAsia="zh-CN"/>
        </w:rPr>
        <w:t>信创适配</w:t>
      </w:r>
      <w:r>
        <w:rPr>
          <w:rFonts w:hint="eastAsia" w:ascii="宋体" w:hAnsi="宋体" w:eastAsia="宋体" w:cs="宋体"/>
          <w:b/>
          <w:bCs/>
          <w:sz w:val="21"/>
          <w:szCs w:val="21"/>
        </w:rPr>
        <w:t>检测</w:t>
      </w:r>
      <w:r>
        <w:rPr>
          <w:rFonts w:hint="eastAsia" w:ascii="宋体" w:hAnsi="宋体" w:eastAsia="宋体" w:cs="宋体"/>
          <w:sz w:val="21"/>
          <w:szCs w:val="21"/>
        </w:rPr>
        <w:t>并取得</w:t>
      </w:r>
      <w:r>
        <w:rPr>
          <w:rFonts w:hint="eastAsia" w:ascii="宋体" w:hAnsi="宋体" w:eastAsia="宋体" w:cs="宋体"/>
          <w:b/>
          <w:bCs/>
          <w:sz w:val="21"/>
          <w:szCs w:val="21"/>
        </w:rPr>
        <w:t>等级保护</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级安全防护</w:t>
      </w:r>
      <w:r>
        <w:rPr>
          <w:rFonts w:hint="eastAsia" w:ascii="宋体" w:hAnsi="宋体" w:eastAsia="宋体" w:cs="宋体"/>
          <w:sz w:val="21"/>
          <w:szCs w:val="21"/>
        </w:rPr>
        <w:t>的合格报告，检测合格报告作为本项目终验及付款的依据，所需费用包含在投标总价中。</w:t>
      </w:r>
      <w:bookmarkStart w:id="22" w:name="_Toc31272"/>
      <w:bookmarkStart w:id="23" w:name="OLE_LINK49"/>
    </w:p>
    <w:p w14:paraId="6959C0A4">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（四）等保密评</w:t>
      </w:r>
      <w:bookmarkEnd w:id="22"/>
      <w:r>
        <w:rPr>
          <w:rFonts w:hint="eastAsia" w:ascii="宋体" w:hAnsi="宋体" w:eastAsia="宋体" w:cs="宋体"/>
          <w:b/>
          <w:bCs/>
          <w:kern w:val="2"/>
          <w:sz w:val="21"/>
          <w:szCs w:val="21"/>
          <w:lang w:val="en-US" w:eastAsia="zh-CN" w:bidi="ar-SA"/>
        </w:rPr>
        <w:t>：</w:t>
      </w:r>
    </w:p>
    <w:bookmarkEnd w:id="23"/>
    <w:p w14:paraId="4E8D3B95">
      <w:pPr>
        <w:pageBreakBefore w:val="0"/>
        <w:kinsoku/>
        <w:wordWrap/>
        <w:overflowPunct/>
        <w:topLinePunct w:val="0"/>
        <w:autoSpaceDE/>
        <w:autoSpaceDN/>
        <w:bidi w:val="0"/>
        <w:adjustRightInd/>
        <w:spacing w:line="288"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配合</w:t>
      </w:r>
      <w:r>
        <w:rPr>
          <w:rFonts w:hint="eastAsia" w:ascii="宋体" w:hAnsi="宋体" w:eastAsia="宋体" w:cs="宋体"/>
          <w:kern w:val="0"/>
          <w:sz w:val="21"/>
          <w:szCs w:val="21"/>
          <w:lang w:val="en-US" w:eastAsia="zh-CN"/>
        </w:rPr>
        <w:t>区</w:t>
      </w:r>
      <w:r>
        <w:rPr>
          <w:rFonts w:hint="eastAsia" w:ascii="宋体" w:hAnsi="宋体" w:eastAsia="宋体" w:cs="宋体"/>
          <w:kern w:val="0"/>
          <w:sz w:val="21"/>
          <w:szCs w:val="21"/>
        </w:rPr>
        <w:t>教育局完成等保密评工作，具体要求如下：</w:t>
      </w:r>
    </w:p>
    <w:p w14:paraId="09578730">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bookmarkStart w:id="24" w:name="_Toc29099"/>
      <w:r>
        <w:rPr>
          <w:rFonts w:hint="eastAsia" w:ascii="宋体" w:hAnsi="宋体" w:eastAsia="宋体" w:cs="宋体"/>
          <w:b/>
          <w:bCs/>
          <w:kern w:val="0"/>
          <w:sz w:val="21"/>
          <w:szCs w:val="21"/>
        </w:rPr>
        <w:t>1</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身份鉴别</w:t>
      </w:r>
      <w:bookmarkEnd w:id="24"/>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为保障身份数据安全有效，需对账号口令进行加密传输验证，以及对返回的手机号进行加密传输，同时对身份数据的用户信息、角色信息、权限信息、身份信息、应用信息、手机号信息等进行数据机密性及完整性校验，保证身份数据的真实有效。</w:t>
      </w:r>
    </w:p>
    <w:p w14:paraId="0D3CA7D4">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bookmarkStart w:id="25" w:name="_Toc13844"/>
      <w:r>
        <w:rPr>
          <w:rFonts w:hint="eastAsia" w:ascii="宋体" w:hAnsi="宋体" w:eastAsia="宋体" w:cs="宋体"/>
          <w:b/>
          <w:bCs/>
          <w:kern w:val="0"/>
          <w:sz w:val="21"/>
          <w:szCs w:val="21"/>
        </w:rPr>
        <w:t>2</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访问控制信息完整性</w:t>
      </w:r>
      <w:bookmarkEnd w:id="25"/>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应用访问使用对用户的登录后，对用户访问系统的权限进行访问控制信息的完整性校验，避免通过非正常途径登录到系统中并获取相应的权限；如身份数据的用户信息、角色信息、权限信息、身份信息、应用信息等进行数据完整性校验，保证身份数据的真实有效。调用杭州市密码服务平台中的完整性校验服务（密码基础设备底座为：服务器密码机），采用HMAC-SM3技术对应用访问控制信息进行实现信息完整性保护，防止应用资源被非授权访问。</w:t>
      </w:r>
    </w:p>
    <w:p w14:paraId="1A1CF35E">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bookmarkStart w:id="26" w:name="_Toc17329"/>
      <w:r>
        <w:rPr>
          <w:rFonts w:hint="eastAsia" w:ascii="宋体" w:hAnsi="宋体" w:eastAsia="宋体" w:cs="宋体"/>
          <w:b/>
          <w:bCs/>
          <w:kern w:val="0"/>
          <w:sz w:val="21"/>
          <w:szCs w:val="21"/>
        </w:rPr>
        <w:t>3</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重要数据存储机密性</w:t>
      </w:r>
      <w:bookmarkEnd w:id="26"/>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调用杭州市密码服务平台中的存储加密服务（密码基础设备底座为：服务器密码机），应用服务器通过将服务器密码机接口集成后，通过调用服务器密码机接口，采用SM4-CBC算法实现对本平台中手机号、家庭地址、监护人信息、证件号码等进行机密性保护。</w:t>
      </w:r>
    </w:p>
    <w:p w14:paraId="3A1B664A">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bCs/>
          <w:kern w:val="0"/>
          <w:sz w:val="21"/>
          <w:szCs w:val="21"/>
          <w:lang w:eastAsia="zh-CN"/>
        </w:rPr>
      </w:pPr>
      <w:bookmarkStart w:id="27" w:name="_Toc4760"/>
      <w:r>
        <w:rPr>
          <w:rFonts w:hint="eastAsia" w:ascii="宋体" w:hAnsi="宋体" w:eastAsia="宋体" w:cs="宋体"/>
          <w:b/>
          <w:bCs/>
          <w:kern w:val="0"/>
          <w:sz w:val="21"/>
          <w:szCs w:val="21"/>
        </w:rPr>
        <w:t>4</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重要数据存储完整性</w:t>
      </w:r>
      <w:bookmarkEnd w:id="27"/>
      <w:r>
        <w:rPr>
          <w:rFonts w:hint="eastAsia" w:ascii="宋体" w:hAnsi="宋体" w:eastAsia="宋体" w:cs="宋体"/>
          <w:b/>
          <w:bCs/>
          <w:kern w:val="0"/>
          <w:sz w:val="21"/>
          <w:szCs w:val="21"/>
          <w:lang w:eastAsia="zh-CN"/>
        </w:rPr>
        <w:t>：</w:t>
      </w:r>
    </w:p>
    <w:p w14:paraId="496DBD0B">
      <w:pPr>
        <w:pageBreakBefore w:val="0"/>
        <w:kinsoku/>
        <w:wordWrap/>
        <w:overflowPunct/>
        <w:topLinePunct w:val="0"/>
        <w:autoSpaceDE/>
        <w:autoSpaceDN/>
        <w:bidi w:val="0"/>
        <w:adjustRightInd/>
        <w:spacing w:line="288"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数据仓中数据存储按照不同的分类进行规划存储以及密级的设置，数据仓中的数据需要确保数据的完整性，避免因非法操作对其数据进行更改，造成数据的不准确，导致数据无法正常使用，故而采用HMAC-SM3算法对本平台中数据仓中的数据存储进行完整性校验，对数据进行完整性保护。</w:t>
      </w:r>
    </w:p>
    <w:p w14:paraId="679F9C58">
      <w:pPr>
        <w:pageBreakBefore w:val="0"/>
        <w:kinsoku/>
        <w:wordWrap/>
        <w:overflowPunct/>
        <w:topLinePunct w:val="0"/>
        <w:autoSpaceDE/>
        <w:autoSpaceDN/>
        <w:bidi w:val="0"/>
        <w:adjustRightInd/>
        <w:spacing w:line="288"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应用和数据安全层面所使用的密码算法、密码技术、密码服务、密钥管理由符合GM/T 0030-2014《服务器密码机技术规范》的云服务器密码机来实现。</w:t>
      </w:r>
    </w:p>
    <w:p w14:paraId="22413BA5">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bookmarkStart w:id="28" w:name="_Toc174500497"/>
      <w:r>
        <w:rPr>
          <w:rFonts w:hint="eastAsia" w:ascii="宋体" w:hAnsi="宋体" w:eastAsia="宋体" w:cs="宋体"/>
          <w:b/>
          <w:bCs/>
          <w:kern w:val="0"/>
          <w:sz w:val="21"/>
          <w:szCs w:val="21"/>
        </w:rPr>
        <w:t>5</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密钥管理</w:t>
      </w:r>
      <w:bookmarkEnd w:id="28"/>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密钥是密钥系统的核心。在密钥的产生、分发、存储、使用、更新、归档、撤销、备份、恢复、销毁等整个生命周期过程中，都需要通过密码技术对密钥进行保护，以确保密钥的全生命周期安全。密钥在本地存储，不进行传输；其他密钥一般采用离线方式或在线方式进行传输，并配以机密性和完整性保护措施。</w:t>
      </w:r>
      <w:bookmarkStart w:id="29" w:name="_Toc30622"/>
      <w:bookmarkStart w:id="30" w:name="OLE_LINK36"/>
    </w:p>
    <w:p w14:paraId="7AEA63CB">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（五）平台性能</w:t>
      </w:r>
      <w:bookmarkEnd w:id="29"/>
      <w:r>
        <w:rPr>
          <w:rFonts w:hint="eastAsia" w:ascii="宋体" w:hAnsi="宋体" w:eastAsia="宋体" w:cs="宋体"/>
          <w:b/>
          <w:bCs/>
          <w:kern w:val="2"/>
          <w:sz w:val="21"/>
          <w:szCs w:val="21"/>
          <w:lang w:val="en-US" w:eastAsia="zh-CN" w:bidi="ar-SA"/>
        </w:rPr>
        <w:t>：</w:t>
      </w:r>
    </w:p>
    <w:bookmarkEnd w:id="30"/>
    <w:p w14:paraId="590592E5">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w:t>
      </w:r>
      <w:r>
        <w:rPr>
          <w:rFonts w:hint="eastAsia" w:ascii="宋体" w:hAnsi="宋体" w:eastAsia="宋体" w:cs="宋体"/>
          <w:b/>
          <w:bCs/>
          <w:kern w:val="0"/>
          <w:sz w:val="21"/>
          <w:szCs w:val="21"/>
        </w:rPr>
        <w:t>稳定可靠</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运行稳定、安全可靠、实用性强，在访问高峰期系统的接口访问命中率达到99％以上。提高应用数据收集和应用统计的稳定性，实现日志收集与数据分析的异步处理，建立数据仓库，实现统计数据的唯一源获取，避免前、后台、用户统计数据不一致。</w:t>
      </w:r>
    </w:p>
    <w:p w14:paraId="0C0838AD">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高效响应</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根据数据、资源访问命中率的对数据、资源进行冷热物理存储分离，有效使用匹配基础设施资源。在服务器近端测试，前台用户级应用型页面响应时间1秒以内，前台展现、管理级及后台用户级带有复杂算法查询的页面在3秒以内响应。本期项目应用程序均要求基于分布式系统进行设计、研发和部署。</w:t>
      </w:r>
    </w:p>
    <w:p w14:paraId="2DFD9C5A">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rPr>
        <w:t>高并发率</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在互联网行业资源密集型云服务标准的基础设施环境达标条件下，接口访问支持100次以上并发，认证访问支持500次以上并发。要求门户端实现web访问与音视频、图像、文档等非结构化数据处理服务的业务分离，提高门户、个人空间、的访问速度。</w:t>
      </w:r>
    </w:p>
    <w:p w14:paraId="4F5488E3">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4.</w:t>
      </w:r>
      <w:r>
        <w:rPr>
          <w:rFonts w:hint="eastAsia" w:ascii="宋体" w:hAnsi="宋体" w:eastAsia="宋体" w:cs="宋体"/>
          <w:b/>
          <w:bCs/>
          <w:kern w:val="0"/>
          <w:sz w:val="21"/>
          <w:szCs w:val="21"/>
        </w:rPr>
        <w:t>高用户数</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支持万级注册用户同时在线，支持不小于10万的日页面访问量pv。</w:t>
      </w:r>
    </w:p>
    <w:p w14:paraId="05964830">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兼容适应性</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rPr>
        <w:t>完全兼容钉钉工作台页面布局和渲染，部分功能支持钉钉小程序规范，适应android和ios手机操作系统。浏览器支持IE9.0及以上版本、360安全浏览器、Mozilla Firefox、Chrome等主流桌面操作系统内核浏览器，在特定业务应用场景的要求下可支持不同分辨率桌面的自适应显示，界面采用Html5样式页面布局模式，确保界面显示规整，不会出现移位、挂角等情况。平台级别功能原则上不使用任何插件，对于以上浏览器无法独立支撑操作的功能要求,需要加载特定插件的，应向用户给出明确提示，以便用户进行有选择性的下载。</w:t>
      </w:r>
    </w:p>
    <w:p w14:paraId="056F6605">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kern w:val="0"/>
          <w:sz w:val="21"/>
          <w:szCs w:val="21"/>
          <w:lang w:eastAsia="zh-CN"/>
        </w:rPr>
      </w:pPr>
      <w:r>
        <w:rPr>
          <w:rFonts w:hint="eastAsia" w:ascii="宋体" w:hAnsi="宋体" w:eastAsia="宋体" w:cs="宋体"/>
          <w:b/>
          <w:bCs/>
          <w:kern w:val="0"/>
          <w:sz w:val="21"/>
          <w:szCs w:val="21"/>
          <w:lang w:val="en-US" w:eastAsia="zh-CN"/>
        </w:rPr>
        <w:t>6.</w:t>
      </w:r>
      <w:r>
        <w:rPr>
          <w:rFonts w:hint="eastAsia" w:ascii="宋体" w:hAnsi="宋体" w:eastAsia="宋体" w:cs="宋体"/>
          <w:b/>
          <w:bCs/>
          <w:sz w:val="21"/>
          <w:szCs w:val="21"/>
        </w:rPr>
        <w:t>硬件要求</w:t>
      </w:r>
      <w:r>
        <w:rPr>
          <w:rFonts w:hint="eastAsia" w:ascii="宋体" w:hAnsi="宋体" w:eastAsia="宋体" w:cs="宋体"/>
          <w:b/>
          <w:bCs/>
          <w:sz w:val="21"/>
          <w:szCs w:val="21"/>
          <w:lang w:eastAsia="zh-CN"/>
        </w:rPr>
        <w:t>：</w:t>
      </w:r>
      <w:r>
        <w:rPr>
          <w:rFonts w:hint="eastAsia" w:ascii="宋体" w:hAnsi="宋体" w:eastAsia="宋体" w:cs="宋体"/>
          <w:kern w:val="0"/>
          <w:sz w:val="21"/>
          <w:szCs w:val="21"/>
        </w:rPr>
        <w:t>计算硬件和网络资源由拱墅区教育</w:t>
      </w:r>
      <w:r>
        <w:rPr>
          <w:rFonts w:hint="eastAsia" w:ascii="宋体" w:hAnsi="宋体" w:eastAsia="宋体" w:cs="宋体"/>
          <w:kern w:val="0"/>
          <w:sz w:val="21"/>
          <w:szCs w:val="21"/>
          <w:lang w:val="en-US" w:eastAsia="zh-CN"/>
        </w:rPr>
        <w:t>信息技术</w:t>
      </w:r>
      <w:r>
        <w:rPr>
          <w:rFonts w:hint="eastAsia" w:ascii="宋体" w:hAnsi="宋体" w:eastAsia="宋体" w:cs="宋体"/>
          <w:kern w:val="0"/>
          <w:sz w:val="21"/>
          <w:szCs w:val="21"/>
        </w:rPr>
        <w:t>中心提供</w:t>
      </w:r>
      <w:r>
        <w:rPr>
          <w:rFonts w:hint="eastAsia" w:ascii="宋体" w:hAnsi="宋体" w:eastAsia="宋体" w:cs="宋体"/>
          <w:kern w:val="0"/>
          <w:sz w:val="21"/>
          <w:szCs w:val="21"/>
          <w:lang w:eastAsia="zh-CN"/>
        </w:rPr>
        <w:t>。</w:t>
      </w:r>
      <w:bookmarkStart w:id="31" w:name="_Toc11244"/>
    </w:p>
    <w:p w14:paraId="465BEDBC">
      <w:pPr>
        <w:pageBreakBefore w:val="0"/>
        <w:kinsoku/>
        <w:wordWrap/>
        <w:overflowPunct/>
        <w:topLinePunct w:val="0"/>
        <w:autoSpaceDE/>
        <w:autoSpaceDN/>
        <w:bidi w:val="0"/>
        <w:adjustRightInd/>
        <w:spacing w:line="288" w:lineRule="auto"/>
        <w:ind w:left="0"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六</w:t>
      </w:r>
      <w:r>
        <w:rPr>
          <w:rFonts w:hint="eastAsia" w:ascii="宋体" w:hAnsi="宋体" w:eastAsia="宋体" w:cs="宋体"/>
          <w:b/>
          <w:bCs/>
          <w:kern w:val="0"/>
          <w:sz w:val="21"/>
          <w:szCs w:val="21"/>
          <w:lang w:eastAsia="zh-CN"/>
        </w:rPr>
        <w:t>）</w:t>
      </w:r>
      <w:r>
        <w:rPr>
          <w:rFonts w:hint="eastAsia" w:ascii="宋体" w:hAnsi="宋体" w:eastAsia="宋体" w:cs="宋体"/>
          <w:b/>
          <w:bCs/>
          <w:kern w:val="2"/>
          <w:sz w:val="21"/>
          <w:szCs w:val="21"/>
          <w:lang w:val="en-US" w:eastAsia="zh-CN" w:bidi="ar-SA"/>
        </w:rPr>
        <w:t>建设</w:t>
      </w:r>
      <w:bookmarkEnd w:id="31"/>
      <w:r>
        <w:rPr>
          <w:rFonts w:hint="eastAsia" w:ascii="宋体" w:hAnsi="宋体" w:eastAsia="宋体" w:cs="宋体"/>
          <w:b/>
          <w:bCs/>
          <w:kern w:val="2"/>
          <w:sz w:val="21"/>
          <w:szCs w:val="21"/>
          <w:lang w:val="en-US" w:eastAsia="zh-CN" w:bidi="ar-SA"/>
        </w:rPr>
        <w:t>内容：</w:t>
      </w:r>
    </w:p>
    <w:p w14:paraId="0E2CB145">
      <w:pPr>
        <w:pageBreakBefore w:val="0"/>
        <w:kinsoku/>
        <w:wordWrap/>
        <w:overflowPunct/>
        <w:topLinePunct w:val="0"/>
        <w:autoSpaceDE/>
        <w:autoSpaceDN/>
        <w:bidi w:val="0"/>
        <w:adjustRightInd/>
        <w:snapToGrid w:val="0"/>
        <w:spacing w:line="288" w:lineRule="auto"/>
        <w:ind w:left="0" w:firstLine="422" w:firstLineChars="200"/>
        <w:outlineLvl w:val="2"/>
        <w:rPr>
          <w:rFonts w:hint="eastAsia" w:ascii="宋体" w:hAnsi="宋体" w:eastAsia="宋体" w:cs="宋体"/>
          <w:b/>
          <w:bCs/>
          <w:snapToGrid w:val="0"/>
          <w:kern w:val="0"/>
          <w:sz w:val="21"/>
          <w:szCs w:val="21"/>
          <w:lang w:eastAsia="zh-CN"/>
        </w:rPr>
      </w:pPr>
      <w:r>
        <w:rPr>
          <w:rFonts w:hint="eastAsia" w:ascii="宋体" w:hAnsi="宋体" w:eastAsia="宋体" w:cs="宋体"/>
          <w:b/>
          <w:bCs/>
          <w:snapToGrid w:val="0"/>
          <w:kern w:val="0"/>
          <w:sz w:val="21"/>
          <w:szCs w:val="21"/>
        </w:rPr>
        <w:t>1</w:t>
      </w:r>
      <w:r>
        <w:rPr>
          <w:rFonts w:hint="eastAsia" w:ascii="宋体" w:hAnsi="宋体" w:eastAsia="宋体" w:cs="宋体"/>
          <w:b/>
          <w:bCs/>
          <w:snapToGrid w:val="0"/>
          <w:kern w:val="0"/>
          <w:sz w:val="21"/>
          <w:szCs w:val="21"/>
          <w:lang w:val="en-US" w:eastAsia="zh-CN"/>
        </w:rPr>
        <w:t>.</w:t>
      </w:r>
      <w:r>
        <w:rPr>
          <w:rFonts w:hint="eastAsia" w:ascii="宋体" w:hAnsi="宋体" w:eastAsia="宋体" w:cs="宋体"/>
          <w:b/>
          <w:bCs/>
          <w:snapToGrid w:val="0"/>
          <w:kern w:val="0"/>
          <w:sz w:val="21"/>
          <w:szCs w:val="21"/>
        </w:rPr>
        <w:t>整体架构</w:t>
      </w:r>
      <w:r>
        <w:rPr>
          <w:rFonts w:hint="eastAsia" w:ascii="宋体" w:hAnsi="宋体" w:eastAsia="宋体" w:cs="宋体"/>
          <w:b/>
          <w:bCs/>
          <w:snapToGrid w:val="0"/>
          <w:kern w:val="0"/>
          <w:sz w:val="21"/>
          <w:szCs w:val="21"/>
          <w:lang w:eastAsia="zh-CN"/>
        </w:rPr>
        <w:t>：</w:t>
      </w:r>
    </w:p>
    <w:p w14:paraId="4261A0A6">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系统整体架构分为五层，自底向上依次为数据源层、AI能力层、AI算法层、应用层，同时学校端与教育局作为用户层，贯穿整个系统。</w:t>
      </w:r>
    </w:p>
    <w:p w14:paraId="505F840E">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数据源层是系统的基础，整合了监控布防数据、监控摄像头视频、学校作息数据、危险区域数据、班级数据以及重点关注人员数据，为上层分析提供丰富素材。</w:t>
      </w:r>
    </w:p>
    <w:p w14:paraId="729AB25D">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AI能力层聚焦于青少年心理健康垂直领域，构建了青少年心理健康大模型，并通过机器学习与人工智能技术进行训练与迭代。关键技术如AI大模型、API网关、NLP、物联网（IOT）以及专家系统，共同支撑起该层的核心能力。</w:t>
      </w:r>
    </w:p>
    <w:p w14:paraId="21BC1F03">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AI算法层则运用行为轨迹异常计算、危险区域接近计算、异常活动范围计算、同伴关系异常计算、作息颠倒计算、自我隔离计算等算法，对数据进行深度挖掘。同时，该层还负责数据存储、数据采集、数据清洗、数据整合与质量监测，确保数据质量与分析结果的准确性。</w:t>
      </w:r>
    </w:p>
    <w:p w14:paraId="7636D498">
      <w:pPr>
        <w:pageBreakBefore w:val="0"/>
        <w:widowControl w:val="0"/>
        <w:kinsoku/>
        <w:wordWrap/>
        <w:overflowPunct/>
        <w:topLinePunct w:val="0"/>
        <w:autoSpaceDE/>
        <w:autoSpaceDN/>
        <w:bidi w:val="0"/>
        <w:adjustRightInd/>
        <w:spacing w:before="0" w:beforeLines="0" w:after="0" w:afterLines="0" w:line="288" w:lineRule="auto"/>
        <w:ind w:left="0" w:firstLine="420" w:firstLineChars="200"/>
        <w:jc w:val="both"/>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应用层则面向学校端与教育局用户，提供重点关注人员告警模型、重点关注人员行为布防、重点关注人员告警通知、重点关注人员行为报告以及一体化综合管理等功能，助力用户实现高效、精准的管理与决策。</w:t>
      </w:r>
    </w:p>
    <w:p w14:paraId="48051551">
      <w:pPr>
        <w:pageBreakBefore w:val="0"/>
        <w:kinsoku/>
        <w:wordWrap/>
        <w:overflowPunct/>
        <w:topLinePunct w:val="0"/>
        <w:autoSpaceDE/>
        <w:autoSpaceDN/>
        <w:bidi w:val="0"/>
        <w:adjustRightInd/>
        <w:snapToGrid w:val="0"/>
        <w:spacing w:line="288" w:lineRule="auto"/>
        <w:ind w:left="0" w:firstLine="422" w:firstLineChars="200"/>
        <w:outlineLvl w:val="2"/>
        <w:rPr>
          <w:rFonts w:hint="eastAsia" w:ascii="宋体" w:hAnsi="宋体" w:eastAsia="宋体" w:cs="宋体"/>
          <w:b/>
          <w:bCs/>
          <w:snapToGrid w:val="0"/>
          <w:kern w:val="0"/>
          <w:sz w:val="21"/>
          <w:szCs w:val="21"/>
          <w:lang w:eastAsia="zh-CN"/>
        </w:rPr>
      </w:pPr>
      <w:r>
        <w:rPr>
          <w:rFonts w:hint="eastAsia" w:ascii="宋体" w:hAnsi="宋体" w:eastAsia="宋体" w:cs="宋体"/>
          <w:b/>
          <w:bCs/>
          <w:snapToGrid w:val="0"/>
          <w:kern w:val="0"/>
          <w:sz w:val="21"/>
          <w:szCs w:val="21"/>
        </w:rPr>
        <w:t>2</w:t>
      </w:r>
      <w:r>
        <w:rPr>
          <w:rFonts w:hint="eastAsia" w:ascii="宋体" w:hAnsi="宋体" w:eastAsia="宋体" w:cs="宋体"/>
          <w:b/>
          <w:bCs/>
          <w:snapToGrid w:val="0"/>
          <w:kern w:val="0"/>
          <w:sz w:val="21"/>
          <w:szCs w:val="21"/>
          <w:lang w:val="en-US" w:eastAsia="zh-CN"/>
        </w:rPr>
        <w:t>.</w:t>
      </w:r>
      <w:r>
        <w:rPr>
          <w:rFonts w:hint="eastAsia" w:ascii="宋体" w:hAnsi="宋体" w:eastAsia="宋体" w:cs="宋体"/>
          <w:b/>
          <w:bCs/>
          <w:snapToGrid w:val="0"/>
          <w:kern w:val="0"/>
          <w:sz w:val="21"/>
          <w:szCs w:val="21"/>
        </w:rPr>
        <w:t>功能总体要求</w:t>
      </w:r>
      <w:r>
        <w:rPr>
          <w:rFonts w:hint="eastAsia" w:ascii="宋体" w:hAnsi="宋体" w:eastAsia="宋体" w:cs="宋体"/>
          <w:b/>
          <w:bCs/>
          <w:snapToGrid w:val="0"/>
          <w:kern w:val="0"/>
          <w:sz w:val="21"/>
          <w:szCs w:val="21"/>
          <w:lang w:eastAsia="zh-CN"/>
        </w:rPr>
        <w:t>：</w:t>
      </w:r>
    </w:p>
    <w:p w14:paraId="60A730D0">
      <w:pPr>
        <w:pageBreakBefore w:val="0"/>
        <w:kinsoku/>
        <w:wordWrap/>
        <w:overflowPunct/>
        <w:topLinePunct w:val="0"/>
        <w:autoSpaceDE/>
        <w:autoSpaceDN/>
        <w:bidi w:val="0"/>
        <w:adjustRightInd/>
        <w:snapToGrid w:val="0"/>
        <w:spacing w:line="288" w:lineRule="auto"/>
        <w:ind w:left="0" w:firstLine="422" w:firstLineChars="200"/>
        <w:outlineLvl w:val="3"/>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2.1重点学生AI行为分析预警应用</w:t>
      </w:r>
      <w:r>
        <w:rPr>
          <w:rFonts w:hint="eastAsia" w:ascii="宋体" w:hAnsi="宋体" w:eastAsia="宋体" w:cs="宋体"/>
          <w:b/>
          <w:bCs/>
          <w:snapToGrid w:val="0"/>
          <w:kern w:val="0"/>
          <w:sz w:val="21"/>
          <w:szCs w:val="21"/>
          <w:lang w:eastAsia="zh-CN"/>
        </w:rPr>
        <w:t>：</w:t>
      </w:r>
      <w:r>
        <w:rPr>
          <w:rFonts w:hint="eastAsia" w:ascii="宋体" w:hAnsi="宋体" w:eastAsia="宋体" w:cs="宋体"/>
          <w:snapToGrid w:val="0"/>
          <w:kern w:val="0"/>
          <w:sz w:val="21"/>
          <w:szCs w:val="21"/>
        </w:rPr>
        <w:t>重点学生AI行为分析预警系统集成行为告警与行为分析报告功能。整合重点学生在校行为、学习及社交等数据，动态触发行为轨迹异常告警、危险区域接近告警、异常活动范围告警、同伴关系异常告警、自我独处告警等。依托丰富的行为数据，系统按照区域整体、学校、学生个体生成多层级重点关注学生行为分析报告，精准描绘学生心理状态，助力区域与学校迅速响应，有效优化资源配置，确保重点学生得到及时关怀与针对性引导。</w:t>
      </w:r>
    </w:p>
    <w:p w14:paraId="38B1FF7B">
      <w:pPr>
        <w:pageBreakBefore w:val="0"/>
        <w:kinsoku/>
        <w:wordWrap/>
        <w:overflowPunct/>
        <w:topLinePunct w:val="0"/>
        <w:autoSpaceDE/>
        <w:autoSpaceDN/>
        <w:bidi w:val="0"/>
        <w:adjustRightInd/>
        <w:snapToGrid w:val="0"/>
        <w:spacing w:line="288" w:lineRule="auto"/>
        <w:ind w:left="0" w:firstLine="422" w:firstLineChars="200"/>
        <w:outlineLvl w:val="3"/>
        <w:rPr>
          <w:rFonts w:hint="eastAsia" w:ascii="宋体" w:hAnsi="宋体" w:eastAsia="宋体" w:cs="宋体"/>
          <w:b/>
          <w:bCs/>
          <w:snapToGrid w:val="0"/>
          <w:kern w:val="0"/>
          <w:sz w:val="21"/>
          <w:szCs w:val="21"/>
          <w:lang w:eastAsia="zh-CN"/>
        </w:rPr>
      </w:pPr>
      <w:r>
        <w:rPr>
          <w:rFonts w:hint="eastAsia" w:ascii="宋体" w:hAnsi="宋体" w:eastAsia="宋体" w:cs="宋体"/>
          <w:b/>
          <w:bCs/>
          <w:snapToGrid w:val="0"/>
          <w:kern w:val="0"/>
          <w:sz w:val="21"/>
          <w:szCs w:val="21"/>
        </w:rPr>
        <w:t>2.2一体化心理综合管理平台</w:t>
      </w:r>
      <w:r>
        <w:rPr>
          <w:rFonts w:hint="eastAsia" w:ascii="宋体" w:hAnsi="宋体" w:eastAsia="宋体" w:cs="宋体"/>
          <w:b/>
          <w:bCs/>
          <w:snapToGrid w:val="0"/>
          <w:kern w:val="0"/>
          <w:sz w:val="21"/>
          <w:szCs w:val="21"/>
          <w:lang w:eastAsia="zh-CN"/>
        </w:rPr>
        <w:t>：</w:t>
      </w:r>
    </w:p>
    <w:p w14:paraId="57B40127">
      <w:pPr>
        <w:pageBreakBefore w:val="0"/>
        <w:kinsoku/>
        <w:wordWrap/>
        <w:overflowPunct/>
        <w:topLinePunct w:val="0"/>
        <w:autoSpaceDE/>
        <w:autoSpaceDN/>
        <w:bidi w:val="0"/>
        <w:adjustRightInd/>
        <w:snapToGrid w:val="0"/>
        <w:spacing w:line="288" w:lineRule="auto"/>
        <w:ind w:left="0" w:firstLine="422" w:firstLineChars="200"/>
        <w:outlineLvl w:val="4"/>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（1）PC管理端</w:t>
      </w:r>
      <w:r>
        <w:rPr>
          <w:rFonts w:hint="eastAsia" w:ascii="宋体" w:hAnsi="宋体" w:eastAsia="宋体" w:cs="宋体"/>
          <w:b/>
          <w:bCs/>
          <w:snapToGrid w:val="0"/>
          <w:kern w:val="0"/>
          <w:sz w:val="21"/>
          <w:szCs w:val="21"/>
          <w:lang w:eastAsia="zh-CN"/>
        </w:rPr>
        <w:t>：</w:t>
      </w:r>
      <w:r>
        <w:rPr>
          <w:rFonts w:hint="eastAsia" w:ascii="宋体" w:hAnsi="宋体" w:eastAsia="宋体" w:cs="宋体"/>
          <w:snapToGrid w:val="0"/>
          <w:kern w:val="0"/>
          <w:sz w:val="21"/>
          <w:szCs w:val="21"/>
        </w:rPr>
        <w:t>PC管理端帮助管理员全面掌控区域内青少年学生的心理综合情况，即时获知预警监测信息，提前识别学生心理危机，对心理健康工作及时作出针对性部署，提升教育管理水平。功能涵盖综合管理、量表筛查、全员家访、动态反馈、预警与回访干预、心理档案、心理咨询、心理辅导活动等模块，保障学生的心理健康和安全。</w:t>
      </w:r>
    </w:p>
    <w:p w14:paraId="0D97F685">
      <w:pPr>
        <w:pageBreakBefore w:val="0"/>
        <w:kinsoku/>
        <w:wordWrap/>
        <w:overflowPunct/>
        <w:topLinePunct w:val="0"/>
        <w:autoSpaceDE/>
        <w:autoSpaceDN/>
        <w:bidi w:val="0"/>
        <w:adjustRightInd/>
        <w:snapToGrid w:val="0"/>
        <w:spacing w:line="288" w:lineRule="auto"/>
        <w:ind w:left="0" w:firstLine="422" w:firstLineChars="200"/>
        <w:outlineLvl w:val="4"/>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（2）家长移动端</w:t>
      </w:r>
      <w:r>
        <w:rPr>
          <w:rFonts w:hint="eastAsia" w:ascii="宋体" w:hAnsi="宋体" w:eastAsia="宋体" w:cs="宋体"/>
          <w:b/>
          <w:bCs/>
          <w:snapToGrid w:val="0"/>
          <w:kern w:val="0"/>
          <w:sz w:val="21"/>
          <w:szCs w:val="21"/>
          <w:lang w:eastAsia="zh-CN"/>
        </w:rPr>
        <w:t>：</w:t>
      </w:r>
      <w:r>
        <w:rPr>
          <w:rFonts w:hint="eastAsia" w:ascii="宋体" w:hAnsi="宋体" w:eastAsia="宋体" w:cs="宋体"/>
          <w:snapToGrid w:val="0"/>
          <w:kern w:val="0"/>
          <w:sz w:val="21"/>
          <w:szCs w:val="21"/>
        </w:rPr>
        <w:t>家长移动端旨在全方位提升家长的心理素养与教育能力，促进家庭和谐与孩子健康成长，集心理科普、心情打卡、家长测评、咨询预约、活动报名及导师自选等多功能于一体。不仅为家长开辟了便捷的心理求助路径，确保在紧急情况下能为学生提供及时的家庭心理支持，还提供了丰富的家庭教育资源，引导家长形成科学的育儿观念。</w:t>
      </w:r>
    </w:p>
    <w:p w14:paraId="3410516E">
      <w:pPr>
        <w:pageBreakBefore w:val="0"/>
        <w:kinsoku/>
        <w:wordWrap/>
        <w:overflowPunct/>
        <w:topLinePunct w:val="0"/>
        <w:autoSpaceDE/>
        <w:autoSpaceDN/>
        <w:bidi w:val="0"/>
        <w:adjustRightInd/>
        <w:snapToGrid w:val="0"/>
        <w:spacing w:line="288" w:lineRule="auto"/>
        <w:ind w:left="0" w:firstLine="422" w:firstLineChars="200"/>
        <w:outlineLvl w:val="4"/>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（3）教师移动端</w:t>
      </w:r>
      <w:r>
        <w:rPr>
          <w:rFonts w:hint="eastAsia" w:ascii="宋体" w:hAnsi="宋体" w:eastAsia="宋体" w:cs="宋体"/>
          <w:b/>
          <w:bCs/>
          <w:snapToGrid w:val="0"/>
          <w:kern w:val="0"/>
          <w:sz w:val="21"/>
          <w:szCs w:val="21"/>
          <w:lang w:eastAsia="zh-CN"/>
        </w:rPr>
        <w:t>：</w:t>
      </w:r>
      <w:r>
        <w:rPr>
          <w:rFonts w:hint="eastAsia" w:ascii="宋体" w:hAnsi="宋体" w:eastAsia="宋体" w:cs="宋体"/>
          <w:snapToGrid w:val="0"/>
          <w:kern w:val="0"/>
          <w:sz w:val="21"/>
          <w:szCs w:val="21"/>
        </w:rPr>
        <w:t>教师移动端助力校心理老师全局掌控心理健康教育工作，快速响应并制定策略，功能包括数据统计、家访管理、动态反馈与干预跟踪等。有助力校心理老师全局掌控心理健康教育工作，快速响应并制定干预。同时适应多样工作场景，便于教师即时记录学生状态，高效处理学生信息。数据同步至PC管理端，确保信息一致性，提升工作效率。</w:t>
      </w:r>
    </w:p>
    <w:p w14:paraId="4316F927">
      <w:pPr>
        <w:pageBreakBefore w:val="0"/>
        <w:kinsoku/>
        <w:wordWrap/>
        <w:overflowPunct/>
        <w:topLinePunct w:val="0"/>
        <w:autoSpaceDE/>
        <w:autoSpaceDN/>
        <w:bidi w:val="0"/>
        <w:adjustRightInd/>
        <w:snapToGrid w:val="0"/>
        <w:spacing w:line="288" w:lineRule="auto"/>
        <w:ind w:left="0" w:firstLine="422" w:firstLineChars="200"/>
        <w:outlineLvl w:val="3"/>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2.3</w:t>
      </w:r>
      <w:r>
        <w:rPr>
          <w:rFonts w:hint="eastAsia" w:ascii="宋体" w:hAnsi="宋体" w:eastAsia="宋体" w:cs="宋体"/>
          <w:b/>
          <w:bCs/>
          <w:snapToGrid w:val="0"/>
          <w:kern w:val="0"/>
          <w:sz w:val="21"/>
          <w:szCs w:val="21"/>
          <w:lang w:val="en-US" w:eastAsia="zh-CN"/>
        </w:rPr>
        <w:t xml:space="preserve"> </w:t>
      </w:r>
      <w:r>
        <w:rPr>
          <w:rFonts w:hint="eastAsia" w:ascii="宋体" w:hAnsi="宋体" w:eastAsia="宋体" w:cs="宋体"/>
          <w:b/>
          <w:bCs/>
          <w:snapToGrid w:val="0"/>
          <w:kern w:val="0"/>
          <w:sz w:val="21"/>
          <w:szCs w:val="21"/>
        </w:rPr>
        <w:t>AI行为分析算法</w:t>
      </w:r>
      <w:r>
        <w:rPr>
          <w:rFonts w:hint="eastAsia" w:ascii="宋体" w:hAnsi="宋体" w:eastAsia="宋体" w:cs="宋体"/>
          <w:b/>
          <w:bCs/>
          <w:snapToGrid w:val="0"/>
          <w:kern w:val="0"/>
          <w:sz w:val="21"/>
          <w:szCs w:val="21"/>
          <w:lang w:eastAsia="zh-CN"/>
        </w:rPr>
        <w:t>：</w:t>
      </w:r>
      <w:r>
        <w:rPr>
          <w:rFonts w:hint="eastAsia" w:ascii="宋体" w:hAnsi="宋体" w:eastAsia="宋体" w:cs="宋体"/>
          <w:snapToGrid w:val="0"/>
          <w:kern w:val="0"/>
          <w:sz w:val="21"/>
          <w:szCs w:val="21"/>
        </w:rPr>
        <w:t>AI行为分析算法涵盖行为轨迹异常、危险区域接近、活动范围异常、同伴关系异常、作息颠倒、自我隔离等多项计算，全面评估个体行为状态。通过数据存储确保信息完备，数据采集获取实时数据，数据清洗剔除冗余与错误，数据整合形成综合分析基础，质量监测保障数据准确性。各环节紧密协作，有效提升算法效率与精度，为行为分析提供有力支持。并且通过不断迭代升级各环节技术，确保算法适应复杂多变场景，实现更精准、高效的行为识别与预警。</w:t>
      </w:r>
    </w:p>
    <w:p w14:paraId="21BE2B98">
      <w:pPr>
        <w:pageBreakBefore w:val="0"/>
        <w:kinsoku/>
        <w:wordWrap/>
        <w:overflowPunct/>
        <w:topLinePunct w:val="0"/>
        <w:autoSpaceDE/>
        <w:autoSpaceDN/>
        <w:bidi w:val="0"/>
        <w:adjustRightInd/>
        <w:snapToGrid w:val="0"/>
        <w:spacing w:line="288" w:lineRule="auto"/>
        <w:ind w:left="0" w:firstLine="422" w:firstLineChars="200"/>
        <w:outlineLvl w:val="2"/>
        <w:rPr>
          <w:rFonts w:hint="eastAsia" w:ascii="宋体" w:hAnsi="宋体" w:eastAsia="宋体" w:cs="宋体"/>
          <w:b/>
          <w:bCs/>
          <w:snapToGrid w:val="0"/>
          <w:kern w:val="0"/>
          <w:sz w:val="21"/>
          <w:szCs w:val="21"/>
          <w:lang w:eastAsia="zh-CN"/>
        </w:rPr>
      </w:pPr>
      <w:r>
        <w:rPr>
          <w:rFonts w:hint="eastAsia" w:ascii="宋体" w:hAnsi="宋体" w:eastAsia="宋体" w:cs="宋体"/>
          <w:b/>
          <w:bCs/>
          <w:snapToGrid w:val="0"/>
          <w:kern w:val="0"/>
          <w:sz w:val="21"/>
          <w:szCs w:val="21"/>
        </w:rPr>
        <w:t>3</w:t>
      </w:r>
      <w:r>
        <w:rPr>
          <w:rFonts w:hint="eastAsia" w:ascii="宋体" w:hAnsi="宋体" w:eastAsia="宋体" w:cs="宋体"/>
          <w:b/>
          <w:bCs/>
          <w:snapToGrid w:val="0"/>
          <w:kern w:val="0"/>
          <w:sz w:val="21"/>
          <w:szCs w:val="21"/>
          <w:lang w:val="en-US" w:eastAsia="zh-CN"/>
        </w:rPr>
        <w:t>.</w:t>
      </w:r>
      <w:r>
        <w:rPr>
          <w:rFonts w:hint="eastAsia" w:ascii="宋体" w:hAnsi="宋体" w:eastAsia="宋体" w:cs="宋体"/>
          <w:b/>
          <w:bCs/>
          <w:snapToGrid w:val="0"/>
          <w:kern w:val="0"/>
          <w:sz w:val="21"/>
          <w:szCs w:val="21"/>
        </w:rPr>
        <w:t>功能内容</w:t>
      </w:r>
      <w:r>
        <w:rPr>
          <w:rFonts w:hint="eastAsia" w:ascii="宋体" w:hAnsi="宋体" w:eastAsia="宋体" w:cs="宋体"/>
          <w:b/>
          <w:bCs/>
          <w:snapToGrid w:val="0"/>
          <w:kern w:val="0"/>
          <w:sz w:val="21"/>
          <w:szCs w:val="21"/>
          <w:lang w:eastAsia="zh-CN"/>
        </w:rPr>
        <w:t>：</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779"/>
        <w:gridCol w:w="1919"/>
        <w:gridCol w:w="3840"/>
      </w:tblGrid>
      <w:tr w14:paraId="4FE8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Borders>
              <w:top w:val="single" w:color="auto" w:sz="4" w:space="0"/>
              <w:left w:val="single" w:color="auto" w:sz="4" w:space="0"/>
              <w:bottom w:val="single" w:color="auto" w:sz="4" w:space="0"/>
              <w:right w:val="single" w:color="auto" w:sz="4" w:space="0"/>
            </w:tcBorders>
            <w:vAlign w:val="center"/>
          </w:tcPr>
          <w:p w14:paraId="593DF3B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44" w:type="pct"/>
            <w:vAlign w:val="center"/>
          </w:tcPr>
          <w:p w14:paraId="1ECBE47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模块</w:t>
            </w:r>
          </w:p>
        </w:tc>
        <w:tc>
          <w:tcPr>
            <w:tcW w:w="997" w:type="pct"/>
            <w:vAlign w:val="center"/>
          </w:tcPr>
          <w:p w14:paraId="09A4F87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功能模块</w:t>
            </w:r>
          </w:p>
        </w:tc>
        <w:tc>
          <w:tcPr>
            <w:tcW w:w="1995" w:type="pct"/>
            <w:vAlign w:val="center"/>
          </w:tcPr>
          <w:p w14:paraId="7CF9D23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子模块</w:t>
            </w:r>
          </w:p>
        </w:tc>
      </w:tr>
      <w:tr w14:paraId="6070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restart"/>
            <w:tcBorders>
              <w:top w:val="single" w:color="auto" w:sz="4" w:space="0"/>
              <w:left w:val="single" w:color="auto" w:sz="4" w:space="0"/>
              <w:right w:val="single" w:color="auto" w:sz="4" w:space="0"/>
            </w:tcBorders>
            <w:vAlign w:val="center"/>
          </w:tcPr>
          <w:p w14:paraId="086BCCC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444" w:type="pct"/>
            <w:vMerge w:val="restart"/>
            <w:vAlign w:val="center"/>
          </w:tcPr>
          <w:p w14:paraId="1178776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重点学生AI行为分析预警应用</w:t>
            </w:r>
          </w:p>
        </w:tc>
        <w:tc>
          <w:tcPr>
            <w:tcW w:w="997" w:type="pct"/>
            <w:vMerge w:val="restart"/>
            <w:vAlign w:val="center"/>
          </w:tcPr>
          <w:p w14:paraId="6579B8B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行为告警</w:t>
            </w:r>
          </w:p>
        </w:tc>
        <w:tc>
          <w:tcPr>
            <w:tcW w:w="1995" w:type="pct"/>
            <w:vAlign w:val="center"/>
          </w:tcPr>
          <w:p w14:paraId="7B1990B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行为轨迹异常告警</w:t>
            </w:r>
          </w:p>
        </w:tc>
      </w:tr>
      <w:tr w14:paraId="0EDA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19F319B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444" w:type="pct"/>
            <w:vMerge w:val="continue"/>
            <w:vAlign w:val="center"/>
          </w:tcPr>
          <w:p w14:paraId="41BBC00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997" w:type="pct"/>
            <w:vMerge w:val="continue"/>
            <w:vAlign w:val="center"/>
          </w:tcPr>
          <w:p w14:paraId="2A1CAF7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77EE001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危险区域接近告警</w:t>
            </w:r>
          </w:p>
        </w:tc>
      </w:tr>
      <w:tr w14:paraId="7B70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2E9FECC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444" w:type="pct"/>
            <w:vMerge w:val="continue"/>
            <w:vAlign w:val="center"/>
          </w:tcPr>
          <w:p w14:paraId="354D5DD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997" w:type="pct"/>
            <w:vMerge w:val="continue"/>
            <w:vAlign w:val="center"/>
          </w:tcPr>
          <w:p w14:paraId="5F503AC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2387106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异常活动范围告警</w:t>
            </w:r>
          </w:p>
        </w:tc>
      </w:tr>
      <w:tr w14:paraId="1F40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308C4C8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444" w:type="pct"/>
            <w:vMerge w:val="continue"/>
            <w:vAlign w:val="center"/>
          </w:tcPr>
          <w:p w14:paraId="73861CC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997" w:type="pct"/>
            <w:vMerge w:val="continue"/>
            <w:vAlign w:val="center"/>
          </w:tcPr>
          <w:p w14:paraId="6D6DA9A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571FDAE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自我隔离告警</w:t>
            </w:r>
          </w:p>
        </w:tc>
      </w:tr>
      <w:tr w14:paraId="6241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5B58C7A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444" w:type="pct"/>
            <w:vMerge w:val="continue"/>
            <w:vAlign w:val="center"/>
          </w:tcPr>
          <w:p w14:paraId="78292CC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997" w:type="pct"/>
            <w:vMerge w:val="continue"/>
            <w:vAlign w:val="center"/>
          </w:tcPr>
          <w:p w14:paraId="090A6D4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647C9EC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自我独处告警</w:t>
            </w:r>
          </w:p>
        </w:tc>
      </w:tr>
      <w:tr w14:paraId="123F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2" w:type="pct"/>
            <w:vMerge w:val="continue"/>
            <w:tcBorders>
              <w:left w:val="single" w:color="auto" w:sz="4" w:space="0"/>
              <w:right w:val="single" w:color="auto" w:sz="4" w:space="0"/>
            </w:tcBorders>
            <w:vAlign w:val="center"/>
          </w:tcPr>
          <w:p w14:paraId="4AD0202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444" w:type="pct"/>
            <w:vMerge w:val="continue"/>
            <w:vAlign w:val="center"/>
          </w:tcPr>
          <w:p w14:paraId="001B691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997" w:type="pct"/>
            <w:vMerge w:val="restart"/>
            <w:vAlign w:val="center"/>
          </w:tcPr>
          <w:p w14:paraId="6BEF6A7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行为分析报告</w:t>
            </w:r>
          </w:p>
        </w:tc>
        <w:tc>
          <w:tcPr>
            <w:tcW w:w="1995" w:type="pct"/>
            <w:vAlign w:val="center"/>
          </w:tcPr>
          <w:p w14:paraId="472D35D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学生个体行为分析报告</w:t>
            </w:r>
          </w:p>
        </w:tc>
      </w:tr>
      <w:tr w14:paraId="435B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62" w:type="pct"/>
            <w:vMerge w:val="continue"/>
            <w:tcBorders>
              <w:left w:val="single" w:color="auto" w:sz="4" w:space="0"/>
              <w:right w:val="single" w:color="auto" w:sz="4" w:space="0"/>
            </w:tcBorders>
            <w:vAlign w:val="center"/>
          </w:tcPr>
          <w:p w14:paraId="01C02D5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444" w:type="pct"/>
            <w:vMerge w:val="continue"/>
            <w:vAlign w:val="center"/>
          </w:tcPr>
          <w:p w14:paraId="3FD744B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997" w:type="pct"/>
            <w:vMerge w:val="continue"/>
            <w:vAlign w:val="center"/>
          </w:tcPr>
          <w:p w14:paraId="0B3883E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237788A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学校重点关注群体学生行为分析报告</w:t>
            </w:r>
          </w:p>
        </w:tc>
      </w:tr>
      <w:tr w14:paraId="6C7F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62" w:type="pct"/>
            <w:vMerge w:val="continue"/>
            <w:tcBorders>
              <w:left w:val="single" w:color="auto" w:sz="4" w:space="0"/>
              <w:bottom w:val="single" w:color="auto" w:sz="4" w:space="0"/>
              <w:right w:val="single" w:color="auto" w:sz="4" w:space="0"/>
            </w:tcBorders>
            <w:vAlign w:val="center"/>
          </w:tcPr>
          <w:p w14:paraId="6B702CB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444" w:type="pct"/>
            <w:vMerge w:val="continue"/>
            <w:vAlign w:val="center"/>
          </w:tcPr>
          <w:p w14:paraId="52A636D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997" w:type="pct"/>
            <w:vMerge w:val="continue"/>
            <w:vAlign w:val="center"/>
          </w:tcPr>
          <w:p w14:paraId="26C996B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14D476A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区域整体重点关注人群行为分析报告</w:t>
            </w:r>
          </w:p>
        </w:tc>
      </w:tr>
      <w:tr w14:paraId="6ACB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restart"/>
            <w:tcBorders>
              <w:top w:val="single" w:color="auto" w:sz="4" w:space="0"/>
              <w:left w:val="single" w:color="auto" w:sz="4" w:space="0"/>
              <w:right w:val="single" w:color="auto" w:sz="4" w:space="0"/>
            </w:tcBorders>
            <w:vAlign w:val="center"/>
          </w:tcPr>
          <w:p w14:paraId="67D67AD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bookmarkStart w:id="32" w:name="_Hlk186743367"/>
            <w:r>
              <w:rPr>
                <w:rFonts w:hint="eastAsia" w:ascii="宋体" w:hAnsi="宋体" w:eastAsia="宋体" w:cs="宋体"/>
                <w:sz w:val="21"/>
                <w:szCs w:val="21"/>
              </w:rPr>
              <w:t>2</w:t>
            </w:r>
          </w:p>
        </w:tc>
        <w:tc>
          <w:tcPr>
            <w:tcW w:w="1444" w:type="pct"/>
            <w:vMerge w:val="restart"/>
            <w:vAlign w:val="center"/>
          </w:tcPr>
          <w:p w14:paraId="44E03A1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r>
              <w:rPr>
                <w:rFonts w:hint="eastAsia" w:ascii="宋体" w:hAnsi="宋体" w:eastAsia="宋体" w:cs="宋体"/>
                <w:sz w:val="21"/>
                <w:szCs w:val="21"/>
              </w:rPr>
              <w:t>一体化心理综合管理平台</w:t>
            </w:r>
          </w:p>
        </w:tc>
        <w:tc>
          <w:tcPr>
            <w:tcW w:w="997" w:type="pct"/>
            <w:vMerge w:val="restart"/>
            <w:vAlign w:val="center"/>
          </w:tcPr>
          <w:p w14:paraId="586C15E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PC管理端</w:t>
            </w:r>
          </w:p>
        </w:tc>
        <w:tc>
          <w:tcPr>
            <w:tcW w:w="1995" w:type="pct"/>
            <w:vAlign w:val="center"/>
          </w:tcPr>
          <w:p w14:paraId="7121604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数据概览</w:t>
            </w:r>
          </w:p>
        </w:tc>
      </w:tr>
      <w:tr w14:paraId="1786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79E7B47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3B7B57E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19760E4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29564F5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综合报告</w:t>
            </w:r>
          </w:p>
        </w:tc>
      </w:tr>
      <w:tr w14:paraId="0FA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6CFFACA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05DA515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5F4B733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2D6F35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量表测评应用</w:t>
            </w:r>
          </w:p>
        </w:tc>
      </w:tr>
      <w:tr w14:paraId="5E3E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562" w:type="pct"/>
            <w:vMerge w:val="continue"/>
            <w:tcBorders>
              <w:left w:val="single" w:color="auto" w:sz="4" w:space="0"/>
              <w:right w:val="single" w:color="auto" w:sz="4" w:space="0"/>
            </w:tcBorders>
            <w:vAlign w:val="center"/>
          </w:tcPr>
          <w:p w14:paraId="102E727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7F038D3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06917D7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41A1C4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全员家访应用</w:t>
            </w:r>
          </w:p>
        </w:tc>
      </w:tr>
      <w:tr w14:paraId="167A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pct"/>
            <w:vMerge w:val="continue"/>
            <w:tcBorders>
              <w:left w:val="single" w:color="auto" w:sz="4" w:space="0"/>
              <w:right w:val="single" w:color="auto" w:sz="4" w:space="0"/>
            </w:tcBorders>
            <w:vAlign w:val="center"/>
          </w:tcPr>
          <w:p w14:paraId="0D1CF45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146200D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656AACC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35D0270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动态反馈应用</w:t>
            </w:r>
          </w:p>
        </w:tc>
      </w:tr>
      <w:tr w14:paraId="3430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4A0B0B4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166D174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2F91B7E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0F06D7A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预警与回访干预</w:t>
            </w:r>
          </w:p>
        </w:tc>
      </w:tr>
      <w:tr w14:paraId="5C77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49EF300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44F4B23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3678C73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1D402A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sz w:val="21"/>
                <w:szCs w:val="21"/>
              </w:rPr>
              <w:t>心理档案应用</w:t>
            </w:r>
          </w:p>
        </w:tc>
      </w:tr>
      <w:tr w14:paraId="648F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032C15D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2B2F58A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1E8AD3F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52447D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sz w:val="21"/>
                <w:szCs w:val="21"/>
              </w:rPr>
              <w:t>心理咨询应用</w:t>
            </w:r>
          </w:p>
        </w:tc>
      </w:tr>
      <w:tr w14:paraId="2F86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1FDF010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6326B31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22319E9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63557B0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sz w:val="21"/>
                <w:szCs w:val="21"/>
              </w:rPr>
              <w:t>心理辅导活动应用</w:t>
            </w:r>
          </w:p>
        </w:tc>
      </w:tr>
      <w:tr w14:paraId="5036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7B46E65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7C4128C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5191DFF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4ACF15C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sz w:val="21"/>
                <w:szCs w:val="21"/>
              </w:rPr>
              <w:t>心理导师自选管理应用</w:t>
            </w:r>
          </w:p>
        </w:tc>
      </w:tr>
      <w:tr w14:paraId="5B60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5EE72F4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58CFFB0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6A6A2A8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40DEF8C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sz w:val="21"/>
                <w:szCs w:val="21"/>
              </w:rPr>
              <w:t>下载中心</w:t>
            </w:r>
          </w:p>
        </w:tc>
      </w:tr>
      <w:bookmarkEnd w:id="32"/>
      <w:tr w14:paraId="0893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4F18E0F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70CF974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restart"/>
            <w:vAlign w:val="center"/>
          </w:tcPr>
          <w:p w14:paraId="49DDA16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家长移动端</w:t>
            </w:r>
          </w:p>
        </w:tc>
        <w:tc>
          <w:tcPr>
            <w:tcW w:w="1995" w:type="pct"/>
            <w:vAlign w:val="center"/>
          </w:tcPr>
          <w:p w14:paraId="4F84B7E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心理科普</w:t>
            </w:r>
          </w:p>
        </w:tc>
      </w:tr>
      <w:tr w14:paraId="07C1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33ABC43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1AC8EFB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17DEB14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35098DA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心情打卡</w:t>
            </w:r>
          </w:p>
        </w:tc>
      </w:tr>
      <w:tr w14:paraId="1731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2819BCE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272ACB1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169F1CB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2F7267C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家长测评</w:t>
            </w:r>
          </w:p>
        </w:tc>
      </w:tr>
      <w:tr w14:paraId="668E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1D20F63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1B5920A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74DB6E5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11A8096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咨询预约</w:t>
            </w:r>
          </w:p>
        </w:tc>
      </w:tr>
      <w:tr w14:paraId="1271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046AAEB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2C41196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5EF7C9F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37DCFBC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活动报名</w:t>
            </w:r>
          </w:p>
        </w:tc>
      </w:tr>
      <w:tr w14:paraId="3E5A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7F3022F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25F8B63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33F6CEA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0FD5947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导师自选</w:t>
            </w:r>
          </w:p>
        </w:tc>
      </w:tr>
      <w:tr w14:paraId="45AD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36281B7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085A9E7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restart"/>
            <w:vAlign w:val="center"/>
          </w:tcPr>
          <w:p w14:paraId="68A9A1D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教师移动端</w:t>
            </w:r>
          </w:p>
        </w:tc>
        <w:tc>
          <w:tcPr>
            <w:tcW w:w="1995" w:type="pct"/>
            <w:vAlign w:val="center"/>
          </w:tcPr>
          <w:p w14:paraId="63EAE5F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数据统计</w:t>
            </w:r>
          </w:p>
        </w:tc>
      </w:tr>
      <w:tr w14:paraId="2310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1442245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5609A15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1424902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2F78FE9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全员家访</w:t>
            </w:r>
          </w:p>
        </w:tc>
      </w:tr>
      <w:tr w14:paraId="4BC0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right w:val="single" w:color="auto" w:sz="4" w:space="0"/>
            </w:tcBorders>
            <w:vAlign w:val="center"/>
          </w:tcPr>
          <w:p w14:paraId="47B86EF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4B507F4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6071411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3D70F33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动态反馈</w:t>
            </w:r>
          </w:p>
        </w:tc>
      </w:tr>
      <w:tr w14:paraId="2C3C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Merge w:val="continue"/>
            <w:tcBorders>
              <w:left w:val="single" w:color="auto" w:sz="4" w:space="0"/>
              <w:bottom w:val="single" w:color="auto" w:sz="4" w:space="0"/>
              <w:right w:val="single" w:color="auto" w:sz="4" w:space="0"/>
            </w:tcBorders>
            <w:vAlign w:val="center"/>
          </w:tcPr>
          <w:p w14:paraId="5679305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1444" w:type="pct"/>
            <w:vMerge w:val="continue"/>
            <w:vAlign w:val="center"/>
          </w:tcPr>
          <w:p w14:paraId="2DD06A3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yellow"/>
              </w:rPr>
            </w:pPr>
          </w:p>
        </w:tc>
        <w:tc>
          <w:tcPr>
            <w:tcW w:w="997" w:type="pct"/>
            <w:vMerge w:val="continue"/>
            <w:vAlign w:val="center"/>
          </w:tcPr>
          <w:p w14:paraId="3E1873B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995" w:type="pct"/>
            <w:vAlign w:val="center"/>
          </w:tcPr>
          <w:p w14:paraId="1F0B7F0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干预跟踪</w:t>
            </w:r>
          </w:p>
        </w:tc>
      </w:tr>
      <w:tr w14:paraId="6ED5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Borders>
              <w:top w:val="single" w:color="auto" w:sz="4" w:space="0"/>
              <w:left w:val="single" w:color="auto" w:sz="4" w:space="0"/>
              <w:bottom w:val="single" w:color="auto" w:sz="4" w:space="0"/>
              <w:right w:val="single" w:color="auto" w:sz="4" w:space="0"/>
            </w:tcBorders>
            <w:vAlign w:val="center"/>
          </w:tcPr>
          <w:p w14:paraId="312153B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444" w:type="pct"/>
            <w:vAlign w:val="center"/>
          </w:tcPr>
          <w:p w14:paraId="5370E79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AI算法服务</w:t>
            </w:r>
          </w:p>
        </w:tc>
        <w:tc>
          <w:tcPr>
            <w:tcW w:w="997" w:type="pct"/>
            <w:vAlign w:val="center"/>
          </w:tcPr>
          <w:p w14:paraId="33AD995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AI行为分析算法服务×5年</w:t>
            </w:r>
          </w:p>
        </w:tc>
        <w:tc>
          <w:tcPr>
            <w:tcW w:w="1995" w:type="pct"/>
            <w:vAlign w:val="center"/>
          </w:tcPr>
          <w:p w14:paraId="38F8CD4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AI行为分析算法服务×5年</w:t>
            </w:r>
          </w:p>
        </w:tc>
      </w:tr>
    </w:tbl>
    <w:p w14:paraId="1175A2BC">
      <w:pPr>
        <w:pageBreakBefore w:val="0"/>
        <w:kinsoku/>
        <w:wordWrap/>
        <w:overflowPunct/>
        <w:topLinePunct w:val="0"/>
        <w:autoSpaceDE/>
        <w:autoSpaceDN/>
        <w:bidi w:val="0"/>
        <w:adjustRightInd/>
        <w:spacing w:line="288" w:lineRule="auto"/>
        <w:ind w:left="0"/>
        <w:rPr>
          <w:rFonts w:hint="eastAsia" w:ascii="宋体" w:hAnsi="宋体" w:eastAsia="宋体" w:cs="宋体"/>
          <w:b/>
          <w:bCs/>
          <w:sz w:val="21"/>
          <w:szCs w:val="21"/>
        </w:rPr>
      </w:pPr>
    </w:p>
    <w:p w14:paraId="0CED84B4">
      <w:pPr>
        <w:pageBreakBefore w:val="0"/>
        <w:kinsoku/>
        <w:wordWrap/>
        <w:overflowPunct/>
        <w:topLinePunct w:val="0"/>
        <w:autoSpaceDE/>
        <w:autoSpaceDN/>
        <w:bidi w:val="0"/>
        <w:adjustRightInd/>
        <w:snapToGrid w:val="0"/>
        <w:spacing w:line="288" w:lineRule="auto"/>
        <w:ind w:left="0" w:firstLine="422" w:firstLineChars="200"/>
        <w:outlineLvl w:val="3"/>
        <w:rPr>
          <w:rFonts w:hint="eastAsia" w:ascii="宋体" w:hAnsi="宋体" w:eastAsia="宋体" w:cs="宋体"/>
          <w:b/>
          <w:bCs/>
          <w:snapToGrid w:val="0"/>
          <w:kern w:val="0"/>
          <w:sz w:val="21"/>
          <w:szCs w:val="21"/>
          <w:lang w:eastAsia="zh-CN"/>
        </w:rPr>
      </w:pPr>
      <w:bookmarkStart w:id="33" w:name="OLE_LINK68"/>
      <w:r>
        <w:rPr>
          <w:rFonts w:hint="eastAsia" w:ascii="宋体" w:hAnsi="宋体" w:eastAsia="宋体" w:cs="宋体"/>
          <w:b/>
          <w:bCs/>
          <w:snapToGrid w:val="0"/>
          <w:kern w:val="0"/>
          <w:sz w:val="21"/>
          <w:szCs w:val="21"/>
        </w:rPr>
        <w:t>3.1</w:t>
      </w:r>
      <w:r>
        <w:rPr>
          <w:rFonts w:hint="eastAsia" w:ascii="宋体" w:hAnsi="宋体" w:eastAsia="宋体" w:cs="宋体"/>
          <w:b/>
          <w:bCs/>
          <w:snapToGrid w:val="0"/>
          <w:kern w:val="0"/>
          <w:sz w:val="21"/>
          <w:szCs w:val="21"/>
          <w:lang w:val="en-US" w:eastAsia="zh-CN"/>
        </w:rPr>
        <w:t xml:space="preserve"> </w:t>
      </w:r>
      <w:r>
        <w:rPr>
          <w:rFonts w:hint="eastAsia" w:ascii="宋体" w:hAnsi="宋体" w:eastAsia="宋体" w:cs="宋体"/>
          <w:b/>
          <w:bCs/>
          <w:snapToGrid w:val="0"/>
          <w:kern w:val="0"/>
          <w:sz w:val="21"/>
          <w:szCs w:val="21"/>
        </w:rPr>
        <w:t>重点学生AI行为分析预警应用</w:t>
      </w:r>
      <w:r>
        <w:rPr>
          <w:rFonts w:hint="eastAsia" w:ascii="宋体" w:hAnsi="宋体" w:eastAsia="宋体" w:cs="宋体"/>
          <w:b/>
          <w:bCs/>
          <w:snapToGrid w:val="0"/>
          <w:kern w:val="0"/>
          <w:sz w:val="21"/>
          <w:szCs w:val="21"/>
          <w:lang w:eastAsia="zh-CN"/>
        </w:rPr>
        <w:t>：</w:t>
      </w:r>
    </w:p>
    <w:bookmarkEnd w:id="33"/>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577"/>
        <w:gridCol w:w="6401"/>
      </w:tblGrid>
      <w:tr w14:paraId="003A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Align w:val="center"/>
          </w:tcPr>
          <w:p w14:paraId="30C217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功能模块</w:t>
            </w:r>
          </w:p>
        </w:tc>
        <w:tc>
          <w:tcPr>
            <w:tcW w:w="819" w:type="pct"/>
            <w:vAlign w:val="center"/>
          </w:tcPr>
          <w:p w14:paraId="0B3A2A2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子模块</w:t>
            </w:r>
          </w:p>
        </w:tc>
        <w:tc>
          <w:tcPr>
            <w:tcW w:w="3324" w:type="pct"/>
            <w:vAlign w:val="center"/>
          </w:tcPr>
          <w:p w14:paraId="4CFA38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功能描述</w:t>
            </w:r>
          </w:p>
        </w:tc>
      </w:tr>
      <w:tr w14:paraId="5151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7" w:type="pct"/>
            <w:vMerge w:val="restart"/>
            <w:vAlign w:val="center"/>
          </w:tcPr>
          <w:p w14:paraId="3B0929F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行为告警</w:t>
            </w:r>
          </w:p>
        </w:tc>
        <w:tc>
          <w:tcPr>
            <w:tcW w:w="819" w:type="pct"/>
            <w:vAlign w:val="center"/>
          </w:tcPr>
          <w:p w14:paraId="1A6F07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行为轨迹异常告警</w:t>
            </w:r>
          </w:p>
        </w:tc>
        <w:tc>
          <w:tcPr>
            <w:tcW w:w="3324" w:type="pct"/>
          </w:tcPr>
          <w:p w14:paraId="299B33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学生在某一时段的活动轨迹与正常的校园行为模式出现显著差异，发送告警通知。例如，在正常上课时间，该学生未出现在教室区域，而是在校园偏僻角落或其他非教学区域；或者在午休时间，未前往宿舍或指定午休地点，而是在操场等开放区域，发送告警通知</w:t>
            </w:r>
          </w:p>
        </w:tc>
      </w:tr>
      <w:tr w14:paraId="40DD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Merge w:val="continue"/>
            <w:vAlign w:val="center"/>
          </w:tcPr>
          <w:p w14:paraId="0092EE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p>
        </w:tc>
        <w:tc>
          <w:tcPr>
            <w:tcW w:w="819" w:type="pct"/>
            <w:vAlign w:val="center"/>
          </w:tcPr>
          <w:p w14:paraId="2E5475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危险区域接近告警</w:t>
            </w:r>
          </w:p>
        </w:tc>
        <w:tc>
          <w:tcPr>
            <w:tcW w:w="3324" w:type="pct"/>
          </w:tcPr>
          <w:p w14:paraId="2607D2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学生频繁出现在校园的危险区域周边，如天台边缘、未完工的建筑工地附近、校园池塘边等，甚至有接近、攀爬或跨越危险区域边界的行为，发送告警通知</w:t>
            </w:r>
          </w:p>
        </w:tc>
      </w:tr>
      <w:tr w14:paraId="49AA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Merge w:val="continue"/>
            <w:vAlign w:val="center"/>
          </w:tcPr>
          <w:p w14:paraId="6BCBD0B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p>
        </w:tc>
        <w:tc>
          <w:tcPr>
            <w:tcW w:w="819" w:type="pct"/>
            <w:vAlign w:val="center"/>
          </w:tcPr>
          <w:p w14:paraId="7A5D9F8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异常活动范围告警</w:t>
            </w:r>
          </w:p>
        </w:tc>
        <w:tc>
          <w:tcPr>
            <w:tcW w:w="3324" w:type="pct"/>
          </w:tcPr>
          <w:p w14:paraId="1D381D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学生在一段周期内，周或月，校园活动轨迹明显偏小，例如活动范围局限在教室、走廊、食堂而基本不涉足学校其他区域，发送告警通知</w:t>
            </w:r>
          </w:p>
        </w:tc>
      </w:tr>
      <w:tr w14:paraId="7639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Merge w:val="continue"/>
            <w:vAlign w:val="center"/>
          </w:tcPr>
          <w:p w14:paraId="3D9103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p>
        </w:tc>
        <w:tc>
          <w:tcPr>
            <w:tcW w:w="819" w:type="pct"/>
            <w:vAlign w:val="center"/>
          </w:tcPr>
          <w:p w14:paraId="7E6A30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同伴关系异常告警</w:t>
            </w:r>
          </w:p>
        </w:tc>
        <w:tc>
          <w:tcPr>
            <w:tcW w:w="3324" w:type="pct"/>
          </w:tcPr>
          <w:p w14:paraId="7E3666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在校园的公共活动区域，如课间休息、体育课、活动课、就餐等时段，学生经常个人独自活动；或学生的同行人开始显著减少，甚至开始出现独自活动情况，发送告警通知</w:t>
            </w:r>
          </w:p>
        </w:tc>
      </w:tr>
      <w:tr w14:paraId="26AC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Merge w:val="continue"/>
            <w:vAlign w:val="center"/>
          </w:tcPr>
          <w:p w14:paraId="69B25E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p>
        </w:tc>
        <w:tc>
          <w:tcPr>
            <w:tcW w:w="819" w:type="pct"/>
            <w:vAlign w:val="center"/>
          </w:tcPr>
          <w:p w14:paraId="7AE06C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自我独处告警</w:t>
            </w:r>
          </w:p>
        </w:tc>
        <w:tc>
          <w:tcPr>
            <w:tcW w:w="3324" w:type="pct"/>
          </w:tcPr>
          <w:p w14:paraId="1F7F24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学生在连续多个课间休息、活动课或体育课等本应与同学互动交流的时段，总是独自待在校园偏僻角落、楼梯间等隐蔽位置，且这种独处行为持续时间较长，远远超过正常偶尔独处的时长，发送告警信息。</w:t>
            </w:r>
          </w:p>
        </w:tc>
      </w:tr>
      <w:tr w14:paraId="49CE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Merge w:val="restart"/>
            <w:vAlign w:val="center"/>
          </w:tcPr>
          <w:p w14:paraId="08FD85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行为分析报告</w:t>
            </w:r>
          </w:p>
        </w:tc>
        <w:tc>
          <w:tcPr>
            <w:tcW w:w="819" w:type="pct"/>
            <w:vAlign w:val="center"/>
          </w:tcPr>
          <w:p w14:paraId="5CE13E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学生个体行为分析报告</w:t>
            </w:r>
          </w:p>
        </w:tc>
        <w:tc>
          <w:tcPr>
            <w:tcW w:w="3324" w:type="pct"/>
          </w:tcPr>
          <w:p w14:paraId="0B5EE796">
            <w:pPr>
              <w:keepNext w:val="0"/>
              <w:keepLines w:val="0"/>
              <w:pageBreakBefore w:val="0"/>
              <w:numPr>
                <w:ilvl w:val="0"/>
                <w:numId w:val="1"/>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学生个体行为分析报告包括行为轨迹分析、行为事件分析、结合课程表的时间分析、告警情况汇总、行为模式总结、建议与措施、后续跟进计划等内容。</w:t>
            </w:r>
          </w:p>
          <w:p w14:paraId="565693CC">
            <w:pPr>
              <w:keepNext w:val="0"/>
              <w:keepLines w:val="0"/>
              <w:pageBreakBefore w:val="0"/>
              <w:numPr>
                <w:ilvl w:val="0"/>
                <w:numId w:val="1"/>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行为轨迹分析：汇总学生周期内行为轨迹信息，学生常去的地点以及在该地点下是否有对应的行为预警事件产生。</w:t>
            </w:r>
          </w:p>
          <w:p w14:paraId="39E41E77">
            <w:pPr>
              <w:keepNext w:val="0"/>
              <w:keepLines w:val="0"/>
              <w:pageBreakBefore w:val="0"/>
              <w:numPr>
                <w:ilvl w:val="0"/>
                <w:numId w:val="1"/>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行为事件分析：统计学生在一定分析周期内不同告警类型（比如行为轨迹异常告警 、危险区域接近告警、异常活动范围告警 、同伴关系异常告警、作息颠倒告警 、自我隔离告警等）产生的告警次数，告警时间，告警地点的交叉分析。</w:t>
            </w:r>
          </w:p>
          <w:p w14:paraId="66DA3511">
            <w:pPr>
              <w:keepNext w:val="0"/>
              <w:keepLines w:val="0"/>
              <w:pageBreakBefore w:val="0"/>
              <w:numPr>
                <w:ilvl w:val="0"/>
                <w:numId w:val="1"/>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行为模式总结：通过分析学生的周期内的行为汇总数据，总结学生在本分析周期内的行为模式。</w:t>
            </w:r>
          </w:p>
          <w:p w14:paraId="661C0775">
            <w:pPr>
              <w:keepNext w:val="0"/>
              <w:keepLines w:val="0"/>
              <w:pageBreakBefore w:val="0"/>
              <w:numPr>
                <w:ilvl w:val="0"/>
                <w:numId w:val="1"/>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建议与措施：为改善学生行为模式，针对学生具体问题，从心理辅导、学习支持、家庭沟通等方面提供针对性建议。</w:t>
            </w:r>
          </w:p>
          <w:p w14:paraId="1E6AD7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后续跟进计划：针对学生具体问题，为心理老师提供可执行的后续跟进计划。</w:t>
            </w:r>
          </w:p>
        </w:tc>
      </w:tr>
      <w:tr w14:paraId="43A8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Merge w:val="continue"/>
            <w:vAlign w:val="center"/>
          </w:tcPr>
          <w:p w14:paraId="1C4EA0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p>
        </w:tc>
        <w:tc>
          <w:tcPr>
            <w:tcW w:w="819" w:type="pct"/>
            <w:vAlign w:val="center"/>
          </w:tcPr>
          <w:p w14:paraId="7DCFB7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学校重点关注群体学生行为分析报告</w:t>
            </w:r>
          </w:p>
        </w:tc>
        <w:tc>
          <w:tcPr>
            <w:tcW w:w="3324" w:type="pct"/>
          </w:tcPr>
          <w:p w14:paraId="03DBE322">
            <w:pPr>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学校重点关注群体学生行为分析报告包括本校学生群体概述、行为轨迹分析、行为事件分析、告警情况汇总与分析、综合分析与结论等内容。</w:t>
            </w:r>
          </w:p>
          <w:p w14:paraId="7FBDA2E1">
            <w:pPr>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学生群体概述：分析重点关注学生总人数、班级分布、心理问题类型占比等。</w:t>
            </w:r>
          </w:p>
          <w:p w14:paraId="6AC15915">
            <w:pPr>
              <w:keepNext w:val="0"/>
              <w:keepLines w:val="0"/>
              <w:pageBreakBefore w:val="0"/>
              <w:numPr>
                <w:ilvl w:val="0"/>
                <w:numId w:val="2"/>
              </w:numPr>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行为轨迹分析：汇总本校重点关注学生的日常活动范围与路线，分析校园活动热点与冷点区域，总结重点关注学生的群体特点；结合时间段和活动轨迹，总结重点关注学生在不同时间段的活动规律。</w:t>
            </w:r>
          </w:p>
          <w:p w14:paraId="261EE41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4、行为事件分析：提供本校重点关注学生群体不同行为事件（比如社交退缩行为、重复刻板行为、异常进食行为、学业逃避行为、睡眠紊乱行为等）的发生频率、分布以及一些具体表现。统计本校重点关注学生在一定分析周期内不同告警类型（比如行为轨迹异常告警 、危险区域接近告警、异常活动范围告警 、同伴关系异常告警、作息颠倒告警 、自我隔离告警等）产生的告警占比，基于告警事件的分布与趋势分析，总结告警高发时段，为学校进行心理工作重点部署提供重要的数据支撑。</w:t>
            </w:r>
          </w:p>
          <w:p w14:paraId="6B5466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6、综合分析与结论：通过分析本校重点关注学生在学习和社交等方面的问题以及产生的影响，总结该学生群体行为问题的整体趋势与特点。</w:t>
            </w:r>
          </w:p>
        </w:tc>
      </w:tr>
      <w:tr w14:paraId="4EBC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pct"/>
            <w:vMerge w:val="continue"/>
            <w:vAlign w:val="center"/>
          </w:tcPr>
          <w:p w14:paraId="76CE2E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p>
        </w:tc>
        <w:tc>
          <w:tcPr>
            <w:tcW w:w="819" w:type="pct"/>
            <w:vAlign w:val="center"/>
          </w:tcPr>
          <w:p w14:paraId="284641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sz w:val="21"/>
                <w:szCs w:val="21"/>
              </w:rPr>
              <w:t>区域整体重点关注人群行为分析报告</w:t>
            </w:r>
          </w:p>
        </w:tc>
        <w:tc>
          <w:tcPr>
            <w:tcW w:w="3324" w:type="pct"/>
            <w:vAlign w:val="center"/>
          </w:tcPr>
          <w:p w14:paraId="2C7AE52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1、区域整体重点关注人群行为分析报告包括区域内学生群体概述、行为轨迹分析、行为事件分析、告警情况汇总与分析、综合分析与结论等内容。</w:t>
            </w:r>
          </w:p>
          <w:p w14:paraId="0BD9F76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2、学生群体概述：分析区域内不同类型学校数量，心理问题类型占比等。</w:t>
            </w:r>
          </w:p>
          <w:p w14:paraId="5711527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3、行为轨迹分析：汇总区域内重点关注学生的日常活动范围与路线，分析校园活动热点与冷点区域，总结重点关注学生的群体特点；结合时间段和活动轨迹，总结重点关注学生在一天的时间维度和一周的时间维度呈现出不同的活动规律。</w:t>
            </w:r>
          </w:p>
          <w:p w14:paraId="186E9D7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4、行为事件分析：提供区域内重点关注学生群体不同行为事件（比如社交退缩行为、重复刻板行为、异常进食行为、学业逃避行为、睡眠紊乱行为等）的发生频率、分布、一些具体表现以及可能存在的影响，</w:t>
            </w:r>
          </w:p>
          <w:p w14:paraId="3AFB5C3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rPr>
            </w:pPr>
            <w:r>
              <w:rPr>
                <w:rFonts w:hint="eastAsia" w:ascii="宋体" w:hAnsi="宋体" w:eastAsia="宋体" w:cs="宋体"/>
                <w:sz w:val="21"/>
                <w:szCs w:val="21"/>
              </w:rPr>
              <w:t>统计区域内重点关注学生在一定分析周期内不同告警类型（比如行为轨迹异常告警 、危险区域接近告警、异常活动范围告警 、同伴关系异常告警、作息颠倒告警 、自我隔离告警等）产生的告警占比，基于告警事件的分布与趋势分析，总结告警高发时段，为区域进行心理工作重点部署提供重要的数据支撑。</w:t>
            </w:r>
          </w:p>
          <w:p w14:paraId="0E6030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sz w:val="21"/>
                <w:szCs w:val="21"/>
              </w:rPr>
              <w:t>6、综合分析与结论：通过分析区域重点关注学生在学习和社交等方面的问题以及产生的影响，总结区域内不同年龄段和学校层次的重点关注学生群体行为问题的整体趋势与特点。</w:t>
            </w:r>
          </w:p>
        </w:tc>
      </w:tr>
    </w:tbl>
    <w:p w14:paraId="6D50CC24">
      <w:pPr>
        <w:pageBreakBefore w:val="0"/>
        <w:kinsoku/>
        <w:wordWrap/>
        <w:overflowPunct/>
        <w:topLinePunct w:val="0"/>
        <w:autoSpaceDE/>
        <w:autoSpaceDN/>
        <w:bidi w:val="0"/>
        <w:adjustRightInd/>
        <w:spacing w:line="288" w:lineRule="auto"/>
        <w:ind w:left="0"/>
        <w:rPr>
          <w:rFonts w:hint="eastAsia" w:ascii="宋体" w:hAnsi="宋体" w:eastAsia="宋体" w:cs="宋体"/>
          <w:b/>
          <w:bCs/>
          <w:sz w:val="21"/>
          <w:szCs w:val="21"/>
        </w:rPr>
      </w:pPr>
    </w:p>
    <w:p w14:paraId="46FE23CC">
      <w:pPr>
        <w:pageBreakBefore w:val="0"/>
        <w:kinsoku/>
        <w:wordWrap/>
        <w:overflowPunct/>
        <w:topLinePunct w:val="0"/>
        <w:autoSpaceDE/>
        <w:autoSpaceDN/>
        <w:bidi w:val="0"/>
        <w:adjustRightInd/>
        <w:snapToGrid w:val="0"/>
        <w:spacing w:line="288" w:lineRule="auto"/>
        <w:ind w:left="0" w:firstLine="422" w:firstLineChars="200"/>
        <w:outlineLvl w:val="3"/>
        <w:rPr>
          <w:rFonts w:hint="eastAsia" w:ascii="宋体" w:hAnsi="宋体" w:eastAsia="宋体" w:cs="宋体"/>
          <w:b/>
          <w:bCs/>
          <w:snapToGrid w:val="0"/>
          <w:kern w:val="0"/>
          <w:sz w:val="21"/>
          <w:szCs w:val="21"/>
          <w:lang w:eastAsia="zh-CN"/>
        </w:rPr>
      </w:pPr>
      <w:bookmarkStart w:id="34" w:name="OLE_LINK70"/>
      <w:r>
        <w:rPr>
          <w:rFonts w:hint="eastAsia" w:ascii="宋体" w:hAnsi="宋体" w:eastAsia="宋体" w:cs="宋体"/>
          <w:b/>
          <w:bCs/>
          <w:snapToGrid w:val="0"/>
          <w:kern w:val="0"/>
          <w:sz w:val="21"/>
          <w:szCs w:val="21"/>
        </w:rPr>
        <w:t>3.2</w:t>
      </w:r>
      <w:r>
        <w:rPr>
          <w:rFonts w:hint="eastAsia" w:ascii="宋体" w:hAnsi="宋体" w:eastAsia="宋体" w:cs="宋体"/>
          <w:b/>
          <w:bCs/>
          <w:snapToGrid w:val="0"/>
          <w:kern w:val="0"/>
          <w:sz w:val="21"/>
          <w:szCs w:val="21"/>
          <w:lang w:val="en-US" w:eastAsia="zh-CN"/>
        </w:rPr>
        <w:t xml:space="preserve"> </w:t>
      </w:r>
      <w:r>
        <w:rPr>
          <w:rFonts w:hint="eastAsia" w:ascii="宋体" w:hAnsi="宋体" w:eastAsia="宋体" w:cs="宋体"/>
          <w:b/>
          <w:bCs/>
          <w:snapToGrid w:val="0"/>
          <w:kern w:val="0"/>
          <w:sz w:val="21"/>
          <w:szCs w:val="21"/>
        </w:rPr>
        <w:t>一体化心理综合管理平台</w:t>
      </w:r>
      <w:r>
        <w:rPr>
          <w:rFonts w:hint="eastAsia" w:ascii="宋体" w:hAnsi="宋体" w:eastAsia="宋体" w:cs="宋体"/>
          <w:b/>
          <w:bCs/>
          <w:snapToGrid w:val="0"/>
          <w:kern w:val="0"/>
          <w:sz w:val="21"/>
          <w:szCs w:val="21"/>
          <w:lang w:eastAsia="zh-CN"/>
        </w:rPr>
        <w:t>：</w:t>
      </w:r>
    </w:p>
    <w:bookmarkEnd w:id="34"/>
    <w:p w14:paraId="6B27227B">
      <w:pPr>
        <w:pageBreakBefore w:val="0"/>
        <w:kinsoku/>
        <w:wordWrap/>
        <w:overflowPunct/>
        <w:topLinePunct w:val="0"/>
        <w:autoSpaceDE/>
        <w:autoSpaceDN/>
        <w:bidi w:val="0"/>
        <w:adjustRightInd/>
        <w:spacing w:line="288" w:lineRule="auto"/>
        <w:ind w:left="0" w:firstLine="420"/>
        <w:rPr>
          <w:rFonts w:hint="eastAsia" w:ascii="宋体" w:hAnsi="宋体" w:eastAsia="宋体" w:cs="宋体"/>
          <w:sz w:val="21"/>
          <w:szCs w:val="21"/>
        </w:rPr>
      </w:pPr>
      <w:r>
        <w:rPr>
          <w:rFonts w:hint="eastAsia" w:ascii="宋体" w:hAnsi="宋体" w:eastAsia="宋体" w:cs="宋体"/>
          <w:sz w:val="21"/>
          <w:szCs w:val="21"/>
        </w:rPr>
        <w:t>构建区域局-校-班-家一体化心理服务平台，平台将基于AI人工智能技术和大数据技术，打造一个集心理测评、心理干预、心理教育、家校沟通等多功能于一体的智能化数字心理服务平台，实现教育局、学校、班级和家庭之间的无缝连接。</w:t>
      </w:r>
    </w:p>
    <w:p w14:paraId="6A2B8E78">
      <w:pPr>
        <w:pageBreakBefore w:val="0"/>
        <w:kinsoku/>
        <w:wordWrap/>
        <w:overflowPunct/>
        <w:topLinePunct w:val="0"/>
        <w:autoSpaceDE/>
        <w:autoSpaceDN/>
        <w:bidi w:val="0"/>
        <w:adjustRightInd/>
        <w:spacing w:line="288" w:lineRule="auto"/>
        <w:ind w:left="0" w:firstLine="420"/>
        <w:rPr>
          <w:rFonts w:hint="eastAsia" w:ascii="宋体" w:hAnsi="宋体" w:eastAsia="宋体" w:cs="宋体"/>
          <w:sz w:val="21"/>
          <w:szCs w:val="21"/>
        </w:rPr>
      </w:pPr>
      <w:r>
        <w:rPr>
          <w:rFonts w:hint="eastAsia" w:ascii="宋体" w:hAnsi="宋体" w:eastAsia="宋体" w:cs="宋体"/>
          <w:sz w:val="21"/>
          <w:szCs w:val="21"/>
        </w:rPr>
        <w:t>教育局端：建立区域心理健康大数据中心，实现全区学生心理健康数据的采集、汇聚、治理和共享。实时监控下属学校及班级学生的心理健康数据和预警信息。</w:t>
      </w:r>
    </w:p>
    <w:p w14:paraId="6AF0947D">
      <w:pPr>
        <w:pageBreakBefore w:val="0"/>
        <w:kinsoku/>
        <w:wordWrap/>
        <w:overflowPunct/>
        <w:topLinePunct w:val="0"/>
        <w:autoSpaceDE/>
        <w:autoSpaceDN/>
        <w:bidi w:val="0"/>
        <w:adjustRightInd/>
        <w:spacing w:line="288" w:lineRule="auto"/>
        <w:ind w:left="0" w:firstLine="420"/>
        <w:rPr>
          <w:rFonts w:hint="eastAsia" w:ascii="宋体" w:hAnsi="宋体" w:eastAsia="宋体" w:cs="宋体"/>
          <w:sz w:val="21"/>
          <w:szCs w:val="21"/>
        </w:rPr>
      </w:pPr>
      <w:r>
        <w:rPr>
          <w:rFonts w:hint="eastAsia" w:ascii="宋体" w:hAnsi="宋体" w:eastAsia="宋体" w:cs="宋体"/>
          <w:sz w:val="21"/>
          <w:szCs w:val="21"/>
        </w:rPr>
        <w:t>学校端：建立学校心理健康管理警报器系统，实现学生心理测评、心理干预、心理教育等工作的信息化管理。</w:t>
      </w:r>
    </w:p>
    <w:p w14:paraId="08B6364B">
      <w:pPr>
        <w:pageBreakBefore w:val="0"/>
        <w:kinsoku/>
        <w:wordWrap/>
        <w:overflowPunct/>
        <w:topLinePunct w:val="0"/>
        <w:autoSpaceDE/>
        <w:autoSpaceDN/>
        <w:bidi w:val="0"/>
        <w:adjustRightInd/>
        <w:spacing w:line="288" w:lineRule="auto"/>
        <w:ind w:left="0" w:firstLine="420"/>
        <w:rPr>
          <w:rFonts w:hint="eastAsia" w:ascii="宋体" w:hAnsi="宋体" w:eastAsia="宋体" w:cs="宋体"/>
          <w:sz w:val="21"/>
          <w:szCs w:val="21"/>
        </w:rPr>
      </w:pPr>
      <w:r>
        <w:rPr>
          <w:rFonts w:hint="eastAsia" w:ascii="宋体" w:hAnsi="宋体" w:eastAsia="宋体" w:cs="宋体"/>
          <w:sz w:val="21"/>
          <w:szCs w:val="21"/>
        </w:rPr>
        <w:t>班级端：班主任可以实时查看班级学生的心理健康数据，及时发现潜在问题，</w:t>
      </w:r>
      <w:bookmarkStart w:id="35" w:name="OLE_LINK69"/>
      <w:r>
        <w:rPr>
          <w:rFonts w:hint="eastAsia" w:ascii="宋体" w:hAnsi="宋体" w:eastAsia="宋体" w:cs="宋体"/>
          <w:sz w:val="21"/>
          <w:szCs w:val="21"/>
        </w:rPr>
        <w:t>对预警学生进行及时关注与定级</w:t>
      </w:r>
      <w:bookmarkEnd w:id="35"/>
      <w:r>
        <w:rPr>
          <w:rFonts w:hint="eastAsia" w:ascii="宋体" w:hAnsi="宋体" w:eastAsia="宋体" w:cs="宋体"/>
          <w:sz w:val="21"/>
          <w:szCs w:val="21"/>
        </w:rPr>
        <w:t>。</w:t>
      </w:r>
    </w:p>
    <w:p w14:paraId="10044283">
      <w:pPr>
        <w:pageBreakBefore w:val="0"/>
        <w:kinsoku/>
        <w:wordWrap/>
        <w:overflowPunct/>
        <w:topLinePunct w:val="0"/>
        <w:autoSpaceDE/>
        <w:autoSpaceDN/>
        <w:bidi w:val="0"/>
        <w:adjustRightInd/>
        <w:spacing w:line="288" w:lineRule="auto"/>
        <w:ind w:left="0" w:firstLine="420"/>
        <w:rPr>
          <w:rFonts w:hint="eastAsia" w:ascii="宋体" w:hAnsi="宋体" w:eastAsia="宋体" w:cs="宋体"/>
          <w:sz w:val="21"/>
          <w:szCs w:val="21"/>
        </w:rPr>
      </w:pPr>
      <w:r>
        <w:rPr>
          <w:rFonts w:hint="eastAsia" w:ascii="宋体" w:hAnsi="宋体" w:eastAsia="宋体" w:cs="宋体"/>
          <w:sz w:val="21"/>
          <w:szCs w:val="21"/>
        </w:rPr>
        <w:t>家庭端：提供家长和孩子提供AI在线专家、课程资源、咨询服务等，多维度服务家庭。</w:t>
      </w:r>
    </w:p>
    <w:p w14:paraId="641B2F27">
      <w:pPr>
        <w:pageBreakBefore w:val="0"/>
        <w:kinsoku/>
        <w:wordWrap/>
        <w:overflowPunct/>
        <w:topLinePunct w:val="0"/>
        <w:autoSpaceDE/>
        <w:autoSpaceDN/>
        <w:bidi w:val="0"/>
        <w:adjustRightInd/>
        <w:snapToGrid w:val="0"/>
        <w:spacing w:line="288" w:lineRule="auto"/>
        <w:ind w:left="0" w:firstLine="422" w:firstLineChars="200"/>
        <w:outlineLvl w:val="4"/>
        <w:rPr>
          <w:rFonts w:hint="eastAsia" w:ascii="宋体" w:hAnsi="宋体" w:eastAsia="宋体" w:cs="宋体"/>
          <w:sz w:val="21"/>
          <w:szCs w:val="21"/>
          <w:lang w:eastAsia="zh-CN"/>
        </w:rPr>
      </w:pPr>
      <w:r>
        <w:rPr>
          <w:rFonts w:hint="eastAsia" w:ascii="宋体" w:hAnsi="宋体" w:eastAsia="宋体" w:cs="宋体"/>
          <w:b/>
          <w:bCs/>
          <w:snapToGrid w:val="0"/>
          <w:kern w:val="0"/>
          <w:sz w:val="21"/>
          <w:szCs w:val="21"/>
        </w:rPr>
        <w:t>3.2.1 PC管理端</w:t>
      </w:r>
      <w:r>
        <w:rPr>
          <w:rFonts w:hint="eastAsia" w:ascii="宋体" w:hAnsi="宋体" w:eastAsia="宋体" w:cs="宋体"/>
          <w:b/>
          <w:bCs/>
          <w:snapToGrid w:val="0"/>
          <w:kern w:val="0"/>
          <w:sz w:val="21"/>
          <w:szCs w:val="21"/>
          <w:lang w:eastAsia="zh-CN"/>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694"/>
        <w:gridCol w:w="1696"/>
        <w:gridCol w:w="4540"/>
      </w:tblGrid>
      <w:tr w14:paraId="2B86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tcPr>
          <w:p w14:paraId="58A66E9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bookmarkStart w:id="36" w:name="OLE_LINK72"/>
            <w:bookmarkStart w:id="37" w:name="OLE_LINK71"/>
            <w:r>
              <w:rPr>
                <w:rFonts w:hint="eastAsia" w:ascii="宋体" w:hAnsi="宋体" w:eastAsia="宋体" w:cs="宋体"/>
                <w:b/>
                <w:bCs/>
                <w:sz w:val="21"/>
                <w:szCs w:val="21"/>
              </w:rPr>
              <w:t>功能模块</w:t>
            </w:r>
          </w:p>
        </w:tc>
        <w:tc>
          <w:tcPr>
            <w:tcW w:w="880" w:type="pct"/>
          </w:tcPr>
          <w:p w14:paraId="1061FE7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子模块</w:t>
            </w:r>
          </w:p>
        </w:tc>
        <w:tc>
          <w:tcPr>
            <w:tcW w:w="881" w:type="pct"/>
          </w:tcPr>
          <w:p w14:paraId="67AA538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子模块功能点</w:t>
            </w:r>
          </w:p>
        </w:tc>
        <w:tc>
          <w:tcPr>
            <w:tcW w:w="2358" w:type="pct"/>
          </w:tcPr>
          <w:p w14:paraId="23D3767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功能描述</w:t>
            </w:r>
          </w:p>
        </w:tc>
      </w:tr>
      <w:bookmarkEnd w:id="36"/>
      <w:bookmarkEnd w:id="37"/>
      <w:tr w14:paraId="4DA3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restart"/>
            <w:vAlign w:val="center"/>
          </w:tcPr>
          <w:p w14:paraId="424ACB5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PC管理端</w:t>
            </w:r>
          </w:p>
        </w:tc>
        <w:tc>
          <w:tcPr>
            <w:tcW w:w="880" w:type="pct"/>
            <w:vMerge w:val="restart"/>
            <w:vAlign w:val="center"/>
          </w:tcPr>
          <w:p w14:paraId="3D86184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数据概览</w:t>
            </w:r>
          </w:p>
        </w:tc>
        <w:tc>
          <w:tcPr>
            <w:tcW w:w="881" w:type="pct"/>
            <w:vAlign w:val="center"/>
          </w:tcPr>
          <w:p w14:paraId="74FB463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数据概览</w:t>
            </w:r>
          </w:p>
        </w:tc>
        <w:tc>
          <w:tcPr>
            <w:tcW w:w="2358" w:type="pct"/>
          </w:tcPr>
          <w:p w14:paraId="5513EF8A">
            <w:pPr>
              <w:keepNext w:val="0"/>
              <w:keepLines w:val="0"/>
              <w:pageBreakBefore w:val="0"/>
              <w:numPr>
                <w:ilvl w:val="0"/>
                <w:numId w:val="3"/>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系统需提供针对区县、学校的综合查询与数据分析看板，监控区域内学校心理问题筛查进度、预警干预跟踪进度，督导落实学校心理工作，帮助区域分析区域内学生心理情况。</w:t>
            </w:r>
          </w:p>
          <w:p w14:paraId="7057D56F">
            <w:pPr>
              <w:keepNext w:val="0"/>
              <w:keepLines w:val="0"/>
              <w:pageBreakBefore w:val="0"/>
              <w:numPr>
                <w:ilvl w:val="0"/>
                <w:numId w:val="3"/>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支持查看区县内总体学生数据（比如学校学生总数、重点关注学生数、预警总人数、一二三类预警学生数）、心理工作重要性指标数据、心理工作整体分析数据，一键跳转查看进度详情，确保心理工作核心环节得到有效监控。</w:t>
            </w:r>
          </w:p>
        </w:tc>
      </w:tr>
      <w:tr w14:paraId="543A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695E03B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continue"/>
            <w:vAlign w:val="center"/>
          </w:tcPr>
          <w:p w14:paraId="3A12F3B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1" w:type="pct"/>
            <w:vAlign w:val="center"/>
          </w:tcPr>
          <w:p w14:paraId="4684863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常用菜单配置</w:t>
            </w:r>
          </w:p>
        </w:tc>
        <w:tc>
          <w:tcPr>
            <w:tcW w:w="2358" w:type="pct"/>
          </w:tcPr>
          <w:p w14:paraId="436F7E4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1、不同角色人员需要快速访问和使用系统中的常用功能菜单，能够自定义配置常用功能菜单，一键跳转操作更便捷。</w:t>
            </w:r>
          </w:p>
        </w:tc>
      </w:tr>
      <w:tr w14:paraId="45BE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6D97CAE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438EEE2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综合报告</w:t>
            </w:r>
          </w:p>
        </w:tc>
        <w:tc>
          <w:tcPr>
            <w:tcW w:w="881" w:type="pct"/>
            <w:vAlign w:val="center"/>
          </w:tcPr>
          <w:p w14:paraId="5967B50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综合报告</w:t>
            </w:r>
          </w:p>
        </w:tc>
        <w:tc>
          <w:tcPr>
            <w:tcW w:w="2358" w:type="pct"/>
          </w:tcPr>
          <w:p w14:paraId="049E30F0">
            <w:pPr>
              <w:keepNext w:val="0"/>
              <w:keepLines w:val="0"/>
              <w:pageBreakBefore w:val="0"/>
              <w:numPr>
                <w:ilvl w:val="0"/>
                <w:numId w:val="4"/>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针对综合心理筛查工作，系统需按照教育局、学校权限自动生成综合筛查报告。</w:t>
            </w:r>
          </w:p>
          <w:p w14:paraId="49EC707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综合报告包括心理问题筛查整体情况、心理危机干预进度、预警学生分布、预警来源分析、学生主要心理问题分析等数据，为精准施策、及时干预提供数据支撑。</w:t>
            </w:r>
          </w:p>
        </w:tc>
      </w:tr>
      <w:tr w14:paraId="7B29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1A7F7F0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restart"/>
            <w:vAlign w:val="center"/>
          </w:tcPr>
          <w:p w14:paraId="4DE2A65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量表测评应用</w:t>
            </w:r>
          </w:p>
        </w:tc>
        <w:tc>
          <w:tcPr>
            <w:tcW w:w="881" w:type="pct"/>
            <w:vAlign w:val="center"/>
          </w:tcPr>
          <w:p w14:paraId="12279C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color w:val="000000"/>
                <w:sz w:val="21"/>
                <w:szCs w:val="21"/>
                <w:u w:val="none"/>
                <w:lang w:bidi="ar"/>
              </w:rPr>
              <w:t>量表管理</w:t>
            </w:r>
          </w:p>
        </w:tc>
        <w:tc>
          <w:tcPr>
            <w:tcW w:w="2358" w:type="pct"/>
          </w:tcPr>
          <w:p w14:paraId="3DA53901">
            <w:pPr>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平台能够提供多个维度的心理特质评估量表，至少包含包含生理发展、行为发展、认知发展、情绪发展、学业发展、同伴支持、教师支持、家庭支持等维度的量表，例如学生心理发展状态评估量表、学生个体发展与社会支持量表等量表。</w:t>
            </w:r>
          </w:p>
          <w:p w14:paraId="3F66D019">
            <w:pPr>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平台能够提供多个维度的心理状态及症状测查量表，例如1-3年级测评（MHRSP量表）、4-9年级测评（MHT量表）、卡特尔16种人格因素量表测评（16PF）、抑郁症量表测评（PHQ-9量表）、学生心理发展状态评估量表（SPAS）、心理健康症状自评量表（SCL-90）、中学生心理健康量表（MMHI-60）等量表。</w:t>
            </w:r>
          </w:p>
          <w:p w14:paraId="5BD9674A">
            <w:pPr>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平台支持1至3年级低段学生的基于图文量表测评，</w:t>
            </w:r>
            <w:r>
              <w:rPr>
                <w:rFonts w:hint="eastAsia" w:ascii="宋体" w:hAnsi="宋体" w:eastAsia="宋体" w:cs="宋体"/>
                <w:color w:val="000000"/>
                <w:kern w:val="0"/>
                <w:sz w:val="21"/>
                <w:szCs w:val="21"/>
                <w:lang w:bidi="ar"/>
              </w:rPr>
              <w:t>便于低段学生理解和操作。</w:t>
            </w:r>
          </w:p>
        </w:tc>
      </w:tr>
      <w:tr w14:paraId="0F45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27D1626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continue"/>
            <w:vAlign w:val="center"/>
          </w:tcPr>
          <w:p w14:paraId="1893C3A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1" w:type="pct"/>
            <w:vAlign w:val="center"/>
          </w:tcPr>
          <w:p w14:paraId="0701E1E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color w:val="000000"/>
                <w:sz w:val="21"/>
                <w:szCs w:val="21"/>
                <w:u w:val="none"/>
                <w:lang w:bidi="ar"/>
              </w:rPr>
              <w:t>测评管理</w:t>
            </w:r>
          </w:p>
        </w:tc>
        <w:tc>
          <w:tcPr>
            <w:tcW w:w="2358" w:type="pct"/>
          </w:tcPr>
          <w:p w14:paraId="4E61A475">
            <w:pPr>
              <w:keepNext w:val="0"/>
              <w:keepLines w:val="0"/>
              <w:pageBreakBefore w:val="0"/>
              <w:numPr>
                <w:ilvl w:val="0"/>
                <w:numId w:val="6"/>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支持学生按校、按年级进行团体普测，支持疑似问题人员的针对性测评，支持针对学生的他评功能。</w:t>
            </w:r>
          </w:p>
          <w:p w14:paraId="6E0898A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color w:val="000000"/>
                <w:kern w:val="0"/>
                <w:sz w:val="21"/>
                <w:szCs w:val="21"/>
                <w:lang w:bidi="ar"/>
              </w:rPr>
            </w:pPr>
            <w:r>
              <w:rPr>
                <w:rFonts w:hint="eastAsia" w:ascii="宋体" w:hAnsi="宋体" w:eastAsia="宋体" w:cs="宋体"/>
                <w:sz w:val="21"/>
                <w:szCs w:val="21"/>
              </w:rPr>
              <w:t>2、</w:t>
            </w:r>
            <w:r>
              <w:rPr>
                <w:rFonts w:hint="eastAsia" w:ascii="宋体" w:hAnsi="宋体" w:eastAsia="宋体" w:cs="宋体"/>
                <w:color w:val="000000"/>
                <w:kern w:val="0"/>
                <w:sz w:val="21"/>
                <w:szCs w:val="21"/>
                <w:lang w:bidi="ar"/>
              </w:rPr>
              <w:t>支持自主创建心理健康普查和日常心理评估服务，支持自定义设置施测对象、施测工具、测评期限等，</w:t>
            </w:r>
            <w:r>
              <w:rPr>
                <w:rFonts w:hint="eastAsia" w:ascii="宋体" w:hAnsi="宋体" w:eastAsia="宋体" w:cs="宋体"/>
                <w:sz w:val="21"/>
                <w:szCs w:val="21"/>
              </w:rPr>
              <w:t>学校心理老师能够自主选择量表对学生进行测评。</w:t>
            </w:r>
          </w:p>
          <w:p w14:paraId="4C69518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3、支持实时查看测评结果，查看参测情况，并导出评测详情。</w:t>
            </w:r>
          </w:p>
          <w:p w14:paraId="687FE44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4、系统能够自动生成学生个人报告、集体报告以及团体报告，测评结果自动归入学生心理档案。报告支持下载。</w:t>
            </w:r>
          </w:p>
          <w:p w14:paraId="05A3F26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5、测评结果根据量表配置规则自动筛选预警名单，进入重点关注列表，提醒学校心理老师重点关注。</w:t>
            </w:r>
          </w:p>
        </w:tc>
      </w:tr>
      <w:tr w14:paraId="2CD6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28F54C8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continue"/>
            <w:vAlign w:val="center"/>
          </w:tcPr>
          <w:p w14:paraId="7CCA3F5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1" w:type="pct"/>
            <w:vAlign w:val="center"/>
          </w:tcPr>
          <w:p w14:paraId="720BD0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color w:val="000000"/>
                <w:sz w:val="21"/>
                <w:szCs w:val="21"/>
                <w:u w:val="none"/>
                <w:lang w:bidi="ar"/>
              </w:rPr>
              <w:t>学生测评</w:t>
            </w:r>
          </w:p>
        </w:tc>
        <w:tc>
          <w:tcPr>
            <w:tcW w:w="2358" w:type="pct"/>
          </w:tcPr>
          <w:p w14:paraId="389DE3A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sz w:val="21"/>
                <w:szCs w:val="21"/>
              </w:rPr>
              <w:t xml:space="preserve">支持使用电脑教室进行学生普测，以适应学校开展心理普筛工作的需要。      </w:t>
            </w:r>
          </w:p>
          <w:p w14:paraId="7B3A46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2、支持学生登录测评中心查收测评任务，完成量表测评。</w:t>
            </w:r>
          </w:p>
          <w:p w14:paraId="3E9E550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color w:val="000000"/>
                <w:kern w:val="0"/>
                <w:sz w:val="21"/>
                <w:szCs w:val="21"/>
                <w:lang w:bidi="ar"/>
              </w:rPr>
              <w:t>3、学生测评完成后系统立即生成测评结果和测评报告，</w:t>
            </w:r>
            <w:r>
              <w:rPr>
                <w:rFonts w:hint="eastAsia" w:ascii="宋体" w:hAnsi="宋体" w:eastAsia="宋体" w:cs="宋体"/>
                <w:sz w:val="21"/>
                <w:szCs w:val="21"/>
              </w:rPr>
              <w:t>数据将实时同步至PC管理端。有学生管理权限的教师可以实时查看测评结果和测评报告。</w:t>
            </w:r>
          </w:p>
          <w:p w14:paraId="779A7EA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color w:val="000000"/>
                <w:kern w:val="0"/>
                <w:sz w:val="21"/>
                <w:szCs w:val="21"/>
                <w:lang w:bidi="ar"/>
              </w:rPr>
            </w:pPr>
            <w:r>
              <w:rPr>
                <w:rFonts w:hint="eastAsia" w:ascii="宋体" w:hAnsi="宋体" w:eastAsia="宋体" w:cs="宋体"/>
                <w:sz w:val="21"/>
                <w:szCs w:val="21"/>
              </w:rPr>
              <w:t>4、支持在管理后台配置当前测评是否允许学生查看测评报告。配置允许的情况下，学生可以在完成测评后立即查看自己的测评结果和测评报告</w:t>
            </w:r>
          </w:p>
        </w:tc>
      </w:tr>
      <w:tr w14:paraId="0046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49F05BC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continue"/>
            <w:vAlign w:val="center"/>
          </w:tcPr>
          <w:p w14:paraId="1D72AFE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1" w:type="pct"/>
            <w:vAlign w:val="center"/>
          </w:tcPr>
          <w:p w14:paraId="2481B8E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color w:val="000000"/>
                <w:sz w:val="21"/>
                <w:szCs w:val="21"/>
                <w:u w:val="none"/>
                <w:lang w:bidi="ar"/>
              </w:rPr>
              <w:t>教师测评</w:t>
            </w:r>
          </w:p>
        </w:tc>
        <w:tc>
          <w:tcPr>
            <w:tcW w:w="2358" w:type="pct"/>
          </w:tcPr>
          <w:p w14:paraId="42AB4000">
            <w:pPr>
              <w:keepNext w:val="0"/>
              <w:keepLines w:val="0"/>
              <w:pageBreakBefore w:val="0"/>
              <w:numPr>
                <w:ilvl w:val="0"/>
                <w:numId w:val="7"/>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支持管理员发布针对教师的测评任务，</w:t>
            </w:r>
            <w:r>
              <w:rPr>
                <w:rFonts w:hint="eastAsia" w:ascii="宋体" w:hAnsi="宋体" w:eastAsia="宋体" w:cs="宋体"/>
                <w:sz w:val="21"/>
                <w:szCs w:val="21"/>
              </w:rPr>
              <w:t>支持教师自身的心理普测，</w:t>
            </w:r>
            <w:r>
              <w:rPr>
                <w:rFonts w:hint="eastAsia" w:ascii="宋体" w:hAnsi="宋体" w:eastAsia="宋体" w:cs="宋体"/>
                <w:color w:val="000000"/>
                <w:kern w:val="0"/>
                <w:sz w:val="21"/>
                <w:szCs w:val="21"/>
                <w:lang w:bidi="ar"/>
              </w:rPr>
              <w:t>可选择配置结果是否仅教师本人可见。</w:t>
            </w:r>
          </w:p>
          <w:p w14:paraId="392B5B04">
            <w:pPr>
              <w:keepNext w:val="0"/>
              <w:keepLines w:val="0"/>
              <w:pageBreakBefore w:val="0"/>
              <w:numPr>
                <w:ilvl w:val="0"/>
                <w:numId w:val="7"/>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支持教师在教师测评查收测评任务或在量表中心自主选择量表，完成量表测评。</w:t>
            </w:r>
          </w:p>
          <w:p w14:paraId="52EB62E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3、测评完成后系统立即生成测评结果和测评报告，报告支持下载。</w:t>
            </w:r>
          </w:p>
        </w:tc>
      </w:tr>
      <w:tr w14:paraId="0FD1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pct"/>
            <w:vMerge w:val="continue"/>
            <w:vAlign w:val="center"/>
          </w:tcPr>
          <w:p w14:paraId="52815A0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4A06832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全员家访应用</w:t>
            </w:r>
          </w:p>
        </w:tc>
        <w:tc>
          <w:tcPr>
            <w:tcW w:w="881" w:type="pct"/>
            <w:vAlign w:val="center"/>
          </w:tcPr>
          <w:p w14:paraId="224D72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color w:val="000000"/>
                <w:sz w:val="21"/>
                <w:szCs w:val="21"/>
                <w:u w:val="none"/>
                <w:lang w:bidi="ar"/>
              </w:rPr>
              <w:t>全员家访</w:t>
            </w:r>
          </w:p>
        </w:tc>
        <w:tc>
          <w:tcPr>
            <w:tcW w:w="2358" w:type="pct"/>
          </w:tcPr>
          <w:p w14:paraId="27CEBF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1、系统内置家访模板库，学校管理员可以根据需要选择家访模板下发家访任务，包括学生家庭关系、养育情况、情绪状态等。</w:t>
            </w:r>
          </w:p>
          <w:p w14:paraId="6BB988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2、当家访任务正式发布后，学校管理员可以在全员家访列表中查看所有已发布的家访任务，监控学校整体家访进度以及各班班主任的家访进度。</w:t>
            </w:r>
          </w:p>
          <w:p w14:paraId="43751C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3、班主任在接收到任务后，填写家访记录信息。班主任记录异常情况，生成学生的预警信息，进入重点关注列表，提醒学校心理老师重点关注。</w:t>
            </w:r>
          </w:p>
          <w:p w14:paraId="01C95D3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4、班主任完成填写后，学生家访记录会自动同步至学生档案。</w:t>
            </w:r>
          </w:p>
          <w:p w14:paraId="71E8271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5、家访记录的表单支持下载打印，支持批量下载整个学校的家访记录，便于归档管理。</w:t>
            </w:r>
          </w:p>
        </w:tc>
      </w:tr>
      <w:tr w14:paraId="3AE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75DE10B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217928E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动态反馈应用</w:t>
            </w:r>
          </w:p>
        </w:tc>
        <w:tc>
          <w:tcPr>
            <w:tcW w:w="881" w:type="pct"/>
            <w:vAlign w:val="center"/>
          </w:tcPr>
          <w:p w14:paraId="6720F6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lang w:bidi="ar"/>
              </w:rPr>
            </w:pPr>
            <w:r>
              <w:rPr>
                <w:rFonts w:hint="eastAsia" w:ascii="宋体" w:hAnsi="宋体" w:eastAsia="宋体" w:cs="宋体"/>
                <w:color w:val="000000"/>
                <w:sz w:val="21"/>
                <w:szCs w:val="21"/>
                <w:u w:val="none"/>
                <w:lang w:bidi="ar"/>
              </w:rPr>
              <w:t>动态反馈</w:t>
            </w:r>
          </w:p>
        </w:tc>
        <w:tc>
          <w:tcPr>
            <w:tcW w:w="2358" w:type="pct"/>
          </w:tcPr>
          <w:p w14:paraId="1B56BF7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1、平台支持实时记录学生的日常行为和在关键节点（比如考试临近、学业挫折、开学前后观察）的学生动态，实现数据的动态采集。</w:t>
            </w:r>
          </w:p>
          <w:p w14:paraId="10C8EE6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2、发现并记录异常状况后会生成学生的预警信息，进入重点关注列表，提醒学校心理老师重点关注。</w:t>
            </w:r>
          </w:p>
        </w:tc>
      </w:tr>
      <w:tr w14:paraId="12C0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0BE70C1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restart"/>
            <w:vAlign w:val="center"/>
          </w:tcPr>
          <w:p w14:paraId="63573B2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预警与回访干预</w:t>
            </w:r>
          </w:p>
        </w:tc>
        <w:tc>
          <w:tcPr>
            <w:tcW w:w="881" w:type="pct"/>
            <w:vAlign w:val="center"/>
          </w:tcPr>
          <w:p w14:paraId="4B6AC24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重点关注</w:t>
            </w:r>
          </w:p>
        </w:tc>
        <w:tc>
          <w:tcPr>
            <w:tcW w:w="2358" w:type="pct"/>
          </w:tcPr>
          <w:p w14:paraId="11524744">
            <w:pPr>
              <w:keepNext w:val="0"/>
              <w:keepLines w:val="0"/>
              <w:pageBreakBefore w:val="0"/>
              <w:widowControl/>
              <w:numPr>
                <w:ilvl w:val="0"/>
                <w:numId w:val="8"/>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支持在重点关注查看心理筛查出来的所有学生，包括学生的基本信息、最新预警事项、最新预警时间、预警事项数量、预警时长等信息。有多项预警事项的学生需重点提醒。</w:t>
            </w:r>
          </w:p>
          <w:p w14:paraId="00172663">
            <w:pPr>
              <w:keepNext w:val="0"/>
              <w:keepLines w:val="0"/>
              <w:pageBreakBefore w:val="0"/>
              <w:widowControl/>
              <w:numPr>
                <w:ilvl w:val="0"/>
                <w:numId w:val="8"/>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支持在重点关注监督查看学生访谈定级情况，包括是否定级、定级原因、记录内容等，从而掌握心理危机干预情况。</w:t>
            </w:r>
          </w:p>
        </w:tc>
      </w:tr>
      <w:tr w14:paraId="237A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880" w:type="pct"/>
            <w:vMerge w:val="continue"/>
            <w:vAlign w:val="center"/>
          </w:tcPr>
          <w:p w14:paraId="0C434C9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continue"/>
            <w:vAlign w:val="center"/>
          </w:tcPr>
          <w:p w14:paraId="627226E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1" w:type="pct"/>
            <w:vAlign w:val="center"/>
          </w:tcPr>
          <w:p w14:paraId="2003676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访谈定级</w:t>
            </w:r>
          </w:p>
        </w:tc>
        <w:tc>
          <w:tcPr>
            <w:tcW w:w="2358" w:type="pct"/>
          </w:tcPr>
          <w:p w14:paraId="6C3F2EE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1、平台支持对重点关注列表中的学生进行访谈定级。根据学生基础情况结合模型分析结果和实时上报的动态信息，支持对目标对象进行访谈，确认目标对象当前的学习和生活状况，进行预警定级操作。</w:t>
            </w:r>
          </w:p>
          <w:p w14:paraId="0B6B7F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2、系统需为心理老师提供了针对学生的筛查结果形成的智能访谈方案，作为实施访谈定级的参考，包括访谈目标、访谈内容、访谈流程、注意事项，便于学校心理老师实施访谈定级。</w:t>
            </w:r>
          </w:p>
        </w:tc>
      </w:tr>
      <w:tr w14:paraId="082D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1923945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Merge w:val="continue"/>
            <w:vAlign w:val="center"/>
          </w:tcPr>
          <w:p w14:paraId="3717F3D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1" w:type="pct"/>
            <w:vAlign w:val="center"/>
          </w:tcPr>
          <w:p w14:paraId="730710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回访干预</w:t>
            </w:r>
          </w:p>
        </w:tc>
        <w:tc>
          <w:tcPr>
            <w:tcW w:w="2358" w:type="pct"/>
          </w:tcPr>
          <w:p w14:paraId="4F1CA00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1、平台支持查看被定级为一类、二类、三类的学生列表，包括学生信息、预警问题、访谈记录等。</w:t>
            </w:r>
          </w:p>
          <w:p w14:paraId="036638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2、系统需根据教师角色提供不同的干预计划并进行记录。校心理老师可对预警学生进行辅导谈话、在线转介、突发事件、多方会谈、复学会谈等操作，班主任可对预警学生进行定级生家访、谈心谈话等操作。</w:t>
            </w:r>
          </w:p>
          <w:p w14:paraId="6101652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3、所有的干预记录均可生成表单，支持下载打印，便于归档管理。</w:t>
            </w:r>
          </w:p>
          <w:p w14:paraId="530E895F">
            <w:pPr>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288" w:lineRule="auto"/>
              <w:ind w:left="0" w:righ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4、平台需针对学生的主要心理问题提供智能干预方案，包括干预目标、主要心理问题及干预建议、具体干预实施计划等，便于学校心理老师实施危机干预。</w:t>
            </w:r>
          </w:p>
        </w:tc>
      </w:tr>
      <w:tr w14:paraId="7610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18BA74C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68F9EF0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心理档案应用</w:t>
            </w:r>
          </w:p>
        </w:tc>
        <w:tc>
          <w:tcPr>
            <w:tcW w:w="881" w:type="pct"/>
            <w:vAlign w:val="center"/>
          </w:tcPr>
          <w:p w14:paraId="00918A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学生档案</w:t>
            </w:r>
          </w:p>
        </w:tc>
        <w:tc>
          <w:tcPr>
            <w:tcW w:w="2358" w:type="pct"/>
          </w:tcPr>
          <w:p w14:paraId="18D7CDC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1、能为每个学生设立个性化的心理档案，一生一档，可按学校、年级班级、名字查询。</w:t>
            </w:r>
          </w:p>
          <w:p w14:paraId="3D17077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2、档案内容包含学生基础信息、家庭基本信息、家访记录，每次测评的结果及报告、行为筛查数据、干预记录等。</w:t>
            </w:r>
          </w:p>
          <w:p w14:paraId="2D712D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3、学生进行心理测评后，自动归入学生心理档案，后续每一次测评结果自动补充到该学生心理档案中。</w:t>
            </w:r>
          </w:p>
          <w:p w14:paraId="04D1FA4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4、能形成该学生心理健康动态成长曲线，并给予预警提示。</w:t>
            </w:r>
          </w:p>
        </w:tc>
      </w:tr>
      <w:tr w14:paraId="57A3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0BDBDA2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0FE705F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心理咨询应用</w:t>
            </w:r>
          </w:p>
        </w:tc>
        <w:tc>
          <w:tcPr>
            <w:tcW w:w="881" w:type="pct"/>
            <w:vAlign w:val="center"/>
          </w:tcPr>
          <w:p w14:paraId="0BB9479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心理咨询管理</w:t>
            </w:r>
          </w:p>
        </w:tc>
        <w:tc>
          <w:tcPr>
            <w:tcW w:w="2358" w:type="pct"/>
          </w:tcPr>
          <w:p w14:paraId="7580DD6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1、围绕心理咨询服务，平台需具备心理咨询预约记录查询和导出，并能录入预约人员的咨询内容。</w:t>
            </w:r>
          </w:p>
          <w:p w14:paraId="30210F4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2、需支持电话咨询情况、针对性的个体咨询情况的记录和查询。具备按姓名、年龄段、时间范围的智能筛选。咨询记录支持下载。</w:t>
            </w:r>
          </w:p>
          <w:p w14:paraId="536AD10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3、具备咨询师按周进行排期的功能。支持复制排班、粘贴排班、下载排班等。</w:t>
            </w:r>
          </w:p>
          <w:p w14:paraId="755025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4、支持录入咨询师基本信息、资质、擅长方向、咨询年龄段、支持的咨询方式等，支持按姓名进行查询以及对咨询师进行新增、查看、编辑、删除等操作。</w:t>
            </w:r>
          </w:p>
        </w:tc>
      </w:tr>
      <w:tr w14:paraId="2761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3EDC244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7635602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心理辅导活动应用</w:t>
            </w:r>
          </w:p>
        </w:tc>
        <w:tc>
          <w:tcPr>
            <w:tcW w:w="881" w:type="pct"/>
            <w:vAlign w:val="center"/>
          </w:tcPr>
          <w:p w14:paraId="6158DF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活动管理</w:t>
            </w:r>
          </w:p>
        </w:tc>
        <w:tc>
          <w:tcPr>
            <w:tcW w:w="2358" w:type="pct"/>
          </w:tcPr>
          <w:p w14:paraId="387E6DE7">
            <w:pPr>
              <w:keepNext w:val="0"/>
              <w:keepLines w:val="0"/>
              <w:pageBreakBefore w:val="0"/>
              <w:widowControl/>
              <w:numPr>
                <w:ilvl w:val="0"/>
                <w:numId w:val="9"/>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围绕心理辅导家长课堂和亲子活动，平台需具备辅导活动管理、活动下发及活动报名的功能。</w:t>
            </w:r>
          </w:p>
          <w:p w14:paraId="732DAEF2">
            <w:pPr>
              <w:keepNext w:val="0"/>
              <w:keepLines w:val="0"/>
              <w:pageBreakBefore w:val="0"/>
              <w:widowControl/>
              <w:numPr>
                <w:ilvl w:val="0"/>
                <w:numId w:val="9"/>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支持学校管理员在平台创建并发布活动，包括活动名称、报名时间、活动时间、活动地点、活动详情等，设置活动参与人数上限。支持对活动进行查看、取消等操作。</w:t>
            </w:r>
          </w:p>
          <w:p w14:paraId="5634811B">
            <w:pPr>
              <w:keepNext w:val="0"/>
              <w:keepLines w:val="0"/>
              <w:pageBreakBefore w:val="0"/>
              <w:widowControl/>
              <w:numPr>
                <w:ilvl w:val="0"/>
                <w:numId w:val="9"/>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支持在管理后台查看活动报名详情，包括报名者姓名、学校、年级班级、联系方式、预警信息。支持导出活动报名人员名单。</w:t>
            </w:r>
          </w:p>
        </w:tc>
      </w:tr>
      <w:tr w14:paraId="111A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09D9EBD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3495701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心理导师自选管理应用</w:t>
            </w:r>
          </w:p>
        </w:tc>
        <w:tc>
          <w:tcPr>
            <w:tcW w:w="881" w:type="pct"/>
            <w:vAlign w:val="center"/>
          </w:tcPr>
          <w:p w14:paraId="2D07AF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教师自选管理</w:t>
            </w:r>
          </w:p>
        </w:tc>
        <w:tc>
          <w:tcPr>
            <w:tcW w:w="2358" w:type="pct"/>
          </w:tcPr>
          <w:p w14:paraId="48F8EE80">
            <w:pPr>
              <w:keepNext w:val="0"/>
              <w:keepLines w:val="0"/>
              <w:pageBreakBefore w:val="0"/>
              <w:widowControl/>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支持心理工作网格化管理，为每个班级配置心理导师。</w:t>
            </w:r>
          </w:p>
          <w:p w14:paraId="473A2655">
            <w:pPr>
              <w:keepNext w:val="0"/>
              <w:keepLines w:val="0"/>
              <w:pageBreakBefore w:val="0"/>
              <w:widowControl/>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支持学校下发教师自选任务，学生在学生端选择自己的管理老师。</w:t>
            </w:r>
          </w:p>
          <w:p w14:paraId="6BAAAB30">
            <w:pPr>
              <w:keepNext w:val="0"/>
              <w:keepLines w:val="0"/>
              <w:pageBreakBefore w:val="0"/>
              <w:widowControl/>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管理后台按照班级配置导师，显示导师的姓名、擅长领域等信息。</w:t>
            </w:r>
          </w:p>
          <w:p w14:paraId="4DB55114">
            <w:pPr>
              <w:keepNext w:val="0"/>
              <w:keepLines w:val="0"/>
              <w:pageBreakBefore w:val="0"/>
              <w:widowControl/>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管理后台创建自选导师的任务，设置任务名称、时间区间、涉及年级班级、学生人数上限等。</w:t>
            </w:r>
          </w:p>
          <w:p w14:paraId="7E6590CA">
            <w:pPr>
              <w:keepNext w:val="0"/>
              <w:keepLines w:val="0"/>
              <w:pageBreakBefore w:val="0"/>
              <w:widowControl/>
              <w:numPr>
                <w:ilvl w:val="0"/>
                <w:numId w:val="10"/>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移动端学生角色进入自选导师页面，按班显示已配置的导师，只可选其一，超过上限不可再选。</w:t>
            </w:r>
          </w:p>
        </w:tc>
      </w:tr>
      <w:tr w14:paraId="1C56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Merge w:val="continue"/>
            <w:vAlign w:val="center"/>
          </w:tcPr>
          <w:p w14:paraId="2735BE1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880" w:type="pct"/>
            <w:vAlign w:val="center"/>
          </w:tcPr>
          <w:p w14:paraId="1150A62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下载中心</w:t>
            </w:r>
          </w:p>
        </w:tc>
        <w:tc>
          <w:tcPr>
            <w:tcW w:w="881" w:type="pct"/>
            <w:vAlign w:val="center"/>
          </w:tcPr>
          <w:p w14:paraId="6F2340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center"/>
              <w:textAlignment w:val="center"/>
              <w:rPr>
                <w:rFonts w:hint="eastAsia" w:ascii="宋体" w:hAnsi="宋体" w:eastAsia="宋体" w:cs="宋体"/>
                <w:sz w:val="21"/>
                <w:szCs w:val="21"/>
              </w:rPr>
            </w:pPr>
            <w:r>
              <w:rPr>
                <w:rFonts w:hint="eastAsia" w:ascii="宋体" w:hAnsi="宋体" w:eastAsia="宋体" w:cs="宋体"/>
                <w:sz w:val="21"/>
                <w:szCs w:val="21"/>
              </w:rPr>
              <w:t>下载文件</w:t>
            </w:r>
          </w:p>
        </w:tc>
        <w:tc>
          <w:tcPr>
            <w:tcW w:w="2358" w:type="pct"/>
          </w:tcPr>
          <w:p w14:paraId="0EA72D9D">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文件列表需要汇总各个业务导出的文件，包括家访记录、访谈记录、干预记录等。</w:t>
            </w:r>
          </w:p>
          <w:p w14:paraId="44CB1133">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一周内可以在下载中心中直接下载所需文件。</w:t>
            </w:r>
          </w:p>
          <w:p w14:paraId="40B23C70">
            <w:pPr>
              <w:keepNext w:val="0"/>
              <w:keepLines w:val="0"/>
              <w:pageBreakBefore w:val="0"/>
              <w:widowControl/>
              <w:numPr>
                <w:ilvl w:val="0"/>
                <w:numId w:val="11"/>
              </w:numPr>
              <w:suppressLineNumbers w:val="0"/>
              <w:kinsoku/>
              <w:wordWrap/>
              <w:overflowPunct/>
              <w:topLinePunct w:val="0"/>
              <w:autoSpaceDE/>
              <w:autoSpaceDN/>
              <w:bidi w:val="0"/>
              <w:adjustRightInd/>
              <w:spacing w:before="0" w:beforeAutospacing="0" w:after="0" w:afterAutospacing="0" w:line="288" w:lineRule="auto"/>
              <w:ind w:left="0" w:right="0"/>
              <w:textAlignment w:val="center"/>
              <w:rPr>
                <w:rFonts w:hint="eastAsia" w:ascii="宋体" w:hAnsi="宋体" w:eastAsia="宋体" w:cs="宋体"/>
                <w:sz w:val="21"/>
                <w:szCs w:val="21"/>
              </w:rPr>
            </w:pPr>
            <w:r>
              <w:rPr>
                <w:rFonts w:hint="eastAsia" w:ascii="宋体" w:hAnsi="宋体" w:eastAsia="宋体" w:cs="宋体"/>
                <w:sz w:val="21"/>
                <w:szCs w:val="21"/>
              </w:rPr>
              <w:t>下载数据需要根据权限不同管理不同数据。</w:t>
            </w:r>
          </w:p>
        </w:tc>
      </w:tr>
    </w:tbl>
    <w:p w14:paraId="74EC4D60">
      <w:pPr>
        <w:pageBreakBefore w:val="0"/>
        <w:kinsoku/>
        <w:wordWrap/>
        <w:overflowPunct/>
        <w:topLinePunct w:val="0"/>
        <w:autoSpaceDE/>
        <w:autoSpaceDN/>
        <w:bidi w:val="0"/>
        <w:adjustRightInd/>
        <w:spacing w:line="288" w:lineRule="auto"/>
        <w:ind w:left="0"/>
        <w:rPr>
          <w:rFonts w:hint="eastAsia" w:ascii="宋体" w:hAnsi="宋体" w:eastAsia="宋体" w:cs="宋体"/>
          <w:sz w:val="21"/>
          <w:szCs w:val="21"/>
        </w:rPr>
      </w:pPr>
    </w:p>
    <w:p w14:paraId="00920CF9">
      <w:pPr>
        <w:pageBreakBefore w:val="0"/>
        <w:kinsoku/>
        <w:wordWrap/>
        <w:overflowPunct/>
        <w:topLinePunct w:val="0"/>
        <w:autoSpaceDE/>
        <w:autoSpaceDN/>
        <w:bidi w:val="0"/>
        <w:adjustRightInd/>
        <w:snapToGrid w:val="0"/>
        <w:spacing w:line="288" w:lineRule="auto"/>
        <w:ind w:left="0" w:firstLine="422" w:firstLineChars="200"/>
        <w:outlineLvl w:val="4"/>
        <w:rPr>
          <w:rFonts w:hint="eastAsia" w:ascii="宋体" w:hAnsi="宋体" w:eastAsia="宋体" w:cs="宋体"/>
          <w:b/>
          <w:bCs/>
          <w:snapToGrid w:val="0"/>
          <w:kern w:val="0"/>
          <w:sz w:val="21"/>
          <w:szCs w:val="21"/>
          <w:lang w:eastAsia="zh-CN"/>
        </w:rPr>
      </w:pPr>
      <w:r>
        <w:rPr>
          <w:rFonts w:hint="eastAsia" w:ascii="宋体" w:hAnsi="宋体" w:eastAsia="宋体" w:cs="宋体"/>
          <w:b/>
          <w:bCs/>
          <w:snapToGrid w:val="0"/>
          <w:kern w:val="0"/>
          <w:sz w:val="21"/>
          <w:szCs w:val="21"/>
        </w:rPr>
        <w:t>3.2.2 家长移动端</w:t>
      </w:r>
      <w:r>
        <w:rPr>
          <w:rFonts w:hint="eastAsia" w:ascii="宋体" w:hAnsi="宋体" w:eastAsia="宋体" w:cs="宋体"/>
          <w:b/>
          <w:bCs/>
          <w:snapToGrid w:val="0"/>
          <w:kern w:val="0"/>
          <w:sz w:val="21"/>
          <w:szCs w:val="21"/>
          <w:lang w:eastAsia="zh-CN"/>
        </w:rPr>
        <w:t>：</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060"/>
        <w:gridCol w:w="5508"/>
      </w:tblGrid>
      <w:tr w14:paraId="4658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08A2723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功能模块</w:t>
            </w:r>
          </w:p>
        </w:tc>
        <w:tc>
          <w:tcPr>
            <w:tcW w:w="1070" w:type="pct"/>
          </w:tcPr>
          <w:p w14:paraId="0239CC2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子模块</w:t>
            </w:r>
          </w:p>
        </w:tc>
        <w:tc>
          <w:tcPr>
            <w:tcW w:w="2860" w:type="pct"/>
          </w:tcPr>
          <w:p w14:paraId="1D90901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功能描述</w:t>
            </w:r>
          </w:p>
        </w:tc>
      </w:tr>
      <w:tr w14:paraId="17B5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vAlign w:val="center"/>
          </w:tcPr>
          <w:p w14:paraId="588A9B7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家长移动端</w:t>
            </w:r>
          </w:p>
        </w:tc>
        <w:tc>
          <w:tcPr>
            <w:tcW w:w="1070" w:type="pct"/>
            <w:vAlign w:val="center"/>
          </w:tcPr>
          <w:p w14:paraId="32CC895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心理科普</w:t>
            </w:r>
          </w:p>
        </w:tc>
        <w:tc>
          <w:tcPr>
            <w:tcW w:w="2860" w:type="pct"/>
          </w:tcPr>
          <w:p w14:paraId="540A490A">
            <w:pPr>
              <w:keepNext w:val="0"/>
              <w:keepLines w:val="0"/>
              <w:pageBreakBefore w:val="0"/>
              <w:numPr>
                <w:ilvl w:val="0"/>
                <w:numId w:val="12"/>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移动端需提供心理科普资源，提供情绪管理、人际社交、自我成长、心理适应等类别的心理文章。</w:t>
            </w:r>
          </w:p>
          <w:p w14:paraId="0FE25D08">
            <w:pPr>
              <w:keepNext w:val="0"/>
              <w:keepLines w:val="0"/>
              <w:pageBreakBefore w:val="0"/>
              <w:numPr>
                <w:ilvl w:val="0"/>
                <w:numId w:val="12"/>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提供在线文章浏览、文章收藏功能。</w:t>
            </w:r>
          </w:p>
        </w:tc>
      </w:tr>
      <w:tr w14:paraId="4DB6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077C09E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22A15C2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心情打卡</w:t>
            </w:r>
          </w:p>
        </w:tc>
        <w:tc>
          <w:tcPr>
            <w:tcW w:w="2860" w:type="pct"/>
          </w:tcPr>
          <w:p w14:paraId="08C4D7CB">
            <w:pPr>
              <w:keepNext w:val="0"/>
              <w:keepLines w:val="0"/>
              <w:pageBreakBefore w:val="0"/>
              <w:numPr>
                <w:ilvl w:val="0"/>
                <w:numId w:val="13"/>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移动端需具备学生校外生活的心情状态录入功能。</w:t>
            </w:r>
          </w:p>
          <w:p w14:paraId="1089BDBE">
            <w:pPr>
              <w:keepNext w:val="0"/>
              <w:keepLines w:val="0"/>
              <w:pageBreakBefore w:val="0"/>
              <w:numPr>
                <w:ilvl w:val="0"/>
                <w:numId w:val="13"/>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家长可以在移动端实时记录学生当天的情绪状态，写下心情随笔进行信息反馈，随时动态上报学生心情。</w:t>
            </w:r>
          </w:p>
        </w:tc>
      </w:tr>
      <w:tr w14:paraId="323E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185B5B2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1CA90BA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家长测评</w:t>
            </w:r>
          </w:p>
        </w:tc>
        <w:tc>
          <w:tcPr>
            <w:tcW w:w="2860" w:type="pct"/>
          </w:tcPr>
          <w:p w14:paraId="0BDCCA6C">
            <w:pPr>
              <w:keepNext w:val="0"/>
              <w:keepLines w:val="0"/>
              <w:pageBreakBefore w:val="0"/>
              <w:numPr>
                <w:ilvl w:val="0"/>
                <w:numId w:val="14"/>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移动端需提供家长自我量表测评、他评的功能。</w:t>
            </w:r>
          </w:p>
          <w:p w14:paraId="1303F248">
            <w:pPr>
              <w:keepNext w:val="0"/>
              <w:keepLines w:val="0"/>
              <w:pageBreakBefore w:val="0"/>
              <w:numPr>
                <w:ilvl w:val="0"/>
                <w:numId w:val="14"/>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可进行家庭教养方式、沟通方式等的自我测评。完成测评后能立即出具测评报告及测评建议。</w:t>
            </w:r>
          </w:p>
          <w:p w14:paraId="29E2D8B6">
            <w:pPr>
              <w:keepNext w:val="0"/>
              <w:keepLines w:val="0"/>
              <w:pageBreakBefore w:val="0"/>
              <w:numPr>
                <w:ilvl w:val="0"/>
                <w:numId w:val="14"/>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可在移动端接收学校发布的他评任务，在移动端完成他评。</w:t>
            </w:r>
          </w:p>
        </w:tc>
      </w:tr>
      <w:tr w14:paraId="1D81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705749B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47DCDA0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咨询预约</w:t>
            </w:r>
          </w:p>
        </w:tc>
        <w:tc>
          <w:tcPr>
            <w:tcW w:w="2860" w:type="pct"/>
          </w:tcPr>
          <w:p w14:paraId="0E128505">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移动端需提供家长在线查看心理辅导老师的介绍、预约心理咨询的功能。</w:t>
            </w:r>
          </w:p>
          <w:p w14:paraId="0257C4FE">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家长可以根据自身情况进行心理咨询预约或取消预约，心理咨询的方式支持线上和线下。</w:t>
            </w:r>
          </w:p>
          <w:p w14:paraId="2D0C0396">
            <w:pPr>
              <w:keepNext w:val="0"/>
              <w:keepLines w:val="0"/>
              <w:pageBreakBefore w:val="0"/>
              <w:numPr>
                <w:ilvl w:val="0"/>
                <w:numId w:val="15"/>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完成预约后，家长可以在咨询预约记录中查看自己全部的预约记录。</w:t>
            </w:r>
          </w:p>
        </w:tc>
      </w:tr>
      <w:tr w14:paraId="31AE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2F6A633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569128C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活动报名</w:t>
            </w:r>
          </w:p>
        </w:tc>
        <w:tc>
          <w:tcPr>
            <w:tcW w:w="2860" w:type="pct"/>
          </w:tcPr>
          <w:p w14:paraId="3DC6DB24">
            <w:pPr>
              <w:keepNext w:val="0"/>
              <w:keepLines w:val="0"/>
              <w:pageBreakBefore w:val="0"/>
              <w:numPr>
                <w:ilvl w:val="0"/>
                <w:numId w:val="16"/>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移动端需为家长提供心理辅导活动报名的功能，根据自身需要参加家长课程、亲子辅导活动等。</w:t>
            </w:r>
          </w:p>
          <w:p w14:paraId="101A0488">
            <w:pPr>
              <w:keepNext w:val="0"/>
              <w:keepLines w:val="0"/>
              <w:pageBreakBefore w:val="0"/>
              <w:numPr>
                <w:ilvl w:val="0"/>
                <w:numId w:val="16"/>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支持在线查看活动信息，包括活动名称、活动时间、活动地点、指导老师、活动简介。可以在报名时间内进行报名或取消报名。</w:t>
            </w:r>
          </w:p>
          <w:p w14:paraId="64C9BBED">
            <w:pPr>
              <w:keepNext w:val="0"/>
              <w:keepLines w:val="0"/>
              <w:pageBreakBefore w:val="0"/>
              <w:numPr>
                <w:ilvl w:val="0"/>
                <w:numId w:val="16"/>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完成报名后，家长可以在报名记录中查看自己全部的报名记录。</w:t>
            </w:r>
          </w:p>
        </w:tc>
      </w:tr>
      <w:tr w14:paraId="7376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1BA9CF7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78E1C28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导师自选</w:t>
            </w:r>
          </w:p>
        </w:tc>
        <w:tc>
          <w:tcPr>
            <w:tcW w:w="2860" w:type="pct"/>
          </w:tcPr>
          <w:p w14:paraId="5A275CA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1、移动端需为学生和家长提供心理导师自选的功能，根据自身喜好和对导师的了解情况选择负责跟进自己心态状态的心理导师。</w:t>
            </w:r>
          </w:p>
          <w:p w14:paraId="58E9623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2、学生或家长进入自选导师页面，按班显示已配置的导师，只可选一位心理导师，超过配置的学生人数上限，不可再选。也支持取消当前所选的导师，根据需要进行重新选择。</w:t>
            </w:r>
          </w:p>
          <w:p w14:paraId="6906751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3、完成选择后，学生或家长可以在自选记录中查看自己全部的导师选择记录。</w:t>
            </w:r>
          </w:p>
        </w:tc>
      </w:tr>
    </w:tbl>
    <w:p w14:paraId="72028BC5">
      <w:pPr>
        <w:pageBreakBefore w:val="0"/>
        <w:kinsoku/>
        <w:wordWrap/>
        <w:overflowPunct/>
        <w:topLinePunct w:val="0"/>
        <w:autoSpaceDE/>
        <w:autoSpaceDN/>
        <w:bidi w:val="0"/>
        <w:adjustRightInd/>
        <w:spacing w:line="288" w:lineRule="auto"/>
        <w:ind w:left="0"/>
        <w:rPr>
          <w:rFonts w:hint="eastAsia" w:ascii="宋体" w:hAnsi="宋体" w:eastAsia="宋体" w:cs="宋体"/>
          <w:sz w:val="21"/>
          <w:szCs w:val="21"/>
        </w:rPr>
      </w:pPr>
    </w:p>
    <w:p w14:paraId="46D82403">
      <w:pPr>
        <w:pageBreakBefore w:val="0"/>
        <w:kinsoku/>
        <w:wordWrap/>
        <w:overflowPunct/>
        <w:topLinePunct w:val="0"/>
        <w:autoSpaceDE/>
        <w:autoSpaceDN/>
        <w:bidi w:val="0"/>
        <w:adjustRightInd/>
        <w:snapToGrid w:val="0"/>
        <w:spacing w:line="288" w:lineRule="auto"/>
        <w:ind w:left="0" w:firstLine="422" w:firstLineChars="200"/>
        <w:outlineLvl w:val="4"/>
        <w:rPr>
          <w:rFonts w:hint="eastAsia" w:ascii="宋体" w:hAnsi="宋体" w:eastAsia="宋体" w:cs="宋体"/>
          <w:b/>
          <w:bCs/>
          <w:snapToGrid w:val="0"/>
          <w:kern w:val="0"/>
          <w:sz w:val="21"/>
          <w:szCs w:val="21"/>
          <w:lang w:eastAsia="zh-CN"/>
        </w:rPr>
      </w:pPr>
      <w:r>
        <w:rPr>
          <w:rFonts w:hint="eastAsia" w:ascii="宋体" w:hAnsi="宋体" w:eastAsia="宋体" w:cs="宋体"/>
          <w:b/>
          <w:bCs/>
          <w:snapToGrid w:val="0"/>
          <w:kern w:val="0"/>
          <w:sz w:val="21"/>
          <w:szCs w:val="21"/>
        </w:rPr>
        <w:t>3.2.3 教师移动端</w:t>
      </w:r>
      <w:r>
        <w:rPr>
          <w:rFonts w:hint="eastAsia" w:ascii="宋体" w:hAnsi="宋体" w:eastAsia="宋体" w:cs="宋体"/>
          <w:b/>
          <w:bCs/>
          <w:snapToGrid w:val="0"/>
          <w:kern w:val="0"/>
          <w:sz w:val="21"/>
          <w:szCs w:val="21"/>
          <w:lang w:eastAsia="zh-CN"/>
        </w:rPr>
        <w:t>：</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060"/>
        <w:gridCol w:w="5508"/>
      </w:tblGrid>
      <w:tr w14:paraId="6BB4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68D48C6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bookmarkStart w:id="38" w:name="OLE_LINK73"/>
            <w:bookmarkStart w:id="39" w:name="OLE_LINK74"/>
            <w:r>
              <w:rPr>
                <w:rFonts w:hint="eastAsia" w:ascii="宋体" w:hAnsi="宋体" w:eastAsia="宋体" w:cs="宋体"/>
                <w:b/>
                <w:bCs/>
                <w:sz w:val="21"/>
                <w:szCs w:val="21"/>
              </w:rPr>
              <w:t>功能模块</w:t>
            </w:r>
          </w:p>
        </w:tc>
        <w:tc>
          <w:tcPr>
            <w:tcW w:w="1070" w:type="pct"/>
          </w:tcPr>
          <w:p w14:paraId="5F10F16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子模块</w:t>
            </w:r>
          </w:p>
        </w:tc>
        <w:tc>
          <w:tcPr>
            <w:tcW w:w="2860" w:type="pct"/>
          </w:tcPr>
          <w:p w14:paraId="2F920E9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功能描述</w:t>
            </w:r>
          </w:p>
        </w:tc>
      </w:tr>
      <w:bookmarkEnd w:id="38"/>
      <w:bookmarkEnd w:id="39"/>
      <w:tr w14:paraId="0F12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vAlign w:val="center"/>
          </w:tcPr>
          <w:p w14:paraId="09C2A32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教师移动端</w:t>
            </w:r>
          </w:p>
        </w:tc>
        <w:tc>
          <w:tcPr>
            <w:tcW w:w="1070" w:type="pct"/>
            <w:vAlign w:val="center"/>
          </w:tcPr>
          <w:p w14:paraId="149E62F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数据统计</w:t>
            </w:r>
          </w:p>
        </w:tc>
        <w:tc>
          <w:tcPr>
            <w:tcW w:w="2860" w:type="pct"/>
          </w:tcPr>
          <w:p w14:paraId="2CABF902">
            <w:pPr>
              <w:keepNext w:val="0"/>
              <w:keepLines w:val="0"/>
              <w:pageBreakBefore w:val="0"/>
              <w:numPr>
                <w:ilvl w:val="0"/>
                <w:numId w:val="17"/>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移动端需提供对学生心理状况数据的整体统计和分析功能。</w:t>
            </w:r>
          </w:p>
          <w:p w14:paraId="61E50EA3">
            <w:pPr>
              <w:keepNext w:val="0"/>
              <w:keepLines w:val="0"/>
              <w:pageBreakBefore w:val="0"/>
              <w:numPr>
                <w:ilvl w:val="0"/>
                <w:numId w:val="17"/>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直观展示家访进度、量表测评进度、访谈定级进度、干预跟踪进度等数据，便于监管区内心理工作实施情况。</w:t>
            </w:r>
          </w:p>
        </w:tc>
      </w:tr>
      <w:tr w14:paraId="4C6F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504352C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7234CE5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全员家访</w:t>
            </w:r>
          </w:p>
        </w:tc>
        <w:tc>
          <w:tcPr>
            <w:tcW w:w="2860" w:type="pct"/>
          </w:tcPr>
          <w:p w14:paraId="15657696">
            <w:pPr>
              <w:keepNext w:val="0"/>
              <w:keepLines w:val="0"/>
              <w:pageBreakBefore w:val="0"/>
              <w:numPr>
                <w:ilvl w:val="0"/>
                <w:numId w:val="18"/>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支持在移动端记录家访信息，包括学生家庭关系、养育情况、情绪状态等。</w:t>
            </w:r>
          </w:p>
          <w:p w14:paraId="0364445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2、发现并记录异常状况后会生成学生的预警信息，进入重点关注列表，提醒学校心理老师重点关注。</w:t>
            </w:r>
          </w:p>
          <w:p w14:paraId="010A5A7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3、数据自动同步PC管理端。</w:t>
            </w:r>
          </w:p>
        </w:tc>
      </w:tr>
      <w:tr w14:paraId="1F16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7F6B37C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7E5DF38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动态反馈</w:t>
            </w:r>
          </w:p>
        </w:tc>
        <w:tc>
          <w:tcPr>
            <w:tcW w:w="2860" w:type="pct"/>
          </w:tcPr>
          <w:p w14:paraId="473263DF">
            <w:pPr>
              <w:keepNext w:val="0"/>
              <w:keepLines w:val="0"/>
              <w:pageBreakBefore w:val="0"/>
              <w:numPr>
                <w:ilvl w:val="0"/>
                <w:numId w:val="19"/>
              </w:numPr>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支持在移动端实时记录学生的日常行为和在关键节点（比如考试临近、学业挫折、开学前后观察）的学生动态，实现数据的动态采集。</w:t>
            </w:r>
          </w:p>
          <w:p w14:paraId="69628B0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2、发现并记录异常状况后会生成学生的预警信息，进入重点关注列表，提醒学校心理老师重点关注。</w:t>
            </w:r>
          </w:p>
          <w:p w14:paraId="14624EB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3、数据自动同步PC管理端。</w:t>
            </w:r>
          </w:p>
        </w:tc>
      </w:tr>
      <w:tr w14:paraId="2A2C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vAlign w:val="center"/>
          </w:tcPr>
          <w:p w14:paraId="61B6D0F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p>
        </w:tc>
        <w:tc>
          <w:tcPr>
            <w:tcW w:w="1070" w:type="pct"/>
            <w:vAlign w:val="center"/>
          </w:tcPr>
          <w:p w14:paraId="495184E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r>
              <w:rPr>
                <w:rFonts w:hint="eastAsia" w:ascii="宋体" w:hAnsi="宋体" w:eastAsia="宋体" w:cs="宋体"/>
                <w:sz w:val="21"/>
                <w:szCs w:val="21"/>
              </w:rPr>
              <w:t>干预跟踪</w:t>
            </w:r>
          </w:p>
        </w:tc>
        <w:tc>
          <w:tcPr>
            <w:tcW w:w="2860" w:type="pct"/>
          </w:tcPr>
          <w:p w14:paraId="3BA81C6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1、在移动端可以查看重点关注列表中的学生，监督查看干预实施情况，包括是否定级、有哪些预警事项、预警时间等，从而掌握心理危机干预情况。</w:t>
            </w:r>
          </w:p>
          <w:p w14:paraId="4DB7DB3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2、支持学校心理老师在移动端对重点关注学生进行访谈定级或者调整预警等级。</w:t>
            </w:r>
          </w:p>
          <w:p w14:paraId="3189235F">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3、根据教师角色对预警学生实施不同的干预计划。校心理老师可对预警学生进行辅导谈话、在线转介、突发事件、多方会谈、复学会谈等操作，班主任可对预警学生进行定级生家访、谈心谈话等操作。支持在移动端查看干预记录。</w:t>
            </w:r>
          </w:p>
          <w:p w14:paraId="5B84F78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4、数据自动同步PC管理端。</w:t>
            </w:r>
          </w:p>
        </w:tc>
      </w:tr>
    </w:tbl>
    <w:p w14:paraId="3AA34B35">
      <w:pPr>
        <w:pageBreakBefore w:val="0"/>
        <w:kinsoku/>
        <w:wordWrap/>
        <w:overflowPunct/>
        <w:topLinePunct w:val="0"/>
        <w:autoSpaceDE/>
        <w:autoSpaceDN/>
        <w:bidi w:val="0"/>
        <w:adjustRightInd/>
        <w:spacing w:line="288" w:lineRule="auto"/>
        <w:ind w:left="0"/>
        <w:rPr>
          <w:rFonts w:hint="eastAsia" w:ascii="宋体" w:hAnsi="宋体" w:eastAsia="宋体" w:cs="宋体"/>
          <w:sz w:val="21"/>
          <w:szCs w:val="21"/>
        </w:rPr>
      </w:pPr>
    </w:p>
    <w:p w14:paraId="43F3C1D7">
      <w:pPr>
        <w:pageBreakBefore w:val="0"/>
        <w:kinsoku/>
        <w:wordWrap/>
        <w:overflowPunct/>
        <w:topLinePunct w:val="0"/>
        <w:autoSpaceDE/>
        <w:autoSpaceDN/>
        <w:bidi w:val="0"/>
        <w:adjustRightInd/>
        <w:snapToGrid w:val="0"/>
        <w:spacing w:line="288" w:lineRule="auto"/>
        <w:ind w:left="0" w:firstLine="422" w:firstLineChars="200"/>
        <w:outlineLvl w:val="3"/>
        <w:rPr>
          <w:rFonts w:hint="eastAsia" w:ascii="宋体" w:hAnsi="宋体" w:eastAsia="宋体" w:cs="宋体"/>
          <w:b/>
          <w:bCs/>
          <w:snapToGrid w:val="0"/>
          <w:kern w:val="0"/>
          <w:sz w:val="21"/>
          <w:szCs w:val="21"/>
          <w:lang w:eastAsia="zh-CN"/>
        </w:rPr>
      </w:pPr>
      <w:bookmarkStart w:id="40" w:name="OLE_LINK77"/>
      <w:r>
        <w:rPr>
          <w:rFonts w:hint="eastAsia" w:ascii="宋体" w:hAnsi="宋体" w:eastAsia="宋体" w:cs="宋体"/>
          <w:b/>
          <w:bCs/>
          <w:snapToGrid w:val="0"/>
          <w:kern w:val="0"/>
          <w:sz w:val="21"/>
          <w:szCs w:val="21"/>
        </w:rPr>
        <w:t>3.3 AI算法服务</w:t>
      </w:r>
      <w:r>
        <w:rPr>
          <w:rFonts w:hint="eastAsia" w:ascii="宋体" w:hAnsi="宋体" w:eastAsia="宋体" w:cs="宋体"/>
          <w:b/>
          <w:bCs/>
          <w:snapToGrid w:val="0"/>
          <w:kern w:val="0"/>
          <w:sz w:val="21"/>
          <w:szCs w:val="21"/>
          <w:lang w:eastAsia="zh-CN"/>
        </w:rPr>
        <w:t>：</w:t>
      </w:r>
    </w:p>
    <w:bookmarkEnd w:id="40"/>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061"/>
        <w:gridCol w:w="5508"/>
      </w:tblGrid>
      <w:tr w14:paraId="63AF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14:paraId="168220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功能模块</w:t>
            </w:r>
          </w:p>
        </w:tc>
        <w:tc>
          <w:tcPr>
            <w:tcW w:w="1070" w:type="pct"/>
          </w:tcPr>
          <w:p w14:paraId="7E539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子模块</w:t>
            </w:r>
          </w:p>
        </w:tc>
        <w:tc>
          <w:tcPr>
            <w:tcW w:w="2860" w:type="pct"/>
          </w:tcPr>
          <w:p w14:paraId="349CC8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功能描述</w:t>
            </w:r>
          </w:p>
        </w:tc>
      </w:tr>
      <w:tr w14:paraId="4DA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vAlign w:val="center"/>
          </w:tcPr>
          <w:p w14:paraId="7C3C05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sz w:val="21"/>
                <w:szCs w:val="21"/>
              </w:rPr>
            </w:pPr>
            <w:bookmarkStart w:id="41" w:name="_Hlk186745324"/>
            <w:r>
              <w:rPr>
                <w:rFonts w:hint="eastAsia" w:ascii="宋体" w:hAnsi="宋体" w:eastAsia="宋体" w:cs="宋体"/>
                <w:sz w:val="21"/>
                <w:szCs w:val="21"/>
              </w:rPr>
              <w:t>AI行为分析算法服务×5年</w:t>
            </w:r>
          </w:p>
        </w:tc>
        <w:tc>
          <w:tcPr>
            <w:tcW w:w="1070" w:type="pct"/>
            <w:vAlign w:val="center"/>
          </w:tcPr>
          <w:p w14:paraId="341C49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AI行为分析算法服务×5年</w:t>
            </w:r>
          </w:p>
        </w:tc>
        <w:tc>
          <w:tcPr>
            <w:tcW w:w="2860" w:type="pct"/>
          </w:tcPr>
          <w:p w14:paraId="5F8C42D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firstLine="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系统需具体行为筛查的功能。通过监控视频设备，运用视觉计算引擎、算法模型库等技术，对监控视频流进行计算与分析，结合行为轨迹和标定场数据，识别危险禁区与危险行为，挖掘学生行为隐藏的心理数据。</w:t>
            </w:r>
          </w:p>
          <w:p w14:paraId="18E1FB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firstLine="0" w:firstLineChars="0"/>
              <w:jc w:val="both"/>
              <w:textAlignment w:val="auto"/>
              <w:rPr>
                <w:rFonts w:hint="eastAsia" w:ascii="宋体" w:hAnsi="宋体" w:eastAsia="宋体" w:cs="宋体"/>
                <w:b/>
                <w:bCs/>
                <w:kern w:val="2"/>
                <w:sz w:val="21"/>
                <w:szCs w:val="21"/>
                <w:lang w:val="en-US" w:eastAsia="zh-CN" w:bidi="ar-SA"/>
              </w:rPr>
            </w:pPr>
            <w:bookmarkStart w:id="42" w:name="OLE_LINK4"/>
            <w:r>
              <w:rPr>
                <w:rFonts w:hint="eastAsia" w:ascii="宋体" w:hAnsi="宋体" w:eastAsia="宋体" w:cs="宋体"/>
                <w:b/>
                <w:bCs/>
                <w:kern w:val="2"/>
                <w:sz w:val="21"/>
                <w:szCs w:val="21"/>
                <w:lang w:val="en-US" w:eastAsia="zh-CN" w:bidi="ar-SA"/>
              </w:rPr>
              <w:t>一、算法支持</w:t>
            </w:r>
          </w:p>
          <w:p w14:paraId="621D77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leftChars="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1.人脸识别：学生正常通过摄像头，人脸偏转角度要内，人脸图像肉眼可分辨，排除到不能抓常情况（如故意低头，帽子口罩导致的严等）。</w:t>
            </w:r>
          </w:p>
          <w:p w14:paraId="20136C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leftChars="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2.周界入侵：识别图片中行人跨线或进入指定区域的行为。</w:t>
            </w:r>
          </w:p>
          <w:p w14:paraId="023E92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leftChars="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区域徘徊：通过在视频画面中预设周多边形界区域信息，同时设置对应区域内的停留时长阈值（如：5min）（调用接口文档中的【可疑徘徊】能力），算法通过识别多边形区域内的人员停留时长超过阈值时，则触发判定，进行告警信息上报。</w:t>
            </w:r>
          </w:p>
          <w:p w14:paraId="3D1904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leftChars="0" w:right="0"/>
              <w:jc w:val="both"/>
              <w:textAlignment w:val="auto"/>
              <w:rPr>
                <w:rFonts w:hint="eastAsia" w:ascii="宋体" w:hAnsi="宋体" w:eastAsia="宋体" w:cs="宋体"/>
                <w:kern w:val="2"/>
                <w:sz w:val="21"/>
                <w:szCs w:val="21"/>
                <w:lang w:val="en-US" w:eastAsia="zh-CN" w:bidi="ar-SA"/>
              </w:rPr>
            </w:pPr>
            <w:bookmarkStart w:id="43" w:name="OLE_LINK5"/>
            <w:bookmarkStart w:id="44" w:name="OLE_LINK1"/>
            <w:r>
              <w:rPr>
                <w:rFonts w:hint="eastAsia" w:ascii="宋体" w:hAnsi="宋体" w:eastAsia="宋体" w:cs="宋体"/>
                <w:kern w:val="2"/>
                <w:sz w:val="21"/>
                <w:szCs w:val="21"/>
                <w:lang w:val="en-US" w:eastAsia="zh-CN" w:bidi="ar-SA"/>
              </w:rPr>
              <w:t>4.奔跑追逐：跟踪分析视频中是否存在有人奔跑，或有追逐（两个或两个以上靠近的人在奔跑），有追逐即预警</w:t>
            </w:r>
            <w:bookmarkEnd w:id="43"/>
            <w:bookmarkEnd w:id="44"/>
            <w:r>
              <w:rPr>
                <w:rFonts w:hint="eastAsia" w:ascii="宋体" w:hAnsi="宋体" w:eastAsia="宋体" w:cs="宋体"/>
                <w:kern w:val="2"/>
                <w:sz w:val="21"/>
                <w:szCs w:val="21"/>
                <w:lang w:val="en-US" w:eastAsia="zh-CN" w:bidi="ar-SA"/>
              </w:rPr>
              <w:t>。</w:t>
            </w:r>
          </w:p>
          <w:p w14:paraId="5DE82F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leftChars="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5.动作分析：奔跑、追逐、摔倒、周界入侵、人群聚集5项能力平均准确率为85%以上；翻墙检测：通用场景下，80%以上。</w:t>
            </w:r>
          </w:p>
          <w:p w14:paraId="1D37BE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leftChars="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eastAsia="宋体" w:cs="宋体"/>
                <w:kern w:val="2"/>
                <w:sz w:val="21"/>
                <w:szCs w:val="21"/>
                <w:lang w:val="en-GB" w:eastAsia="zh-CN" w:bidi="ar-SA"/>
              </w:rPr>
              <w:t>人体关键点检测：</w:t>
            </w:r>
            <w:r>
              <w:rPr>
                <w:rFonts w:hint="eastAsia" w:ascii="宋体" w:hAnsi="宋体" w:eastAsia="宋体" w:cs="宋体"/>
                <w:kern w:val="2"/>
                <w:sz w:val="21"/>
                <w:szCs w:val="21"/>
                <w:lang w:val="en-US" w:eastAsia="zh-CN" w:bidi="ar-SA"/>
              </w:rPr>
              <w:t>通过精准定位人体的主要关键点，包含头顶、五官、颈部、四肢主要关节部位；支持人体背面、侧面、中低空斜拍、大动作等复杂场景，识别孩子危险行为动作。如翻越、奔跑等行为。</w:t>
            </w:r>
          </w:p>
          <w:p w14:paraId="18D019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leftChars="0" w:right="0"/>
              <w:jc w:val="both"/>
              <w:textAlignment w:val="auto"/>
              <w:rPr>
                <w:rFonts w:hint="eastAsia" w:ascii="宋体" w:hAnsi="宋体" w:eastAsia="宋体" w:cs="宋体"/>
                <w:kern w:val="2"/>
                <w:sz w:val="21"/>
                <w:szCs w:val="21"/>
                <w:lang w:val="en-GB" w:eastAsia="zh-CN" w:bidi="ar-SA"/>
              </w:rPr>
            </w:pPr>
            <w:r>
              <w:rPr>
                <w:rFonts w:hint="eastAsia" w:ascii="宋体" w:hAnsi="宋体" w:eastAsia="宋体" w:cs="宋体"/>
                <w:kern w:val="2"/>
                <w:sz w:val="21"/>
                <w:szCs w:val="21"/>
                <w:lang w:val="en-US" w:eastAsia="zh-CN" w:bidi="ar-SA"/>
              </w:rPr>
              <w:t>7.</w:t>
            </w:r>
            <w:r>
              <w:rPr>
                <w:rFonts w:hint="eastAsia" w:ascii="宋体" w:hAnsi="宋体" w:eastAsia="宋体" w:cs="宋体"/>
                <w:kern w:val="2"/>
                <w:sz w:val="21"/>
                <w:szCs w:val="21"/>
                <w:lang w:val="en-GB" w:eastAsia="zh-CN" w:bidi="ar-SA"/>
              </w:rPr>
              <w:t>轨迹检索：</w:t>
            </w:r>
            <w:r>
              <w:rPr>
                <w:rFonts w:hint="eastAsia" w:ascii="宋体" w:hAnsi="宋体" w:eastAsia="宋体" w:cs="宋体"/>
                <w:kern w:val="2"/>
                <w:sz w:val="21"/>
                <w:szCs w:val="21"/>
                <w:lang w:val="en-US" w:eastAsia="zh-CN" w:bidi="ar-SA"/>
              </w:rPr>
              <w:t>通过输入查询的学校、年级班级、姓名、时间区间、目标人员是否穿校服、配置相似度阈值（0～1之间的正数），调用接口进行查询与上传搜索目标图片相似的人物在服务器关联摄像头下出现的【时间点】、【图片信息】、【设备ID】。</w:t>
            </w:r>
            <w:bookmarkEnd w:id="42"/>
          </w:p>
          <w:p w14:paraId="3EF06B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textAlignment w:val="auto"/>
              <w:rPr>
                <w:rFonts w:hint="eastAsia" w:ascii="宋体" w:hAnsi="宋体" w:eastAsia="宋体" w:cs="宋体"/>
                <w:b/>
                <w:bCs/>
                <w:sz w:val="21"/>
                <w:szCs w:val="21"/>
              </w:rPr>
            </w:pPr>
            <w:r>
              <w:rPr>
                <w:rFonts w:hint="eastAsia" w:ascii="宋体" w:hAnsi="宋体" w:eastAsia="宋体" w:cs="宋体"/>
                <w:b/>
                <w:bCs/>
                <w:sz w:val="21"/>
                <w:szCs w:val="21"/>
              </w:rPr>
              <w:t>二、功能</w:t>
            </w:r>
          </w:p>
          <w:p w14:paraId="65EDF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bidi="ar"/>
              </w:rPr>
              <w:t>异常行为预警及处理</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SA"/>
              </w:rPr>
              <w:t>检测学生奔跑，追逐，摔倒，翻墙，人群聚集行为进行预警，上报告警快照数据，支持视频片段截取；并发送消息通知相关负责人进行处理，支持钉钉消息和短信。相关负责人填写处理意见及是否需要预警并后续进行跟踪干预等</w:t>
            </w:r>
          </w:p>
          <w:p w14:paraId="39C375D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firstLine="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SA"/>
              </w:rPr>
              <w:t>2.重点人员布控：</w:t>
            </w:r>
            <w:r>
              <w:rPr>
                <w:rFonts w:hint="eastAsia" w:ascii="宋体" w:hAnsi="宋体" w:eastAsia="宋体" w:cs="宋体"/>
                <w:kern w:val="2"/>
                <w:sz w:val="21"/>
                <w:szCs w:val="21"/>
                <w:lang w:val="en-US" w:eastAsia="zh-CN" w:bidi="ar-SA"/>
              </w:rPr>
              <w:t>普筛后预警名单或老师日常发现的需要重点关注的人员可一键设置为重点人员，通过摄像头进行人脸抓拍，命中人脸库进行预警，</w:t>
            </w:r>
            <w:r>
              <w:rPr>
                <w:rFonts w:hint="eastAsia" w:ascii="宋体" w:hAnsi="宋体" w:eastAsia="宋体" w:cs="宋体"/>
                <w:kern w:val="2"/>
                <w:sz w:val="21"/>
                <w:szCs w:val="21"/>
                <w:lang w:val="en-US" w:eastAsia="zh-Hans" w:bidi="ar-SA"/>
              </w:rPr>
              <w:t>当</w:t>
            </w:r>
            <w:r>
              <w:rPr>
                <w:rFonts w:hint="eastAsia" w:ascii="宋体" w:hAnsi="宋体" w:eastAsia="宋体" w:cs="宋体"/>
                <w:kern w:val="2"/>
                <w:sz w:val="21"/>
                <w:szCs w:val="21"/>
                <w:lang w:val="en-US" w:eastAsia="zh-CN" w:bidi="ar-SA"/>
              </w:rPr>
              <w:t>产生预警行为时，可通过第一时间上报的告警快照/片段视频进行事件查看，结合快照时间点进行时间区间判断，同时通过获取当前事件中的人体信息数据，结合轨迹查询功能，查看到当事人的相关行为轨迹，溯源目的；</w:t>
            </w:r>
          </w:p>
          <w:p w14:paraId="690AE15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firstLine="0"/>
              <w:jc w:val="left"/>
              <w:textAlignment w:val="auto"/>
              <w:rPr>
                <w:rFonts w:hint="eastAsia" w:ascii="宋体" w:hAnsi="宋体" w:eastAsia="宋体" w:cs="宋体"/>
                <w:kern w:val="2"/>
                <w:sz w:val="21"/>
                <w:szCs w:val="21"/>
                <w:lang w:val="en-GB" w:eastAsia="zh-CN" w:bidi="ar-SA"/>
              </w:rPr>
            </w:pPr>
            <w:r>
              <w:rPr>
                <w:rFonts w:hint="eastAsia" w:ascii="宋体" w:hAnsi="宋体" w:eastAsia="宋体" w:cs="宋体"/>
                <w:kern w:val="0"/>
                <w:sz w:val="21"/>
                <w:szCs w:val="21"/>
                <w:lang w:val="en-US" w:eastAsia="zh-CN" w:bidi="ar-SA"/>
              </w:rPr>
              <w:t>3.行为分析：</w:t>
            </w:r>
            <w:r>
              <w:rPr>
                <w:rFonts w:hint="eastAsia" w:ascii="宋体" w:hAnsi="宋体" w:eastAsia="宋体" w:cs="宋体"/>
                <w:kern w:val="2"/>
                <w:sz w:val="21"/>
                <w:szCs w:val="21"/>
                <w:lang w:val="en-US" w:eastAsia="zh-Hans" w:bidi="ar-SA"/>
              </w:rPr>
              <w:t>通过</w:t>
            </w:r>
            <w:r>
              <w:rPr>
                <w:rFonts w:hint="eastAsia" w:ascii="宋体" w:hAnsi="宋体" w:eastAsia="宋体" w:cs="宋体"/>
                <w:kern w:val="2"/>
                <w:sz w:val="21"/>
                <w:szCs w:val="21"/>
                <w:lang w:val="en-US" w:eastAsia="zh-CN" w:bidi="ar-SA"/>
              </w:rPr>
              <w:t>对视频画面中的人脸识别、人体识别、动作行为、区域检测以及特定人群进行分析识别，提供周界入侵、周界入侵（翻越）、可疑徘徊、人员轨迹、人群聚集、奔跑追逐、黑名单告警7大能力安防能力，超过相似度阈值则触发判定，进行告警信息上报。并形成不同维度的数据统计和查询。</w:t>
            </w:r>
          </w:p>
        </w:tc>
      </w:tr>
      <w:bookmarkEnd w:id="41"/>
    </w:tbl>
    <w:p w14:paraId="61660681">
      <w:pPr>
        <w:keepNext w:val="0"/>
        <w:keepLines w:val="0"/>
        <w:pageBreakBefore w:val="0"/>
        <w:widowControl w:val="0"/>
        <w:kinsoku/>
        <w:wordWrap/>
        <w:overflowPunct/>
        <w:topLinePunct w:val="0"/>
        <w:autoSpaceDE/>
        <w:autoSpaceDN/>
        <w:bidi w:val="0"/>
        <w:adjustRightInd w:val="0"/>
        <w:spacing w:line="288" w:lineRule="auto"/>
        <w:jc w:val="both"/>
        <w:textAlignment w:val="auto"/>
        <w:rPr>
          <w:rFonts w:hint="eastAsia" w:ascii="宋体" w:hAnsi="宋体" w:cs="宋体"/>
          <w:color w:val="auto"/>
          <w:highlight w:val="none"/>
          <w:lang w:val="en-US" w:eastAsia="zh-CN"/>
        </w:rPr>
      </w:pPr>
    </w:p>
    <w:p w14:paraId="3ECD453B">
      <w:pPr>
        <w:keepNext w:val="0"/>
        <w:keepLines w:val="0"/>
        <w:pageBreakBefore w:val="0"/>
        <w:widowControl w:val="0"/>
        <w:kinsoku/>
        <w:wordWrap/>
        <w:overflowPunct/>
        <w:topLinePunct w:val="0"/>
        <w:autoSpaceDE/>
        <w:autoSpaceDN/>
        <w:bidi w:val="0"/>
        <w:adjustRightInd w:val="0"/>
        <w:spacing w:line="288" w:lineRule="auto"/>
        <w:jc w:val="both"/>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4.交付期：自合同签订之日起180日内交付。</w:t>
      </w:r>
    </w:p>
    <w:p w14:paraId="50C8BDF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章  评</w:t>
      </w:r>
      <w:r>
        <w:rPr>
          <w:rFonts w:hint="eastAsia" w:ascii="宋体" w:hAnsi="宋体" w:cs="宋体"/>
          <w:b/>
          <w:bCs/>
          <w:color w:val="auto"/>
          <w:sz w:val="36"/>
          <w:szCs w:val="36"/>
          <w:highlight w:val="none"/>
          <w:lang w:val="en-US" w:eastAsia="zh-CN"/>
        </w:rPr>
        <w:t>审</w:t>
      </w:r>
      <w:r>
        <w:rPr>
          <w:rFonts w:hint="eastAsia" w:ascii="宋体" w:hAnsi="宋体" w:eastAsia="宋体" w:cs="宋体"/>
          <w:b/>
          <w:bCs/>
          <w:color w:val="auto"/>
          <w:sz w:val="36"/>
          <w:szCs w:val="36"/>
          <w:highlight w:val="none"/>
        </w:rPr>
        <w:t>办法</w:t>
      </w:r>
    </w:p>
    <w:p w14:paraId="40657F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color w:val="auto"/>
          <w:sz w:val="36"/>
          <w:szCs w:val="36"/>
          <w:highlight w:val="none"/>
        </w:rPr>
      </w:pPr>
      <w:r>
        <w:rPr>
          <w:rFonts w:hint="eastAsia" w:ascii="宋体" w:hAnsi="宋体" w:cs="宋体"/>
          <w:b/>
          <w:bCs/>
          <w:color w:val="auto"/>
          <w:sz w:val="36"/>
          <w:szCs w:val="36"/>
          <w:highlight w:val="none"/>
        </w:rPr>
        <w:t>评</w:t>
      </w:r>
      <w:r>
        <w:rPr>
          <w:rFonts w:hint="eastAsia" w:ascii="宋体" w:hAnsi="宋体" w:cs="宋体"/>
          <w:b/>
          <w:bCs/>
          <w:color w:val="auto"/>
          <w:sz w:val="36"/>
          <w:szCs w:val="36"/>
          <w:highlight w:val="none"/>
          <w:lang w:val="en-US" w:eastAsia="zh-CN"/>
        </w:rPr>
        <w:t>审</w:t>
      </w:r>
      <w:r>
        <w:rPr>
          <w:rFonts w:hint="eastAsia" w:ascii="宋体" w:hAnsi="宋体" w:cs="宋体"/>
          <w:b/>
          <w:bCs/>
          <w:color w:val="auto"/>
          <w:sz w:val="36"/>
          <w:szCs w:val="36"/>
          <w:highlight w:val="none"/>
        </w:rPr>
        <w:t>办法前附表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4773"/>
        <w:gridCol w:w="695"/>
        <w:gridCol w:w="1282"/>
        <w:gridCol w:w="1789"/>
      </w:tblGrid>
      <w:tr w14:paraId="1C5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A405DA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73" w:type="dxa"/>
            <w:vAlign w:val="center"/>
          </w:tcPr>
          <w:p w14:paraId="2159AA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695" w:type="dxa"/>
            <w:vAlign w:val="center"/>
          </w:tcPr>
          <w:p w14:paraId="1A337BF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82" w:type="dxa"/>
            <w:vAlign w:val="center"/>
          </w:tcPr>
          <w:p w14:paraId="6CAA799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20EA870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1789" w:type="dxa"/>
          </w:tcPr>
          <w:p w14:paraId="57F9927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49D8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1D038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73" w:type="dxa"/>
          </w:tcPr>
          <w:p w14:paraId="4B0AAAA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业绩：</w:t>
            </w:r>
          </w:p>
          <w:p w14:paraId="3119E10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自2022年1月以来（以合同签订日期为准）同类合同业绩，每提供一份得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分（同时提供合同和用户验收报告，否则不得分）。</w:t>
            </w:r>
          </w:p>
        </w:tc>
        <w:tc>
          <w:tcPr>
            <w:tcW w:w="695" w:type="dxa"/>
            <w:vAlign w:val="center"/>
          </w:tcPr>
          <w:p w14:paraId="60A94ED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82" w:type="dxa"/>
            <w:vAlign w:val="center"/>
          </w:tcPr>
          <w:p w14:paraId="6325B5A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789" w:type="dxa"/>
            <w:vAlign w:val="center"/>
          </w:tcPr>
          <w:p w14:paraId="791773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1CB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FA8FDC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73" w:type="dxa"/>
          </w:tcPr>
          <w:p w14:paraId="58AA1C1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响应程度：</w:t>
            </w:r>
          </w:p>
          <w:p w14:paraId="7538614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5A2D9EA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全部满足招标文件明确的</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rPr>
              <w:t>要求，该项得满分；</w:t>
            </w:r>
          </w:p>
          <w:p w14:paraId="4109128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w:t>
            </w:r>
            <w:r>
              <w:rPr>
                <w:rFonts w:hint="eastAsia" w:ascii="宋体" w:hAnsi="宋体" w:cs="宋体"/>
                <w:color w:val="auto"/>
                <w:sz w:val="21"/>
                <w:szCs w:val="21"/>
                <w:highlight w:val="none"/>
                <w:lang w:val="en-US" w:eastAsia="zh-CN"/>
              </w:rPr>
              <w:t>条款</w:t>
            </w:r>
            <w:r>
              <w:rPr>
                <w:rFonts w:hint="eastAsia" w:ascii="宋体" w:hAnsi="宋体" w:eastAsia="宋体" w:cs="宋体"/>
                <w:color w:val="auto"/>
                <w:sz w:val="21"/>
                <w:szCs w:val="21"/>
                <w:highlight w:val="none"/>
              </w:rPr>
              <w:t>低于</w:t>
            </w:r>
            <w:r>
              <w:rPr>
                <w:rFonts w:hint="eastAsia" w:ascii="宋体" w:hAnsi="宋体" w:cs="宋体"/>
                <w:color w:val="auto"/>
                <w:sz w:val="21"/>
                <w:szCs w:val="21"/>
                <w:highlight w:val="none"/>
                <w:lang w:val="en-US" w:eastAsia="zh-CN"/>
              </w:rPr>
              <w:t>技术要求</w:t>
            </w:r>
            <w:r>
              <w:rPr>
                <w:rFonts w:hint="eastAsia" w:ascii="宋体" w:hAnsi="宋体" w:eastAsia="宋体" w:cs="宋体"/>
                <w:color w:val="auto"/>
                <w:sz w:val="21"/>
                <w:szCs w:val="21"/>
                <w:highlight w:val="none"/>
              </w:rPr>
              <w:t>（负偏离）的，每项扣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695" w:type="dxa"/>
            <w:vAlign w:val="center"/>
          </w:tcPr>
          <w:p w14:paraId="2092C65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282" w:type="dxa"/>
            <w:vAlign w:val="center"/>
          </w:tcPr>
          <w:p w14:paraId="2243743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789" w:type="dxa"/>
            <w:vAlign w:val="center"/>
          </w:tcPr>
          <w:p w14:paraId="7621E00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4A0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88" w:type="dxa"/>
            <w:vAlign w:val="center"/>
          </w:tcPr>
          <w:p w14:paraId="42545F2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773" w:type="dxa"/>
            <w:vAlign w:val="center"/>
          </w:tcPr>
          <w:p w14:paraId="65557EB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项目理解：</w:t>
            </w:r>
          </w:p>
          <w:p w14:paraId="2A170BC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供应商针对本项目的建设内容的理解的针对性、全面性（评分范围：</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3,2,1,0）。</w:t>
            </w:r>
          </w:p>
        </w:tc>
        <w:tc>
          <w:tcPr>
            <w:tcW w:w="695" w:type="dxa"/>
            <w:vAlign w:val="center"/>
          </w:tcPr>
          <w:p w14:paraId="7AB46E6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2" w:type="dxa"/>
            <w:vAlign w:val="center"/>
          </w:tcPr>
          <w:p w14:paraId="4057244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789" w:type="dxa"/>
            <w:vAlign w:val="center"/>
          </w:tcPr>
          <w:p w14:paraId="4E4CC58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p>
        </w:tc>
      </w:tr>
      <w:tr w14:paraId="1898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7" w:type="dxa"/>
            <w:gridSpan w:val="5"/>
            <w:vAlign w:val="center"/>
          </w:tcPr>
          <w:p w14:paraId="02109F5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4.技术服务方案</w:t>
            </w:r>
          </w:p>
        </w:tc>
      </w:tr>
      <w:tr w14:paraId="6C9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30B6B8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.1</w:t>
            </w:r>
          </w:p>
        </w:tc>
        <w:tc>
          <w:tcPr>
            <w:tcW w:w="4773" w:type="dxa"/>
            <w:vAlign w:val="center"/>
          </w:tcPr>
          <w:p w14:paraId="5A3BF8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w:t>
            </w:r>
            <w:r>
              <w:rPr>
                <w:rFonts w:hint="eastAsia" w:ascii="宋体" w:hAnsi="宋体" w:cs="宋体"/>
                <w:color w:val="auto"/>
                <w:sz w:val="21"/>
                <w:szCs w:val="21"/>
                <w:highlight w:val="none"/>
                <w:lang w:val="en-US" w:eastAsia="zh-CN"/>
              </w:rPr>
              <w:t>针对安全保障要求提供的技术服务方案的针对性、可行性（评分范围：5,4,3,2,1,0）。</w:t>
            </w:r>
          </w:p>
        </w:tc>
        <w:tc>
          <w:tcPr>
            <w:tcW w:w="695" w:type="dxa"/>
            <w:vAlign w:val="center"/>
          </w:tcPr>
          <w:p w14:paraId="79D364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2" w:type="dxa"/>
            <w:vAlign w:val="center"/>
          </w:tcPr>
          <w:p w14:paraId="5F86BCB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1520A9A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40E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7D5CFB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4773" w:type="dxa"/>
            <w:vAlign w:val="center"/>
          </w:tcPr>
          <w:p w14:paraId="46F92CD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供应商针对等保密评要求提供的技术服务方案的针对性、可行性（评分范围：5,4,3,2,1,0）。</w:t>
            </w:r>
          </w:p>
        </w:tc>
        <w:tc>
          <w:tcPr>
            <w:tcW w:w="695" w:type="dxa"/>
            <w:vAlign w:val="center"/>
          </w:tcPr>
          <w:p w14:paraId="42333D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2" w:type="dxa"/>
            <w:vAlign w:val="center"/>
          </w:tcPr>
          <w:p w14:paraId="63BB8B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36D1667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0AB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9FAE6D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4773" w:type="dxa"/>
            <w:vAlign w:val="center"/>
          </w:tcPr>
          <w:p w14:paraId="123508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供应商针对平台性能要求提供的服务方案的针对性、可行性（评分范围：5,4,3,2,1,0）。</w:t>
            </w:r>
          </w:p>
        </w:tc>
        <w:tc>
          <w:tcPr>
            <w:tcW w:w="695" w:type="dxa"/>
            <w:vAlign w:val="center"/>
          </w:tcPr>
          <w:p w14:paraId="12FB1E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2" w:type="dxa"/>
            <w:vAlign w:val="center"/>
          </w:tcPr>
          <w:p w14:paraId="7334FB5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0FBB544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1DC6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7" w:type="dxa"/>
            <w:gridSpan w:val="5"/>
            <w:vAlign w:val="center"/>
          </w:tcPr>
          <w:p w14:paraId="3F6285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5.开发方案</w:t>
            </w:r>
          </w:p>
        </w:tc>
      </w:tr>
      <w:tr w14:paraId="58D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76B78E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4773" w:type="dxa"/>
            <w:vAlign w:val="center"/>
          </w:tcPr>
          <w:p w14:paraId="3311752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供应商针对重点学生AI行为分析预警应用提供的开发方案的针对性、可行性（评分范围：5,4,3,2,1,0）。</w:t>
            </w:r>
          </w:p>
        </w:tc>
        <w:tc>
          <w:tcPr>
            <w:tcW w:w="695" w:type="dxa"/>
            <w:vAlign w:val="center"/>
          </w:tcPr>
          <w:p w14:paraId="66D67CA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2" w:type="dxa"/>
            <w:vAlign w:val="center"/>
          </w:tcPr>
          <w:p w14:paraId="5B05A6D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377C851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389E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9FC643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w:t>
            </w:r>
          </w:p>
        </w:tc>
        <w:tc>
          <w:tcPr>
            <w:tcW w:w="4773" w:type="dxa"/>
            <w:vAlign w:val="center"/>
          </w:tcPr>
          <w:p w14:paraId="06FB313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供应商针对一体化心理综合管理平台提供的开发方案的针对性、可行性（评分范围：5,4,3,2,1,0）。</w:t>
            </w:r>
          </w:p>
        </w:tc>
        <w:tc>
          <w:tcPr>
            <w:tcW w:w="695" w:type="dxa"/>
            <w:shd w:val="clear" w:color="auto" w:fill="auto"/>
            <w:vAlign w:val="center"/>
          </w:tcPr>
          <w:p w14:paraId="40733B6C">
            <w:pPr>
              <w:keepNext w:val="0"/>
              <w:keepLines w:val="0"/>
              <w:widowControl w:val="0"/>
              <w:suppressLineNumbers w:val="0"/>
              <w:autoSpaceDE w:val="0"/>
              <w:autoSpaceDN/>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5</w:t>
            </w:r>
          </w:p>
        </w:tc>
        <w:tc>
          <w:tcPr>
            <w:tcW w:w="1282" w:type="dxa"/>
            <w:shd w:val="clear" w:color="auto" w:fill="auto"/>
            <w:vAlign w:val="center"/>
          </w:tcPr>
          <w:p w14:paraId="73F7EDC1">
            <w:pPr>
              <w:keepNext w:val="0"/>
              <w:keepLines w:val="0"/>
              <w:widowControl w:val="0"/>
              <w:suppressLineNumbers w:val="0"/>
              <w:autoSpaceDE w:val="0"/>
              <w:autoSpaceDN/>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主观分</w:t>
            </w:r>
          </w:p>
        </w:tc>
        <w:tc>
          <w:tcPr>
            <w:tcW w:w="1789" w:type="dxa"/>
            <w:vAlign w:val="center"/>
          </w:tcPr>
          <w:p w14:paraId="4A97678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317A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D79C89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w:t>
            </w:r>
          </w:p>
        </w:tc>
        <w:tc>
          <w:tcPr>
            <w:tcW w:w="4773" w:type="dxa"/>
            <w:vAlign w:val="center"/>
          </w:tcPr>
          <w:p w14:paraId="3B82B97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供应商针对AI算法服务提供的开发方案的针对性、可行性（评分范围：5,4,3,2,1,0）。</w:t>
            </w:r>
          </w:p>
        </w:tc>
        <w:tc>
          <w:tcPr>
            <w:tcW w:w="695" w:type="dxa"/>
            <w:shd w:val="clear" w:color="auto" w:fill="auto"/>
            <w:vAlign w:val="center"/>
          </w:tcPr>
          <w:p w14:paraId="1DDAAD83">
            <w:pPr>
              <w:keepNext w:val="0"/>
              <w:keepLines w:val="0"/>
              <w:widowControl w:val="0"/>
              <w:suppressLineNumbers w:val="0"/>
              <w:autoSpaceDE w:val="0"/>
              <w:autoSpaceDN/>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5</w:t>
            </w:r>
          </w:p>
        </w:tc>
        <w:tc>
          <w:tcPr>
            <w:tcW w:w="1282" w:type="dxa"/>
            <w:shd w:val="clear" w:color="auto" w:fill="auto"/>
            <w:vAlign w:val="center"/>
          </w:tcPr>
          <w:p w14:paraId="3387BF11">
            <w:pPr>
              <w:keepNext w:val="0"/>
              <w:keepLines w:val="0"/>
              <w:widowControl w:val="0"/>
              <w:suppressLineNumbers w:val="0"/>
              <w:autoSpaceDE w:val="0"/>
              <w:autoSpaceDN/>
              <w:adjustRightInd w:val="0"/>
              <w:snapToGri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主观分</w:t>
            </w:r>
          </w:p>
        </w:tc>
        <w:tc>
          <w:tcPr>
            <w:tcW w:w="1789" w:type="dxa"/>
            <w:vAlign w:val="center"/>
          </w:tcPr>
          <w:p w14:paraId="3ECE953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5647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96E18B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773" w:type="dxa"/>
            <w:vAlign w:val="top"/>
          </w:tcPr>
          <w:p w14:paraId="0813D087">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cs="宋体"/>
                <w:kern w:val="2"/>
                <w:sz w:val="21"/>
                <w:szCs w:val="21"/>
                <w:lang w:val="en-US" w:eastAsia="zh-CN" w:bidi="ar"/>
              </w:rPr>
            </w:pPr>
            <w:r>
              <w:rPr>
                <w:rFonts w:hint="eastAsia" w:ascii="宋体" w:hAnsi="宋体" w:cs="宋体"/>
                <w:b/>
                <w:bCs/>
                <w:kern w:val="2"/>
                <w:sz w:val="21"/>
                <w:szCs w:val="21"/>
                <w:lang w:val="en-US" w:eastAsia="zh-CN" w:bidi="ar"/>
              </w:rPr>
              <w:t>拟投入人员：</w:t>
            </w:r>
          </w:p>
          <w:p w14:paraId="4DBB4BC0">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cs="宋体"/>
                <w:kern w:val="2"/>
                <w:sz w:val="21"/>
                <w:szCs w:val="21"/>
                <w:lang w:val="en-US" w:eastAsia="zh-CN" w:bidi="ar"/>
              </w:rPr>
              <w:t>供应商</w:t>
            </w:r>
            <w:r>
              <w:rPr>
                <w:rFonts w:hint="eastAsia" w:ascii="宋体" w:hAnsi="宋体" w:eastAsia="宋体" w:cs="宋体"/>
                <w:kern w:val="2"/>
                <w:sz w:val="21"/>
                <w:szCs w:val="21"/>
                <w:lang w:val="en-US" w:eastAsia="zh-CN" w:bidi="ar"/>
              </w:rPr>
              <w:t>拟投入本项目人员的资质、履历、同类项目经验情况（评分范围：5,4,3,2,1,0）。</w:t>
            </w:r>
          </w:p>
        </w:tc>
        <w:tc>
          <w:tcPr>
            <w:tcW w:w="695" w:type="dxa"/>
            <w:vAlign w:val="center"/>
          </w:tcPr>
          <w:p w14:paraId="66C2098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82" w:type="dxa"/>
            <w:vAlign w:val="center"/>
          </w:tcPr>
          <w:p w14:paraId="5991EC1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546CE4A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0B1A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8DF5E0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4773" w:type="dxa"/>
            <w:vAlign w:val="center"/>
          </w:tcPr>
          <w:p w14:paraId="3B39CD01">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cs="宋体"/>
                <w:b/>
                <w:bCs/>
                <w:kern w:val="2"/>
                <w:sz w:val="21"/>
                <w:szCs w:val="21"/>
                <w:lang w:val="en-US" w:eastAsia="zh-CN" w:bidi="ar"/>
              </w:rPr>
            </w:pPr>
            <w:r>
              <w:rPr>
                <w:rFonts w:hint="eastAsia" w:ascii="宋体" w:hAnsi="宋体" w:cs="宋体"/>
                <w:b/>
                <w:bCs/>
                <w:kern w:val="2"/>
                <w:sz w:val="21"/>
                <w:szCs w:val="21"/>
                <w:lang w:val="en-US" w:eastAsia="zh-CN" w:bidi="ar"/>
              </w:rPr>
              <w:t>培训方案：</w:t>
            </w:r>
          </w:p>
          <w:p w14:paraId="2248A6A8">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
              </w:rPr>
              <w:t>供应商针对本项目提供的培训方案的针对性、可行性（评分范围：5,4,3,2,1,0）。</w:t>
            </w:r>
          </w:p>
        </w:tc>
        <w:tc>
          <w:tcPr>
            <w:tcW w:w="695" w:type="dxa"/>
            <w:vAlign w:val="center"/>
          </w:tcPr>
          <w:p w14:paraId="5D1E2D4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82" w:type="dxa"/>
            <w:vAlign w:val="center"/>
          </w:tcPr>
          <w:p w14:paraId="1969140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54ABB8B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53E5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6A0F34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773" w:type="dxa"/>
            <w:vAlign w:val="center"/>
          </w:tcPr>
          <w:p w14:paraId="3A3EA4A2">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cs="宋体"/>
                <w:b/>
                <w:bCs/>
                <w:kern w:val="2"/>
                <w:sz w:val="21"/>
                <w:szCs w:val="21"/>
                <w:lang w:val="en-US" w:eastAsia="zh-CN" w:bidi="ar"/>
              </w:rPr>
            </w:pPr>
            <w:r>
              <w:rPr>
                <w:rFonts w:hint="eastAsia" w:ascii="宋体" w:hAnsi="宋体" w:eastAsia="宋体" w:cs="宋体"/>
                <w:b/>
                <w:bCs/>
                <w:kern w:val="2"/>
                <w:sz w:val="21"/>
                <w:szCs w:val="21"/>
                <w:lang w:val="en-US" w:eastAsia="zh-CN" w:bidi="ar"/>
              </w:rPr>
              <w:t>质量保证方案</w:t>
            </w:r>
            <w:r>
              <w:rPr>
                <w:rFonts w:hint="eastAsia" w:ascii="宋体" w:hAnsi="宋体" w:cs="宋体"/>
                <w:b/>
                <w:bCs/>
                <w:kern w:val="2"/>
                <w:sz w:val="21"/>
                <w:szCs w:val="21"/>
                <w:lang w:val="en-US" w:eastAsia="zh-CN" w:bidi="ar"/>
              </w:rPr>
              <w:t>：</w:t>
            </w:r>
          </w:p>
          <w:p w14:paraId="1683CCE6">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
              </w:rPr>
              <w:t>供应商针对本项目提供的质量保证方案的针对性、可行性（评分范围：5,4,3,2,1,0）。</w:t>
            </w:r>
          </w:p>
        </w:tc>
        <w:tc>
          <w:tcPr>
            <w:tcW w:w="695" w:type="dxa"/>
            <w:vAlign w:val="center"/>
          </w:tcPr>
          <w:p w14:paraId="0A73F61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82" w:type="dxa"/>
            <w:vAlign w:val="center"/>
          </w:tcPr>
          <w:p w14:paraId="033806F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20F24B6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7A12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BE08EA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773" w:type="dxa"/>
            <w:vAlign w:val="center"/>
          </w:tcPr>
          <w:p w14:paraId="52B010DE">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cs="宋体"/>
                <w:kern w:val="2"/>
                <w:sz w:val="21"/>
                <w:szCs w:val="21"/>
                <w:lang w:val="en-US" w:eastAsia="zh-CN" w:bidi="ar"/>
              </w:rPr>
            </w:pPr>
            <w:r>
              <w:rPr>
                <w:rFonts w:hint="eastAsia" w:ascii="宋体" w:hAnsi="宋体" w:eastAsia="宋体" w:cs="宋体"/>
                <w:b/>
                <w:bCs/>
                <w:kern w:val="2"/>
                <w:sz w:val="21"/>
                <w:szCs w:val="21"/>
                <w:lang w:val="en-US" w:eastAsia="zh-CN" w:bidi="ar"/>
              </w:rPr>
              <w:t>售后服务方案</w:t>
            </w:r>
            <w:r>
              <w:rPr>
                <w:rFonts w:hint="eastAsia" w:ascii="宋体" w:hAnsi="宋体" w:cs="宋体"/>
                <w:b/>
                <w:bCs/>
                <w:kern w:val="2"/>
                <w:sz w:val="21"/>
                <w:szCs w:val="21"/>
                <w:lang w:val="en-US" w:eastAsia="zh-CN" w:bidi="ar"/>
              </w:rPr>
              <w:t>：</w:t>
            </w:r>
          </w:p>
          <w:p w14:paraId="5B0FF615">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
              </w:rPr>
              <w:t>供应商针对本项目提供的售后服务方案的针对性、可行性（评分范围：5,4,3,2,1,0）。</w:t>
            </w:r>
          </w:p>
        </w:tc>
        <w:tc>
          <w:tcPr>
            <w:tcW w:w="695" w:type="dxa"/>
            <w:vAlign w:val="center"/>
          </w:tcPr>
          <w:p w14:paraId="0648882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82" w:type="dxa"/>
            <w:vAlign w:val="center"/>
          </w:tcPr>
          <w:p w14:paraId="74ED098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789" w:type="dxa"/>
            <w:vAlign w:val="center"/>
          </w:tcPr>
          <w:p w14:paraId="50F215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p>
        </w:tc>
      </w:tr>
      <w:tr w14:paraId="0B58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728259D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773" w:type="dxa"/>
          </w:tcPr>
          <w:p w14:paraId="200B2DC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330FE43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695" w:type="dxa"/>
            <w:vAlign w:val="center"/>
          </w:tcPr>
          <w:p w14:paraId="7E22BA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282" w:type="dxa"/>
            <w:vAlign w:val="center"/>
          </w:tcPr>
          <w:p w14:paraId="6E5D0DA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789" w:type="dxa"/>
            <w:vAlign w:val="center"/>
          </w:tcPr>
          <w:p w14:paraId="25290FA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48FD2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44B1225B">
      <w:pPr>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方法</w:t>
      </w:r>
    </w:p>
    <w:p w14:paraId="3EBF73BF">
      <w:pPr>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w:t>
      </w:r>
    </w:p>
    <w:p w14:paraId="784FE4B0">
      <w:pPr>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sz w:val="32"/>
          <w:szCs w:val="32"/>
          <w:highlight w:val="none"/>
        </w:rPr>
        <w:t>二、评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标准</w:t>
      </w:r>
    </w:p>
    <w:p w14:paraId="31F760C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w:t>
      </w:r>
      <w:r>
        <w:rPr>
          <w:rFonts w:hint="eastAsia" w:ascii="宋体" w:hAnsi="宋体" w:eastAsia="宋体" w:cs="宋体"/>
          <w:b/>
          <w:color w:val="auto"/>
          <w:sz w:val="21"/>
          <w:szCs w:val="21"/>
          <w:highlight w:val="none"/>
          <w:lang w:val="en-US" w:eastAsia="zh-CN"/>
        </w:rPr>
        <w:t>审</w:t>
      </w:r>
      <w:r>
        <w:rPr>
          <w:rFonts w:hint="eastAsia" w:ascii="宋体" w:hAnsi="宋体" w:eastAsia="宋体" w:cs="宋体"/>
          <w:b/>
          <w:color w:val="auto"/>
          <w:sz w:val="21"/>
          <w:szCs w:val="21"/>
          <w:highlight w:val="none"/>
        </w:rPr>
        <w:t>标准：</w:t>
      </w:r>
      <w:r>
        <w:rPr>
          <w:rFonts w:hint="eastAsia" w:ascii="宋体" w:hAnsi="宋体" w:eastAsia="宋体" w:cs="宋体"/>
          <w:color w:val="auto"/>
          <w:kern w:val="0"/>
          <w:sz w:val="21"/>
          <w:szCs w:val="21"/>
          <w:highlight w:val="none"/>
        </w:rPr>
        <w:t>见评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办法前附表。</w:t>
      </w:r>
    </w:p>
    <w:p w14:paraId="57576DFB">
      <w:pPr>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740C9F3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符合性审查。</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应当对符合资格的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进行符合性审查，以确定其是否满足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703012F">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方法和标准，对符合性审查合格的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进行商务和技术评估，综合比较与评价。</w:t>
      </w:r>
    </w:p>
    <w:p w14:paraId="497737E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汇总商务技术得分。</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各成员应当独立对每个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的商务和技术文件进行评价，并汇总商务技术得分情况。</w:t>
      </w:r>
    </w:p>
    <w:p w14:paraId="3EFAF13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报价评审。</w:t>
      </w:r>
    </w:p>
    <w:p w14:paraId="30DF7D23">
      <w:pPr>
        <w:pStyle w:val="17"/>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报价出现前后不一致的，按照下列规定修正：</w:t>
      </w:r>
    </w:p>
    <w:p w14:paraId="3A69FE9B">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报价表)内容与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中相应内容不一致的，以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(报价表)为准</w:t>
      </w:r>
      <w:r>
        <w:rPr>
          <w:rFonts w:hint="eastAsia" w:ascii="宋体" w:hAnsi="宋体" w:eastAsia="宋体" w:cs="宋体"/>
          <w:color w:val="auto"/>
          <w:kern w:val="0"/>
          <w:sz w:val="21"/>
          <w:szCs w:val="21"/>
          <w:highlight w:val="none"/>
          <w:lang w:eastAsia="zh-CN"/>
        </w:rPr>
        <w:t>；</w:t>
      </w:r>
    </w:p>
    <w:p w14:paraId="158248D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大写金额和小写金额不一致的，以大写金额为准</w:t>
      </w:r>
      <w:r>
        <w:rPr>
          <w:rFonts w:hint="eastAsia" w:ascii="宋体" w:hAnsi="宋体" w:eastAsia="宋体" w:cs="宋体"/>
          <w:color w:val="auto"/>
          <w:kern w:val="0"/>
          <w:sz w:val="21"/>
          <w:szCs w:val="21"/>
          <w:highlight w:val="none"/>
          <w:lang w:eastAsia="zh-CN"/>
        </w:rPr>
        <w:t>；</w:t>
      </w:r>
    </w:p>
    <w:p w14:paraId="5278F81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单价金额小数点或者百分比有明显错位的，以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lang w:val="en-US" w:eastAsia="zh-CN"/>
        </w:rPr>
        <w:t>报价表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color w:val="auto"/>
          <w:kern w:val="0"/>
          <w:sz w:val="21"/>
          <w:szCs w:val="21"/>
          <w:highlight w:val="none"/>
        </w:rPr>
        <w:t>的总价为准，并修改单价</w:t>
      </w:r>
      <w:r>
        <w:rPr>
          <w:rFonts w:hint="eastAsia" w:ascii="宋体" w:hAnsi="宋体" w:eastAsia="宋体" w:cs="宋体"/>
          <w:color w:val="auto"/>
          <w:kern w:val="0"/>
          <w:sz w:val="21"/>
          <w:szCs w:val="21"/>
          <w:highlight w:val="none"/>
          <w:lang w:eastAsia="zh-CN"/>
        </w:rPr>
        <w:t>；</w:t>
      </w:r>
    </w:p>
    <w:p w14:paraId="6DEAA560">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总价金额与按单价汇总金额不一致的，以单价金额计算结果为准。</w:t>
      </w:r>
    </w:p>
    <w:p w14:paraId="37E6DBC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同时出现两种以上不一致的，按照3.4.1规定的顺序修正。修正后的报价</w:t>
      </w:r>
      <w:r>
        <w:rPr>
          <w:rFonts w:hint="eastAsia" w:ascii="宋体" w:hAnsi="宋体" w:eastAsia="宋体" w:cs="宋体"/>
          <w:color w:val="auto"/>
          <w:kern w:val="0"/>
          <w:sz w:val="21"/>
          <w:szCs w:val="21"/>
          <w:highlight w:val="none"/>
          <w:lang w:eastAsia="zh-CN"/>
        </w:rPr>
        <w:t>经供应商</w:t>
      </w:r>
      <w:r>
        <w:rPr>
          <w:rFonts w:hint="eastAsia" w:ascii="宋体" w:hAnsi="宋体" w:eastAsia="宋体" w:cs="宋体"/>
          <w:color w:val="auto"/>
          <w:kern w:val="0"/>
          <w:sz w:val="21"/>
          <w:szCs w:val="21"/>
          <w:highlight w:val="none"/>
        </w:rPr>
        <w:t>确认后产生约束力。</w:t>
      </w:r>
    </w:p>
    <w:p w14:paraId="68BB39A4">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433E1B2">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5E1400E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3.4.4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认为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不能证明其报价合理性的，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应当将其作为无效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处理。</w:t>
      </w:r>
    </w:p>
    <w:p w14:paraId="660D308A">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结果按评审后得分由高到低顺序排列。得分相同的，按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报价由低到高顺序排列。得分且</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报价相同的并列。</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人为排名第一的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3FB29FD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获得</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推荐资格；评审得分相同的，采取随机抽取方式确定，其他同品牌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5FEC8CB5">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编写评审报告。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根据全体成员签字的原始评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记录和评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结果编写评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成员对需要共同认定的事项存在争议的，应当按照少数服从多数的原则作出结论。持不同意见的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成员应当在评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报告上签署不同意见及理由，否则视为同意评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p>
    <w:p w14:paraId="03D0D214">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46E49159">
      <w:pPr>
        <w:pStyle w:val="17"/>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中含义不明确、同类问题表述不一致或者有明显文字和计算错误的内容需要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作出必要的澄清、说明或者补正的，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通过电子交易平台交换数据电文，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提交使用电子签名的相关数据电文或通过平台上传加盖公章的扫描件。给予</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提交澄清、说明或补正的时间不得少于半小时，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已经明确表示澄清说明或补正完毕的除外。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的澄清、说明或者补正不得超出</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的实质性内容。</w:t>
      </w:r>
    </w:p>
    <w:p w14:paraId="37F5912C">
      <w:pPr>
        <w:pStyle w:val="8"/>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w:t>
      </w:r>
      <w:r>
        <w:rPr>
          <w:rFonts w:hint="eastAsia"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响应</w:t>
      </w:r>
      <w:r>
        <w:rPr>
          <w:rFonts w:hint="eastAsia" w:ascii="宋体" w:hAnsi="宋体" w:eastAsia="宋体" w:cs="宋体"/>
          <w:b/>
          <w:color w:val="auto"/>
          <w:kern w:val="0"/>
          <w:sz w:val="21"/>
          <w:szCs w:val="21"/>
          <w:highlight w:val="none"/>
        </w:rPr>
        <w:t>无效。</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052A6A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未提供有效的资格文件的，视为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2506561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6D54EF0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含有采购人不能接受的附加条件的；</w:t>
      </w:r>
    </w:p>
    <w:p w14:paraId="39FE63E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中承诺的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有效期少于</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有效期的；</w:t>
      </w:r>
    </w:p>
    <w:p w14:paraId="7EC1CF4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w:t>
      </w:r>
    </w:p>
    <w:p w14:paraId="0F9F47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14:paraId="4AAF8D3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70C2371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对根据修正原则修正后的报价不确认的；</w:t>
      </w:r>
    </w:p>
    <w:p w14:paraId="6BED419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提供虚假材料</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w:t>
      </w:r>
    </w:p>
    <w:p w14:paraId="3496969D">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有恶意串通、妨碍其他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的竞争行为、损害采购人或者其他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的合法权益情形的；</w:t>
      </w:r>
    </w:p>
    <w:p w14:paraId="0EED7F3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仅提交备份</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，未在电子交易平台传输递交</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无效；</w:t>
      </w:r>
    </w:p>
    <w:p w14:paraId="7B519AE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eastAsia="宋体" w:cs="宋体"/>
          <w:b w:val="0"/>
          <w:bCs w:val="0"/>
          <w:color w:val="auto"/>
          <w:kern w:val="0"/>
          <w:sz w:val="21"/>
          <w:szCs w:val="21"/>
          <w:highlight w:val="none"/>
          <w:lang w:val="en-US" w:eastAsia="zh-CN"/>
        </w:rPr>
        <w:t>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eastAsia="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415C0AE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B4CCD13">
      <w:pPr>
        <w:pStyle w:val="8"/>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在采购中，出现下列情形之一的，应予废标：</w:t>
      </w:r>
    </w:p>
    <w:p w14:paraId="67664A74">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符合专业条件的供应商或者对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且评审小组认为响应不具有竞争性的</w:t>
      </w:r>
      <w:r>
        <w:rPr>
          <w:rFonts w:hint="eastAsia" w:ascii="宋体" w:hAnsi="宋体" w:eastAsia="宋体" w:cs="宋体"/>
          <w:color w:val="auto"/>
          <w:sz w:val="21"/>
          <w:szCs w:val="21"/>
          <w:highlight w:val="none"/>
        </w:rPr>
        <w:t>；</w:t>
      </w:r>
    </w:p>
    <w:p w14:paraId="5545337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出现影响采购公正的违法、违规行为的；</w:t>
      </w:r>
    </w:p>
    <w:p w14:paraId="14AE9011">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的报价均超过了采购预算，采购人不能支付的；</w:t>
      </w:r>
    </w:p>
    <w:p w14:paraId="7B626A6A">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因重大变故，采购任务取消的。</w:t>
      </w:r>
    </w:p>
    <w:p w14:paraId="1B7C1535">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3DDA7AF1">
      <w:pPr>
        <w:pStyle w:val="8"/>
        <w:pageBreakBefore w:val="0"/>
        <w:kinsoku/>
        <w:wordWrap/>
        <w:overflowPunct/>
        <w:topLinePunct w:val="0"/>
        <w:autoSpaceDE/>
        <w:autoSpaceDN/>
        <w:bidi w:val="0"/>
        <w:snapToGrid w:val="0"/>
        <w:spacing w:line="288"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，重新组织采购活动。</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存在歧义、重大缺陷导致评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工作无法进行，或者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内容违反国家有关强制性规定的，将停止评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，重新组织采购活动。</w:t>
      </w:r>
    </w:p>
    <w:p w14:paraId="3BB5EF4F">
      <w:pPr>
        <w:pStyle w:val="8"/>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lang w:val="en-US" w:eastAsia="zh-CN"/>
        </w:rPr>
        <w:t>其他</w:t>
      </w:r>
      <w:r>
        <w:rPr>
          <w:rFonts w:hint="eastAsia" w:ascii="宋体" w:hAnsi="宋体" w:eastAsia="宋体" w:cs="宋体"/>
          <w:b/>
          <w:color w:val="auto"/>
          <w:kern w:val="0"/>
          <w:sz w:val="21"/>
          <w:szCs w:val="21"/>
          <w:highlight w:val="none"/>
        </w:rPr>
        <w:t>。</w:t>
      </w:r>
      <w:r>
        <w:rPr>
          <w:rFonts w:hint="eastAsia" w:ascii="宋体" w:hAnsi="宋体" w:eastAsia="宋体" w:cs="宋体"/>
          <w:strike w:val="0"/>
          <w:dstrike w:val="0"/>
          <w:color w:val="auto"/>
          <w:sz w:val="21"/>
          <w:szCs w:val="21"/>
          <w:highlight w:val="none"/>
          <w:lang w:val="en-US" w:eastAsia="zh-CN"/>
        </w:rPr>
        <w:t>其他</w:t>
      </w:r>
      <w:r>
        <w:rPr>
          <w:rFonts w:hint="eastAsia" w:ascii="宋体" w:hAnsi="宋体" w:eastAsia="宋体" w:cs="宋体"/>
          <w:color w:val="auto"/>
          <w:sz w:val="21"/>
          <w:szCs w:val="21"/>
          <w:highlight w:val="none"/>
        </w:rPr>
        <w:t>影响或者可能影响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结果的，依照下列规定处理：</w:t>
      </w:r>
    </w:p>
    <w:p w14:paraId="2586DCA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未确定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供应商的，终止本次采购活动，重新开展采购活动。</w:t>
      </w:r>
    </w:p>
    <w:p w14:paraId="71776DBB">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已确定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供应商但尚未签订采购合同的，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结果无效，从合格的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1393C322">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采购合同已签订但尚未履行的，撤销合同，从合格的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6574FDBC">
      <w:pPr>
        <w:pStyle w:val="8"/>
        <w:pageBreakBefore w:val="0"/>
        <w:kinsoku/>
        <w:wordWrap/>
        <w:overflowPunct/>
        <w:topLinePunct w:val="0"/>
        <w:autoSpaceDE/>
        <w:autoSpaceDN/>
        <w:bidi w:val="0"/>
        <w:snapToGrid w:val="0"/>
        <w:spacing w:line="288" w:lineRule="auto"/>
        <w:ind w:left="0" w:leftChars="0"/>
        <w:textAlignment w:val="auto"/>
        <w:rPr>
          <w:rFonts w:cs="宋体"/>
          <w:color w:val="auto"/>
          <w:highlight w:val="none"/>
        </w:rPr>
      </w:pPr>
      <w:r>
        <w:rPr>
          <w:rFonts w:hint="eastAsia" w:ascii="宋体" w:hAnsi="宋体" w:eastAsia="宋体" w:cs="宋体"/>
          <w:color w:val="auto"/>
          <w:sz w:val="21"/>
          <w:szCs w:val="21"/>
          <w:highlight w:val="none"/>
        </w:rPr>
        <w:t>7.4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采购合同已经履行，给采购人、供应商造成损失的，由责任人承担赔偿责任。</w:t>
      </w:r>
    </w:p>
    <w:p w14:paraId="4A3CD931">
      <w:pPr>
        <w:pStyle w:val="17"/>
        <w:spacing w:before="0"/>
        <w:ind w:firstLine="508" w:firstLineChars="212"/>
        <w:jc w:val="center"/>
        <w:rPr>
          <w:rFonts w:hint="eastAsia" w:ascii="宋体" w:hAnsi="宋体" w:eastAsia="宋体" w:cs="宋体"/>
          <w:color w:val="auto"/>
          <w:highlight w:val="none"/>
        </w:rPr>
      </w:pPr>
      <w:r>
        <w:rPr>
          <w:rFonts w:hint="eastAsia" w:ascii="宋体" w:hAnsi="宋体" w:cs="宋体"/>
          <w:color w:val="auto"/>
          <w:kern w:val="0"/>
          <w:highlight w:val="none"/>
        </w:rPr>
        <w:br w:type="page"/>
      </w:r>
      <w:bookmarkStart w:id="45" w:name="_Toc24926"/>
      <w:r>
        <w:rPr>
          <w:rFonts w:hint="eastAsia" w:ascii="宋体" w:hAnsi="宋体" w:eastAsia="宋体" w:cs="宋体"/>
          <w:b/>
          <w:bCs w:val="0"/>
          <w:color w:val="auto"/>
          <w:sz w:val="36"/>
          <w:szCs w:val="36"/>
          <w:highlight w:val="none"/>
        </w:rPr>
        <w:t>第</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 xml:space="preserve">章  </w:t>
      </w:r>
      <w:bookmarkEnd w:id="45"/>
      <w:r>
        <w:rPr>
          <w:rFonts w:hint="eastAsia" w:ascii="宋体" w:hAnsi="宋体" w:cs="宋体"/>
          <w:b/>
          <w:bCs w:val="0"/>
          <w:color w:val="auto"/>
          <w:sz w:val="36"/>
          <w:szCs w:val="36"/>
          <w:highlight w:val="none"/>
          <w:lang w:val="en-US" w:eastAsia="zh-CN"/>
        </w:rPr>
        <w:t>拟签订的合同文本</w:t>
      </w:r>
    </w:p>
    <w:p w14:paraId="56FBC7D6">
      <w:pPr>
        <w:adjustRightInd w:val="0"/>
        <w:snapToGrid w:val="0"/>
        <w:spacing w:line="288" w:lineRule="auto"/>
        <w:ind w:firstLine="398" w:firstLineChars="200"/>
        <w:jc w:val="center"/>
        <w:outlineLvl w:val="1"/>
        <w:rPr>
          <w:rFonts w:hint="eastAsia" w:ascii="宋体" w:hAnsi="宋体" w:eastAsia="宋体" w:cs="宋体"/>
          <w:b/>
          <w:color w:val="auto"/>
          <w:spacing w:val="-6"/>
          <w:sz w:val="21"/>
          <w:szCs w:val="21"/>
          <w:highlight w:val="none"/>
        </w:rPr>
      </w:pPr>
      <w:r>
        <w:rPr>
          <w:rFonts w:hint="eastAsia" w:ascii="宋体" w:hAnsi="宋体" w:cs="宋体"/>
          <w:b/>
          <w:color w:val="auto"/>
          <w:spacing w:val="-6"/>
          <w:sz w:val="21"/>
          <w:szCs w:val="21"/>
          <w:highlight w:val="none"/>
          <w:lang w:eastAsia="zh-CN"/>
        </w:rPr>
        <w:t>杭州市拱墅区教育信息技术中心部分校园暖师智友心理平台开发服务</w:t>
      </w:r>
      <w:r>
        <w:rPr>
          <w:rFonts w:hint="eastAsia" w:ascii="宋体" w:hAnsi="宋体" w:eastAsia="宋体" w:cs="宋体"/>
          <w:b/>
          <w:color w:val="auto"/>
          <w:spacing w:val="-6"/>
          <w:sz w:val="21"/>
          <w:szCs w:val="21"/>
          <w:highlight w:val="none"/>
        </w:rPr>
        <w:t>项目采购合同</w:t>
      </w:r>
    </w:p>
    <w:p w14:paraId="3E69550D">
      <w:pPr>
        <w:adjustRightInd w:val="0"/>
        <w:snapToGrid w:val="0"/>
        <w:spacing w:line="288" w:lineRule="auto"/>
        <w:rPr>
          <w:rFonts w:hint="eastAsia" w:ascii="宋体" w:hAnsi="宋体" w:eastAsia="宋体" w:cs="宋体"/>
          <w:b/>
          <w:bCs/>
          <w:color w:val="auto"/>
          <w:spacing w:val="-6"/>
          <w:sz w:val="21"/>
          <w:szCs w:val="21"/>
          <w:highlight w:val="none"/>
        </w:rPr>
      </w:pPr>
    </w:p>
    <w:p w14:paraId="7268D7B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项目名称：</w:t>
      </w:r>
      <w:r>
        <w:rPr>
          <w:rFonts w:hint="eastAsia" w:ascii="宋体" w:hAnsi="宋体" w:cs="宋体"/>
          <w:b/>
          <w:bCs/>
          <w:color w:val="auto"/>
          <w:spacing w:val="-6"/>
          <w:sz w:val="21"/>
          <w:szCs w:val="21"/>
          <w:highlight w:val="none"/>
          <w:lang w:eastAsia="zh-CN"/>
        </w:rPr>
        <w:t>部分校园暖师智友心理平台开发服务</w:t>
      </w:r>
      <w:r>
        <w:rPr>
          <w:rFonts w:hint="eastAsia" w:ascii="宋体" w:hAnsi="宋体" w:eastAsia="宋体" w:cs="宋体"/>
          <w:b/>
          <w:bCs/>
          <w:color w:val="auto"/>
          <w:spacing w:val="-6"/>
          <w:sz w:val="21"/>
          <w:szCs w:val="21"/>
          <w:highlight w:val="none"/>
        </w:rPr>
        <w:t>项目</w:t>
      </w:r>
    </w:p>
    <w:p w14:paraId="1E3DA7A5">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项目编号：</w:t>
      </w:r>
      <w:r>
        <w:rPr>
          <w:rFonts w:hint="eastAsia" w:ascii="宋体" w:hAnsi="宋体" w:cs="宋体"/>
          <w:b/>
          <w:bCs/>
          <w:color w:val="auto"/>
          <w:spacing w:val="-6"/>
          <w:sz w:val="21"/>
          <w:szCs w:val="21"/>
          <w:highlight w:val="none"/>
          <w:lang w:eastAsia="zh-CN"/>
        </w:rPr>
        <w:t>QSZBB250083FHQT</w:t>
      </w:r>
    </w:p>
    <w:p w14:paraId="5A50D3D3">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甲方（需方）：</w:t>
      </w:r>
      <w:r>
        <w:rPr>
          <w:rFonts w:hint="eastAsia" w:ascii="宋体" w:hAnsi="宋体" w:cs="宋体"/>
          <w:b/>
          <w:bCs/>
          <w:color w:val="auto"/>
          <w:spacing w:val="-6"/>
          <w:sz w:val="21"/>
          <w:szCs w:val="21"/>
          <w:highlight w:val="none"/>
          <w:lang w:eastAsia="zh-CN"/>
        </w:rPr>
        <w:t>杭州市拱墅区教育信息技术中心</w:t>
      </w:r>
    </w:p>
    <w:p w14:paraId="0AFAE715">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2124DECD">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采购代理机构：浙江求是招标代理有限公司</w:t>
      </w:r>
    </w:p>
    <w:p w14:paraId="5AACDBD9">
      <w:pPr>
        <w:adjustRightInd w:val="0"/>
        <w:snapToGrid w:val="0"/>
        <w:spacing w:line="288" w:lineRule="auto"/>
        <w:rPr>
          <w:rFonts w:hint="eastAsia" w:ascii="宋体" w:hAnsi="宋体" w:eastAsia="宋体" w:cs="宋体"/>
          <w:color w:val="auto"/>
          <w:spacing w:val="-6"/>
          <w:sz w:val="21"/>
          <w:szCs w:val="21"/>
          <w:highlight w:val="none"/>
        </w:rPr>
      </w:pPr>
    </w:p>
    <w:p w14:paraId="381ACFD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根据相关法律法规规定，浙江求是招标代理有限公司受</w:t>
      </w:r>
      <w:r>
        <w:rPr>
          <w:rFonts w:hint="eastAsia" w:ascii="宋体" w:hAnsi="宋体" w:eastAsia="宋体" w:cs="宋体"/>
          <w:color w:val="auto"/>
          <w:spacing w:val="-6"/>
          <w:sz w:val="21"/>
          <w:szCs w:val="21"/>
          <w:highlight w:val="none"/>
          <w:u w:val="single"/>
        </w:rPr>
        <w:t xml:space="preserve"> </w:t>
      </w:r>
      <w:r>
        <w:rPr>
          <w:rFonts w:hint="eastAsia" w:ascii="宋体" w:hAnsi="宋体" w:cs="宋体"/>
          <w:b w:val="0"/>
          <w:bCs w:val="0"/>
          <w:color w:val="auto"/>
          <w:spacing w:val="-6"/>
          <w:sz w:val="21"/>
          <w:szCs w:val="21"/>
          <w:highlight w:val="none"/>
          <w:u w:val="single"/>
          <w:lang w:eastAsia="zh-CN"/>
        </w:rPr>
        <w:t>杭州市拱墅区教育信息技术中心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委托，经</w:t>
      </w:r>
      <w:r>
        <w:rPr>
          <w:rFonts w:hint="eastAsia" w:ascii="宋体" w:hAnsi="宋体" w:eastAsia="宋体" w:cs="宋体"/>
          <w:color w:val="auto"/>
          <w:spacing w:val="-6"/>
          <w:sz w:val="21"/>
          <w:szCs w:val="21"/>
          <w:highlight w:val="none"/>
          <w:u w:val="single"/>
        </w:rPr>
        <w:t xml:space="preserve"> 公开</w:t>
      </w:r>
      <w:r>
        <w:rPr>
          <w:rFonts w:hint="eastAsia" w:ascii="宋体" w:hAnsi="宋体" w:eastAsia="宋体" w:cs="宋体"/>
          <w:color w:val="auto"/>
          <w:spacing w:val="-6"/>
          <w:sz w:val="21"/>
          <w:szCs w:val="21"/>
          <w:highlight w:val="none"/>
          <w:u w:val="single"/>
          <w:lang w:val="en-US" w:eastAsia="zh-CN"/>
        </w:rPr>
        <w:t>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eastAsia="zh-CN"/>
        </w:rPr>
        <w:t>部分校园暖师智友心理平台开发服务</w:t>
      </w:r>
      <w:r>
        <w:rPr>
          <w:rFonts w:hint="eastAsia" w:ascii="宋体" w:hAnsi="宋体" w:eastAsia="宋体" w:cs="宋体"/>
          <w:color w:val="auto"/>
          <w:spacing w:val="-6"/>
          <w:sz w:val="21"/>
          <w:szCs w:val="21"/>
          <w:highlight w:val="none"/>
          <w:u w:val="single"/>
        </w:rPr>
        <w:t xml:space="preserve">项目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w:t>
      </w:r>
      <w:r>
        <w:rPr>
          <w:rFonts w:hint="eastAsia" w:ascii="宋体" w:hAnsi="宋体" w:cs="宋体"/>
          <w:color w:val="auto"/>
          <w:spacing w:val="-6"/>
          <w:sz w:val="21"/>
          <w:szCs w:val="21"/>
          <w:highlight w:val="none"/>
          <w:u w:val="single"/>
          <w:lang w:eastAsia="zh-CN"/>
        </w:rPr>
        <w:t>QSZBB250083FHQT</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成交供应商</w:t>
      </w:r>
      <w:r>
        <w:rPr>
          <w:rFonts w:hint="eastAsia" w:ascii="宋体" w:hAnsi="宋体" w:eastAsia="宋体" w:cs="宋体"/>
          <w:color w:val="auto"/>
          <w:spacing w:val="-6"/>
          <w:sz w:val="21"/>
          <w:szCs w:val="21"/>
          <w:highlight w:val="none"/>
        </w:rPr>
        <w:t>。根据《中华人民共和国民法典》规定，签署本合同。</w:t>
      </w:r>
    </w:p>
    <w:p w14:paraId="1B8A59BF">
      <w:pPr>
        <w:adjustRightInd w:val="0"/>
        <w:snapToGrid w:val="0"/>
        <w:spacing w:line="288" w:lineRule="auto"/>
        <w:rPr>
          <w:rFonts w:hint="eastAsia" w:ascii="宋体" w:hAnsi="宋体" w:eastAsia="宋体" w:cs="宋体"/>
          <w:b/>
          <w:color w:val="auto"/>
          <w:spacing w:val="-6"/>
          <w:sz w:val="21"/>
          <w:szCs w:val="21"/>
          <w:highlight w:val="none"/>
        </w:rPr>
      </w:pPr>
    </w:p>
    <w:p w14:paraId="670268D2">
      <w:pPr>
        <w:adjustRightInd w:val="0"/>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E3AFB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C0BC6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序号</w:t>
            </w:r>
          </w:p>
        </w:tc>
        <w:tc>
          <w:tcPr>
            <w:tcW w:w="2163" w:type="dxa"/>
            <w:vAlign w:val="center"/>
          </w:tcPr>
          <w:p w14:paraId="6A3CE1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名称</w:t>
            </w:r>
          </w:p>
        </w:tc>
        <w:tc>
          <w:tcPr>
            <w:tcW w:w="2532" w:type="dxa"/>
            <w:vAlign w:val="center"/>
          </w:tcPr>
          <w:p w14:paraId="10E8961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规格、型号</w:t>
            </w:r>
          </w:p>
        </w:tc>
        <w:tc>
          <w:tcPr>
            <w:tcW w:w="709" w:type="dxa"/>
            <w:vAlign w:val="center"/>
          </w:tcPr>
          <w:p w14:paraId="4C47EC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数量</w:t>
            </w:r>
          </w:p>
        </w:tc>
        <w:tc>
          <w:tcPr>
            <w:tcW w:w="708" w:type="dxa"/>
            <w:vAlign w:val="center"/>
          </w:tcPr>
          <w:p w14:paraId="1722F8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单位</w:t>
            </w:r>
          </w:p>
        </w:tc>
        <w:tc>
          <w:tcPr>
            <w:tcW w:w="1418" w:type="dxa"/>
            <w:vAlign w:val="center"/>
          </w:tcPr>
          <w:p w14:paraId="4F2F7B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单价（元）</w:t>
            </w:r>
          </w:p>
        </w:tc>
        <w:tc>
          <w:tcPr>
            <w:tcW w:w="1300" w:type="dxa"/>
            <w:vAlign w:val="center"/>
          </w:tcPr>
          <w:p w14:paraId="0A9191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合计（元）</w:t>
            </w:r>
          </w:p>
        </w:tc>
      </w:tr>
      <w:tr w14:paraId="287BF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0F8B9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163" w:type="dxa"/>
            <w:vAlign w:val="center"/>
          </w:tcPr>
          <w:p w14:paraId="617765AE">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2532" w:type="dxa"/>
            <w:vAlign w:val="center"/>
          </w:tcPr>
          <w:p w14:paraId="14332A4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709" w:type="dxa"/>
            <w:vAlign w:val="center"/>
          </w:tcPr>
          <w:p w14:paraId="7DB580D2">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708" w:type="dxa"/>
            <w:vAlign w:val="center"/>
          </w:tcPr>
          <w:p w14:paraId="245E159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1418" w:type="dxa"/>
            <w:vAlign w:val="center"/>
          </w:tcPr>
          <w:p w14:paraId="45463E4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1300" w:type="dxa"/>
            <w:vAlign w:val="center"/>
          </w:tcPr>
          <w:p w14:paraId="4A90A47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r>
      <w:tr w14:paraId="45F53D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C30F15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163" w:type="dxa"/>
            <w:vAlign w:val="center"/>
          </w:tcPr>
          <w:p w14:paraId="6F5253D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2532" w:type="dxa"/>
            <w:vAlign w:val="center"/>
          </w:tcPr>
          <w:p w14:paraId="2075505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709" w:type="dxa"/>
            <w:vAlign w:val="center"/>
          </w:tcPr>
          <w:p w14:paraId="4A6027F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708" w:type="dxa"/>
            <w:vAlign w:val="center"/>
          </w:tcPr>
          <w:p w14:paraId="67A93C04">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1418" w:type="dxa"/>
            <w:vAlign w:val="center"/>
          </w:tcPr>
          <w:p w14:paraId="4D51B01F">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c>
          <w:tcPr>
            <w:tcW w:w="1300" w:type="dxa"/>
            <w:vAlign w:val="center"/>
          </w:tcPr>
          <w:p w14:paraId="71166DA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 w:val="21"/>
                <w:szCs w:val="21"/>
                <w:highlight w:val="none"/>
              </w:rPr>
            </w:pPr>
          </w:p>
        </w:tc>
      </w:tr>
      <w:tr w14:paraId="542DA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BD499D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总计（小写）：</w:t>
            </w:r>
          </w:p>
        </w:tc>
      </w:tr>
      <w:tr w14:paraId="79AA6E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8D3CC6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合同总价（大写）：</w:t>
            </w:r>
            <w:r>
              <w:rPr>
                <w:rFonts w:hint="eastAsia" w:ascii="宋体" w:hAnsi="宋体" w:eastAsia="宋体"/>
                <w:color w:val="auto"/>
                <w:spacing w:val="-6"/>
                <w:sz w:val="21"/>
                <w:szCs w:val="21"/>
                <w:highlight w:val="none"/>
                <w:u w:val="single"/>
              </w:rPr>
              <w:t xml:space="preserve"> </w:t>
            </w:r>
            <w:r>
              <w:rPr>
                <w:rFonts w:hint="default" w:ascii="宋体" w:hAnsi="宋体" w:eastAsia="宋体"/>
                <w:color w:val="auto"/>
                <w:spacing w:val="-6"/>
                <w:sz w:val="21"/>
                <w:szCs w:val="21"/>
                <w:highlight w:val="none"/>
                <w:u w:val="single"/>
              </w:rPr>
              <w:t xml:space="preserve">                        </w:t>
            </w:r>
            <w:r>
              <w:rPr>
                <w:rFonts w:hint="eastAsia" w:ascii="宋体" w:hAnsi="宋体" w:eastAsia="宋体"/>
                <w:color w:val="auto"/>
                <w:spacing w:val="-6"/>
                <w:sz w:val="21"/>
                <w:szCs w:val="21"/>
                <w:highlight w:val="none"/>
              </w:rPr>
              <w:t>。</w:t>
            </w:r>
          </w:p>
          <w:p w14:paraId="39ED406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注：以上合同总价包含</w:t>
            </w:r>
            <w:r>
              <w:rPr>
                <w:rFonts w:hint="eastAsia" w:ascii="宋体" w:hAnsi="宋体" w:eastAsia="宋体" w:cs="宋体"/>
                <w:color w:val="auto"/>
                <w:spacing w:val="-6"/>
                <w:sz w:val="21"/>
                <w:szCs w:val="21"/>
                <w:highlight w:val="none"/>
                <w:lang w:val="en-US" w:eastAsia="zh-CN"/>
              </w:rPr>
              <w:t>项目实施过程中所涉及的一切费用</w:t>
            </w:r>
            <w:r>
              <w:rPr>
                <w:rFonts w:hint="eastAsia" w:ascii="宋体" w:hAnsi="宋体" w:eastAsia="宋体" w:cs="宋体"/>
                <w:color w:val="auto"/>
                <w:spacing w:val="-6"/>
                <w:sz w:val="21"/>
                <w:szCs w:val="21"/>
                <w:highlight w:val="none"/>
              </w:rPr>
              <w:t>。</w:t>
            </w:r>
          </w:p>
        </w:tc>
      </w:tr>
    </w:tbl>
    <w:p w14:paraId="6F2EA130">
      <w:pPr>
        <w:adjustRightInd w:val="0"/>
        <w:snapToGrid w:val="0"/>
        <w:spacing w:line="288" w:lineRule="auto"/>
        <w:ind w:firstLine="396" w:firstLineChars="200"/>
        <w:rPr>
          <w:rFonts w:ascii="宋体" w:hAnsi="宋体" w:eastAsia="宋体" w:cs="宋体"/>
          <w:color w:val="auto"/>
          <w:spacing w:val="-6"/>
          <w:sz w:val="21"/>
          <w:szCs w:val="21"/>
          <w:highlight w:val="none"/>
        </w:rPr>
      </w:pPr>
    </w:p>
    <w:p w14:paraId="04A7D244">
      <w:pPr>
        <w:adjustRightInd w:val="0"/>
        <w:snapToGrid w:val="0"/>
        <w:spacing w:line="288" w:lineRule="auto"/>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第二条：履约保证金和付款方式</w:t>
      </w:r>
    </w:p>
    <w:p w14:paraId="39A839F6">
      <w:pPr>
        <w:adjustRightInd w:val="0"/>
        <w:snapToGrid w:val="0"/>
        <w:spacing w:line="288" w:lineRule="auto"/>
        <w:ind w:firstLine="396" w:firstLineChars="200"/>
        <w:rPr>
          <w:rFonts w:ascii="宋体" w:hAnsi="宋体" w:eastAsia="宋体" w:cs="宋体"/>
          <w:color w:val="auto"/>
          <w:spacing w:val="-6"/>
          <w:kern w:val="0"/>
          <w:sz w:val="21"/>
          <w:szCs w:val="21"/>
          <w:highlight w:val="none"/>
        </w:rPr>
      </w:pPr>
    </w:p>
    <w:p w14:paraId="06E43BBD">
      <w:pPr>
        <w:adjustRightInd w:val="0"/>
        <w:snapToGrid w:val="0"/>
        <w:spacing w:line="288" w:lineRule="auto"/>
        <w:ind w:firstLine="396" w:firstLineChars="200"/>
        <w:rPr>
          <w:rFonts w:ascii="宋体" w:hAnsi="宋体" w:eastAsia="宋体" w:cs="宋体"/>
          <w:color w:val="auto"/>
          <w:spacing w:val="-6"/>
          <w:kern w:val="0"/>
          <w:sz w:val="21"/>
          <w:szCs w:val="21"/>
          <w:highlight w:val="none"/>
        </w:rPr>
      </w:pPr>
    </w:p>
    <w:p w14:paraId="7DA93502">
      <w:pPr>
        <w:adjustRightInd w:val="0"/>
        <w:snapToGrid w:val="0"/>
        <w:spacing w:line="288" w:lineRule="auto"/>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第三条：交付时间、地点、货物质保期</w:t>
      </w:r>
    </w:p>
    <w:p w14:paraId="3B44E818">
      <w:pPr>
        <w:adjustRightInd w:val="0"/>
        <w:snapToGrid w:val="0"/>
        <w:spacing w:line="288" w:lineRule="auto"/>
        <w:ind w:right="-514" w:rightChars="-245"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交付时间：</w:t>
      </w:r>
      <w:r>
        <w:rPr>
          <w:rFonts w:hint="eastAsia" w:ascii="宋体" w:hAnsi="宋体" w:eastAsia="宋体"/>
          <w:color w:val="auto"/>
          <w:spacing w:val="-6"/>
          <w:sz w:val="21"/>
          <w:szCs w:val="21"/>
          <w:highlight w:val="none"/>
          <w:u w:val="single"/>
          <w:lang w:val="en-US" w:eastAsia="zh-CN"/>
        </w:rPr>
        <w:t xml:space="preserve">                         </w:t>
      </w:r>
      <w:r>
        <w:rPr>
          <w:rFonts w:hint="eastAsia" w:ascii="宋体" w:hAnsi="宋体" w:eastAsia="宋体"/>
          <w:color w:val="auto"/>
          <w:spacing w:val="-6"/>
          <w:sz w:val="21"/>
          <w:szCs w:val="21"/>
          <w:highlight w:val="none"/>
        </w:rPr>
        <w:t>；</w:t>
      </w:r>
    </w:p>
    <w:p w14:paraId="1F043750">
      <w:pPr>
        <w:adjustRightInd w:val="0"/>
        <w:snapToGrid w:val="0"/>
        <w:spacing w:line="288" w:lineRule="auto"/>
        <w:ind w:right="-514" w:rightChars="-245"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交付地点：</w:t>
      </w:r>
      <w:r>
        <w:rPr>
          <w:rFonts w:hint="eastAsia" w:ascii="宋体" w:hAnsi="宋体" w:eastAsia="宋体"/>
          <w:color w:val="auto"/>
          <w:spacing w:val="-6"/>
          <w:sz w:val="21"/>
          <w:szCs w:val="21"/>
          <w:highlight w:val="none"/>
          <w:u w:val="single"/>
        </w:rPr>
        <w:t xml:space="preserve"> </w:t>
      </w:r>
      <w:r>
        <w:rPr>
          <w:rFonts w:ascii="宋体" w:hAnsi="宋体" w:eastAsia="宋体"/>
          <w:color w:val="auto"/>
          <w:spacing w:val="-6"/>
          <w:sz w:val="21"/>
          <w:szCs w:val="21"/>
          <w:highlight w:val="none"/>
          <w:u w:val="single"/>
        </w:rPr>
        <w:t xml:space="preserve">                        </w:t>
      </w:r>
      <w:r>
        <w:rPr>
          <w:rFonts w:hint="eastAsia" w:ascii="宋体" w:hAnsi="宋体" w:eastAsia="宋体"/>
          <w:color w:val="auto"/>
          <w:spacing w:val="-6"/>
          <w:sz w:val="21"/>
          <w:szCs w:val="21"/>
          <w:highlight w:val="none"/>
        </w:rPr>
        <w:t>；</w:t>
      </w:r>
    </w:p>
    <w:p w14:paraId="337E36F6">
      <w:pPr>
        <w:adjustRightInd w:val="0"/>
        <w:snapToGrid w:val="0"/>
        <w:spacing w:line="288" w:lineRule="auto"/>
        <w:ind w:right="-514" w:rightChars="-245" w:firstLine="396" w:firstLineChars="200"/>
        <w:rPr>
          <w:rFonts w:ascii="宋体" w:hAnsi="宋体" w:eastAsia="宋体"/>
          <w:color w:val="auto"/>
          <w:spacing w:val="-6"/>
          <w:sz w:val="21"/>
          <w:szCs w:val="21"/>
          <w:highlight w:val="none"/>
          <w:u w:val="single"/>
        </w:rPr>
      </w:pPr>
      <w:r>
        <w:rPr>
          <w:rFonts w:hint="eastAsia" w:ascii="宋体" w:hAnsi="宋体" w:eastAsia="宋体"/>
          <w:color w:val="auto"/>
          <w:spacing w:val="-6"/>
          <w:sz w:val="21"/>
          <w:szCs w:val="21"/>
          <w:highlight w:val="none"/>
          <w:lang w:val="en-US" w:eastAsia="zh-CN"/>
        </w:rPr>
        <w:t>维保</w:t>
      </w:r>
      <w:r>
        <w:rPr>
          <w:rFonts w:hint="eastAsia" w:ascii="宋体" w:hAnsi="宋体" w:eastAsia="宋体"/>
          <w:color w:val="auto"/>
          <w:spacing w:val="-6"/>
          <w:sz w:val="21"/>
          <w:szCs w:val="21"/>
          <w:highlight w:val="none"/>
        </w:rPr>
        <w:t>期：</w:t>
      </w:r>
      <w:r>
        <w:rPr>
          <w:rFonts w:hint="eastAsia" w:ascii="宋体" w:hAnsi="宋体" w:eastAsia="宋体"/>
          <w:color w:val="auto"/>
          <w:spacing w:val="-6"/>
          <w:sz w:val="21"/>
          <w:szCs w:val="21"/>
          <w:highlight w:val="none"/>
          <w:u w:val="single"/>
        </w:rPr>
        <w:t xml:space="preserve"> </w:t>
      </w:r>
      <w:r>
        <w:rPr>
          <w:rFonts w:ascii="宋体" w:hAnsi="宋体" w:eastAsia="宋体"/>
          <w:color w:val="auto"/>
          <w:spacing w:val="-6"/>
          <w:sz w:val="21"/>
          <w:szCs w:val="21"/>
          <w:highlight w:val="none"/>
          <w:u w:val="single"/>
        </w:rPr>
        <w:t xml:space="preserve">     </w:t>
      </w:r>
      <w:r>
        <w:rPr>
          <w:rFonts w:hint="eastAsia" w:ascii="宋体" w:hAnsi="宋体" w:eastAsia="宋体"/>
          <w:color w:val="auto"/>
          <w:spacing w:val="-6"/>
          <w:sz w:val="21"/>
          <w:szCs w:val="21"/>
          <w:highlight w:val="none"/>
          <w:u w:val="single"/>
        </w:rPr>
        <w:t>年</w:t>
      </w:r>
      <w:r>
        <w:rPr>
          <w:rFonts w:hint="eastAsia" w:ascii="宋体" w:hAnsi="宋体" w:eastAsia="宋体"/>
          <w:color w:val="auto"/>
          <w:spacing w:val="-6"/>
          <w:sz w:val="21"/>
          <w:szCs w:val="21"/>
          <w:highlight w:val="none"/>
        </w:rPr>
        <w:t>，项目验收合格后开始计算；</w:t>
      </w:r>
    </w:p>
    <w:p w14:paraId="42007CE0">
      <w:pPr>
        <w:adjustRightInd w:val="0"/>
        <w:snapToGrid w:val="0"/>
        <w:spacing w:line="288" w:lineRule="auto"/>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第四条：服务标准、期限、效率</w:t>
      </w:r>
    </w:p>
    <w:p w14:paraId="72FBD29C">
      <w:pPr>
        <w:adjustRightInd w:val="0"/>
        <w:snapToGrid w:val="0"/>
        <w:spacing w:line="288" w:lineRule="auto"/>
        <w:ind w:firstLine="396" w:firstLineChars="200"/>
        <w:rPr>
          <w:rFonts w:ascii="宋体" w:hAnsi="宋体" w:eastAsia="宋体"/>
          <w:color w:val="auto"/>
          <w:spacing w:val="-6"/>
          <w:sz w:val="21"/>
          <w:szCs w:val="21"/>
          <w:highlight w:val="none"/>
          <w:u w:val="single"/>
        </w:rPr>
      </w:pPr>
    </w:p>
    <w:p w14:paraId="2025345F">
      <w:pPr>
        <w:adjustRightInd w:val="0"/>
        <w:snapToGrid w:val="0"/>
        <w:spacing w:line="288" w:lineRule="auto"/>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第五条：验收标准</w:t>
      </w:r>
    </w:p>
    <w:p w14:paraId="383F5684">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1.验收由</w:t>
      </w:r>
      <w:r>
        <w:rPr>
          <w:rFonts w:hint="eastAsia" w:ascii="宋体" w:hAnsi="宋体" w:eastAsia="宋体"/>
          <w:color w:val="auto"/>
          <w:spacing w:val="-6"/>
          <w:sz w:val="21"/>
          <w:szCs w:val="21"/>
          <w:highlight w:val="none"/>
          <w:lang w:eastAsia="zh-CN"/>
        </w:rPr>
        <w:t>甲方</w:t>
      </w:r>
      <w:r>
        <w:rPr>
          <w:rFonts w:hint="eastAsia" w:ascii="宋体" w:hAnsi="宋体" w:eastAsia="宋体"/>
          <w:color w:val="auto"/>
          <w:spacing w:val="-6"/>
          <w:sz w:val="21"/>
          <w:szCs w:val="21"/>
          <w:highlight w:val="none"/>
        </w:rPr>
        <w:t>负责实施；</w:t>
      </w:r>
    </w:p>
    <w:p w14:paraId="04E2025E">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2.验收依据：</w:t>
      </w:r>
    </w:p>
    <w:p w14:paraId="2D3A764F">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2.1合同、招标文件、投标文件；</w:t>
      </w:r>
    </w:p>
    <w:p w14:paraId="7F36D9FB">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2.2</w:t>
      </w:r>
      <w:r>
        <w:rPr>
          <w:rFonts w:hint="eastAsia" w:ascii="宋体" w:hAnsi="宋体" w:eastAsia="宋体"/>
          <w:color w:val="auto"/>
          <w:spacing w:val="-6"/>
          <w:sz w:val="21"/>
          <w:szCs w:val="21"/>
          <w:highlight w:val="none"/>
          <w:lang w:eastAsia="zh-CN"/>
        </w:rPr>
        <w:t>乙方</w:t>
      </w:r>
      <w:r>
        <w:rPr>
          <w:rFonts w:hint="eastAsia" w:ascii="宋体" w:hAnsi="宋体" w:eastAsia="宋体"/>
          <w:color w:val="auto"/>
          <w:spacing w:val="-6"/>
          <w:sz w:val="21"/>
          <w:szCs w:val="21"/>
          <w:highlight w:val="none"/>
        </w:rPr>
        <w:t>提供的技术规格、经</w:t>
      </w:r>
      <w:r>
        <w:rPr>
          <w:rFonts w:hint="eastAsia" w:ascii="宋体" w:hAnsi="宋体" w:eastAsia="宋体"/>
          <w:color w:val="auto"/>
          <w:spacing w:val="-6"/>
          <w:sz w:val="21"/>
          <w:szCs w:val="21"/>
          <w:highlight w:val="none"/>
          <w:lang w:eastAsia="zh-CN"/>
        </w:rPr>
        <w:t>甲方</w:t>
      </w:r>
      <w:r>
        <w:rPr>
          <w:rFonts w:hint="eastAsia" w:ascii="宋体" w:hAnsi="宋体" w:eastAsia="宋体"/>
          <w:color w:val="auto"/>
          <w:spacing w:val="-6"/>
          <w:sz w:val="21"/>
          <w:szCs w:val="21"/>
          <w:highlight w:val="none"/>
        </w:rPr>
        <w:t>认可的合同内容的有效检验文件；</w:t>
      </w:r>
    </w:p>
    <w:p w14:paraId="73CC6315">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2.3</w:t>
      </w:r>
      <w:r>
        <w:rPr>
          <w:rFonts w:hint="eastAsia" w:ascii="宋体" w:hAnsi="宋体" w:eastAsia="宋体"/>
          <w:color w:val="auto"/>
          <w:spacing w:val="-6"/>
          <w:sz w:val="21"/>
          <w:szCs w:val="21"/>
          <w:highlight w:val="none"/>
          <w:lang w:eastAsia="zh-CN"/>
        </w:rPr>
        <w:t>乙方</w:t>
      </w:r>
      <w:r>
        <w:rPr>
          <w:rFonts w:hint="eastAsia" w:ascii="宋体" w:hAnsi="宋体" w:eastAsia="宋体"/>
          <w:color w:val="auto"/>
          <w:spacing w:val="-6"/>
          <w:sz w:val="21"/>
          <w:szCs w:val="21"/>
          <w:highlight w:val="none"/>
        </w:rPr>
        <w:t>投标文件中提供的经</w:t>
      </w:r>
      <w:r>
        <w:rPr>
          <w:rFonts w:hint="eastAsia" w:ascii="宋体" w:hAnsi="宋体" w:eastAsia="宋体"/>
          <w:color w:val="auto"/>
          <w:spacing w:val="-6"/>
          <w:sz w:val="21"/>
          <w:szCs w:val="21"/>
          <w:highlight w:val="none"/>
          <w:lang w:eastAsia="zh-CN"/>
        </w:rPr>
        <w:t>甲方</w:t>
      </w:r>
      <w:r>
        <w:rPr>
          <w:rFonts w:hint="eastAsia" w:ascii="宋体" w:hAnsi="宋体" w:eastAsia="宋体"/>
          <w:color w:val="auto"/>
          <w:spacing w:val="-6"/>
          <w:sz w:val="21"/>
          <w:szCs w:val="21"/>
          <w:highlight w:val="none"/>
        </w:rPr>
        <w:t>认可的合同内容的验收标准（符合中国有关的国家、地方、行业标准）和检测办法及相应检测手段。</w:t>
      </w:r>
    </w:p>
    <w:p w14:paraId="684ABCFA">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3.验收合格的条件：</w:t>
      </w:r>
    </w:p>
    <w:p w14:paraId="3BAAE9DD">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3.1所供合同内容符合标准和合同的要求；</w:t>
      </w:r>
    </w:p>
    <w:p w14:paraId="4EBAC6FD">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3.2在进行测试和验收过程中发现的问题已被解决并得到</w:t>
      </w:r>
      <w:r>
        <w:rPr>
          <w:rFonts w:hint="eastAsia" w:ascii="宋体" w:hAnsi="宋体" w:eastAsia="宋体"/>
          <w:color w:val="auto"/>
          <w:spacing w:val="-6"/>
          <w:sz w:val="21"/>
          <w:szCs w:val="21"/>
          <w:highlight w:val="none"/>
          <w:lang w:eastAsia="zh-CN"/>
        </w:rPr>
        <w:t>甲方</w:t>
      </w:r>
      <w:r>
        <w:rPr>
          <w:rFonts w:hint="eastAsia" w:ascii="宋体" w:hAnsi="宋体" w:eastAsia="宋体"/>
          <w:color w:val="auto"/>
          <w:spacing w:val="-6"/>
          <w:sz w:val="21"/>
          <w:szCs w:val="21"/>
          <w:highlight w:val="none"/>
        </w:rPr>
        <w:t>的认可；</w:t>
      </w:r>
    </w:p>
    <w:p w14:paraId="65883707">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3.3合同中规定的所有内容和材料均已交付；</w:t>
      </w:r>
    </w:p>
    <w:p w14:paraId="570471D2">
      <w:pPr>
        <w:adjustRightInd w:val="0"/>
        <w:snapToGrid w:val="0"/>
        <w:spacing w:line="288" w:lineRule="auto"/>
        <w:ind w:right="23" w:rightChars="11" w:firstLine="396" w:firstLineChars="200"/>
        <w:rPr>
          <w:rFonts w:hint="eastAsia"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3.4所供合同内容已通过使用单位组织的验收；</w:t>
      </w:r>
    </w:p>
    <w:p w14:paraId="2CBEDD1D">
      <w:pPr>
        <w:adjustRightInd w:val="0"/>
        <w:snapToGrid w:val="0"/>
        <w:spacing w:line="288" w:lineRule="auto"/>
        <w:ind w:right="23" w:rightChars="11"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3.5所有相关的技术文件及资料均已提交并得到接受。</w:t>
      </w:r>
    </w:p>
    <w:p w14:paraId="23AD4832">
      <w:pPr>
        <w:adjustRightInd w:val="0"/>
        <w:snapToGrid w:val="0"/>
        <w:spacing w:line="288" w:lineRule="auto"/>
        <w:ind w:right="-514" w:rightChars="-245"/>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w:t>
      </w:r>
      <w:r>
        <w:rPr>
          <w:rFonts w:hint="eastAsia" w:ascii="宋体" w:hAnsi="宋体" w:eastAsia="宋体"/>
          <w:b/>
          <w:color w:val="auto"/>
          <w:spacing w:val="-6"/>
          <w:sz w:val="21"/>
          <w:szCs w:val="21"/>
          <w:highlight w:val="none"/>
          <w:lang w:val="en-US" w:eastAsia="zh-CN"/>
        </w:rPr>
        <w:t>六</w:t>
      </w:r>
      <w:r>
        <w:rPr>
          <w:rFonts w:hint="eastAsia" w:ascii="宋体" w:hAnsi="宋体" w:eastAsia="宋体"/>
          <w:b/>
          <w:color w:val="auto"/>
          <w:spacing w:val="-6"/>
          <w:sz w:val="21"/>
          <w:szCs w:val="21"/>
          <w:highlight w:val="none"/>
        </w:rPr>
        <w:t>条：违约责任</w:t>
      </w:r>
    </w:p>
    <w:p w14:paraId="315403D9">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1.乙方逾期履行合同的，自逾期之日起，向甲方每日偿付合同总价0</w:t>
      </w:r>
      <w:r>
        <w:rPr>
          <w:rFonts w:ascii="宋体" w:hAnsi="宋体" w:eastAsia="宋体"/>
          <w:color w:val="auto"/>
          <w:spacing w:val="-6"/>
          <w:sz w:val="21"/>
          <w:szCs w:val="21"/>
          <w:highlight w:val="none"/>
        </w:rPr>
        <w:t>.5</w:t>
      </w:r>
      <w:r>
        <w:rPr>
          <w:rFonts w:hint="eastAsia" w:ascii="宋体" w:hAnsi="宋体" w:eastAsia="宋体"/>
          <w:color w:val="auto"/>
          <w:spacing w:val="-6"/>
          <w:sz w:val="21"/>
          <w:szCs w:val="21"/>
          <w:highlight w:val="none"/>
        </w:rPr>
        <w:t>%的滞纳金。</w:t>
      </w:r>
    </w:p>
    <w:p w14:paraId="5B3746B1">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2.甲方逾期支付</w:t>
      </w:r>
      <w:r>
        <w:rPr>
          <w:rFonts w:hint="eastAsia" w:ascii="宋体" w:hAnsi="宋体" w:eastAsia="宋体"/>
          <w:color w:val="auto"/>
          <w:spacing w:val="-6"/>
          <w:sz w:val="21"/>
          <w:szCs w:val="21"/>
          <w:highlight w:val="none"/>
          <w:lang w:val="en-US" w:eastAsia="zh-CN"/>
        </w:rPr>
        <w:t>合同</w:t>
      </w:r>
      <w:r>
        <w:rPr>
          <w:rFonts w:hint="eastAsia" w:ascii="宋体" w:hAnsi="宋体" w:eastAsia="宋体"/>
          <w:color w:val="auto"/>
          <w:spacing w:val="-6"/>
          <w:sz w:val="21"/>
          <w:szCs w:val="21"/>
          <w:highlight w:val="none"/>
        </w:rPr>
        <w:t>款的，自逾期之日起，向乙方每日偿付未付价款0</w:t>
      </w:r>
      <w:r>
        <w:rPr>
          <w:rFonts w:ascii="宋体" w:hAnsi="宋体" w:eastAsia="宋体"/>
          <w:color w:val="auto"/>
          <w:spacing w:val="-6"/>
          <w:sz w:val="21"/>
          <w:szCs w:val="21"/>
          <w:highlight w:val="none"/>
        </w:rPr>
        <w:t>.5</w:t>
      </w:r>
      <w:r>
        <w:rPr>
          <w:rFonts w:hint="eastAsia" w:ascii="宋体" w:hAnsi="宋体" w:eastAsia="宋体"/>
          <w:color w:val="auto"/>
          <w:spacing w:val="-6"/>
          <w:sz w:val="21"/>
          <w:szCs w:val="21"/>
          <w:highlight w:val="none"/>
        </w:rPr>
        <w:t>%的滞纳金。</w:t>
      </w:r>
    </w:p>
    <w:p w14:paraId="514C0F70">
      <w:pPr>
        <w:adjustRightInd w:val="0"/>
        <w:snapToGrid w:val="0"/>
        <w:spacing w:line="288" w:lineRule="auto"/>
        <w:rPr>
          <w:rFonts w:ascii="宋体" w:hAnsi="宋体" w:eastAsia="宋体"/>
          <w:b/>
          <w:color w:val="auto"/>
          <w:spacing w:val="-6"/>
          <w:sz w:val="21"/>
          <w:szCs w:val="21"/>
          <w:highlight w:val="none"/>
        </w:rPr>
      </w:pPr>
      <w:r>
        <w:rPr>
          <w:rFonts w:ascii="宋体" w:hAnsi="宋体" w:eastAsia="宋体"/>
          <w:b/>
          <w:color w:val="auto"/>
          <w:spacing w:val="-6"/>
          <w:sz w:val="21"/>
          <w:szCs w:val="21"/>
          <w:highlight w:val="none"/>
        </w:rPr>
        <w:t>第</w:t>
      </w:r>
      <w:r>
        <w:rPr>
          <w:rFonts w:hint="eastAsia" w:ascii="宋体" w:hAnsi="宋体" w:eastAsia="宋体"/>
          <w:b/>
          <w:color w:val="auto"/>
          <w:spacing w:val="-6"/>
          <w:sz w:val="21"/>
          <w:szCs w:val="21"/>
          <w:highlight w:val="none"/>
          <w:lang w:val="en-US" w:eastAsia="zh-CN"/>
        </w:rPr>
        <w:t>七</w:t>
      </w:r>
      <w:r>
        <w:rPr>
          <w:rFonts w:ascii="宋体" w:hAnsi="宋体" w:eastAsia="宋体"/>
          <w:b/>
          <w:color w:val="auto"/>
          <w:spacing w:val="-6"/>
          <w:sz w:val="21"/>
          <w:szCs w:val="21"/>
          <w:highlight w:val="none"/>
        </w:rPr>
        <w:t>条：不可抗力事件处理</w:t>
      </w:r>
    </w:p>
    <w:p w14:paraId="677D32FD">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1.在合同有效期内，任何一方因不可抗力事件导致不能履行合同，则合同履行期可延长，其延长期与不可抗力影响期相同。</w:t>
      </w:r>
    </w:p>
    <w:p w14:paraId="543875C0">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2.不可抗力事件发生后，应立即通知对方，并寄送有关权威机构出具的证明。</w:t>
      </w:r>
    </w:p>
    <w:p w14:paraId="2717DB3A">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3.不可抗力事件延续120天以上，双方应通过友好协商，确定是否继续履行合同。</w:t>
      </w:r>
    </w:p>
    <w:p w14:paraId="590A1641">
      <w:pPr>
        <w:adjustRightInd w:val="0"/>
        <w:snapToGrid w:val="0"/>
        <w:spacing w:line="288" w:lineRule="auto"/>
        <w:ind w:right="-514" w:rightChars="-245"/>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w:t>
      </w:r>
      <w:r>
        <w:rPr>
          <w:rFonts w:hint="eastAsia" w:ascii="宋体" w:hAnsi="宋体" w:eastAsia="宋体"/>
          <w:b/>
          <w:color w:val="auto"/>
          <w:spacing w:val="-6"/>
          <w:sz w:val="21"/>
          <w:szCs w:val="21"/>
          <w:highlight w:val="none"/>
          <w:lang w:val="en-US" w:eastAsia="zh-CN"/>
        </w:rPr>
        <w:t>八</w:t>
      </w:r>
      <w:r>
        <w:rPr>
          <w:rFonts w:hint="eastAsia" w:ascii="宋体" w:hAnsi="宋体" w:eastAsia="宋体"/>
          <w:b/>
          <w:color w:val="auto"/>
          <w:spacing w:val="-6"/>
          <w:sz w:val="21"/>
          <w:szCs w:val="21"/>
          <w:highlight w:val="none"/>
        </w:rPr>
        <w:t>条：争议解决</w:t>
      </w:r>
    </w:p>
    <w:p w14:paraId="136F9952">
      <w:pPr>
        <w:adjustRightInd w:val="0"/>
        <w:snapToGrid w:val="0"/>
        <w:spacing w:line="288" w:lineRule="auto"/>
        <w:ind w:right="23" w:rightChars="11"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因本合同发生纠纷，甲乙双方应当及时协商，协商不成时，任何一方可向甲方所在地人民法院起诉。</w:t>
      </w:r>
    </w:p>
    <w:p w14:paraId="44469A31">
      <w:pPr>
        <w:adjustRightInd w:val="0"/>
        <w:snapToGrid w:val="0"/>
        <w:spacing w:line="288" w:lineRule="auto"/>
        <w:ind w:right="-514" w:rightChars="-245"/>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w:t>
      </w:r>
      <w:r>
        <w:rPr>
          <w:rFonts w:hint="eastAsia" w:ascii="宋体" w:hAnsi="宋体" w:eastAsia="宋体"/>
          <w:b/>
          <w:color w:val="auto"/>
          <w:spacing w:val="-6"/>
          <w:sz w:val="21"/>
          <w:szCs w:val="21"/>
          <w:highlight w:val="none"/>
          <w:lang w:val="en-US" w:eastAsia="zh-CN"/>
        </w:rPr>
        <w:t>九</w:t>
      </w:r>
      <w:r>
        <w:rPr>
          <w:rFonts w:hint="eastAsia" w:ascii="宋体" w:hAnsi="宋体" w:eastAsia="宋体"/>
          <w:b/>
          <w:color w:val="auto"/>
          <w:spacing w:val="-6"/>
          <w:sz w:val="21"/>
          <w:szCs w:val="21"/>
          <w:highlight w:val="none"/>
        </w:rPr>
        <w:t>条：合同生效</w:t>
      </w:r>
    </w:p>
    <w:p w14:paraId="75FC43E0">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1.合同经甲、乙双方法定代表人或授权代表签名并加盖单位公章或合同专用章后生效。</w:t>
      </w:r>
    </w:p>
    <w:p w14:paraId="2E1C2273">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2</w:t>
      </w:r>
      <w:r>
        <w:rPr>
          <w:rFonts w:ascii="宋体" w:hAnsi="宋体" w:eastAsia="宋体"/>
          <w:color w:val="auto"/>
          <w:spacing w:val="-6"/>
          <w:sz w:val="21"/>
          <w:szCs w:val="21"/>
          <w:highlight w:val="none"/>
        </w:rPr>
        <w:t>.</w:t>
      </w:r>
      <w:r>
        <w:rPr>
          <w:rFonts w:hint="eastAsia" w:ascii="宋体" w:hAnsi="宋体" w:eastAsia="宋体"/>
          <w:color w:val="auto"/>
          <w:spacing w:val="-6"/>
          <w:sz w:val="21"/>
          <w:szCs w:val="21"/>
          <w:highlight w:val="none"/>
        </w:rPr>
        <w:t>本合同附件、招标文件、投标文件、询标澄清、中标通知书均为合同的组成部分，与本合同具有同等法律效力。</w:t>
      </w:r>
    </w:p>
    <w:p w14:paraId="1A585569">
      <w:pPr>
        <w:adjustRightInd w:val="0"/>
        <w:snapToGrid w:val="0"/>
        <w:spacing w:line="288" w:lineRule="auto"/>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第十条：合同份数</w:t>
      </w:r>
    </w:p>
    <w:p w14:paraId="0AA1C11D">
      <w:pPr>
        <w:adjustRightInd w:val="0"/>
        <w:snapToGrid w:val="0"/>
        <w:spacing w:line="288" w:lineRule="auto"/>
        <w:ind w:firstLine="396" w:firstLineChars="200"/>
        <w:rPr>
          <w:rFonts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本合同一式肆份，甲方执贰份，乙方执贰份。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A1F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7BCCC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甲方（需方）：（公章）</w:t>
            </w:r>
          </w:p>
        </w:tc>
        <w:tc>
          <w:tcPr>
            <w:tcW w:w="4678" w:type="dxa"/>
            <w:vAlign w:val="center"/>
          </w:tcPr>
          <w:p w14:paraId="1BD00D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乙方（供方）：（公章）</w:t>
            </w:r>
          </w:p>
        </w:tc>
      </w:tr>
      <w:tr w14:paraId="0BD9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A4174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甲方代表：</w:t>
            </w:r>
          </w:p>
          <w:p w14:paraId="63BBAF1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（签名）</w:t>
            </w:r>
          </w:p>
        </w:tc>
        <w:tc>
          <w:tcPr>
            <w:tcW w:w="4678" w:type="dxa"/>
            <w:vAlign w:val="center"/>
          </w:tcPr>
          <w:p w14:paraId="585B09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乙方代表：</w:t>
            </w:r>
          </w:p>
          <w:p w14:paraId="3A6C2D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（签名）</w:t>
            </w:r>
          </w:p>
        </w:tc>
      </w:tr>
      <w:tr w14:paraId="3E5E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BAAE8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 w:val="21"/>
                <w:szCs w:val="21"/>
                <w:highlight w:val="none"/>
              </w:rPr>
            </w:pPr>
            <w:r>
              <w:rPr>
                <w:rFonts w:hint="eastAsia" w:ascii="宋体" w:hAnsi="宋体" w:eastAsia="宋体"/>
                <w:color w:val="auto"/>
                <w:sz w:val="21"/>
                <w:szCs w:val="21"/>
                <w:highlight w:val="none"/>
              </w:rPr>
              <w:t>地址：</w:t>
            </w:r>
          </w:p>
        </w:tc>
        <w:tc>
          <w:tcPr>
            <w:tcW w:w="4678" w:type="dxa"/>
            <w:vAlign w:val="center"/>
          </w:tcPr>
          <w:p w14:paraId="060D90D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地址：</w:t>
            </w:r>
          </w:p>
        </w:tc>
      </w:tr>
      <w:tr w14:paraId="0CE2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E730B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 w:val="21"/>
                <w:szCs w:val="21"/>
                <w:highlight w:val="none"/>
              </w:rPr>
            </w:pPr>
            <w:r>
              <w:rPr>
                <w:rFonts w:hint="eastAsia" w:ascii="宋体" w:hAnsi="宋体" w:eastAsia="宋体"/>
                <w:color w:val="auto"/>
                <w:sz w:val="21"/>
                <w:szCs w:val="21"/>
                <w:highlight w:val="none"/>
              </w:rPr>
              <w:t>电话：</w:t>
            </w:r>
          </w:p>
        </w:tc>
        <w:tc>
          <w:tcPr>
            <w:tcW w:w="4678" w:type="dxa"/>
            <w:vAlign w:val="center"/>
          </w:tcPr>
          <w:p w14:paraId="06CA810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电话：</w:t>
            </w:r>
          </w:p>
        </w:tc>
      </w:tr>
      <w:tr w14:paraId="260F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4107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 w:val="21"/>
                <w:szCs w:val="21"/>
                <w:highlight w:val="none"/>
              </w:rPr>
            </w:pPr>
            <w:r>
              <w:rPr>
                <w:rFonts w:hint="eastAsia" w:ascii="宋体" w:hAnsi="宋体" w:eastAsia="宋体"/>
                <w:color w:val="auto"/>
                <w:sz w:val="21"/>
                <w:szCs w:val="21"/>
                <w:highlight w:val="none"/>
              </w:rPr>
              <w:t>开户银行：</w:t>
            </w:r>
          </w:p>
        </w:tc>
        <w:tc>
          <w:tcPr>
            <w:tcW w:w="4678" w:type="dxa"/>
            <w:vAlign w:val="center"/>
          </w:tcPr>
          <w:p w14:paraId="75FBF56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开户银行：</w:t>
            </w:r>
          </w:p>
        </w:tc>
      </w:tr>
      <w:tr w14:paraId="264E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20281B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 w:val="21"/>
                <w:szCs w:val="21"/>
                <w:highlight w:val="none"/>
              </w:rPr>
            </w:pPr>
            <w:r>
              <w:rPr>
                <w:rFonts w:hint="eastAsia" w:ascii="宋体" w:hAnsi="宋体" w:eastAsia="宋体"/>
                <w:color w:val="auto"/>
                <w:sz w:val="21"/>
                <w:szCs w:val="21"/>
                <w:highlight w:val="none"/>
              </w:rPr>
              <w:t>帐号：</w:t>
            </w:r>
          </w:p>
        </w:tc>
        <w:tc>
          <w:tcPr>
            <w:tcW w:w="4678" w:type="dxa"/>
            <w:vAlign w:val="center"/>
          </w:tcPr>
          <w:p w14:paraId="0FC5F77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帐号：</w:t>
            </w:r>
          </w:p>
        </w:tc>
      </w:tr>
      <w:tr w14:paraId="55F2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078ED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签名日期：      年    月    日</w:t>
            </w:r>
          </w:p>
        </w:tc>
        <w:tc>
          <w:tcPr>
            <w:tcW w:w="4678" w:type="dxa"/>
            <w:vAlign w:val="center"/>
          </w:tcPr>
          <w:p w14:paraId="5576C6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pacing w:val="-6"/>
                <w:sz w:val="21"/>
                <w:szCs w:val="21"/>
                <w:highlight w:val="none"/>
              </w:rPr>
            </w:pPr>
            <w:r>
              <w:rPr>
                <w:rFonts w:hint="eastAsia" w:ascii="宋体" w:hAnsi="宋体" w:eastAsia="宋体"/>
                <w:color w:val="auto"/>
                <w:spacing w:val="-6"/>
                <w:sz w:val="21"/>
                <w:szCs w:val="21"/>
                <w:highlight w:val="none"/>
              </w:rPr>
              <w:t>签名日期：      年    月    日</w:t>
            </w:r>
          </w:p>
        </w:tc>
      </w:tr>
    </w:tbl>
    <w:p w14:paraId="7EEFE50B">
      <w:pPr>
        <w:rPr>
          <w:rFonts w:hint="eastAsia" w:ascii="宋体" w:hAnsi="宋体" w:cs="宋体"/>
          <w:color w:val="auto"/>
          <w:kern w:val="0"/>
          <w:highlight w:val="none"/>
        </w:rPr>
      </w:pPr>
      <w:r>
        <w:rPr>
          <w:rFonts w:hint="eastAsia" w:ascii="宋体" w:hAnsi="宋体" w:cs="宋体"/>
          <w:color w:val="auto"/>
          <w:kern w:val="0"/>
          <w:highlight w:val="none"/>
        </w:rPr>
        <w:br w:type="page"/>
      </w:r>
    </w:p>
    <w:p w14:paraId="04A8E5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0850BEE9">
      <w:pPr>
        <w:spacing w:line="360" w:lineRule="auto"/>
        <w:jc w:val="center"/>
        <w:outlineLvl w:val="0"/>
        <w:rPr>
          <w:rFonts w:ascii="宋体" w:hAnsi="宋体" w:cs="宋体"/>
          <w:b/>
          <w:color w:val="auto"/>
          <w:kern w:val="0"/>
          <w:sz w:val="36"/>
          <w:szCs w:val="36"/>
          <w:highlight w:val="none"/>
        </w:rPr>
      </w:pPr>
    </w:p>
    <w:p w14:paraId="49F4EC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38A4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997DCD">
      <w:pPr>
        <w:spacing w:line="360" w:lineRule="auto"/>
        <w:jc w:val="center"/>
        <w:outlineLvl w:val="0"/>
        <w:rPr>
          <w:rFonts w:ascii="宋体" w:hAnsi="宋体" w:cs="宋体"/>
          <w:b/>
          <w:color w:val="auto"/>
          <w:kern w:val="0"/>
          <w:sz w:val="36"/>
          <w:szCs w:val="36"/>
          <w:highlight w:val="none"/>
        </w:rPr>
      </w:pPr>
    </w:p>
    <w:p w14:paraId="37D9F0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（1）符合参加采购活动应当具备的一般条件的承诺函……………………………………………（页码）</w:t>
      </w:r>
    </w:p>
    <w:p w14:paraId="0A3DDBF0">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16"/>
          <w:highlight w:val="none"/>
        </w:rPr>
        <w:t>（2）联合协议</w:t>
      </w:r>
      <w:r>
        <w:rPr>
          <w:rFonts w:hint="eastAsia" w:ascii="宋体" w:hAnsi="宋体" w:cs="宋体"/>
          <w:color w:val="auto"/>
          <w:sz w:val="21"/>
          <w:szCs w:val="21"/>
          <w:highlight w:val="none"/>
        </w:rPr>
        <w:t>…………………………………………………………………………………………（页码）</w:t>
      </w:r>
    </w:p>
    <w:p w14:paraId="0AC658D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）本项目的特定资格要求…………………………………………………………………………（页码）</w:t>
      </w:r>
    </w:p>
    <w:p w14:paraId="3E15F081">
      <w:pPr>
        <w:snapToGrid w:val="0"/>
        <w:spacing w:line="360" w:lineRule="auto"/>
        <w:ind w:firstLine="480" w:firstLineChars="200"/>
        <w:rPr>
          <w:rFonts w:ascii="宋体" w:hAnsi="宋体" w:cs="宋体"/>
          <w:color w:val="auto"/>
          <w:sz w:val="24"/>
          <w:highlight w:val="none"/>
        </w:rPr>
      </w:pPr>
    </w:p>
    <w:p w14:paraId="5EDF0D94">
      <w:pPr>
        <w:spacing w:line="360" w:lineRule="auto"/>
        <w:ind w:firstLine="480" w:firstLineChars="200"/>
        <w:rPr>
          <w:rFonts w:ascii="宋体" w:hAnsi="宋体" w:cs="宋体"/>
          <w:color w:val="auto"/>
          <w:sz w:val="24"/>
          <w:highlight w:val="none"/>
        </w:rPr>
      </w:pPr>
    </w:p>
    <w:p w14:paraId="1206B7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14:paraId="2F273F7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6092E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部分校园暖师智友心理平台开发服务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QSZBB250083FHQT</w:t>
      </w:r>
      <w:r>
        <w:rPr>
          <w:rFonts w:hint="eastAsia" w:ascii="宋体" w:hAnsi="宋体" w:cs="宋体"/>
          <w:color w:val="auto"/>
          <w:sz w:val="21"/>
          <w:szCs w:val="21"/>
          <w:highlight w:val="none"/>
        </w:rPr>
        <w:t>】采购活动，郑重承诺：</w:t>
      </w:r>
    </w:p>
    <w:p w14:paraId="7577113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条件：</w:t>
      </w:r>
    </w:p>
    <w:p w14:paraId="5DB2C8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3D7D6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ED76BF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A3884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A60D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、具有法律、行政法规规定的其他条件。</w:t>
      </w:r>
    </w:p>
    <w:p w14:paraId="6FF15A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58CF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94F5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1、单位负责人为同一人或者存在直接控股、管理关系的不同供应商参加同一合同项下的采购活动的；</w:t>
      </w:r>
    </w:p>
    <w:p w14:paraId="0856F3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7926D2A">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6B052066">
      <w:pPr>
        <w:snapToGrid w:val="0"/>
        <w:spacing w:line="360" w:lineRule="auto"/>
        <w:ind w:firstLine="4830" w:firstLineChars="2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486CA58">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br w:type="page"/>
      </w:r>
    </w:p>
    <w:p w14:paraId="44FD2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63037EC">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的，则不需要提供</w:t>
      </w:r>
      <w:r>
        <w:rPr>
          <w:rFonts w:hint="eastAsia" w:ascii="宋体" w:hAnsi="宋体" w:cs="宋体"/>
          <w:b/>
          <w:color w:val="auto"/>
          <w:sz w:val="21"/>
          <w:szCs w:val="21"/>
          <w:highlight w:val="none"/>
          <w:lang w:eastAsia="zh-CN"/>
        </w:rPr>
        <w:t>）</w:t>
      </w:r>
    </w:p>
    <w:p w14:paraId="31317757">
      <w:pPr>
        <w:snapToGrid w:val="0"/>
        <w:spacing w:line="360" w:lineRule="auto"/>
        <w:ind w:right="480"/>
        <w:jc w:val="center"/>
        <w:rPr>
          <w:rFonts w:ascii="宋体" w:hAnsi="宋体" w:cs="宋体"/>
          <w:b/>
          <w:color w:val="auto"/>
          <w:kern w:val="0"/>
          <w:sz w:val="32"/>
          <w:szCs w:val="32"/>
          <w:highlight w:val="none"/>
        </w:rPr>
      </w:pPr>
    </w:p>
    <w:p w14:paraId="69F85925">
      <w:pPr>
        <w:snapToGrid w:val="0"/>
        <w:spacing w:line="360" w:lineRule="auto"/>
        <w:ind w:right="480"/>
        <w:jc w:val="center"/>
        <w:rPr>
          <w:rFonts w:ascii="宋体" w:hAnsi="宋体" w:cs="宋体"/>
          <w:b/>
          <w:color w:val="auto"/>
          <w:kern w:val="0"/>
          <w:sz w:val="32"/>
          <w:szCs w:val="32"/>
          <w:highlight w:val="none"/>
        </w:rPr>
      </w:pPr>
    </w:p>
    <w:p w14:paraId="7AEBFD4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20139E27">
      <w:pPr>
        <w:spacing w:line="360" w:lineRule="auto"/>
        <w:jc w:val="center"/>
        <w:rPr>
          <w:rFonts w:ascii="宋体" w:hAnsi="宋体" w:cs="宋体"/>
          <w:b/>
          <w:bCs/>
          <w:color w:val="auto"/>
          <w:sz w:val="24"/>
          <w:highlight w:val="none"/>
        </w:rPr>
      </w:pPr>
      <w:r>
        <w:rPr>
          <w:rFonts w:hint="eastAsia" w:ascii="宋体" w:hAnsi="宋体" w:cs="宋体"/>
          <w:b/>
          <w:bCs/>
          <w:color w:val="auto"/>
          <w:sz w:val="21"/>
          <w:szCs w:val="21"/>
          <w:highlight w:val="none"/>
        </w:rPr>
        <w:t>（根据</w:t>
      </w:r>
      <w:r>
        <w:rPr>
          <w:rFonts w:hint="eastAsia" w:ascii="宋体" w:hAnsi="宋体" w:cs="宋体"/>
          <w:b/>
          <w:bCs/>
          <w:color w:val="auto"/>
          <w:sz w:val="21"/>
          <w:szCs w:val="21"/>
          <w:highlight w:val="none"/>
          <w:lang w:val="en-US" w:eastAsia="zh-CN"/>
        </w:rPr>
        <w:t>交易</w:t>
      </w:r>
      <w:r>
        <w:rPr>
          <w:rFonts w:hint="eastAsia" w:ascii="宋体" w:hAnsi="宋体" w:cs="宋体"/>
          <w:b/>
          <w:bCs/>
          <w:color w:val="auto"/>
          <w:sz w:val="21"/>
          <w:szCs w:val="21"/>
          <w:highlight w:val="none"/>
        </w:rPr>
        <w:t>公告本项目的特定资格要求提供相应的材料；未要求的，无需提供）</w:t>
      </w:r>
    </w:p>
    <w:p w14:paraId="37D0AF44">
      <w:pPr>
        <w:rPr>
          <w:rFonts w:ascii="宋体" w:hAnsi="宋体" w:cs="宋体"/>
          <w:color w:val="auto"/>
          <w:highlight w:val="none"/>
        </w:rPr>
      </w:pPr>
    </w:p>
    <w:p w14:paraId="0C1A66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2E3E4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54A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8880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函………………………………………………………………………………………………（页码）</w:t>
      </w:r>
    </w:p>
    <w:p w14:paraId="153E6C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（2）授权委托书或法定代表人（单位负责人）身份证明……………………………………………（页码）</w:t>
      </w:r>
    </w:p>
    <w:p w14:paraId="4568E1D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419EC64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3E3240D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标准相应的商务技术资料……………………………………………………………………（页码）</w:t>
      </w:r>
    </w:p>
    <w:p w14:paraId="657E374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标的清单………………………………………………………………………………………（页码）</w:t>
      </w:r>
    </w:p>
    <w:p w14:paraId="666CF9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FDF9B82">
      <w:pPr>
        <w:snapToGrid w:val="0"/>
        <w:spacing w:line="360" w:lineRule="auto"/>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r>
        <w:rPr>
          <w:rFonts w:hint="eastAsia" w:ascii="宋体" w:hAnsi="宋体" w:cs="宋体"/>
          <w:color w:val="auto"/>
          <w:sz w:val="21"/>
          <w:szCs w:val="21"/>
          <w:highlight w:val="none"/>
        </w:rPr>
        <w:t>………………………………………………………………………（页码）</w:t>
      </w:r>
    </w:p>
    <w:p w14:paraId="62136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C6C9B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5B8056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44C35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部分校园暖师智友心理平台开发服务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QSZBB250083FHQT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的有关活动，并对此项目进行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。为此：</w:t>
      </w:r>
    </w:p>
    <w:p w14:paraId="78C052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有效期从提交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有效期满之前均具有约束力。</w:t>
      </w:r>
    </w:p>
    <w:p w14:paraId="0D7B33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文件包括以下内容：</w:t>
      </w:r>
    </w:p>
    <w:p w14:paraId="185762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DDEC8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D8294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2C7B3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EB530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4A816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r>
        <w:rPr>
          <w:rFonts w:hint="eastAsia" w:ascii="宋体" w:hAnsi="宋体" w:cs="宋体"/>
          <w:color w:val="auto"/>
          <w:sz w:val="21"/>
          <w:szCs w:val="21"/>
          <w:highlight w:val="none"/>
          <w:lang w:val="zh-CN"/>
        </w:rPr>
        <w:t xml:space="preserve"> </w:t>
      </w:r>
    </w:p>
    <w:p w14:paraId="4B2A37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1AC5B1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A01FE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33FF22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w:t>
      </w:r>
    </w:p>
    <w:p w14:paraId="3C4B6F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w:t>
      </w:r>
    </w:p>
    <w:p w14:paraId="66DD56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0052F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p>
    <w:p w14:paraId="1FF761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668D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w:t>
      </w:r>
      <w:r>
        <w:rPr>
          <w:rFonts w:hint="eastAsia" w:ascii="宋体" w:hAnsi="宋体" w:cs="宋体"/>
          <w:strike w:val="0"/>
          <w:dstrike w:val="0"/>
          <w:color w:val="auto"/>
          <w:sz w:val="21"/>
          <w:szCs w:val="21"/>
          <w:highlight w:val="none"/>
          <w:u w:val="none"/>
        </w:rPr>
        <w:t>开标一览表</w:t>
      </w:r>
      <w:r>
        <w:rPr>
          <w:rFonts w:hint="eastAsia" w:ascii="宋体" w:hAnsi="宋体" w:cs="宋体"/>
          <w:color w:val="auto"/>
          <w:sz w:val="21"/>
          <w:szCs w:val="21"/>
          <w:highlight w:val="none"/>
        </w:rPr>
        <w:t>（报价表）；</w:t>
      </w:r>
    </w:p>
    <w:p w14:paraId="0513C9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4C1315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文件的全部要求。对</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文件中材料的真实性、合法性负责。</w:t>
      </w:r>
    </w:p>
    <w:p w14:paraId="18366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w:t>
      </w:r>
      <w:r>
        <w:rPr>
          <w:rFonts w:hint="eastAsia" w:ascii="宋体" w:hAnsi="宋体" w:cs="宋体"/>
          <w:color w:val="auto"/>
          <w:sz w:val="21"/>
          <w:szCs w:val="21"/>
          <w:highlight w:val="none"/>
          <w:lang w:val="en-US" w:eastAsia="zh-CN"/>
        </w:rPr>
        <w:t>成为成交供应商</w:t>
      </w:r>
      <w:r>
        <w:rPr>
          <w:rFonts w:hint="eastAsia" w:ascii="宋体" w:hAnsi="宋体" w:cs="宋体"/>
          <w:color w:val="auto"/>
          <w:sz w:val="21"/>
          <w:szCs w:val="21"/>
          <w:highlight w:val="none"/>
        </w:rPr>
        <w:t>，我方承诺：</w:t>
      </w:r>
    </w:p>
    <w:p w14:paraId="669908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4.1在收到</w:t>
      </w:r>
      <w:r>
        <w:rPr>
          <w:rFonts w:hint="eastAsia" w:ascii="宋体" w:hAnsi="宋体" w:cs="宋体"/>
          <w:color w:val="auto"/>
          <w:sz w:val="21"/>
          <w:szCs w:val="21"/>
          <w:highlight w:val="none"/>
          <w:lang w:val="en-US" w:eastAsia="zh-CN"/>
        </w:rPr>
        <w:t>成交确认</w:t>
      </w:r>
      <w:r>
        <w:rPr>
          <w:rFonts w:hint="eastAsia" w:ascii="宋体" w:hAnsi="宋体" w:cs="宋体"/>
          <w:color w:val="auto"/>
          <w:sz w:val="21"/>
          <w:szCs w:val="21"/>
          <w:highlight w:val="none"/>
        </w:rPr>
        <w:t xml:space="preserve">通知书后，在通知书规定的期限内与你方签订合同； </w:t>
      </w:r>
    </w:p>
    <w:p w14:paraId="79C6DD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5290A5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 xml:space="preserve">文件要求提交履约保证金； </w:t>
      </w:r>
    </w:p>
    <w:p w14:paraId="122A2A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E4FC3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CE4AC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67BEB47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1EB7AAF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名称（电子签名）：</w:t>
      </w:r>
    </w:p>
    <w:p w14:paraId="4C88B16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4F1B0C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3675" w:firstLineChars="1750"/>
        <w:textAlignment w:val="auto"/>
        <w:rPr>
          <w:rFonts w:ascii="宋体" w:hAnsi="宋体" w:cs="宋体"/>
          <w:color w:val="auto"/>
          <w:kern w:val="0"/>
          <w:sz w:val="21"/>
          <w:szCs w:val="21"/>
          <w:highlight w:val="none"/>
          <w:u w:val="single"/>
        </w:rPr>
      </w:pPr>
    </w:p>
    <w:p w14:paraId="1BA5B8BD">
      <w:pPr>
        <w:keepNext w:val="0"/>
        <w:keepLines w:val="0"/>
        <w:pageBreakBefore w:val="0"/>
        <w:widowControl w:val="0"/>
        <w:kinsoku/>
        <w:wordWrap/>
        <w:overflowPunct/>
        <w:topLinePunct w:val="0"/>
        <w:autoSpaceDE/>
        <w:autoSpaceDN/>
        <w:bidi w:val="0"/>
        <w:adjustRightInd w:val="0"/>
        <w:spacing w:line="288" w:lineRule="auto"/>
        <w:ind w:left="0" w:leftChars="0"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0282E2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28D391">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887F413">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cs="宋体"/>
          <w:b/>
          <w:color w:val="auto"/>
          <w:kern w:val="0"/>
          <w:sz w:val="32"/>
          <w:szCs w:val="32"/>
          <w:highlight w:val="none"/>
          <w:lang w:val="zh-CN"/>
        </w:rPr>
        <w:t>授权委托书（适用于非联合体响应）</w:t>
      </w:r>
    </w:p>
    <w:p w14:paraId="709FD83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4326086">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部分校园暖师智友心理平台开发服务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QSZBB250083FHQT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64962E87">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E5FCE04">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07FD074F">
      <w:pPr>
        <w:keepNext w:val="0"/>
        <w:keepLines w:val="0"/>
        <w:pageBreakBefore w:val="0"/>
        <w:widowControl w:val="0"/>
        <w:kinsoku/>
        <w:wordWrap/>
        <w:overflowPunct/>
        <w:topLinePunct w:val="0"/>
        <w:bidi w:val="0"/>
        <w:snapToGrid w:val="0"/>
        <w:spacing w:line="288" w:lineRule="auto"/>
        <w:ind w:firstLine="5250" w:firstLineChars="2500"/>
        <w:textAlignment w:val="auto"/>
        <w:rPr>
          <w:rFonts w:hint="eastAsia" w:ascii="宋体" w:hAnsi="宋体" w:cs="宋体"/>
          <w:color w:val="auto"/>
          <w:kern w:val="0"/>
          <w:sz w:val="21"/>
          <w:szCs w:val="21"/>
          <w:highlight w:val="none"/>
          <w:lang w:val="zh-CN"/>
        </w:rPr>
      </w:pPr>
    </w:p>
    <w:p w14:paraId="37403401">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301874A">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签发日期：  年  月   日</w:t>
      </w:r>
    </w:p>
    <w:p w14:paraId="6C5E322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45C6344A">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03C916AD">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授权委托书（适用于联合体响应）</w:t>
      </w:r>
    </w:p>
    <w:p w14:paraId="2D17E049">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5F44313">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部分校园暖师智友心理平台开发服务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QSZBB250083FHQT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3FDACE3D">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AA9FF6">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775F9A59">
      <w:pPr>
        <w:keepNext w:val="0"/>
        <w:keepLines w:val="0"/>
        <w:pageBreakBefore w:val="0"/>
        <w:widowControl w:val="0"/>
        <w:kinsoku/>
        <w:wordWrap/>
        <w:overflowPunct/>
        <w:topLinePunct w:val="0"/>
        <w:bidi w:val="0"/>
        <w:spacing w:line="288" w:lineRule="auto"/>
        <w:textAlignment w:val="auto"/>
        <w:rPr>
          <w:rFonts w:ascii="宋体" w:hAnsi="宋体" w:cs="宋体"/>
          <w:color w:val="auto"/>
          <w:sz w:val="21"/>
          <w:szCs w:val="21"/>
          <w:highlight w:val="none"/>
        </w:rPr>
      </w:pPr>
    </w:p>
    <w:p w14:paraId="003C1363">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20D5AC6">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162DBFC">
      <w:pPr>
        <w:keepNext w:val="0"/>
        <w:keepLines w:val="0"/>
        <w:pageBreakBefore w:val="0"/>
        <w:widowControl w:val="0"/>
        <w:kinsoku/>
        <w:wordWrap/>
        <w:overflowPunct/>
        <w:topLinePunct w:val="0"/>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1964FE9">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日期：  年  月   日</w:t>
      </w:r>
    </w:p>
    <w:p w14:paraId="0F482C46">
      <w:pPr>
        <w:keepNext w:val="0"/>
        <w:keepLines w:val="0"/>
        <w:pageBreakBefore w:val="0"/>
        <w:widowControl w:val="0"/>
        <w:kinsoku/>
        <w:wordWrap/>
        <w:overflowPunct/>
        <w:topLinePunct w:val="0"/>
        <w:autoSpaceDE w:val="0"/>
        <w:autoSpaceDN w:val="0"/>
        <w:bidi w:val="0"/>
        <w:spacing w:line="288" w:lineRule="auto"/>
        <w:jc w:val="left"/>
        <w:textAlignment w:val="auto"/>
        <w:rPr>
          <w:rFonts w:hint="eastAsia" w:ascii="宋体" w:hAnsi="宋体" w:cs="宋体"/>
          <w:b/>
          <w:color w:val="auto"/>
          <w:kern w:val="0"/>
          <w:sz w:val="21"/>
          <w:szCs w:val="21"/>
          <w:highlight w:val="none"/>
          <w:lang w:val="zh-CN"/>
        </w:rPr>
      </w:pPr>
    </w:p>
    <w:p w14:paraId="14DBEF6D">
      <w:pPr>
        <w:pStyle w:val="2"/>
        <w:keepNext w:val="0"/>
        <w:keepLines w:val="0"/>
        <w:pageBreakBefore w:val="0"/>
        <w:widowControl w:val="0"/>
        <w:kinsoku/>
        <w:wordWrap/>
        <w:overflowPunct/>
        <w:topLinePunct w:val="0"/>
        <w:bidi w:val="0"/>
        <w:spacing w:line="288" w:lineRule="auto"/>
        <w:ind w:left="0" w:leftChars="0" w:firstLine="0" w:firstLineChars="0"/>
        <w:jc w:val="left"/>
        <w:textAlignment w:val="auto"/>
        <w:rPr>
          <w:rFonts w:hint="eastAsia"/>
          <w:color w:val="auto"/>
          <w:sz w:val="21"/>
          <w:szCs w:val="21"/>
          <w:highlight w:val="none"/>
          <w:lang w:val="zh-CN"/>
        </w:rPr>
      </w:pPr>
    </w:p>
    <w:p w14:paraId="5A8EECF6">
      <w:pPr>
        <w:keepNext w:val="0"/>
        <w:keepLines w:val="0"/>
        <w:pageBreakBefore w:val="0"/>
        <w:widowControl w:val="0"/>
        <w:kinsoku/>
        <w:wordWrap/>
        <w:overflowPunct/>
        <w:topLinePunct w:val="0"/>
        <w:autoSpaceDE w:val="0"/>
        <w:autoSpaceDN w:val="0"/>
        <w:bidi w:val="0"/>
        <w:spacing w:line="288" w:lineRule="auto"/>
        <w:jc w:val="center"/>
        <w:textAlignment w:val="auto"/>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2"/>
          <w:szCs w:val="32"/>
          <w:highlight w:val="none"/>
        </w:rPr>
        <w:t>身份证明（适用于法定代表人、单位负责人代表</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参加）</w:t>
      </w:r>
    </w:p>
    <w:p w14:paraId="7B976BFB">
      <w:pPr>
        <w:pStyle w:val="20"/>
        <w:keepNext w:val="0"/>
        <w:keepLines w:val="0"/>
        <w:pageBreakBefore w:val="0"/>
        <w:widowControl w:val="0"/>
        <w:kinsoku/>
        <w:wordWrap/>
        <w:overflowPunct/>
        <w:topLinePunct w:val="0"/>
        <w:bidi w:val="0"/>
        <w:spacing w:line="288" w:lineRule="auto"/>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70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392" w:type="dxa"/>
          </w:tcPr>
          <w:p w14:paraId="34664E06">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textAlignment w:val="auto"/>
              <w:rPr>
                <w:rFonts w:hint="default" w:hAnsi="宋体" w:cs="宋体"/>
                <w:bCs/>
                <w:color w:val="auto"/>
                <w:sz w:val="21"/>
                <w:szCs w:val="21"/>
                <w:highlight w:val="none"/>
              </w:rPr>
            </w:pPr>
            <w:r>
              <w:rPr>
                <w:rFonts w:hint="eastAsia" w:hAnsi="宋体" w:cs="宋体"/>
                <w:bCs/>
                <w:color w:val="auto"/>
                <w:sz w:val="21"/>
                <w:szCs w:val="21"/>
                <w:highlight w:val="none"/>
              </w:rPr>
              <w:t>正面：                                 反面：</w:t>
            </w:r>
          </w:p>
        </w:tc>
      </w:tr>
    </w:tbl>
    <w:p w14:paraId="2F0BE01B">
      <w:pPr>
        <w:keepNext w:val="0"/>
        <w:keepLines w:val="0"/>
        <w:pageBreakBefore w:val="0"/>
        <w:widowControl w:val="0"/>
        <w:kinsoku/>
        <w:wordWrap/>
        <w:overflowPunct/>
        <w:topLinePunct w:val="0"/>
        <w:bidi w:val="0"/>
        <w:snapToGrid w:val="0"/>
        <w:spacing w:line="288" w:lineRule="auto"/>
        <w:ind w:firstLine="576"/>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4A657504">
      <w:pPr>
        <w:keepNext w:val="0"/>
        <w:keepLines w:val="0"/>
        <w:pageBreakBefore w:val="0"/>
        <w:widowControl w:val="0"/>
        <w:kinsoku/>
        <w:wordWrap/>
        <w:overflowPunct/>
        <w:topLinePunct w:val="0"/>
        <w:bidi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65AF9E83">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217D23F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C9D51">
      <w:pPr>
        <w:widowControl/>
        <w:spacing w:line="360" w:lineRule="auto"/>
        <w:ind w:firstLine="105" w:firstLineChars="50"/>
        <w:jc w:val="left"/>
        <w:rPr>
          <w:rFonts w:ascii="宋体" w:hAnsi="宋体" w:cs="宋体"/>
          <w:b/>
          <w:bCs/>
          <w:color w:val="auto"/>
          <w:sz w:val="21"/>
          <w:szCs w:val="21"/>
          <w:highlight w:val="none"/>
        </w:rPr>
      </w:pPr>
      <w:bookmarkStart w:id="46" w:name="_Hlk101169080"/>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后以分包方式履行合同的，提供分包意向协议(附件</w:t>
      </w:r>
      <w:r>
        <w:rPr>
          <w:rFonts w:hint="eastAsia" w:ascii="宋体" w:hAnsi="宋体" w:cs="宋体"/>
          <w:b/>
          <w:bCs/>
          <w:color w:val="auto"/>
          <w:sz w:val="21"/>
          <w:szCs w:val="21"/>
          <w:highlight w:val="none"/>
          <w:lang w:val="en-US" w:eastAsia="zh-CN"/>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；采购人不同意分包或者</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后不以分包方式履行合同的，则不需要提供。</w:t>
      </w:r>
      <w:r>
        <w:rPr>
          <w:rFonts w:hint="eastAsia" w:ascii="宋体" w:hAnsi="宋体" w:cs="宋体"/>
          <w:b/>
          <w:bCs/>
          <w:color w:val="auto"/>
          <w:sz w:val="21"/>
          <w:szCs w:val="21"/>
          <w:highlight w:val="none"/>
          <w:lang w:eastAsia="zh-CN"/>
        </w:rPr>
        <w:t>）</w:t>
      </w:r>
    </w:p>
    <w:bookmarkEnd w:id="46"/>
    <w:p w14:paraId="4357CB08">
      <w:pPr>
        <w:snapToGrid w:val="0"/>
        <w:spacing w:line="360" w:lineRule="auto"/>
        <w:rPr>
          <w:rFonts w:ascii="宋体" w:hAnsi="宋体" w:cs="宋体"/>
          <w:color w:val="auto"/>
          <w:kern w:val="0"/>
          <w:sz w:val="24"/>
          <w:highlight w:val="none"/>
        </w:rPr>
      </w:pPr>
    </w:p>
    <w:p w14:paraId="54AB659B">
      <w:pPr>
        <w:jc w:val="both"/>
        <w:rPr>
          <w:rFonts w:ascii="宋体" w:hAnsi="宋体" w:cs="宋体"/>
          <w:b/>
          <w:color w:val="auto"/>
          <w:kern w:val="0"/>
          <w:sz w:val="32"/>
          <w:szCs w:val="32"/>
          <w:highlight w:val="none"/>
        </w:rPr>
      </w:pPr>
    </w:p>
    <w:p w14:paraId="2D75A0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1ACC8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b/>
          <w:color w:val="auto"/>
          <w:kern w:val="0"/>
          <w:sz w:val="21"/>
          <w:szCs w:val="21"/>
          <w:highlight w:val="none"/>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002"/>
        <w:gridCol w:w="2557"/>
        <w:gridCol w:w="1419"/>
      </w:tblGrid>
      <w:tr w14:paraId="6F8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6295F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598" w:type="pct"/>
            <w:vAlign w:val="center"/>
          </w:tcPr>
          <w:p w14:paraId="5DF15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1328" w:type="pct"/>
            <w:vAlign w:val="center"/>
          </w:tcPr>
          <w:p w14:paraId="2BA60D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737" w:type="pct"/>
            <w:vAlign w:val="center"/>
          </w:tcPr>
          <w:p w14:paraId="094F9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文件中的</w:t>
            </w:r>
          </w:p>
          <w:p w14:paraId="6E5D8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AE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0D04B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pct"/>
            <w:vAlign w:val="center"/>
          </w:tcPr>
          <w:p w14:paraId="753E8B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文件要求签署、盖章。</w:t>
            </w:r>
          </w:p>
        </w:tc>
        <w:tc>
          <w:tcPr>
            <w:tcW w:w="1328" w:type="pct"/>
            <w:vAlign w:val="center"/>
          </w:tcPr>
          <w:p w14:paraId="7BCD7E9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文件的组成部分</w:t>
            </w:r>
          </w:p>
        </w:tc>
        <w:tc>
          <w:tcPr>
            <w:tcW w:w="737" w:type="pct"/>
            <w:vAlign w:val="center"/>
          </w:tcPr>
          <w:p w14:paraId="18D5BE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p>
          <w:p w14:paraId="71C82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21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DFC5B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598" w:type="pct"/>
            <w:vAlign w:val="center"/>
          </w:tcPr>
          <w:p w14:paraId="36C230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文件中承诺的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有效期不少于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文件中载明的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w:t>
            </w:r>
          </w:p>
        </w:tc>
        <w:tc>
          <w:tcPr>
            <w:tcW w:w="1328" w:type="pct"/>
            <w:vAlign w:val="center"/>
          </w:tcPr>
          <w:p w14:paraId="5095267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p>
        </w:tc>
        <w:tc>
          <w:tcPr>
            <w:tcW w:w="737" w:type="pct"/>
            <w:vAlign w:val="center"/>
          </w:tcPr>
          <w:p w14:paraId="218560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0F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7B0D50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598" w:type="pct"/>
            <w:vAlign w:val="center"/>
          </w:tcPr>
          <w:p w14:paraId="25D854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文件的其它实质性要求。</w:t>
            </w:r>
          </w:p>
        </w:tc>
        <w:tc>
          <w:tcPr>
            <w:tcW w:w="1328" w:type="pct"/>
            <w:vAlign w:val="center"/>
          </w:tcPr>
          <w:p w14:paraId="1B7EB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文件其它实质性要求相应的材料（“▲” 系指实质性要求条款，</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文件无其它实质性要求的，无需提供）</w:t>
            </w:r>
          </w:p>
        </w:tc>
        <w:tc>
          <w:tcPr>
            <w:tcW w:w="737" w:type="pct"/>
            <w:vAlign w:val="center"/>
          </w:tcPr>
          <w:p w14:paraId="2C2485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46592ED">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D5DB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8A1EDA">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259304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（按</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文件第四部分评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办法前附表中“</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标准相应的商务技术资料目录”提供资料。）</w:t>
      </w:r>
    </w:p>
    <w:p w14:paraId="5CBE6F08">
      <w:pPr>
        <w:jc w:val="center"/>
        <w:rPr>
          <w:rFonts w:ascii="宋体" w:hAnsi="宋体" w:cs="宋体"/>
          <w:b/>
          <w:color w:val="auto"/>
          <w:kern w:val="0"/>
          <w:sz w:val="32"/>
          <w:szCs w:val="32"/>
          <w:highlight w:val="none"/>
        </w:rPr>
      </w:pPr>
    </w:p>
    <w:p w14:paraId="401D33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9"/>
        <w:gridCol w:w="1615"/>
        <w:gridCol w:w="1357"/>
        <w:gridCol w:w="2994"/>
        <w:gridCol w:w="1804"/>
      </w:tblGrid>
      <w:tr w14:paraId="4A2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7C3E7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50" w:type="pct"/>
            <w:tcBorders>
              <w:top w:val="single" w:color="auto" w:sz="4" w:space="0"/>
              <w:left w:val="single" w:color="auto" w:sz="4" w:space="0"/>
              <w:bottom w:val="single" w:color="auto" w:sz="4" w:space="0"/>
              <w:right w:val="single" w:color="auto" w:sz="4" w:space="0"/>
            </w:tcBorders>
            <w:vAlign w:val="center"/>
          </w:tcPr>
          <w:p w14:paraId="0EE50C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839" w:type="pct"/>
            <w:tcBorders>
              <w:top w:val="single" w:color="auto" w:sz="4" w:space="0"/>
              <w:left w:val="single" w:color="auto" w:sz="4" w:space="0"/>
              <w:bottom w:val="single" w:color="auto" w:sz="4" w:space="0"/>
              <w:right w:val="single" w:color="auto" w:sz="4" w:space="0"/>
            </w:tcBorders>
            <w:vAlign w:val="center"/>
          </w:tcPr>
          <w:p w14:paraId="2BCD44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209FD0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1623D2F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DAFE7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D9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B4249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550" w:type="pct"/>
            <w:tcBorders>
              <w:top w:val="single" w:color="auto" w:sz="4" w:space="0"/>
              <w:left w:val="single" w:color="auto" w:sz="4" w:space="0"/>
              <w:bottom w:val="single" w:color="auto" w:sz="4" w:space="0"/>
              <w:right w:val="single" w:color="auto" w:sz="4" w:space="0"/>
            </w:tcBorders>
            <w:vAlign w:val="center"/>
          </w:tcPr>
          <w:p w14:paraId="499EC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B7DB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CE3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0E291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EF05D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22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2C11B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550" w:type="pct"/>
            <w:tcBorders>
              <w:top w:val="single" w:color="auto" w:sz="4" w:space="0"/>
              <w:left w:val="single" w:color="auto" w:sz="4" w:space="0"/>
              <w:bottom w:val="single" w:color="auto" w:sz="4" w:space="0"/>
              <w:right w:val="single" w:color="auto" w:sz="4" w:space="0"/>
            </w:tcBorders>
            <w:vAlign w:val="center"/>
          </w:tcPr>
          <w:p w14:paraId="3ED9E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8ED9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0D41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3828EC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5A59B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D3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84E0BE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50" w:type="pct"/>
            <w:tcBorders>
              <w:top w:val="single" w:color="auto" w:sz="4" w:space="0"/>
              <w:left w:val="single" w:color="auto" w:sz="4" w:space="0"/>
              <w:bottom w:val="single" w:color="auto" w:sz="4" w:space="0"/>
              <w:right w:val="single" w:color="auto" w:sz="4" w:space="0"/>
            </w:tcBorders>
            <w:vAlign w:val="center"/>
          </w:tcPr>
          <w:p w14:paraId="5E9A8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E610D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E532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2F3342A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55497C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bl>
    <w:p w14:paraId="600200A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154E7F7">
      <w:pPr>
        <w:jc w:val="center"/>
        <w:rPr>
          <w:rFonts w:ascii="宋体" w:hAnsi="宋体" w:cs="宋体"/>
          <w:b/>
          <w:color w:val="auto"/>
          <w:kern w:val="0"/>
          <w:sz w:val="32"/>
          <w:szCs w:val="32"/>
          <w:highlight w:val="none"/>
        </w:rPr>
      </w:pPr>
    </w:p>
    <w:p w14:paraId="37829C64">
      <w:pPr>
        <w:jc w:val="center"/>
        <w:rPr>
          <w:rFonts w:ascii="宋体" w:hAnsi="宋体" w:cs="宋体"/>
          <w:b/>
          <w:color w:val="auto"/>
          <w:kern w:val="0"/>
          <w:sz w:val="32"/>
          <w:szCs w:val="32"/>
          <w:highlight w:val="none"/>
        </w:rPr>
      </w:pPr>
    </w:p>
    <w:p w14:paraId="04DC45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4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A11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5CC95AF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文件章节及具体内容</w:t>
            </w:r>
          </w:p>
        </w:tc>
        <w:tc>
          <w:tcPr>
            <w:tcW w:w="3546" w:type="dxa"/>
          </w:tcPr>
          <w:p w14:paraId="25D4A586">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响应</w:t>
            </w:r>
            <w:r>
              <w:rPr>
                <w:rFonts w:hint="eastAsia" w:ascii="宋体" w:hAnsi="宋体" w:cs="宋体"/>
                <w:b/>
                <w:bCs/>
                <w:color w:val="auto"/>
                <w:sz w:val="21"/>
                <w:szCs w:val="21"/>
                <w:highlight w:val="none"/>
              </w:rPr>
              <w:t>文件章节及具体内容</w:t>
            </w:r>
          </w:p>
        </w:tc>
        <w:tc>
          <w:tcPr>
            <w:tcW w:w="1276" w:type="dxa"/>
          </w:tcPr>
          <w:p w14:paraId="74AA413C">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DB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F894">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5E5E2EA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150CEB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592326A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390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D1153">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4C93C4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2273619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11BDFBCD">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2C9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16C68">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A87F98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E41F2E1">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661E1609">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bl>
    <w:p w14:paraId="3EA903E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保证：除商务技术偏离表列出的偏离外，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文件的全部要求</w:t>
      </w:r>
    </w:p>
    <w:p w14:paraId="52C451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kern w:val="0"/>
          <w:sz w:val="21"/>
          <w:szCs w:val="21"/>
          <w:highlight w:val="none"/>
        </w:rPr>
      </w:pPr>
    </w:p>
    <w:p w14:paraId="5D175A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61A83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75EB78">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FA55448">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sz w:val="24"/>
          <w:highlight w:val="none"/>
        </w:rPr>
      </w:pPr>
    </w:p>
    <w:p w14:paraId="789A8F69">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2"/>
          <w:sz w:val="21"/>
          <w:szCs w:val="21"/>
          <w:highlight w:val="none"/>
          <w:lang w:val="zh-CN"/>
        </w:rPr>
        <w:t>：</w:t>
      </w:r>
    </w:p>
    <w:p w14:paraId="3B5D3DC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项目采购要求。在这次响应过程中和</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后，我们将严格遵守国家法律法规要求，并郑重承诺：</w:t>
      </w:r>
    </w:p>
    <w:p w14:paraId="51626F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一、不向项目有关人员及部门赠送礼金礼物、有价证券、回扣以及中介费、介绍费、咨询费等好处费；</w:t>
      </w:r>
    </w:p>
    <w:p w14:paraId="77146CBC">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4555E7">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16597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3BE377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2DA63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1164B7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六、严格遵守法律法规，诚实守信，合法经营，坚决抵制各种违法违纪行为。 </w:t>
      </w:r>
    </w:p>
    <w:p w14:paraId="29CB60E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有权立即取消我单位响应、</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63B23A09">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2E67171C">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4B85AC9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76133E74">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w:t>
      </w:r>
    </w:p>
    <w:p w14:paraId="1DEF263F">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7385B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7AA8CD00">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69B57E7">
      <w:pPr>
        <w:spacing w:line="360" w:lineRule="auto"/>
        <w:jc w:val="center"/>
        <w:rPr>
          <w:rFonts w:ascii="宋体" w:hAnsi="宋体" w:cs="宋体"/>
          <w:b/>
          <w:bCs/>
          <w:color w:val="auto"/>
          <w:sz w:val="24"/>
          <w:highlight w:val="none"/>
        </w:rPr>
      </w:pPr>
    </w:p>
    <w:p w14:paraId="132904A9">
      <w:pPr>
        <w:pStyle w:val="2"/>
        <w:rPr>
          <w:color w:val="auto"/>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48DFB3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2EB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868C77">
      <w:pPr>
        <w:spacing w:line="360" w:lineRule="auto"/>
        <w:jc w:val="center"/>
        <w:outlineLvl w:val="0"/>
        <w:rPr>
          <w:rFonts w:ascii="宋体" w:hAnsi="宋体" w:cs="宋体"/>
          <w:b/>
          <w:strike w:val="0"/>
          <w:color w:val="auto"/>
          <w:kern w:val="0"/>
          <w:sz w:val="36"/>
          <w:szCs w:val="36"/>
          <w:highlight w:val="none"/>
        </w:rPr>
      </w:pPr>
    </w:p>
    <w:p w14:paraId="31EA709E">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1</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rPr>
        <w:t>开标一览表</w:t>
      </w:r>
      <w:r>
        <w:rPr>
          <w:rFonts w:hint="eastAsia" w:ascii="宋体" w:hAnsi="宋体" w:cs="宋体"/>
          <w:color w:val="auto"/>
          <w:sz w:val="21"/>
          <w:szCs w:val="21"/>
          <w:highlight w:val="none"/>
        </w:rPr>
        <w:t>（报价表）………………………………………………………………………（页码）</w:t>
      </w:r>
    </w:p>
    <w:p w14:paraId="7D6A1D34">
      <w:pPr>
        <w:snapToGrid w:val="0"/>
        <w:spacing w:line="360" w:lineRule="auto"/>
        <w:rPr>
          <w:strike/>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2062F9BD">
      <w:pPr>
        <w:snapToGrid w:val="0"/>
        <w:spacing w:line="360" w:lineRule="auto"/>
        <w:ind w:right="480"/>
        <w:jc w:val="center"/>
        <w:rPr>
          <w:rFonts w:ascii="宋体" w:hAnsi="宋体" w:cs="宋体"/>
          <w:b/>
          <w:color w:val="auto"/>
          <w:kern w:val="0"/>
          <w:sz w:val="32"/>
          <w:szCs w:val="32"/>
          <w:highlight w:val="none"/>
        </w:rPr>
      </w:pPr>
    </w:p>
    <w:p w14:paraId="07ACE612">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8085AA8">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4B3F76A1">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浙江求是招标代理有限公司</w:t>
      </w:r>
      <w:r>
        <w:rPr>
          <w:rFonts w:hint="eastAsia" w:ascii="宋体" w:hAnsi="宋体" w:eastAsia="宋体" w:cs="宋体"/>
          <w:color w:val="auto"/>
          <w:kern w:val="2"/>
          <w:sz w:val="21"/>
          <w:szCs w:val="21"/>
          <w:highlight w:val="none"/>
          <w:lang w:val="zh-CN"/>
        </w:rPr>
        <w:t>：</w:t>
      </w:r>
    </w:p>
    <w:p w14:paraId="1BBD630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1"/>
          <w:szCs w:val="21"/>
          <w:highlight w:val="none"/>
          <w:u w:val="single"/>
          <w:lang w:val="zh-CN"/>
        </w:rPr>
        <w:t>开标一览表</w:t>
      </w:r>
      <w:r>
        <w:rPr>
          <w:rFonts w:hint="eastAsia" w:ascii="宋体" w:hAnsi="宋体" w:eastAsia="宋体" w:cs="宋体"/>
          <w:color w:val="auto"/>
          <w:kern w:val="0"/>
          <w:sz w:val="21"/>
          <w:szCs w:val="21"/>
          <w:highlight w:val="none"/>
          <w:lang w:val="zh-CN"/>
        </w:rPr>
        <w:t>（报价表）的价格完成</w:t>
      </w:r>
      <w:r>
        <w:rPr>
          <w:rFonts w:hint="eastAsia" w:ascii="宋体" w:hAnsi="宋体" w:cs="宋体"/>
          <w:color w:val="auto"/>
          <w:sz w:val="21"/>
          <w:szCs w:val="21"/>
          <w:highlight w:val="none"/>
          <w:lang w:eastAsia="zh-CN"/>
        </w:rPr>
        <w:t>部分校园暖师智友心理平台开发服务</w:t>
      </w:r>
      <w:r>
        <w:rPr>
          <w:rFonts w:hint="eastAsia" w:ascii="宋体" w:hAnsi="宋体" w:eastAsia="宋体" w:cs="宋体"/>
          <w:color w:val="auto"/>
          <w:kern w:val="0"/>
          <w:sz w:val="21"/>
          <w:szCs w:val="21"/>
          <w:highlight w:val="none"/>
          <w:lang w:val="zh-CN"/>
        </w:rPr>
        <w:t>【采购编号：</w:t>
      </w:r>
      <w:r>
        <w:rPr>
          <w:rFonts w:hint="eastAsia" w:ascii="宋体" w:hAnsi="宋体" w:cs="宋体"/>
          <w:color w:val="auto"/>
          <w:sz w:val="21"/>
          <w:szCs w:val="21"/>
          <w:highlight w:val="none"/>
          <w:lang w:eastAsia="zh-CN"/>
        </w:rPr>
        <w:t>QSZBB250083FHQT</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F9823D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4F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AD9F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6C571EE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vAlign w:val="center"/>
          </w:tcPr>
          <w:p w14:paraId="36BCD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15248DC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规格、型号</w:t>
            </w:r>
          </w:p>
        </w:tc>
        <w:tc>
          <w:tcPr>
            <w:tcW w:w="993" w:type="dxa"/>
            <w:vAlign w:val="center"/>
          </w:tcPr>
          <w:p w14:paraId="12CD7E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7D22F45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2731F8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62518B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3C22E2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EEF9CA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tc>
      </w:tr>
      <w:tr w14:paraId="5F6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2C99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7" w:type="dxa"/>
            <w:vAlign w:val="center"/>
          </w:tcPr>
          <w:p w14:paraId="6D6D2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451BC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03618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65B40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02D3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06E820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5E8C0A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A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D694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7" w:type="dxa"/>
            <w:vAlign w:val="center"/>
          </w:tcPr>
          <w:p w14:paraId="3F97B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2DBF8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248EC7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123D1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E3834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39988C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FB18E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641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BDB8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7" w:type="dxa"/>
            <w:vAlign w:val="center"/>
          </w:tcPr>
          <w:p w14:paraId="43336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7E79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58387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2CB61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7EF63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41CA2D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5EC82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F9F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2BD6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417" w:type="dxa"/>
            <w:vAlign w:val="center"/>
          </w:tcPr>
          <w:p w14:paraId="622AA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3A0D5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3DE264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4C72D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593D5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571791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41A428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239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332D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报价（小写）</w:t>
            </w:r>
          </w:p>
        </w:tc>
        <w:tc>
          <w:tcPr>
            <w:tcW w:w="7655" w:type="dxa"/>
            <w:gridSpan w:val="4"/>
            <w:vAlign w:val="center"/>
          </w:tcPr>
          <w:p w14:paraId="12366B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9F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ADEA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报价（大写）</w:t>
            </w:r>
          </w:p>
        </w:tc>
        <w:tc>
          <w:tcPr>
            <w:tcW w:w="7655" w:type="dxa"/>
            <w:gridSpan w:val="4"/>
            <w:vAlign w:val="center"/>
          </w:tcPr>
          <w:p w14:paraId="5B33B3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bl>
    <w:p w14:paraId="538E8E24">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417C24B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74BF90C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1"/>
          <w:szCs w:val="21"/>
          <w:highlight w:val="none"/>
          <w:lang w:val="zh-CN"/>
        </w:rPr>
        <w:t>总价</w:t>
      </w:r>
      <w:r>
        <w:rPr>
          <w:rFonts w:hint="eastAsia" w:ascii="宋体" w:hAnsi="宋体" w:eastAsia="宋体" w:cs="宋体"/>
          <w:color w:val="auto"/>
          <w:spacing w:val="0"/>
          <w:kern w:val="0"/>
          <w:sz w:val="21"/>
          <w:szCs w:val="21"/>
          <w:highlight w:val="none"/>
          <w:lang w:val="zh-CN" w:eastAsia="zh-CN"/>
        </w:rPr>
        <w:t>不为零</w:t>
      </w:r>
      <w:r>
        <w:rPr>
          <w:rFonts w:hint="eastAsia" w:ascii="宋体" w:hAnsi="宋体" w:eastAsia="宋体" w:cs="宋体"/>
          <w:color w:val="auto"/>
          <w:spacing w:val="0"/>
          <w:kern w:val="0"/>
          <w:sz w:val="21"/>
          <w:szCs w:val="21"/>
          <w:highlight w:val="none"/>
          <w:lang w:val="zh-CN"/>
        </w:rPr>
        <w:t>，报价明细表中</w:t>
      </w:r>
      <w:r>
        <w:rPr>
          <w:rFonts w:hint="eastAsia" w:ascii="宋体" w:hAnsi="宋体" w:eastAsia="宋体" w:cs="宋体"/>
          <w:color w:val="auto"/>
          <w:spacing w:val="0"/>
          <w:kern w:val="0"/>
          <w:sz w:val="21"/>
          <w:szCs w:val="21"/>
          <w:highlight w:val="none"/>
          <w:lang w:val="zh-CN" w:eastAsia="zh-CN"/>
        </w:rPr>
        <w:t>部分</w:t>
      </w:r>
      <w:r>
        <w:rPr>
          <w:rFonts w:hint="eastAsia" w:ascii="宋体" w:hAnsi="宋体" w:eastAsia="宋体" w:cs="宋体"/>
          <w:color w:val="auto"/>
          <w:spacing w:val="0"/>
          <w:kern w:val="0"/>
          <w:sz w:val="21"/>
          <w:szCs w:val="21"/>
          <w:highlight w:val="none"/>
          <w:lang w:val="zh-CN"/>
        </w:rPr>
        <w:t>产品、服务单价为零的，视作已包含在总价中</w:t>
      </w:r>
      <w:r>
        <w:rPr>
          <w:rFonts w:hint="eastAsia" w:ascii="宋体" w:hAnsi="宋体" w:eastAsia="宋体" w:cs="宋体"/>
          <w:color w:val="auto"/>
          <w:spacing w:val="0"/>
          <w:kern w:val="0"/>
          <w:sz w:val="21"/>
          <w:szCs w:val="21"/>
          <w:highlight w:val="none"/>
          <w:lang w:val="zh-CN" w:eastAsia="zh-CN"/>
        </w:rPr>
        <w:t>。</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418855A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供应商名称、地址和</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金额，主要</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标的名称、品牌（如果有）、规格型号、数量、单价等予以公示。</w:t>
      </w:r>
    </w:p>
    <w:p w14:paraId="00B02FA4">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7AC0EEB">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1E2D53">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w:t>
      </w:r>
    </w:p>
    <w:p w14:paraId="74CC705D">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br w:type="page"/>
      </w:r>
    </w:p>
    <w:p w14:paraId="02FF9F8A">
      <w:pPr>
        <w:pStyle w:val="4"/>
        <w:keepNext w:val="0"/>
        <w:keepLines w:val="0"/>
        <w:pageBreakBefore w:val="0"/>
        <w:widowControl/>
        <w:tabs>
          <w:tab w:val="left" w:pos="432"/>
        </w:tabs>
        <w:kinsoku/>
        <w:wordWrap/>
        <w:overflowPunct/>
        <w:topLinePunct w:val="0"/>
        <w:autoSpaceDE/>
        <w:autoSpaceDN/>
        <w:bidi w:val="0"/>
        <w:adjustRightInd w:val="0"/>
        <w:snapToGrid/>
        <w:spacing w:beforeAutospacing="0" w:afterAutospacing="0" w:line="288" w:lineRule="auto"/>
        <w:ind w:left="0" w:firstLine="0" w:firstLineChars="0"/>
        <w:jc w:val="both"/>
        <w:textAlignment w:val="auto"/>
        <w:rPr>
          <w:rFonts w:ascii="宋体" w:hAnsi="宋体" w:cs="宋体"/>
          <w:color w:val="auto"/>
          <w:highlight w:val="none"/>
        </w:rPr>
      </w:pPr>
      <w:bookmarkStart w:id="47" w:name="_Toc465665161"/>
      <w:r>
        <w:rPr>
          <w:rFonts w:hint="eastAsia" w:ascii="宋体" w:hAnsi="宋体" w:cs="宋体"/>
          <w:color w:val="auto"/>
          <w:sz w:val="32"/>
          <w:szCs w:val="24"/>
          <w:highlight w:val="none"/>
        </w:rPr>
        <w:t>附件</w:t>
      </w:r>
      <w:bookmarkEnd w:id="47"/>
    </w:p>
    <w:p w14:paraId="5948063C">
      <w:pPr>
        <w:keepNext w:val="0"/>
        <w:keepLines w:val="0"/>
        <w:pageBreakBefore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D1FA409">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C5ACD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17BF20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C1C8FC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64C8163">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C2EDA6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1671D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2C2BC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EB5135A">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A259A9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C971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B3C61A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BA10F0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C05BE3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430D59F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9FA8C7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425E6E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7D0AEF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12B8AA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361CADC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6684E9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8F41D7">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2E1E81D0">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57792249">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796CF22">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45B76BDF">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1BBA3133">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893FCEB">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3E70E9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265E150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05FCAB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AF058D1">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EEE8E52">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E567EC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6.质疑函应由法定代表人、主要负责人，或者其授权代表签字或者盖章，并加盖公章。</w:t>
      </w:r>
    </w:p>
    <w:p w14:paraId="5B183D4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BAC832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CC6BA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32"/>
          <w:szCs w:val="32"/>
          <w:highlight w:val="none"/>
        </w:rPr>
      </w:pPr>
    </w:p>
    <w:p w14:paraId="1E8776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D599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BD57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0DC68CE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4F3F37">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F4FBED5">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D30B3C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A199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5932A8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058DE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53D7D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255642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42B2D67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2F262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72955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8AAF5B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A3EFB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8BD61F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2E8835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F97AE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2A7706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2AA1F9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7D8456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3CFE2E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417AB72">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0AF40E5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3C9B8EB">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日,就质疑事项作出了答复/没有在期限内作出答复。</w:t>
      </w:r>
    </w:p>
    <w:p w14:paraId="03FD4DD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229E52A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5CCD935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DCB630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4316AE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832F37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1CF95C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BD934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AF7E1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FB239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D166B7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400092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75AE13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5C579EA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9E0A14C">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44C556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E88E2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3F1E54A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F5E2B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06853B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6578D83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7.投诉书应当由法定代表人、主要负责人，或者其授权代表签字或者盖章，并加盖公章。</w:t>
      </w:r>
    </w:p>
    <w:p w14:paraId="06E9AD4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5C011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543F0EC">
      <w:pPr>
        <w:spacing w:line="360" w:lineRule="auto"/>
        <w:rPr>
          <w:rFonts w:ascii="宋体" w:hAnsi="宋体" w:cs="宋体"/>
          <w:color w:val="auto"/>
          <w:sz w:val="24"/>
          <w:highlight w:val="none"/>
          <w:u w:val="single"/>
        </w:rPr>
      </w:pPr>
    </w:p>
    <w:p w14:paraId="314A7047">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杭州市拱墅区教育信息技术中心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FFE109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部分校园暖师智友心理平台开发服务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QSZBB250083FHQT</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03616B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7F32">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617A71F3">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838165C">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3AB7A91">
      <w:pPr>
        <w:keepNext w:val="0"/>
        <w:keepLines w:val="0"/>
        <w:pageBreakBefore w:val="0"/>
        <w:widowControl w:val="0"/>
        <w:kinsoku/>
        <w:wordWrap/>
        <w:overflowPunct/>
        <w:topLinePunct w:val="0"/>
        <w:bidi w:val="0"/>
        <w:adjustRightInd w:val="0"/>
        <w:spacing w:line="288" w:lineRule="auto"/>
        <w:ind w:right="0" w:firstLine="3570" w:firstLineChars="17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单位（法定名称章）：</w:t>
      </w:r>
    </w:p>
    <w:p w14:paraId="018B6030">
      <w:pPr>
        <w:keepNext w:val="0"/>
        <w:keepLines w:val="0"/>
        <w:pageBreakBefore w:val="0"/>
        <w:widowControl w:val="0"/>
        <w:kinsoku/>
        <w:wordWrap/>
        <w:overflowPunct/>
        <w:topLinePunct w:val="0"/>
        <w:bidi w:val="0"/>
        <w:adjustRightInd w:val="0"/>
        <w:spacing w:line="288" w:lineRule="auto"/>
        <w:ind w:right="0" w:firstLine="3570" w:firstLineChars="17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5A8F0321">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b/>
          <w:bCs/>
          <w:color w:val="auto"/>
          <w:sz w:val="21"/>
          <w:szCs w:val="21"/>
          <w:highlight w:val="none"/>
        </w:rPr>
      </w:pPr>
    </w:p>
    <w:p w14:paraId="41DDACEE">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732E8F4E">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1"/>
          <w:szCs w:val="21"/>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“XX专用章”（印模）</w:t>
      </w:r>
    </w:p>
    <w:p w14:paraId="7DE2B22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46FFD56D">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14607A7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58E68544">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58B58B4A">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3059E63B">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463A5C1D">
      <w:pPr>
        <w:snapToGrid w:val="0"/>
        <w:spacing w:line="360" w:lineRule="auto"/>
        <w:jc w:val="center"/>
        <w:outlineLvl w:val="0"/>
        <w:rPr>
          <w:rFonts w:hint="eastAsia" w:ascii="宋体" w:hAnsi="宋体" w:cs="宋体"/>
          <w:b/>
          <w:color w:val="auto"/>
          <w:kern w:val="0"/>
          <w:sz w:val="32"/>
          <w:szCs w:val="32"/>
          <w:highlight w:val="none"/>
        </w:rPr>
      </w:pPr>
    </w:p>
    <w:p w14:paraId="6DE1DC7F">
      <w:pPr>
        <w:snapToGrid w:val="0"/>
        <w:spacing w:line="360" w:lineRule="auto"/>
        <w:jc w:val="center"/>
        <w:outlineLvl w:val="0"/>
        <w:rPr>
          <w:rFonts w:hint="eastAsia" w:ascii="宋体" w:hAnsi="宋体" w:cs="宋体"/>
          <w:b/>
          <w:color w:val="auto"/>
          <w:kern w:val="0"/>
          <w:sz w:val="32"/>
          <w:szCs w:val="32"/>
          <w:highlight w:val="none"/>
        </w:rPr>
      </w:pPr>
    </w:p>
    <w:p w14:paraId="0768F0F4">
      <w:pPr>
        <w:snapToGrid w:val="0"/>
        <w:spacing w:line="360" w:lineRule="auto"/>
        <w:jc w:val="center"/>
        <w:outlineLvl w:val="0"/>
        <w:rPr>
          <w:rFonts w:hint="eastAsia" w:ascii="宋体" w:hAnsi="宋体" w:cs="宋体"/>
          <w:b/>
          <w:color w:val="auto"/>
          <w:kern w:val="0"/>
          <w:sz w:val="32"/>
          <w:szCs w:val="32"/>
          <w:highlight w:val="none"/>
        </w:rPr>
      </w:pPr>
    </w:p>
    <w:p w14:paraId="5A5D4B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0681F5">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4E561D1">
      <w:pPr>
        <w:keepNext w:val="0"/>
        <w:keepLines w:val="0"/>
        <w:pageBreakBefore w:val="0"/>
        <w:widowControl/>
        <w:kinsoku/>
        <w:wordWrap/>
        <w:overflowPunct/>
        <w:topLinePunct w:val="0"/>
        <w:autoSpaceDE/>
        <w:autoSpaceDN/>
        <w:bidi w:val="0"/>
        <w:adjustRightInd w:val="0"/>
        <w:spacing w:line="288" w:lineRule="auto"/>
        <w:ind w:right="0"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val="en-US" w:eastAsia="zh-CN"/>
        </w:rPr>
        <w:t>参与本项目</w:t>
      </w:r>
      <w:r>
        <w:rPr>
          <w:rFonts w:hint="eastAsia" w:ascii="宋体" w:hAnsi="宋体" w:cs="宋体"/>
          <w:b/>
          <w:color w:val="auto"/>
          <w:sz w:val="21"/>
          <w:szCs w:val="21"/>
          <w:highlight w:val="none"/>
        </w:rPr>
        <w:t>的，提供联合协议；本项目不接受联合体或者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不以联合体形式的，则不需要提供）</w:t>
      </w:r>
    </w:p>
    <w:p w14:paraId="6526CAB6">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hint="eastAsia" w:ascii="宋体" w:hAnsi="宋体" w:cs="宋体"/>
          <w:color w:val="auto"/>
          <w:kern w:val="0"/>
          <w:sz w:val="21"/>
          <w:szCs w:val="21"/>
          <w:highlight w:val="none"/>
          <w:u w:val="single"/>
        </w:rPr>
      </w:pPr>
    </w:p>
    <w:p w14:paraId="26B575D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部分校园暖师智友心理平台开发服务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QSZBB250083FHQT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2B030A04">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和合同实施阶段的主办、协调工作</w:t>
      </w:r>
      <w:r>
        <w:rPr>
          <w:rFonts w:hint="eastAsia" w:ascii="宋体" w:hAnsi="宋体" w:cs="宋体"/>
          <w:color w:val="auto"/>
          <w:kern w:val="0"/>
          <w:sz w:val="21"/>
          <w:szCs w:val="21"/>
          <w:highlight w:val="none"/>
          <w:lang w:val="zh-CN"/>
        </w:rPr>
        <w:t>。</w:t>
      </w:r>
    </w:p>
    <w:p w14:paraId="1454B7C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文件规定及</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内容而对采购人、采购代理机构所作的任何合法承诺，包括书面澄清及相应</w:t>
      </w:r>
      <w:r>
        <w:rPr>
          <w:rFonts w:hint="eastAsia" w:ascii="宋体" w:hAnsi="宋体" w:cs="宋体"/>
          <w:color w:val="auto"/>
          <w:kern w:val="0"/>
          <w:sz w:val="21"/>
          <w:szCs w:val="21"/>
          <w:highlight w:val="none"/>
          <w:lang w:val="en-US" w:eastAsia="zh-CN"/>
        </w:rPr>
        <w:t>声明</w:t>
      </w:r>
      <w:r>
        <w:rPr>
          <w:rFonts w:hint="eastAsia" w:ascii="宋体" w:hAnsi="宋体" w:cs="宋体"/>
          <w:color w:val="auto"/>
          <w:kern w:val="0"/>
          <w:sz w:val="21"/>
          <w:szCs w:val="21"/>
          <w:highlight w:val="none"/>
          <w:lang w:val="zh-CN"/>
        </w:rPr>
        <w:t>等均对联合</w:t>
      </w:r>
      <w:r>
        <w:rPr>
          <w:rFonts w:hint="eastAsia" w:ascii="宋体" w:hAnsi="宋体" w:cs="宋体"/>
          <w:color w:val="auto"/>
          <w:kern w:val="0"/>
          <w:sz w:val="21"/>
          <w:szCs w:val="21"/>
          <w:highlight w:val="none"/>
          <w:lang w:val="en-US" w:eastAsia="zh-CN"/>
        </w:rPr>
        <w:t>参与</w:t>
      </w:r>
      <w:r>
        <w:rPr>
          <w:rFonts w:hint="eastAsia" w:ascii="宋体" w:hAnsi="宋体" w:cs="宋体"/>
          <w:color w:val="auto"/>
          <w:kern w:val="0"/>
          <w:sz w:val="21"/>
          <w:szCs w:val="21"/>
          <w:highlight w:val="none"/>
          <w:lang w:val="zh-CN"/>
        </w:rPr>
        <w:t>各方产生约束力。</w:t>
      </w:r>
    </w:p>
    <w:p w14:paraId="3AE53D7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中，分工如下：</w:t>
      </w:r>
    </w:p>
    <w:p w14:paraId="641E2A7D">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bookmarkStart w:id="48"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110712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A74628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48"/>
    <w:p w14:paraId="70F785B5">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8D4D2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strike/>
          <w:dstrike w:val="0"/>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p>
    <w:p w14:paraId="0237476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w:t>
      </w:r>
      <w:r>
        <w:rPr>
          <w:rFonts w:hint="eastAsia" w:ascii="宋体" w:hAnsi="宋体" w:cs="宋体"/>
          <w:color w:val="auto"/>
          <w:sz w:val="21"/>
          <w:szCs w:val="21"/>
          <w:highlight w:val="none"/>
        </w:rPr>
        <w:t>联合体各成员方共同与采购人签订合同，并就采购合同约定的事项对采购人承担连带责任。</w:t>
      </w:r>
    </w:p>
    <w:p w14:paraId="21F31B4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的其他事宜：</w:t>
      </w:r>
    </w:p>
    <w:p w14:paraId="6946FED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1、联合体各方不再单独参加或者与其他供应商另外组成联合体参加同一合同项下的采购活动。</w:t>
      </w:r>
    </w:p>
    <w:p w14:paraId="04ADA30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4EAEAF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0492F3D">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85BBCE4">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B5F771E">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385BFC6">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041530A0">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p>
    <w:p w14:paraId="5C52AC24">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8A500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5EDB9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888575A">
      <w:pPr>
        <w:pageBreakBefore w:val="0"/>
        <w:widowControl/>
        <w:kinsoku/>
        <w:wordWrap/>
        <w:overflowPunct/>
        <w:topLinePunct w:val="0"/>
        <w:autoSpaceDE/>
        <w:autoSpaceDN/>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后以分包方式履行合同的，提供分包意向协议；采购人不同意分包或者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后不以分包方式履行合同的，则不需要提供。</w:t>
      </w:r>
      <w:r>
        <w:rPr>
          <w:rFonts w:hint="eastAsia" w:ascii="宋体" w:hAnsi="宋体" w:cs="宋体"/>
          <w:color w:val="auto"/>
          <w:sz w:val="21"/>
          <w:szCs w:val="21"/>
          <w:highlight w:val="none"/>
        </w:rPr>
        <w:t>）</w:t>
      </w:r>
    </w:p>
    <w:p w14:paraId="1BC86BCB">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部分校园暖师智友心理平台开发服务</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QSZBB250083FHQT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731D60E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64868485">
      <w:pPr>
        <w:pageBreakBefore w:val="0"/>
        <w:kinsoku/>
        <w:wordWrap/>
        <w:overflowPunct/>
        <w:topLinePunct w:val="0"/>
        <w:autoSpaceDE/>
        <w:autoSpaceDN/>
        <w:bidi w:val="0"/>
        <w:snapToGrid w:val="0"/>
        <w:spacing w:line="288" w:lineRule="auto"/>
        <w:ind w:left="0" w:leftChars="0" w:right="0" w:firstLine="576"/>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91FDEA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1D1087C">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4F154967">
      <w:pPr>
        <w:pageBreakBefore w:val="0"/>
        <w:kinsoku/>
        <w:wordWrap/>
        <w:overflowPunct/>
        <w:topLinePunct w:val="0"/>
        <w:autoSpaceDE/>
        <w:autoSpaceDN/>
        <w:bidi w:val="0"/>
        <w:snapToGrid w:val="0"/>
        <w:spacing w:line="288" w:lineRule="auto"/>
        <w:ind w:right="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22D31E2">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7E9DDBF">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84B540">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12462CA6">
      <w:pPr>
        <w:pageBreakBefore w:val="0"/>
        <w:kinsoku/>
        <w:wordWrap/>
        <w:overflowPunct/>
        <w:topLinePunct w:val="0"/>
        <w:autoSpaceDE/>
        <w:autoSpaceDN/>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316F6FF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05A3A4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47266D0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780A78C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4F495A">
      <w:pPr>
        <w:pageBreakBefore w:val="0"/>
        <w:kinsoku/>
        <w:wordWrap/>
        <w:overflowPunct/>
        <w:topLinePunct w:val="0"/>
        <w:autoSpaceDE/>
        <w:autoSpaceDN/>
        <w:bidi w:val="0"/>
        <w:snapToGrid w:val="0"/>
        <w:spacing w:line="288" w:lineRule="auto"/>
        <w:ind w:left="4410" w:leftChars="2100" w:right="0" w:firstLine="0" w:firstLineChars="0"/>
        <w:textAlignment w:val="auto"/>
        <w:rPr>
          <w:rFonts w:hint="eastAsia" w:ascii="宋体" w:hAnsi="宋体" w:cs="宋体"/>
          <w:color w:val="auto"/>
          <w:kern w:val="0"/>
          <w:sz w:val="21"/>
          <w:szCs w:val="21"/>
          <w:highlight w:val="none"/>
          <w:lang w:val="zh-CN"/>
        </w:rPr>
      </w:pPr>
    </w:p>
    <w:p w14:paraId="46BA4CCF">
      <w:pPr>
        <w:pageBreakBefore w:val="0"/>
        <w:kinsoku/>
        <w:wordWrap/>
        <w:overflowPunct/>
        <w:topLinePunct w:val="0"/>
        <w:autoSpaceDE/>
        <w:autoSpaceDN/>
        <w:bidi w:val="0"/>
        <w:snapToGrid w:val="0"/>
        <w:spacing w:line="288" w:lineRule="auto"/>
        <w:ind w:left="4410" w:leftChars="2100" w:right="0" w:firstLine="0" w:firstLineChars="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17CC398B">
      <w:pPr>
        <w:pageBreakBefore w:val="0"/>
        <w:kinsoku/>
        <w:wordWrap/>
        <w:overflowPunct/>
        <w:topLinePunct w:val="0"/>
        <w:autoSpaceDE/>
        <w:autoSpaceDN/>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A5E4AFB">
      <w:pPr>
        <w:pageBreakBefore w:val="0"/>
        <w:kinsoku/>
        <w:wordWrap/>
        <w:overflowPunct/>
        <w:topLinePunct w:val="0"/>
        <w:autoSpaceDE/>
        <w:autoSpaceDN/>
        <w:bidi w:val="0"/>
        <w:snapToGrid w:val="0"/>
        <w:spacing w:line="288" w:lineRule="auto"/>
        <w:ind w:left="0" w:leftChars="0" w:right="0"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1ABE81">
      <w:pPr>
        <w:pageBreakBefore w:val="0"/>
        <w:kinsoku/>
        <w:wordWrap/>
        <w:overflowPunct/>
        <w:topLinePunct w:val="0"/>
        <w:autoSpaceDE/>
        <w:autoSpaceDN/>
        <w:bidi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81D15C3">
      <w:pPr>
        <w:pageBreakBefore w:val="0"/>
        <w:kinsoku/>
        <w:wordWrap/>
        <w:overflowPunct/>
        <w:topLinePunct w:val="0"/>
        <w:autoSpaceDE/>
        <w:autoSpaceDN/>
        <w:bidi w:val="0"/>
        <w:spacing w:line="288" w:lineRule="auto"/>
        <w:ind w:left="0" w:leftChars="0" w:right="0"/>
        <w:textAlignment w:val="auto"/>
        <w:rPr>
          <w:rFonts w:hint="eastAsia" w:ascii="宋体" w:hAnsi="宋体" w:cs="宋体"/>
          <w:color w:val="auto"/>
          <w:sz w:val="21"/>
          <w:szCs w:val="21"/>
          <w:highlight w:val="none"/>
        </w:rPr>
      </w:pPr>
    </w:p>
    <w:p w14:paraId="6BAE25E7">
      <w:pPr>
        <w:pageBreakBefore w:val="0"/>
        <w:kinsoku/>
        <w:wordWrap/>
        <w:overflowPunct/>
        <w:topLinePunct w:val="0"/>
        <w:autoSpaceDE/>
        <w:autoSpaceDN/>
        <w:bidi w:val="0"/>
        <w:spacing w:line="288" w:lineRule="auto"/>
        <w:ind w:left="0" w:leftChars="0" w:right="0"/>
        <w:textAlignment w:val="auto"/>
        <w:rPr>
          <w:color w:val="auto"/>
          <w:highlight w:val="none"/>
        </w:rPr>
      </w:pPr>
      <w:r>
        <w:rPr>
          <w:rFonts w:hint="eastAsia" w:ascii="宋体" w:hAnsi="宋体" w:cs="宋体"/>
          <w:color w:val="auto"/>
          <w:sz w:val="21"/>
          <w:szCs w:val="21"/>
          <w:highlight w:val="none"/>
        </w:rPr>
        <w:t>注：按本格式和要求提供。</w:t>
      </w:r>
    </w:p>
    <w:sectPr>
      <w:headerReference r:id="rId15" w:type="default"/>
      <w:footerReference r:id="rId16"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318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0411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BFB4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D65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8E7E3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45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C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6D89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B5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6A72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47DA">
    <w:pPr>
      <w:pStyle w:val="10"/>
      <w:tabs>
        <w:tab w:val="right" w:pos="9901"/>
      </w:tabs>
      <w:ind w:right="105"/>
      <w:jc w:val="center"/>
      <w:rPr>
        <w:sz w:val="21"/>
      </w:rPr>
    </w:pPr>
    <w:r>
      <w:fldChar w:fldCharType="begin"/>
    </w:r>
    <w:r>
      <w:rPr>
        <w:rStyle w:val="15"/>
      </w:rPr>
      <w:instrText xml:space="preserve"> PAGE </w:instrText>
    </w:r>
    <w:r>
      <w:fldChar w:fldCharType="separate"/>
    </w:r>
    <w:r>
      <w:rPr>
        <w:rStyle w:val="1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E3B9">
    <w:pPr>
      <w:pStyle w:val="11"/>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B51">
    <w:pPr>
      <w:pStyle w:val="11"/>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A3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0D38">
    <w:pPr>
      <w:pStyle w:val="1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B2E">
    <w:pPr>
      <w:pStyle w:val="11"/>
      <w:jc w:val="right"/>
      <w:rPr>
        <w:rFonts w:ascii="仿宋_GB2312" w:eastAsia="仿宋_GB2312"/>
        <w:b/>
        <w:i/>
        <w:u w:val="single"/>
      </w:rPr>
    </w:pPr>
    <w:r>
      <w:rPr>
        <w:rFonts w:hint="eastAsia"/>
      </w:rPr>
      <w:t xml:space="preserve">                                 </w:t>
    </w:r>
  </w:p>
  <w:p w14:paraId="423B61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984F">
    <w:pPr>
      <w:pStyle w:val="1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8D9">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B05AB"/>
    <w:multiLevelType w:val="singleLevel"/>
    <w:tmpl w:val="89AB05AB"/>
    <w:lvl w:ilvl="0" w:tentative="0">
      <w:start w:val="1"/>
      <w:numFmt w:val="decimal"/>
      <w:suff w:val="nothing"/>
      <w:lvlText w:val="%1、"/>
      <w:lvlJc w:val="left"/>
    </w:lvl>
  </w:abstractNum>
  <w:abstractNum w:abstractNumId="1">
    <w:nsid w:val="8B97543B"/>
    <w:multiLevelType w:val="singleLevel"/>
    <w:tmpl w:val="8B97543B"/>
    <w:lvl w:ilvl="0" w:tentative="0">
      <w:start w:val="1"/>
      <w:numFmt w:val="decimal"/>
      <w:suff w:val="nothing"/>
      <w:lvlText w:val="%1、"/>
      <w:lvlJc w:val="left"/>
    </w:lvl>
  </w:abstractNum>
  <w:abstractNum w:abstractNumId="2">
    <w:nsid w:val="AA66551C"/>
    <w:multiLevelType w:val="singleLevel"/>
    <w:tmpl w:val="AA66551C"/>
    <w:lvl w:ilvl="0" w:tentative="0">
      <w:start w:val="1"/>
      <w:numFmt w:val="decimal"/>
      <w:suff w:val="nothing"/>
      <w:lvlText w:val="%1、"/>
      <w:lvlJc w:val="left"/>
    </w:lvl>
  </w:abstractNum>
  <w:abstractNum w:abstractNumId="3">
    <w:nsid w:val="B777D6EB"/>
    <w:multiLevelType w:val="singleLevel"/>
    <w:tmpl w:val="B777D6EB"/>
    <w:lvl w:ilvl="0" w:tentative="0">
      <w:start w:val="1"/>
      <w:numFmt w:val="decimal"/>
      <w:suff w:val="nothing"/>
      <w:lvlText w:val="%1、"/>
      <w:lvlJc w:val="left"/>
    </w:lvl>
  </w:abstractNum>
  <w:abstractNum w:abstractNumId="4">
    <w:nsid w:val="BF39CFB1"/>
    <w:multiLevelType w:val="singleLevel"/>
    <w:tmpl w:val="BF39CFB1"/>
    <w:lvl w:ilvl="0" w:tentative="0">
      <w:start w:val="1"/>
      <w:numFmt w:val="decimal"/>
      <w:suff w:val="nothing"/>
      <w:lvlText w:val="%1、"/>
      <w:lvlJc w:val="left"/>
    </w:lvl>
  </w:abstractNum>
  <w:abstractNum w:abstractNumId="5">
    <w:nsid w:val="D078A837"/>
    <w:multiLevelType w:val="singleLevel"/>
    <w:tmpl w:val="D078A837"/>
    <w:lvl w:ilvl="0" w:tentative="0">
      <w:start w:val="1"/>
      <w:numFmt w:val="decimal"/>
      <w:suff w:val="nothing"/>
      <w:lvlText w:val="%1、"/>
      <w:lvlJc w:val="left"/>
    </w:lvl>
  </w:abstractNum>
  <w:abstractNum w:abstractNumId="6">
    <w:nsid w:val="E24F448F"/>
    <w:multiLevelType w:val="singleLevel"/>
    <w:tmpl w:val="E24F448F"/>
    <w:lvl w:ilvl="0" w:tentative="0">
      <w:start w:val="1"/>
      <w:numFmt w:val="decimal"/>
      <w:suff w:val="nothing"/>
      <w:lvlText w:val="%1、"/>
      <w:lvlJc w:val="left"/>
    </w:lvl>
  </w:abstractNum>
  <w:abstractNum w:abstractNumId="7">
    <w:nsid w:val="E5AEF01B"/>
    <w:multiLevelType w:val="singleLevel"/>
    <w:tmpl w:val="E5AEF01B"/>
    <w:lvl w:ilvl="0" w:tentative="0">
      <w:start w:val="1"/>
      <w:numFmt w:val="decimal"/>
      <w:suff w:val="nothing"/>
      <w:lvlText w:val="%1、"/>
      <w:lvlJc w:val="left"/>
    </w:lvl>
  </w:abstractNum>
  <w:abstractNum w:abstractNumId="8">
    <w:nsid w:val="E92BB74F"/>
    <w:multiLevelType w:val="singleLevel"/>
    <w:tmpl w:val="E92BB74F"/>
    <w:lvl w:ilvl="0" w:tentative="0">
      <w:start w:val="1"/>
      <w:numFmt w:val="decimal"/>
      <w:suff w:val="nothing"/>
      <w:lvlText w:val="%1、"/>
      <w:lvlJc w:val="left"/>
    </w:lvl>
  </w:abstractNum>
  <w:abstractNum w:abstractNumId="9">
    <w:nsid w:val="03982719"/>
    <w:multiLevelType w:val="singleLevel"/>
    <w:tmpl w:val="03982719"/>
    <w:lvl w:ilvl="0" w:tentative="0">
      <w:start w:val="1"/>
      <w:numFmt w:val="decimal"/>
      <w:suff w:val="nothing"/>
      <w:lvlText w:val="%1、"/>
      <w:lvlJc w:val="left"/>
    </w:lvl>
  </w:abstractNum>
  <w:abstractNum w:abstractNumId="10">
    <w:nsid w:val="098F98BA"/>
    <w:multiLevelType w:val="singleLevel"/>
    <w:tmpl w:val="098F98BA"/>
    <w:lvl w:ilvl="0" w:tentative="0">
      <w:start w:val="1"/>
      <w:numFmt w:val="decimal"/>
      <w:suff w:val="nothing"/>
      <w:lvlText w:val="%1、"/>
      <w:lvlJc w:val="left"/>
    </w:lvl>
  </w:abstractNum>
  <w:abstractNum w:abstractNumId="11">
    <w:nsid w:val="14EE236B"/>
    <w:multiLevelType w:val="singleLevel"/>
    <w:tmpl w:val="14EE236B"/>
    <w:lvl w:ilvl="0" w:tentative="0">
      <w:start w:val="1"/>
      <w:numFmt w:val="decimal"/>
      <w:suff w:val="nothing"/>
      <w:lvlText w:val="%1、"/>
      <w:lvlJc w:val="left"/>
    </w:lvl>
  </w:abstractNum>
  <w:abstractNum w:abstractNumId="12">
    <w:nsid w:val="18F20988"/>
    <w:multiLevelType w:val="singleLevel"/>
    <w:tmpl w:val="18F20988"/>
    <w:lvl w:ilvl="0" w:tentative="0">
      <w:start w:val="1"/>
      <w:numFmt w:val="decimal"/>
      <w:suff w:val="nothing"/>
      <w:lvlText w:val="%1、"/>
      <w:lvlJc w:val="left"/>
    </w:lvl>
  </w:abstractNum>
  <w:abstractNum w:abstractNumId="13">
    <w:nsid w:val="4B2FF661"/>
    <w:multiLevelType w:val="singleLevel"/>
    <w:tmpl w:val="4B2FF661"/>
    <w:lvl w:ilvl="0" w:tentative="0">
      <w:start w:val="1"/>
      <w:numFmt w:val="decimal"/>
      <w:suff w:val="nothing"/>
      <w:lvlText w:val="%1、"/>
      <w:lvlJc w:val="left"/>
    </w:lvl>
  </w:abstractNum>
  <w:abstractNum w:abstractNumId="14">
    <w:nsid w:val="60E3614E"/>
    <w:multiLevelType w:val="singleLevel"/>
    <w:tmpl w:val="60E3614E"/>
    <w:lvl w:ilvl="0" w:tentative="0">
      <w:start w:val="1"/>
      <w:numFmt w:val="decimal"/>
      <w:suff w:val="nothing"/>
      <w:lvlText w:val="%1、"/>
      <w:lvlJc w:val="left"/>
    </w:lvl>
  </w:abstractNum>
  <w:abstractNum w:abstractNumId="15">
    <w:nsid w:val="6B54604C"/>
    <w:multiLevelType w:val="singleLevel"/>
    <w:tmpl w:val="6B54604C"/>
    <w:lvl w:ilvl="0" w:tentative="0">
      <w:start w:val="1"/>
      <w:numFmt w:val="decimal"/>
      <w:suff w:val="nothing"/>
      <w:lvlText w:val="%1、"/>
      <w:lvlJc w:val="left"/>
    </w:lvl>
  </w:abstractNum>
  <w:abstractNum w:abstractNumId="16">
    <w:nsid w:val="7A5D5022"/>
    <w:multiLevelType w:val="singleLevel"/>
    <w:tmpl w:val="7A5D5022"/>
    <w:lvl w:ilvl="0" w:tentative="0">
      <w:start w:val="1"/>
      <w:numFmt w:val="decimal"/>
      <w:suff w:val="nothing"/>
      <w:lvlText w:val="%1、"/>
      <w:lvlJc w:val="left"/>
    </w:lvl>
  </w:abstractNum>
  <w:abstractNum w:abstractNumId="17">
    <w:nsid w:val="7F0BA026"/>
    <w:multiLevelType w:val="singleLevel"/>
    <w:tmpl w:val="7F0BA026"/>
    <w:lvl w:ilvl="0" w:tentative="0">
      <w:start w:val="1"/>
      <w:numFmt w:val="decimal"/>
      <w:suff w:val="nothing"/>
      <w:lvlText w:val="%1、"/>
      <w:lvlJc w:val="left"/>
    </w:lvl>
  </w:abstractNum>
  <w:abstractNum w:abstractNumId="18">
    <w:nsid w:val="7F265152"/>
    <w:multiLevelType w:val="singleLevel"/>
    <w:tmpl w:val="7F265152"/>
    <w:lvl w:ilvl="0" w:tentative="0">
      <w:start w:val="1"/>
      <w:numFmt w:val="decimal"/>
      <w:suff w:val="nothing"/>
      <w:lvlText w:val="%1、"/>
      <w:lvlJc w:val="left"/>
    </w:lvl>
  </w:abstractNum>
  <w:num w:numId="1">
    <w:abstractNumId w:val="2"/>
  </w:num>
  <w:num w:numId="2">
    <w:abstractNumId w:val="17"/>
  </w:num>
  <w:num w:numId="3">
    <w:abstractNumId w:val="1"/>
  </w:num>
  <w:num w:numId="4">
    <w:abstractNumId w:val="11"/>
  </w:num>
  <w:num w:numId="5">
    <w:abstractNumId w:val="0"/>
  </w:num>
  <w:num w:numId="6">
    <w:abstractNumId w:val="15"/>
  </w:num>
  <w:num w:numId="7">
    <w:abstractNumId w:val="12"/>
  </w:num>
  <w:num w:numId="8">
    <w:abstractNumId w:val="3"/>
  </w:num>
  <w:num w:numId="9">
    <w:abstractNumId w:val="18"/>
  </w:num>
  <w:num w:numId="10">
    <w:abstractNumId w:val="8"/>
  </w:num>
  <w:num w:numId="11">
    <w:abstractNumId w:val="4"/>
  </w:num>
  <w:num w:numId="12">
    <w:abstractNumId w:val="14"/>
  </w:num>
  <w:num w:numId="13">
    <w:abstractNumId w:val="7"/>
  </w:num>
  <w:num w:numId="14">
    <w:abstractNumId w:val="9"/>
  </w:num>
  <w:num w:numId="15">
    <w:abstractNumId w:val="10"/>
  </w:num>
  <w:num w:numId="16">
    <w:abstractNumId w:val="16"/>
  </w:num>
  <w:num w:numId="17">
    <w:abstractNumId w:val="1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JiODllNTJmMDUwM2U0ZDcyZGNkNmUyNDhlMmMifQ=="/>
  </w:docVars>
  <w:rsids>
    <w:rsidRoot w:val="2BF0106E"/>
    <w:rsid w:val="01161107"/>
    <w:rsid w:val="01A323DA"/>
    <w:rsid w:val="03DA692D"/>
    <w:rsid w:val="060B65D1"/>
    <w:rsid w:val="07A67AF9"/>
    <w:rsid w:val="08703B0F"/>
    <w:rsid w:val="087D2E79"/>
    <w:rsid w:val="0923202A"/>
    <w:rsid w:val="0C782642"/>
    <w:rsid w:val="0CDE52DC"/>
    <w:rsid w:val="0E2F3F1C"/>
    <w:rsid w:val="0FDB7AD2"/>
    <w:rsid w:val="11C34E28"/>
    <w:rsid w:val="156D5B49"/>
    <w:rsid w:val="15E306B0"/>
    <w:rsid w:val="165759F6"/>
    <w:rsid w:val="1B93081B"/>
    <w:rsid w:val="1DBC5CD1"/>
    <w:rsid w:val="1DF403C2"/>
    <w:rsid w:val="1FF4387B"/>
    <w:rsid w:val="205C082C"/>
    <w:rsid w:val="27FC5390"/>
    <w:rsid w:val="29F961FC"/>
    <w:rsid w:val="2BEB2A07"/>
    <w:rsid w:val="2BF0106E"/>
    <w:rsid w:val="2EC51336"/>
    <w:rsid w:val="2ED7551E"/>
    <w:rsid w:val="31190AFB"/>
    <w:rsid w:val="3184222D"/>
    <w:rsid w:val="32C9288D"/>
    <w:rsid w:val="33875FE3"/>
    <w:rsid w:val="34415F8F"/>
    <w:rsid w:val="34873C03"/>
    <w:rsid w:val="3B855B0F"/>
    <w:rsid w:val="3C1A7270"/>
    <w:rsid w:val="3D255BE0"/>
    <w:rsid w:val="3E6377F6"/>
    <w:rsid w:val="454247AC"/>
    <w:rsid w:val="462E1BED"/>
    <w:rsid w:val="4F6B7F73"/>
    <w:rsid w:val="510F41E7"/>
    <w:rsid w:val="5665169A"/>
    <w:rsid w:val="57482A8C"/>
    <w:rsid w:val="57B63E99"/>
    <w:rsid w:val="590A44D5"/>
    <w:rsid w:val="595D7BBA"/>
    <w:rsid w:val="5B83445A"/>
    <w:rsid w:val="5CE65375"/>
    <w:rsid w:val="5D927C9A"/>
    <w:rsid w:val="5DBE49C3"/>
    <w:rsid w:val="5E0F303A"/>
    <w:rsid w:val="64925191"/>
    <w:rsid w:val="6C3B3ACD"/>
    <w:rsid w:val="6DC97984"/>
    <w:rsid w:val="704D146E"/>
    <w:rsid w:val="725903E4"/>
    <w:rsid w:val="776512FF"/>
    <w:rsid w:val="7A512F54"/>
    <w:rsid w:val="7C5844F3"/>
    <w:rsid w:val="7E1E2B03"/>
    <w:rsid w:val="BAFFA711"/>
    <w:rsid w:val="EB2708A8"/>
    <w:rsid w:val="FBA56441"/>
    <w:rsid w:val="FFF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table" w:styleId="13">
    <w:name w:val="Table Grid"/>
    <w:basedOn w:val="1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59</Words>
  <Characters>74</Characters>
  <Lines>1</Lines>
  <Paragraphs>1</Paragraphs>
  <TotalTime>24</TotalTime>
  <ScaleCrop>false</ScaleCrop>
  <LinksUpToDate>false</LinksUpToDate>
  <CharactersWithSpaces>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2024-12-19T14:24:00Z</dcterms:created>
  <dc:creator>administer</dc:creator>
  <cp:lastModifiedBy>yubin</cp:lastModifiedBy>
  <dcterms:modified xsi:type="dcterms:W3CDTF">2025-07-07T08:04:51Z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E56F40621908411FBAF132A4D41A68D2_13</vt:lpwstr>
  </property>
  <property fmtid="{D5CDD505-2E9C-101B-9397-08002B2CF9AE}" pid="4" name="KSOTemplateDocerSaveRecord">
    <vt:lpwstr>eyJoZGlkIjoiNDA1NjJhY2YzNGY0NzY5M2ZmM2Y0ZjcwMmY2ODQ2YTYiLCJ1c2VySWQiOiIxNjEzNTQ4OTc4In0=</vt:lpwstr>
  </property>
</Properties>
</file>